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28.7.2023</w:t>
      </w:r>
      <w:r>
        <w:br/>
      </w:r>
      <w:r>
        <w:t xml:space="preserve">SWD(2023) 269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</w:t>
      </w:r>
      <w:r>
        <w:t xml:space="preserve"> </w:t>
      </w:r>
      <w:r>
        <w:t xml:space="preserve">THE COUNCIL</w:t>
      </w:r>
      <w:r>
        <w:t xml:space="preserve"> </w:t>
      </w:r>
      <w:r>
        <w:t xml:space="preserve">on the safety of toys and repealing Directive 2009/48/EC</w:t>
      </w:r>
      <w:r>
        <w:br/>
      </w:r>
      <w:r>
        <w:t xml:space="preserve">{COM(2023) 462 final} - {SEC(2023) 297 final} - {SWD(2023) 268 final} -</w:t>
      </w:r>
      <w:r>
        <w:t xml:space="preserve"> </w:t>
      </w:r>
      <w:r>
        <w:t xml:space="preserve">{SWD(2023) 270 final}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</w:t>
      </w:r>
      <w:r>
        <w:t xml:space="preserve"> </w:t>
      </w:r>
      <w:r>
        <w:t xml:space="preserve">EN</w:t>
      </w:r>
      <w:r>
        <w:t xml:space="preserve"> </w:t>
      </w: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……………………………………………………… 5</w:t>
      </w:r>
      <w:r>
        <w:t xml:space="preserve"> </w:t>
      </w:r>
      <w:r>
        <w:t xml:space="preserve">1.1. Regulatory context: the Toy Safety Directive …………………………………………… 5</w:t>
      </w:r>
      <w:r>
        <w:t xml:space="preserve"> </w:t>
      </w:r>
      <w:r>
        <w:t xml:space="preserve">1.2. Link with other initiatives ……………………………………………………………………… 7</w:t>
      </w:r>
      <w:r>
        <w:t xml:space="preserve"> </w:t>
      </w:r>
      <w:r>
        <w:t xml:space="preserve">1.3. Economic context: The market for toys in the EU …………………………………… 10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 11</w:t>
      </w:r>
      <w:r>
        <w:t xml:space="preserve"> </w:t>
      </w:r>
      <w:r>
        <w:t xml:space="preserve">2.1. What are the problems? ……………………………………………………………………….. 11</w:t>
      </w:r>
      <w:r>
        <w:t xml:space="preserve"> </w:t>
      </w:r>
      <w:r>
        <w:t xml:space="preserve">2.1.1.</w:t>
      </w:r>
      <w:r>
        <w:t xml:space="preserve"> </w:t>
      </w:r>
      <w:r>
        <w:t xml:space="preserve">Problem 1- Insufficient protection of children from harmful chemicals ……………. 11</w:t>
      </w:r>
      <w:r>
        <w:t xml:space="preserve"> </w:t>
      </w:r>
      <w:r>
        <w:t xml:space="preserve">2.1.2.</w:t>
      </w:r>
      <w:r>
        <w:t xml:space="preserve"> </w:t>
      </w:r>
      <w:r>
        <w:t xml:space="preserve">Problem 2- A high number of toys on the Union market do not comply with the Toy</w:t>
      </w:r>
      <w:r>
        <w:t xml:space="preserve"> </w:t>
      </w:r>
      <w:r>
        <w:t xml:space="preserve">Safety Directive and are unsafe ………………………………………………………………………………… 15</w:t>
      </w:r>
      <w:r>
        <w:t xml:space="preserve"> </w:t>
      </w:r>
      <w:r>
        <w:t xml:space="preserve">2.1.3.</w:t>
      </w:r>
      <w:r>
        <w:t xml:space="preserve"> </w:t>
      </w:r>
      <w:r>
        <w:t xml:space="preserve">New risks in toys, in particular from digital technologies ……………………………….. 17</w:t>
      </w:r>
      <w:r>
        <w:t xml:space="preserve"> </w:t>
      </w:r>
      <w:r>
        <w:t xml:space="preserve">2.2. What are the problem drivers? ……………………………………………………………… 18</w:t>
      </w:r>
      <w:r>
        <w:t xml:space="preserve"> </w:t>
      </w:r>
      <w:r>
        <w:t xml:space="preserve">2.2.1.</w:t>
      </w:r>
      <w:r>
        <w:t xml:space="preserve"> </w:t>
      </w:r>
      <w:r>
        <w:t xml:space="preserve">Problem 1- Insufficient protection of children from harmful chemicals ……………. 18</w:t>
      </w:r>
      <w:r>
        <w:t xml:space="preserve"> </w:t>
      </w:r>
      <w:r>
        <w:t xml:space="preserve">2.2.2.</w:t>
      </w:r>
      <w:r>
        <w:t xml:space="preserve"> </w:t>
      </w:r>
      <w:r>
        <w:t xml:space="preserve">Problem 2- A high number of toys on the Union market do not comply with the Toy</w:t>
      </w:r>
      <w:r>
        <w:t xml:space="preserve"> </w:t>
      </w:r>
      <w:r>
        <w:t xml:space="preserve">Safety Directive and are unsafe ………………………………………………………………………………… 20</w:t>
      </w:r>
      <w:r>
        <w:t xml:space="preserve"> </w:t>
      </w:r>
      <w:r>
        <w:t xml:space="preserve">2.3. How likely is the problem to persist? …………………………………………………….. 23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………………………………………………………………………………………….. 24</w:t>
      </w:r>
      <w:r>
        <w:t xml:space="preserve"> </w:t>
      </w:r>
      <w:r>
        <w:t xml:space="preserve">3.1. Legal basis …………………………………………………………………………………………. 24</w:t>
      </w:r>
      <w:r>
        <w:t xml:space="preserve"> </w:t>
      </w:r>
      <w:r>
        <w:t xml:space="preserve">3.2. Subsidiarity: Necessity of EU action ……………………………………………………… 24</w:t>
      </w:r>
      <w:r>
        <w:t xml:space="preserve"> </w:t>
      </w:r>
      <w:r>
        <w:t xml:space="preserve">3.3. Subsidiarity: Added value of EU action …………………………………………………. 24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 25</w:t>
      </w:r>
      <w:r>
        <w:t xml:space="preserve"> </w:t>
      </w:r>
      <w:r>
        <w:t xml:space="preserve">4.1. General objectives ………………………………………………………………………………. 25</w:t>
      </w:r>
      <w:r>
        <w:t xml:space="preserve"> </w:t>
      </w:r>
      <w:r>
        <w:t xml:space="preserve">4.2. Specific objectives ………………………………………………………………………………. 25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………………………………………………………….. 26</w:t>
      </w:r>
      <w:r>
        <w:t xml:space="preserve"> </w:t>
      </w:r>
      <w:r>
        <w:t xml:space="preserve">5.1. What is the baseline from which options are assessed? ……………………………. 26</w:t>
      </w:r>
      <w:r>
        <w:t xml:space="preserve"> </w:t>
      </w:r>
      <w:r>
        <w:t xml:space="preserve">5.2. Description of the policy options ………………………………………………………….. 29</w:t>
      </w:r>
      <w:r>
        <w:t xml:space="preserve"> </w:t>
      </w:r>
      <w:r>
        <w:t xml:space="preserve">5.2.1.</w:t>
      </w:r>
      <w:r>
        <w:t xml:space="preserve"> </w:t>
      </w:r>
      <w:r>
        <w:t xml:space="preserve">Policy options to strengthen the protection of children when playing with toys …. 29</w:t>
      </w:r>
      <w:r>
        <w:t xml:space="preserve"> </w:t>
      </w:r>
      <w:r>
        <w:t xml:space="preserve">5.2.2.</w:t>
      </w:r>
      <w:r>
        <w:t xml:space="preserve"> </w:t>
      </w:r>
      <w:r>
        <w:t xml:space="preserve">Policy options to reduce the number of non-compliant and unsafe toys ……………. 32</w:t>
      </w:r>
      <w:r>
        <w:t xml:space="preserve"> </w:t>
      </w:r>
      <w:r>
        <w:t xml:space="preserve">5.3. Options discarded at an early stage ……………………………………………………….. 34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………………………………………………….. 35</w:t>
      </w:r>
      <w:r>
        <w:t xml:space="preserve"> </w:t>
      </w:r>
      <w:r>
        <w:t xml:space="preserve">6.1. Policy option 1a – minimum changes to the Directive ……………………………… 36</w:t>
      </w:r>
      <w:r>
        <w:t xml:space="preserve"> </w:t>
      </w:r>
      <w:r>
        <w:t xml:space="preserve">6.2. Policy option 1b – Improved protection: generic bans of the most harmful</w:t>
      </w:r>
      <w:r>
        <w:t xml:space="preserve"> </w:t>
      </w:r>
      <w:r>
        <w:t xml:space="preserve">substances with derogations …………………………………………………………………. 39</w:t>
      </w:r>
      <w:r>
        <w:t xml:space="preserve"> </w:t>
      </w:r>
      <w:r>
        <w:t xml:space="preserve">6.3. Policy option 1c – Maximum protection: generic bans of the most harmful</w:t>
      </w:r>
      <w:r>
        <w:t xml:space="preserve"> </w:t>
      </w:r>
      <w:r>
        <w:t xml:space="preserve">substances without derogations …………………………………………………………….. 43</w:t>
      </w:r>
      <w:r>
        <w:t xml:space="preserve"> </w:t>
      </w:r>
      <w:r>
        <w:t xml:space="preserve">6.4. Policy option 2a: extending third-party conformity assessment ………………… 47</w:t>
      </w:r>
      <w:r>
        <w:t xml:space="preserve"> </w:t>
      </w:r>
      <w:r>
        <w:t xml:space="preserve">6.5. Policy option 2b: facilitation of market surveillance through digitalisation … 49</w:t>
      </w:r>
      <w:r>
        <w:t xml:space="preserve"> </w:t>
      </w:r>
      <w:r>
        <w:t xml:space="preserve">6.6. Policy option 2c: Extending third party conformity assessment and facilitation of</w:t>
      </w:r>
      <w:r>
        <w:t xml:space="preserve"> </w:t>
      </w:r>
      <w:r>
        <w:t xml:space="preserve">market surveillance through digitalisation ……………………………………………… 52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……………………………………………………………………………….. 53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</w:t>
      </w:r>
      <w:r>
        <w:t xml:space="preserve"> </w:t>
      </w:r>
      <w:r>
        <w:t xml:space="preserve">EN</w:t>
      </w:r>
      <w:r>
        <w:t xml:space="preserve"> </w:t>
      </w:r>
      <w:r>
        <w:t xml:space="preserve">7.1. Effectiveness of the proposed policy options ………………………………………….. 53</w:t>
      </w:r>
      <w:r>
        <w:t xml:space="preserve"> </w:t>
      </w:r>
      <w:r>
        <w:t xml:space="preserve">7.2. Impacts of policy options …………………………………………………………………….. 55</w:t>
      </w:r>
      <w:r>
        <w:t xml:space="preserve"> </w:t>
      </w:r>
      <w:r>
        <w:t xml:space="preserve">7.3. Summary of policy options assessment ………………………………………………….. 57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………………………………………………………………………………………………………. 58</w:t>
      </w:r>
      <w:r>
        <w:t xml:space="preserve"> </w:t>
      </w:r>
      <w:r>
        <w:t xml:space="preserve">8.1. Legal instrument: converting the Directive into a Regulation …………………… 60</w:t>
      </w:r>
      <w:r>
        <w:t xml:space="preserve"> </w:t>
      </w:r>
      <w:r>
        <w:t xml:space="preserve">8.2. REFIT (simplification and improved efficiency) …………………………………….. 60</w:t>
      </w:r>
      <w:r>
        <w:t xml:space="preserve"> </w:t>
      </w:r>
      <w:r>
        <w:t xml:space="preserve">8.3. Application of the ‘one in, one out’ approach …………………………………………. 61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……………………………. 61</w:t>
      </w:r>
      <w:r>
        <w:t xml:space="preserve"> </w:t>
      </w:r>
      <w:r>
        <w:t xml:space="preserve">ANNEXES…………………………………………………………………………………………………………………………………. 63</w:t>
      </w:r>
      <w:r>
        <w:t xml:space="preserve"> </w:t>
      </w:r>
      <w:r>
        <w:t xml:space="preserve">ANNEX 1: PROCEDURAL INFORMATION ……………………………………………………………………………….. 63</w:t>
      </w:r>
      <w:r>
        <w:t xml:space="preserve"> </w:t>
      </w:r>
      <w:r>
        <w:t xml:space="preserve">ANNEX 2: STAKEHOLDER CONSULTATION (SYNOPSIS REPORT) ………………………………………… 66</w:t>
      </w:r>
      <w:r>
        <w:t xml:space="preserve"> </w:t>
      </w:r>
      <w:r>
        <w:t xml:space="preserve">ANNEX 3: WHO IS AFFECTED AND HOW? ……………………………………………………………………………… 77</w:t>
      </w:r>
      <w:r>
        <w:t xml:space="preserve"> </w:t>
      </w:r>
      <w:r>
        <w:t xml:space="preserve">ANNEX 4: ANALYTICAL METHODS ……………………………………………………………………………………….. 81</w:t>
      </w:r>
      <w:r>
        <w:t xml:space="preserve"> </w:t>
      </w:r>
      <w:r>
        <w:t xml:space="preserve">ANNEX 5. SME TEST SUMMARY …………………………………………………………………………………………….. 93</w:t>
      </w:r>
      <w:r>
        <w:t xml:space="preserve"> </w:t>
      </w:r>
      <w:r>
        <w:t xml:space="preserve">ANNEX 6: LEGAL CONTEXT: MAIN PROVISIONS OF THE TOY SAFETY DIRECTIVE AND MARKET</w:t>
      </w:r>
      <w:r>
        <w:t xml:space="preserve"> </w:t>
      </w:r>
      <w:r>
        <w:t xml:space="preserve">SURVEILLANCE ……………………………………………………………………………………………………………… 95</w:t>
      </w:r>
      <w:r>
        <w:t xml:space="preserve"> </w:t>
      </w:r>
      <w:r>
        <w:t xml:space="preserve">ANNEX 7: TOYS MARKET ……………………………………………………………………………………………………… 109</w:t>
      </w:r>
      <w:r>
        <w:t xml:space="preserve"> </w:t>
      </w:r>
      <w:r>
        <w:t xml:space="preserve">ANNEX 8: CONCLUSIONS OF THE EVALUATION OF THE TSD…………………………………………….. 120</w:t>
      </w:r>
      <w:r>
        <w:t xml:space="preserve"> </w:t>
      </w:r>
      <w:r>
        <w:t xml:space="preserve">ANNEX 9: EU CHEMICALS LEGISLATION …………………………………………………………………………….. 125</w:t>
      </w:r>
      <w:r>
        <w:t xml:space="preserve"> </w:t>
      </w:r>
      <w:r>
        <w:t xml:space="preserve">ANNEX 10: THE MOST HARMFUL CHEMICALS CURRENTLY NOT ADDRESSED BY THE TSD132</w:t>
      </w:r>
      <w:r>
        <w:t xml:space="preserve"> </w:t>
      </w:r>
      <w:r>
        <w:t xml:space="preserve">ANNEX 11: NON-COMPLIANT TOYS ON THE UNION MARKET ……………………………………………. 152</w:t>
      </w:r>
      <w:r>
        <w:t xml:space="preserve"> </w:t>
      </w:r>
      <w:r>
        <w:t xml:space="preserve">ANNEX 12: DIGITAL ASPECTS AND INTERNET-CONNECTED TOYS …………………………………… 159</w:t>
      </w:r>
      <w:r>
        <w:t xml:space="preserve"> </w:t>
      </w:r>
      <w:r>
        <w:t xml:space="preserve">ANNEX 13: DIGITAL PRODUCT PASSPORT UNDER THE PROPOSAL FOR AN ECODESIGN FOR</w:t>
      </w:r>
      <w:r>
        <w:t xml:space="preserve"> </w:t>
      </w:r>
      <w:r>
        <w:t xml:space="preserve">SUSTAINABLE PRODUCTS REGULATION ……………………………………………………………………. 164</w:t>
      </w:r>
      <w:r>
        <w:t xml:space="preserve"> </w:t>
      </w:r>
      <w:r>
        <w:t xml:space="preserve">ANNEX 14: IMPACTS OF THE OPTIONS ………………………………………………………………………………… 165</w:t>
      </w:r>
      <w:r>
        <w:t xml:space="preserve"> </w:t>
      </w:r>
      <w:r>
        <w:t xml:space="preserve">ANNEX 15: BIBLIOGRAPHY …………………………………………………………………………………………………… 215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AI</w:t>
      </w:r>
      <w:r>
        <w:t xml:space="preserve"> </w:t>
      </w:r>
      <w:r>
        <w:t xml:space="preserve">Artificial Intelligence</w:t>
      </w:r>
      <w:r>
        <w:t xml:space="preserve"> </w:t>
      </w:r>
      <w:r>
        <w:t xml:space="preserve">AdCo</w:t>
      </w:r>
      <w:r>
        <w:t xml:space="preserve"> </w:t>
      </w:r>
      <w:r>
        <w:t xml:space="preserve">Administrative Cooperation</w:t>
      </w:r>
      <w:r>
        <w:t xml:space="preserve"> </w:t>
      </w:r>
      <w:r>
        <w:t xml:space="preserve">CASP</w:t>
      </w:r>
      <w:r>
        <w:t xml:space="preserve"> </w:t>
      </w:r>
      <w:r>
        <w:t xml:space="preserve">Coordinated Actions on the Safety of Products</w:t>
      </w:r>
      <w:r>
        <w:t xml:space="preserve"> </w:t>
      </w:r>
      <w:r>
        <w:t xml:space="preserve">CE</w:t>
      </w:r>
      <w:r>
        <w:t xml:space="preserve"> </w:t>
      </w:r>
      <w:r>
        <w:t xml:space="preserve">European conformity marking</w:t>
      </w:r>
      <w:r>
        <w:t xml:space="preserve"> </w:t>
      </w:r>
      <w:r>
        <w:t xml:space="preserve">CEN</w:t>
      </w:r>
      <w:r>
        <w:t xml:space="preserve"> </w:t>
      </w:r>
      <w:r>
        <w:t xml:space="preserve">European Committee for Standardization</w:t>
      </w:r>
      <w:r>
        <w:t xml:space="preserve"> </w:t>
      </w:r>
      <w:r>
        <w:t xml:space="preserve">CENELEC</w:t>
      </w:r>
      <w:r>
        <w:t xml:space="preserve"> </w:t>
      </w:r>
      <w:r>
        <w:t xml:space="preserve">European</w:t>
      </w:r>
      <w:r>
        <w:t xml:space="preserve"> </w:t>
      </w:r>
      <w:r>
        <w:t xml:space="preserve">Committee</w:t>
      </w:r>
      <w:r>
        <w:t xml:space="preserve"> </w:t>
      </w:r>
      <w:r>
        <w:t xml:space="preserve">for</w:t>
      </w:r>
      <w:r>
        <w:t xml:space="preserve"> </w:t>
      </w:r>
      <w:r>
        <w:t xml:space="preserve">Electrotechnical</w:t>
      </w:r>
      <w:r>
        <w:t xml:space="preserve"> </w:t>
      </w:r>
      <w:r>
        <w:t xml:space="preserve">Standardization</w:t>
      </w:r>
      <w:r>
        <w:t xml:space="preserve"> </w:t>
      </w:r>
      <w:r>
        <w:t xml:space="preserve">CLP</w:t>
      </w:r>
      <w:r>
        <w:t xml:space="preserve"> </w:t>
      </w:r>
      <w:r>
        <w:t xml:space="preserve">Classification, Labelling and Packaging</w:t>
      </w:r>
      <w:r>
        <w:t xml:space="preserve"> </w:t>
      </w:r>
      <w:r>
        <w:t xml:space="preserve">CLP Regulation</w:t>
      </w:r>
      <w:r>
        <w:t xml:space="preserve"> </w:t>
      </w:r>
      <w:r>
        <w:t xml:space="preserve">Regulation (EC) No 1272/2008 of the European</w:t>
      </w:r>
      <w:r>
        <w:t xml:space="preserve"> </w:t>
      </w:r>
      <w:r>
        <w:t xml:space="preserve">Parliament and of the Council of 16 December 2008 on</w:t>
      </w:r>
      <w:r>
        <w:t xml:space="preserve"> </w:t>
      </w:r>
      <w:r>
        <w:t xml:space="preserve">classification, labelling and packaging of substances and</w:t>
      </w:r>
      <w:r>
        <w:t xml:space="preserve"> </w:t>
      </w:r>
      <w:r>
        <w:t xml:space="preserve">mixtures, amending and repealing Directives 67/548/EEC</w:t>
      </w:r>
      <w:r>
        <w:t xml:space="preserve"> </w:t>
      </w:r>
      <w:r>
        <w:t xml:space="preserve">and 1999/45/EC, and amending Regulation (EC) No</w:t>
      </w:r>
      <w:r>
        <w:t xml:space="preserve"> </w:t>
      </w:r>
      <w:r>
        <w:t xml:space="preserve">1907/2006.</w:t>
      </w:r>
      <w:r>
        <w:t xml:space="preserve"> </w:t>
      </w:r>
      <w:r>
        <w:t xml:space="preserve">CMR</w:t>
      </w:r>
      <w:r>
        <w:t xml:space="preserve"> </w:t>
      </w:r>
      <w:r>
        <w:t xml:space="preserve">Carcinogenic, Mutagenic or toxic for Reproduction</w:t>
      </w:r>
      <w:r>
        <w:t xml:space="preserve"> </w:t>
      </w:r>
      <w:r>
        <w:t xml:space="preserve">CSS</w:t>
      </w:r>
      <w:r>
        <w:t xml:space="preserve"> </w:t>
      </w:r>
      <w:r>
        <w:t xml:space="preserve">Chemicals Strategy for Sustainability</w:t>
      </w:r>
      <w:r>
        <w:t xml:space="preserve"> </w:t>
      </w:r>
      <w:r>
        <w:t xml:space="preserve">DoC</w:t>
      </w:r>
      <w:r>
        <w:t xml:space="preserve"> </w:t>
      </w:r>
      <w:r>
        <w:t xml:space="preserve">Declaration of Conformity</w:t>
      </w:r>
      <w:r>
        <w:t xml:space="preserve"> </w:t>
      </w:r>
      <w:r>
        <w:t xml:space="preserve">DPP</w:t>
      </w:r>
      <w:r>
        <w:t xml:space="preserve"> </w:t>
      </w:r>
      <w:r>
        <w:t xml:space="preserve">Digital Product Passport</w:t>
      </w:r>
      <w:r>
        <w:t xml:space="preserve"> </w:t>
      </w:r>
      <w:r>
        <w:t xml:space="preserve">EC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ED</w:t>
      </w:r>
      <w:r>
        <w:t xml:space="preserve"> </w:t>
      </w:r>
      <w:r>
        <w:t xml:space="preserve">Endocrine Disruptors</w:t>
      </w:r>
      <w:r>
        <w:t xml:space="preserve"> </w:t>
      </w:r>
      <w:r>
        <w:t xml:space="preserve">EN</w:t>
      </w:r>
      <w:r>
        <w:t xml:space="preserve"> </w:t>
      </w:r>
      <w:r>
        <w:t xml:space="preserve">European Standard</w:t>
      </w:r>
      <w:r>
        <w:t xml:space="preserve"> </w:t>
      </w:r>
      <w:r>
        <w:t xml:space="preserve">ESO(s)</w:t>
      </w:r>
      <w:r>
        <w:t xml:space="preserve"> </w:t>
      </w:r>
      <w:r>
        <w:t xml:space="preserve">European Standardisation Organisation(s)</w:t>
      </w:r>
      <w:r>
        <w:t xml:space="preserve"> </w:t>
      </w:r>
      <w:r>
        <w:t xml:space="preserve">ESPR</w:t>
      </w:r>
      <w:r>
        <w:t xml:space="preserve"> </w:t>
      </w:r>
      <w:r>
        <w:t xml:space="preserve">Proposal for an Ecodesign for Sustainable Products</w:t>
      </w:r>
      <w:r>
        <w:t xml:space="preserve"> </w:t>
      </w:r>
      <w:r>
        <w:t xml:space="preserve">Regulation</w:t>
      </w:r>
      <w:r>
        <w:t xml:space="preserve"> </w:t>
      </w:r>
      <w:r>
        <w:t xml:space="preserve">ETSI</w:t>
      </w:r>
      <w:r>
        <w:t xml:space="preserve"> </w:t>
      </w:r>
      <w:r>
        <w:t xml:space="preserve">European Telecommunications Standards Institute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</w:t>
      </w:r>
      <w:r>
        <w:t xml:space="preserve"> </w:t>
      </w:r>
      <w:r>
        <w:t xml:space="preserve">EN</w:t>
      </w:r>
      <w:r>
        <w:t xml:space="preserve"> </w:t>
      </w:r>
      <w:r>
        <w:t xml:space="preserve">EU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GPSD</w:t>
      </w:r>
      <w:r>
        <w:t xml:space="preserve"> </w:t>
      </w:r>
      <w:r>
        <w:t xml:space="preserve">General Product Safety Directive</w:t>
      </w:r>
      <w:r>
        <w:t xml:space="preserve"> </w:t>
      </w:r>
      <w:r>
        <w:t xml:space="preserve">IA</w:t>
      </w:r>
      <w:r>
        <w:t xml:space="preserve"> </w:t>
      </w:r>
      <w:r>
        <w:t xml:space="preserve">Impact Assessment</w:t>
      </w:r>
      <w:r>
        <w:t xml:space="preserve"> </w:t>
      </w:r>
      <w:r>
        <w:t xml:space="preserve">IoT</w:t>
      </w:r>
      <w:r>
        <w:t xml:space="preserve"> </w:t>
      </w:r>
      <w:r>
        <w:t xml:space="preserve">Internet of Things</w:t>
      </w:r>
      <w:r>
        <w:t xml:space="preserve"> </w:t>
      </w:r>
      <w:r>
        <w:t xml:space="preserve">IDB</w:t>
      </w:r>
      <w:r>
        <w:t xml:space="preserve"> </w:t>
      </w:r>
      <w:r>
        <w:t xml:space="preserve">European Injuries Database</w:t>
      </w:r>
      <w:r>
        <w:t xml:space="preserve"> </w:t>
      </w:r>
      <w:r>
        <w:t xml:space="preserve">MS</w:t>
      </w:r>
      <w:r>
        <w:t xml:space="preserve"> </w:t>
      </w:r>
      <w:r>
        <w:t xml:space="preserve">Member State(s)</w:t>
      </w:r>
      <w:r>
        <w:t xml:space="preserve"> </w:t>
      </w:r>
      <w:r>
        <w:t xml:space="preserve">MSA</w:t>
      </w:r>
      <w:r>
        <w:t xml:space="preserve"> </w:t>
      </w:r>
      <w:r>
        <w:t xml:space="preserve">Market Surveillance Authority(ies)</w:t>
      </w:r>
      <w:r>
        <w:t xml:space="preserve"> </w:t>
      </w:r>
      <w:r>
        <w:t xml:space="preserve">NB</w:t>
      </w:r>
      <w:r>
        <w:t xml:space="preserve"> </w:t>
      </w:r>
      <w:r>
        <w:t xml:space="preserve">Notified Body(ies)</w:t>
      </w:r>
      <w:r>
        <w:t xml:space="preserve"> </w:t>
      </w:r>
      <w:r>
        <w:t xml:space="preserve">OJEU</w:t>
      </w:r>
      <w:r>
        <w:t xml:space="preserve"> </w:t>
      </w:r>
      <w:r>
        <w:t xml:space="preserve">Official Journal of the EU</w:t>
      </w:r>
      <w:r>
        <w:t xml:space="preserve"> </w:t>
      </w:r>
      <w:r>
        <w:t xml:space="preserve">PBTs and vPvBs</w:t>
      </w:r>
      <w:r>
        <w:t xml:space="preserve"> </w:t>
      </w:r>
      <w:r>
        <w:t xml:space="preserve">persistent, bioaccumulative and toxic substances, and</w:t>
      </w:r>
      <w:r>
        <w:t xml:space="preserve"> </w:t>
      </w:r>
      <w:r>
        <w:t xml:space="preserve">very persistent and very bioaccumulative substances</w:t>
      </w:r>
      <w:r>
        <w:t xml:space="preserve"> </w:t>
      </w:r>
      <w:r>
        <w:t xml:space="preserve">PROSAFE</w:t>
      </w:r>
      <w:r>
        <w:t xml:space="preserve"> </w:t>
      </w:r>
      <w:r>
        <w:t xml:space="preserve">Product Safety Forum of Europe</w:t>
      </w:r>
      <w:r>
        <w:t xml:space="preserve"> </w:t>
      </w:r>
      <w:r>
        <w:t xml:space="preserve">RAPEX</w:t>
      </w:r>
      <w:r>
        <w:t xml:space="preserve"> </w:t>
      </w:r>
      <w:r>
        <w:t xml:space="preserve">EU Rapid Exchange System for dangerous non-food</w:t>
      </w:r>
      <w:r>
        <w:t xml:space="preserve"> </w:t>
      </w:r>
      <w:r>
        <w:t xml:space="preserve">products</w:t>
      </w:r>
      <w:r>
        <w:t xml:space="preserve"> </w:t>
      </w:r>
      <w:r>
        <w:t xml:space="preserve">REACH</w:t>
      </w:r>
      <w:r>
        <w:t xml:space="preserve"> </w:t>
      </w:r>
      <w:r>
        <w:t xml:space="preserve">Registration, Evaluation, Authorisation and Restriction of</w:t>
      </w:r>
      <w:r>
        <w:t xml:space="preserve"> </w:t>
      </w:r>
      <w:r>
        <w:t xml:space="preserve">Chemicals</w:t>
      </w:r>
      <w:r>
        <w:t xml:space="preserve"> </w:t>
      </w:r>
      <w:r>
        <w:t xml:space="preserve">RED</w:t>
      </w:r>
      <w:r>
        <w:t xml:space="preserve"> </w:t>
      </w:r>
      <w:r>
        <w:t xml:space="preserve">Radio Equipment Directive</w:t>
      </w:r>
      <w:r>
        <w:t xml:space="preserve"> </w:t>
      </w:r>
      <w:r>
        <w:t xml:space="preserve">RoHS</w:t>
      </w:r>
      <w:r>
        <w:t xml:space="preserve"> </w:t>
      </w:r>
      <w:r>
        <w:t xml:space="preserve">Restriction of Hazardous Substances</w:t>
      </w:r>
      <w:r>
        <w:t xml:space="preserve"> </w:t>
      </w:r>
      <w:r>
        <w:t xml:space="preserve">RPS</w:t>
      </w:r>
      <w:r>
        <w:br/>
      </w:r>
      <w:r>
        <w:t xml:space="preserve">Regulatory Procedure with Scrutiny</w:t>
      </w:r>
      <w:r>
        <w:t xml:space="preserve"> </w:t>
      </w:r>
      <w:r>
        <w:t xml:space="preserve">SCCS</w:t>
      </w:r>
      <w:r>
        <w:t xml:space="preserve"> </w:t>
      </w:r>
      <w:r>
        <w:t xml:space="preserve">Scientific Committee on Consumer Safety</w:t>
      </w:r>
      <w:r>
        <w:t xml:space="preserve"> </w:t>
      </w:r>
      <w:r>
        <w:t xml:space="preserve">SCHEER</w:t>
      </w:r>
      <w:r>
        <w:t xml:space="preserve"> </w:t>
      </w:r>
      <w:r>
        <w:t xml:space="preserve">Scientific Committee on Health, Environmental and</w:t>
      </w:r>
      <w:r>
        <w:t xml:space="preserve"> </w:t>
      </w:r>
      <w:r>
        <w:t xml:space="preserve">Emerging Risks</w:t>
      </w:r>
      <w:r>
        <w:t xml:space="preserve"> </w:t>
      </w:r>
      <w:r>
        <w:t xml:space="preserve">SME(s)</w:t>
      </w:r>
      <w:r>
        <w:t xml:space="preserve"> </w:t>
      </w:r>
      <w:r>
        <w:t xml:space="preserve">Small- and Medium-sized Enterprise(s)</w:t>
      </w:r>
      <w:r>
        <w:t xml:space="preserve"> </w:t>
      </w:r>
      <w:r>
        <w:t xml:space="preserve">TIE</w:t>
      </w:r>
      <w:r>
        <w:t xml:space="preserve"> </w:t>
      </w:r>
      <w:r>
        <w:t xml:space="preserve">Toy Industries of Europe</w:t>
      </w:r>
      <w:r>
        <w:t xml:space="preserve"> </w:t>
      </w:r>
      <w:r>
        <w:t xml:space="preserve">TSD</w:t>
      </w:r>
      <w:r>
        <w:t xml:space="preserve"> </w:t>
      </w:r>
      <w:r>
        <w:t xml:space="preserve">Toy Safety Directive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</w:t>
      </w:r>
      <w:r>
        <w:t xml:space="preserve"> </w:t>
      </w:r>
      <w:r>
        <w:t xml:space="preserve">EN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</w:t>
      </w:r>
      <w:r>
        <w:t xml:space="preserve"> </w:t>
      </w:r>
      <w:r>
        <w:t xml:space="preserve">Play is an essential part of growing up: children discover the world and develop their capabilities</w:t>
      </w:r>
      <w:r>
        <w:t xml:space="preserve"> </w:t>
      </w:r>
      <w:r>
        <w:t xml:space="preserve">through play. However, toys have to be safe for children. They are regulated by Directive 2009/48/EC</w:t>
      </w:r>
      <w:r>
        <w:t xml:space="preserve"> </w:t>
      </w:r>
      <w:r>
        <w:t xml:space="preserve">on the safety of toys (the Toy Safety Directive, TSD)1. This Directive lays down the safety</w:t>
      </w:r>
      <w:r>
        <w:t xml:space="preserve"> </w:t>
      </w:r>
      <w:r>
        <w:t xml:space="preserve">requirements that toys must meet in order to be placed on the market in the EU, whether they are</w:t>
      </w:r>
      <w:r>
        <w:t xml:space="preserve"> </w:t>
      </w:r>
      <w:r>
        <w:t xml:space="preserve">manufactured in the EU or in third countries. At the same time, the Directive aims at ensuring the</w:t>
      </w:r>
      <w:r>
        <w:t xml:space="preserve"> </w:t>
      </w:r>
      <w:r>
        <w:t xml:space="preserve">free movement of toys within the Single Market.</w:t>
      </w:r>
      <w:r>
        <w:br/>
      </w:r>
      <w:r>
        <w:t xml:space="preserve">The Commission Evaluation of the Toy Safety Directive2 (the Evaluation) identified a number of</w:t>
      </w:r>
      <w:r>
        <w:t xml:space="preserve"> </w:t>
      </w:r>
      <w:r>
        <w:t xml:space="preserve">deficiencies that have emerged during the practical application of the TSD since its adoption in 2009.</w:t>
      </w:r>
      <w:r>
        <w:t xml:space="preserve"> </w:t>
      </w:r>
      <w:r>
        <w:t xml:space="preserve">In particular, the Evaluation identified certain shortcomings in ensuring a high level of protection of</w:t>
      </w:r>
      <w:r>
        <w:t xml:space="preserve"> </w:t>
      </w:r>
      <w:r>
        <w:t xml:space="preserve">children from possible risks in toys, in particular from risks posed by harmful chemicals. The</w:t>
      </w:r>
      <w:r>
        <w:t xml:space="preserve"> </w:t>
      </w:r>
      <w:r>
        <w:t xml:space="preserve">Evaluation also concluded that the enforcement of the Directive lacked effectiveness, in particular in</w:t>
      </w:r>
      <w:r>
        <w:t xml:space="preserve"> </w:t>
      </w:r>
      <w:r>
        <w:t xml:space="preserve">the context of online sales, and there remain a high number of unsafe toys on the Union market3.</w:t>
      </w:r>
      <w:r>
        <w:t xml:space="preserve"> </w:t>
      </w:r>
      <w:r>
        <w:t xml:space="preserve">The Chemicals Strategy for Sustainability4 (the CSS) called for extending the generic approach</w:t>
      </w:r>
      <w:r>
        <w:t xml:space="preserve"> </w:t>
      </w:r>
      <w:r>
        <w:t xml:space="preserve">towards harmful chemicals (based on generic preventive bans) to ensure that consumers, vulnerable</w:t>
      </w:r>
      <w:r>
        <w:t xml:space="preserve"> </w:t>
      </w:r>
      <w:r>
        <w:t xml:space="preserve">groups and the natural environment are more consistently protected. In particular, the CSS aimed at</w:t>
      </w:r>
      <w:r>
        <w:t xml:space="preserve"> </w:t>
      </w:r>
      <w:r>
        <w:t xml:space="preserve">strengthening the TSD with regard to the protection from the risks of the most harmful chemicals and</w:t>
      </w:r>
      <w:r>
        <w:t xml:space="preserve"> </w:t>
      </w:r>
      <w:r>
        <w:t xml:space="preserve">with regard to possible combination effects of chemicals. Although the Directive already prohibits</w:t>
      </w:r>
      <w:r>
        <w:t xml:space="preserve"> </w:t>
      </w:r>
      <w:r>
        <w:t xml:space="preserve">generally substances that are carcinogenic, mutagenic or toxic for reproduction (CMRs) in toys, it</w:t>
      </w:r>
      <w:r>
        <w:t xml:space="preserve"> </w:t>
      </w:r>
      <w:r>
        <w:t xml:space="preserve">does not refer to other substances of particular concern such as endocrine disruptors, substances</w:t>
      </w:r>
      <w:r>
        <w:t xml:space="preserve"> </w:t>
      </w:r>
      <w:r>
        <w:t xml:space="preserve">affecting the immune, neurological or respiratory systems or substances toxic to a specific organ.</w:t>
      </w:r>
      <w:r>
        <w:br/>
      </w:r>
      <w:r>
        <w:t xml:space="preserve">Finally, on 16 February 2022 the European Parliament adopted almost unanimously an own initiative</w:t>
      </w:r>
      <w:r>
        <w:t xml:space="preserve"> </w:t>
      </w:r>
      <w:r>
        <w:t xml:space="preserve">report on the implementation of the Toy Safety Directive5. In its report, the European Parliament</w:t>
      </w:r>
      <w:r>
        <w:t xml:space="preserve"> </w:t>
      </w:r>
      <w:r>
        <w:t xml:space="preserve">calls on the Commission to revise the Directive to strengthen the protection of children from chemical</w:t>
      </w:r>
      <w:r>
        <w:t xml:space="preserve"> </w:t>
      </w:r>
      <w:r>
        <w:t xml:space="preserve">risks, ensure that risks posed by connected toys are addressed by EU law and improve enforcement</w:t>
      </w:r>
      <w:r>
        <w:t xml:space="preserve"> </w:t>
      </w:r>
      <w:r>
        <w:t xml:space="preserve">of the Directive in particular in relation to online sales.</w:t>
      </w:r>
      <w:r>
        <w:br/>
      </w:r>
      <w:r>
        <w:t xml:space="preserve">Given the objectives of this initiative of better protecting children from harmful chemicals, as well</w:t>
      </w:r>
      <w:r>
        <w:t xml:space="preserve"> </w:t>
      </w:r>
      <w:r>
        <w:t xml:space="preserve">as reducing the number of unsafe toys on the Union market, it is expected to contribute most</w:t>
      </w:r>
      <w:r>
        <w:t xml:space="preserve"> </w:t>
      </w:r>
      <w:r>
        <w:t xml:space="preserve">significantly to the United Nations Sustainable Development Goal (SDG) #3 for good health and</w:t>
      </w:r>
      <w:r>
        <w:t xml:space="preserve"> </w:t>
      </w:r>
      <w:r>
        <w:t xml:space="preserve">well-being. In addition, it will contribute to SDG#9: industry, innovation and infrastructure, SDG</w:t>
      </w:r>
      <w:r>
        <w:t xml:space="preserve"> </w:t>
      </w:r>
      <w:r>
        <w:t xml:space="preserve">#12: responsible production and consumption and SDG#6: clean water and sanitation.</w:t>
      </w:r>
      <w:r>
        <w:t xml:space="preserve"> </w:t>
      </w:r>
      <w:r>
        <w:t xml:space="preserve">1.1.</w:t>
      </w:r>
      <w:r>
        <w:t xml:space="preserve"> </w:t>
      </w:r>
      <w:r>
        <w:t xml:space="preserve">Regulatory context: the Toy Safety Directive</w:t>
      </w:r>
      <w:r>
        <w:t xml:space="preserve"> </w:t>
      </w:r>
      <w:r>
        <w:t xml:space="preserve">The TSD is an EU product harmonisation measure which has the twofold objective (1) to maintain a</w:t>
      </w:r>
      <w:r>
        <w:t xml:space="preserve"> </w:t>
      </w:r>
      <w:r>
        <w:t xml:space="preserve">high level of safety for children and protection against possible health threats from toys, while (2)</w:t>
      </w:r>
      <w:r>
        <w:t xml:space="preserve"> </w:t>
      </w:r>
      <w:r>
        <w:t xml:space="preserve">allowing the free movement of toys in the internal market.</w:t>
      </w:r>
      <w:r>
        <w:t xml:space="preserve"> </w:t>
      </w:r>
      <w:r>
        <w:t xml:space="preserve">The scope of the Toy Safety Directive covers all ‘products designed or intended, whether or not</w:t>
      </w:r>
      <w:r>
        <w:t xml:space="preserve"> </w:t>
      </w:r>
      <w:r>
        <w:t xml:space="preserve">exclusively, for use in play by children under 14 years of age’.6 The Directive explicitly excludes</w:t>
      </w:r>
    </w:p>
    <w:p>
      <w:pPr>
        <w:pStyle w:val="BodyText"/>
      </w:pPr>
      <w:r>
        <w:t xml:space="preserve">1 Directive 2009/48/EC of the European Parliament and of the Council of 18 June 2009 on the safety of toys, OJ L 170,</w:t>
      </w:r>
      <w:r>
        <w:t xml:space="preserve"> </w:t>
      </w:r>
      <w:r>
        <w:t xml:space="preserve">30.6.2009</w:t>
      </w:r>
      <w:r>
        <w:t xml:space="preserve"> </w:t>
      </w:r>
      <w:r>
        <w:t xml:space="preserve">2 https://ec.europa.eu/info/law/better-regulation/have-your-say/initiatives/1852-Evaluation-of-the-Toy-Safety-Directive</w:t>
      </w:r>
      <w:r>
        <w:t xml:space="preserve"> </w:t>
      </w:r>
      <w:r>
        <w:t xml:space="preserve">3 See annex 8 for an overview of the conclusions of the Evaluation.</w:t>
      </w:r>
      <w:r>
        <w:t xml:space="preserve"> </w:t>
      </w:r>
      <w:r>
        <w:t xml:space="preserve">4</w:t>
      </w:r>
      <w:r>
        <w:t xml:space="preserve"> </w:t>
      </w:r>
      <w:r>
        <w:t xml:space="preserve">https://ec.europa.eu/knowledge4policy/publication/communication-com2020667-chemicals-strategy-sustainability-</w:t>
      </w:r>
      <w:r>
        <w:t xml:space="preserve"> </w:t>
      </w:r>
      <w:r>
        <w:t xml:space="preserve">towards-toxic-free_en</w:t>
      </w:r>
      <w:r>
        <w:t xml:space="preserve"> </w:t>
      </w:r>
      <w:r>
        <w:t xml:space="preserve">5 https://www.europarl.europa.eu/doceo/document/A-9-2021-0349_EN.html</w:t>
      </w:r>
      <w:r>
        <w:t xml:space="preserve"> </w:t>
      </w:r>
      <w:r>
        <w:t xml:space="preserve">6 Article 2.1 of the Toy Safety Directive.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</w:t>
      </w:r>
      <w:r>
        <w:t xml:space="preserve"> </w:t>
      </w:r>
      <w:r>
        <w:t xml:space="preserve">EN</w:t>
      </w:r>
      <w:r>
        <w:t xml:space="preserve"> </w:t>
      </w:r>
      <w:r>
        <w:t xml:space="preserve">certain products from its scope7. Moreover, Annex I to the TSD enumerates examples of products</w:t>
      </w:r>
      <w:r>
        <w:t xml:space="preserve"> </w:t>
      </w:r>
      <w:r>
        <w:t xml:space="preserve">that are not considered to be toys but could be confused with toys8. In this Annex, the Directive</w:t>
      </w:r>
      <w:r>
        <w:t xml:space="preserve"> </w:t>
      </w:r>
      <w:r>
        <w:t xml:space="preserve">excludes from its scope “electronic equipment, such as personal computers and game consoles, used</w:t>
      </w:r>
      <w:r>
        <w:t xml:space="preserve"> </w:t>
      </w:r>
      <w:r>
        <w:t xml:space="preserve">to access interactive software and their associated peripherals…” and “interactive software, intended</w:t>
      </w:r>
      <w:r>
        <w:t xml:space="preserve"> </w:t>
      </w:r>
      <w:r>
        <w:t xml:space="preserve">for leisure and entertainment, such as computer games, and their storage media, such as CDs”.</w:t>
      </w:r>
      <w:r>
        <w:t xml:space="preserve"> </w:t>
      </w:r>
      <w:r>
        <w:t xml:space="preserve">Therefore, whilst a physical toy which has play value and incorporates software would be</w:t>
      </w:r>
      <w:r>
        <w:t xml:space="preserve"> </w:t>
      </w:r>
      <w:r>
        <w:t xml:space="preserve">considered a toy within the scope of the Directive (for example, a talking doll or animal), a</w:t>
      </w:r>
      <w:r>
        <w:t xml:space="preserve"> </w:t>
      </w:r>
      <w:r>
        <w:t xml:space="preserve">videogame or other similar software would not.</w:t>
      </w:r>
      <w:r>
        <w:t xml:space="preserve"> </w:t>
      </w:r>
      <w:r>
        <w:t xml:space="preserve">The TSD lays down the safety criteria (‘essential safety requirements’) that toys must meet to be</w:t>
      </w:r>
      <w:r>
        <w:t xml:space="preserve"> </w:t>
      </w:r>
      <w:r>
        <w:t xml:space="preserve">marketed in the EU. The essential safety requirements are designed to ensure a high level of safety;</w:t>
      </w:r>
      <w:r>
        <w:t xml:space="preserve"> </w:t>
      </w:r>
      <w:r>
        <w:t xml:space="preserve">they cover identified hazards related to the characteristics of the toy or to its performance.9 Essential</w:t>
      </w:r>
      <w:r>
        <w:t xml:space="preserve"> </w:t>
      </w:r>
      <w:r>
        <w:t xml:space="preserve">requirements are supported by harmonised standards, which set out the technical specifications to</w:t>
      </w:r>
      <w:r>
        <w:t xml:space="preserve"> </w:t>
      </w:r>
      <w:r>
        <w:t xml:space="preserve">comply with the essential requirements and once referenced in the Official Journal of the EU, provide</w:t>
      </w:r>
      <w:r>
        <w:t xml:space="preserve"> </w:t>
      </w:r>
      <w:r>
        <w:t xml:space="preserve">presumption of conformity with the essential requirements they aim to cover.</w:t>
      </w:r>
      <w:r>
        <w:t xml:space="preserve"> </w:t>
      </w:r>
      <w:r>
        <w:t xml:space="preserve">The essential safety requirements in the Toy Safety Directive cover:</w:t>
      </w:r>
      <w:r>
        <w:t xml:space="preserve"> </w:t>
      </w:r>
      <w:r>
        <w:t xml:space="preserve"> general risks: the health and safety of children, as well as other people such as parents or</w:t>
      </w:r>
      <w:r>
        <w:t xml:space="preserve"> </w:t>
      </w:r>
      <w:r>
        <w:t xml:space="preserve">supervisors;</w:t>
      </w:r>
      <w:r>
        <w:t xml:space="preserve"> </w:t>
      </w:r>
      <w:r>
        <w:t xml:space="preserve"> particular risks: physical and mechanical, flammability, chemical, electrical, hygiene and</w:t>
      </w:r>
      <w:r>
        <w:t xml:space="preserve"> </w:t>
      </w:r>
      <w:r>
        <w:t xml:space="preserve">radioactivity risks. In particular, as regards chemical risks, there is (i) a general prohibition of</w:t>
      </w:r>
      <w:r>
        <w:t xml:space="preserve"> </w:t>
      </w:r>
      <w:r>
        <w:t xml:space="preserve">CMR substances subject to derogations, (ii) specific limit values for specific CMR substances</w:t>
      </w:r>
      <w:r>
        <w:t xml:space="preserve"> </w:t>
      </w:r>
      <w:r>
        <w:t xml:space="preserve">(nitrosamines and nitrosatable substances), as well as for 19 ‘elements’ in different toy materials,</w:t>
      </w:r>
      <w:r>
        <w:t xml:space="preserve"> </w:t>
      </w:r>
      <w:r>
        <w:t xml:space="preserve">(iii) prohibitions of certain allergenic fragrances and labelling requirements for others, and (iv)</w:t>
      </w:r>
      <w:r>
        <w:t xml:space="preserve"> </w:t>
      </w:r>
      <w:r>
        <w:t xml:space="preserve">specific limit values in toys for children under 36 months or to be put in the mouth.</w:t>
      </w:r>
    </w:p>
    <w:p>
      <w:pPr>
        <w:pStyle w:val="BodyText"/>
      </w:pPr>
      <w:r>
        <w:t xml:space="preserve">In order to keep pace with latest technical and scientific developments, the Commission can amend</w:t>
      </w:r>
      <w:r>
        <w:t xml:space="preserve"> </w:t>
      </w:r>
      <w:r>
        <w:t xml:space="preserve">certain parts of the TSD via the Regulatory Procedure with Scrutiny (RPS).10 The Commission may</w:t>
      </w:r>
      <w:r>
        <w:t xml:space="preserve"> </w:t>
      </w:r>
      <w:r>
        <w:t xml:space="preserve">adapt Annex I that lists examples of products that are not toys (but may be confused with them), the</w:t>
      </w:r>
      <w:r>
        <w:t xml:space="preserve"> </w:t>
      </w:r>
      <w:r>
        <w:t xml:space="preserve">list of prohibited allergenic fragrances and the list of allergenic fragrances to be labelled in Annex II.</w:t>
      </w:r>
      <w:r>
        <w:t xml:space="preserve"> </w:t>
      </w:r>
      <w:r>
        <w:t xml:space="preserve">It may adapt the limit values for heavy metals and other hazardous metals in Annex II, and the</w:t>
      </w:r>
      <w:r>
        <w:t xml:space="preserve"> </w:t>
      </w:r>
      <w:r>
        <w:t xml:space="preserve">warnings for toys in Annex V. In addition, the Commission may establish maximum limit values for</w:t>
      </w:r>
      <w:r>
        <w:t xml:space="preserve"> </w:t>
      </w:r>
      <w:r>
        <w:t xml:space="preserve">any chemical in toys intended for children under 36 months of age and in all toys intended to be</w:t>
      </w:r>
      <w:r>
        <w:t xml:space="preserve"> </w:t>
      </w:r>
      <w:r>
        <w:t xml:space="preserve">placed in the mouth, and it may also amend those limits (Appendix C to Annex II). Since its adoption</w:t>
      </w:r>
      <w:r>
        <w:t xml:space="preserve"> </w:t>
      </w:r>
      <w:r>
        <w:t xml:space="preserve">the TSD has thus been amended 17 times11. Finally, the Commission may allow the use of</w:t>
      </w:r>
      <w:r>
        <w:t xml:space="preserve"> </w:t>
      </w:r>
      <w:r>
        <w:t xml:space="preserve">chemicals that are carcinogenic, mutagenic or toxic to reproduction (CMRs), albeit only following a</w:t>
      </w:r>
      <w:r>
        <w:t xml:space="preserve"> </w:t>
      </w:r>
      <w:r>
        <w:t xml:space="preserve">strict scientific-technical assessment including an independent Scientific Committee.</w:t>
      </w:r>
      <w:r>
        <w:br/>
      </w:r>
      <w:r>
        <w:t xml:space="preserve">The TSD requires that conformity assessment is carried out to verify whether a toy complies with</w:t>
      </w:r>
      <w:r>
        <w:t xml:space="preserve"> </w:t>
      </w:r>
      <w:r>
        <w:t xml:space="preserve">the applicable essential requirements. It is to be carried out by the manufacturer or with the</w:t>
      </w:r>
      <w:r>
        <w:t xml:space="preserve"> </w:t>
      </w:r>
      <w:r>
        <w:t xml:space="preserve">intervention of a third party – a ‘Notified Body’ test laboratory that has been previously designated</w:t>
      </w:r>
      <w:r>
        <w:t xml:space="preserve"> </w:t>
      </w:r>
      <w:r>
        <w:t xml:space="preserve">at EU level for the purposes of such assessments under the TSD. The TSD requires the intervention</w:t>
      </w:r>
      <w:r>
        <w:t xml:space="preserve"> </w:t>
      </w:r>
      <w:r>
        <w:t xml:space="preserve">of a Notified Body only in certain cases, in particular when harmonised standards do not cover all</w:t>
      </w:r>
      <w:r>
        <w:t xml:space="preserve"> </w:t>
      </w:r>
      <w:r>
        <w:t xml:space="preserve">relevant safety requirements or when the toy manufacturer has not applied such harmonised</w:t>
      </w:r>
    </w:p>
    <w:p>
      <w:pPr>
        <w:pStyle w:val="BodyText"/>
      </w:pPr>
      <w:r>
        <w:t xml:space="preserve">7 For example, slings and catapults or playground equipment intended for public use (see article 2.2 of the TSD).</w:t>
      </w:r>
      <w:r>
        <w:t xml:space="preserve"> </w:t>
      </w:r>
      <w:r>
        <w:t xml:space="preserve">8 For example, decorative objects for festivities or celebrations, fashion accessories for children, or puzzles with more</w:t>
      </w:r>
      <w:r>
        <w:t xml:space="preserve"> </w:t>
      </w:r>
      <w:r>
        <w:t xml:space="preserve">than 500 pieces.</w:t>
      </w:r>
      <w:r>
        <w:t xml:space="preserve"> </w:t>
      </w:r>
      <w:r>
        <w:t xml:space="preserve">9 The ‘Blue Guide’ on the implementation of EU product rules, p. 32.</w:t>
      </w:r>
      <w:r>
        <w:br/>
      </w:r>
      <w:r>
        <w:t xml:space="preserve">https://ec.europa.eu/growth/content/%E2%80%98blue-guide%E2%80%99-implementation-eu-product-rules-0_en</w:t>
      </w:r>
      <w:r>
        <w:br/>
      </w:r>
      <w:r>
        <w:t xml:space="preserve">10 Article 46 of the Toy Safety Directive.</w:t>
      </w:r>
      <w:r>
        <w:t xml:space="preserve"> </w:t>
      </w:r>
      <w:r>
        <w:t xml:space="preserve">11 See annex 6 for the list of amendments to the TSD.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</w:t>
      </w:r>
      <w:r>
        <w:t xml:space="preserve"> </w:t>
      </w:r>
      <w:r>
        <w:t xml:space="preserve">EN</w:t>
      </w:r>
      <w:r>
        <w:t xml:space="preserve"> </w:t>
      </w:r>
      <w:r>
        <w:t xml:space="preserve">standards12. It is the manufacturer, whether established in the EU or outside the EU, who is</w:t>
      </w:r>
      <w:r>
        <w:t xml:space="preserve"> </w:t>
      </w:r>
      <w:r>
        <w:t xml:space="preserve">responsible for the compliance of the toy with the applicable requirements. When a toy is in</w:t>
      </w:r>
      <w:r>
        <w:t xml:space="preserve"> </w:t>
      </w:r>
      <w:r>
        <w:t xml:space="preserve">conformity with the applicable requirements, the manufacturer must affix the CE marking to it.</w:t>
      </w:r>
      <w:r>
        <w:br/>
      </w:r>
      <w:r>
        <w:t xml:space="preserve">Market surveillance to ensure compliance with the Toy Safety Directive is currently regulated by</w:t>
      </w:r>
      <w:r>
        <w:t xml:space="preserve"> </w:t>
      </w:r>
      <w:r>
        <w:t xml:space="preserve">Regulation 2019/102013. This Regulation replaced Regulation (EC) No 765/200814 and became fully</w:t>
      </w:r>
      <w:r>
        <w:t xml:space="preserve"> </w:t>
      </w:r>
      <w:r>
        <w:t xml:space="preserve">applicable on 16 July 2021. This Regulation requires that in order to place toys on the Union market,</w:t>
      </w:r>
      <w:r>
        <w:t xml:space="preserve"> </w:t>
      </w:r>
      <w:r>
        <w:t xml:space="preserve">there must be an economic operator established in the EU and responsible for a number of tasks set</w:t>
      </w:r>
      <w:r>
        <w:t xml:space="preserve"> </w:t>
      </w:r>
      <w:r>
        <w:t xml:space="preserve">out in that Regulation to facilitate market surveillance.</w:t>
      </w:r>
      <w:r>
        <w:t xml:space="preserve"> </w:t>
      </w:r>
      <w:r>
        <w:t xml:space="preserve">More details on the current legal provisions of the TSD can be found in Annex 6.</w:t>
      </w:r>
      <w:r>
        <w:t xml:space="preserve"> </w:t>
      </w:r>
      <w:r>
        <w:t xml:space="preserve">1.2.</w:t>
      </w:r>
      <w:r>
        <w:t xml:space="preserve"> </w:t>
      </w:r>
      <w:r>
        <w:t xml:space="preserve">Link with other initiatives</w:t>
      </w:r>
      <w:r>
        <w:t xml:space="preserve"> </w:t>
      </w:r>
      <w:r>
        <w:t xml:space="preserve">Revision of the CLP Regulation15 - Regulation (EC) No 1272/2008 on hazard classification,</w:t>
      </w:r>
      <w:r>
        <w:t xml:space="preserve"> </w:t>
      </w:r>
      <w:r>
        <w:t xml:space="preserve">labelling and packaging of chemicals (the CLP Regulation) is the core piece of Union legislation for</w:t>
      </w:r>
      <w:r>
        <w:t xml:space="preserve"> </w:t>
      </w:r>
      <w:r>
        <w:t xml:space="preserve">the hazard assessment of chemicals (human health, environment and physical hazards). It sets out the</w:t>
      </w:r>
      <w:r>
        <w:t xml:space="preserve"> </w:t>
      </w:r>
      <w:r>
        <w:t xml:space="preserve">hazard classification of chemicals and how to communicate those hazards to consumers and workers.</w:t>
      </w:r>
      <w:r>
        <w:t xml:space="preserve"> </w:t>
      </w:r>
      <w:r>
        <w:t xml:space="preserve">The CLP Regulation follows the United Nations’ Globally Harmonized System (GHS) of</w:t>
      </w:r>
      <w:r>
        <w:t xml:space="preserve"> </w:t>
      </w:r>
      <w:r>
        <w:t xml:space="preserve">classification and labelling of chemicals setting up criteria for classification and communication of</w:t>
      </w:r>
      <w:r>
        <w:t xml:space="preserve"> </w:t>
      </w:r>
      <w:r>
        <w:t xml:space="preserve">physicochemical, health, and environmental hazards. The CLP Regulation is currently under revision</w:t>
      </w:r>
      <w:r>
        <w:t xml:space="preserve"> </w:t>
      </w:r>
      <w:r>
        <w:t xml:space="preserve">and the introduction of new hazard classes (such as endocrine disruptors) is considered. Hazard</w:t>
      </w:r>
      <w:r>
        <w:t xml:space="preserve"> </w:t>
      </w:r>
      <w:r>
        <w:t xml:space="preserve">assessment is the starting point for risk-assessment and -management measures, which are in turn</w:t>
      </w:r>
      <w:r>
        <w:t xml:space="preserve"> </w:t>
      </w:r>
      <w:r>
        <w:t xml:space="preserve">provided for in downstream legislation, such as the Toy Safety Directive. This means the hazards</w:t>
      </w:r>
      <w:r>
        <w:t xml:space="preserve"> </w:t>
      </w:r>
      <w:r>
        <w:t xml:space="preserve">that chemicals present are established under the CLP Regulation: they may be carcinogenic, lead to</w:t>
      </w:r>
      <w:r>
        <w:t xml:space="preserve"> </w:t>
      </w:r>
      <w:r>
        <w:t xml:space="preserve">skin allergies or to irritation in the eyes for example, in certain of their forms. The decision of how</w:t>
      </w:r>
      <w:r>
        <w:t xml:space="preserve"> </w:t>
      </w:r>
      <w:r>
        <w:t xml:space="preserve">to address those hazardous substances in certain products are taken then in other legislation that apply</w:t>
      </w:r>
      <w:r>
        <w:t xml:space="preserve"> </w:t>
      </w:r>
      <w:r>
        <w:t xml:space="preserve">to the product. For example, the Toy Safety Directive already prohibits the use of substances which</w:t>
      </w:r>
      <w:r>
        <w:t xml:space="preserve"> </w:t>
      </w:r>
      <w:r>
        <w:t xml:space="preserve">are classified under the CLP Regulation as CMRs. Therefore, the future hazard classes to be</w:t>
      </w:r>
      <w:r>
        <w:t xml:space="preserve"> </w:t>
      </w:r>
      <w:r>
        <w:t xml:space="preserve">introduced in the CLP Regulation would be relevant for defining the regulatory consequences in</w:t>
      </w:r>
      <w:r>
        <w:t xml:space="preserve"> </w:t>
      </w:r>
      <w:r>
        <w:t xml:space="preserve">certain products, such as in the context of the current revision of the Toy Safety Directive. The</w:t>
      </w:r>
      <w:r>
        <w:t xml:space="preserve"> </w:t>
      </w:r>
      <w:r>
        <w:t xml:space="preserve">measures proposed under options 1b and 1c in this Impact Assessment are based on banning chemical</w:t>
      </w:r>
      <w:r>
        <w:t xml:space="preserve"> </w:t>
      </w:r>
      <w:r>
        <w:t xml:space="preserve">substances classified under certain hazard classes of the CLP Regulation. To fully implement the</w:t>
      </w:r>
      <w:r>
        <w:t xml:space="preserve"> </w:t>
      </w:r>
      <w:r>
        <w:t xml:space="preserve">generic bans of endocrine disrupting substances in a revision of the Toy Safety Directive (proposed</w:t>
      </w:r>
      <w:r>
        <w:t xml:space="preserve"> </w:t>
      </w:r>
      <w:r>
        <w:t xml:space="preserve">in options 1b and 1c), it is necessary that the CLP Regulation be amended to include the hazard class</w:t>
      </w:r>
      <w:r>
        <w:t xml:space="preserve"> </w:t>
      </w:r>
      <w:r>
        <w:t xml:space="preserve">for endocrine disrupting chemicals. This has been done in the recent Commission Delegated</w:t>
      </w:r>
      <w:r>
        <w:t xml:space="preserve"> </w:t>
      </w:r>
      <w:r>
        <w:t xml:space="preserve">Regulation (EU) 2023/70716. Any of the other hazard classes considered for generic bans under</w:t>
      </w:r>
      <w:r>
        <w:t xml:space="preserve"> </w:t>
      </w:r>
      <w:r>
        <w:t xml:space="preserve">options 1b and 1c already exist under the CLP Regulation and therefore do not require any change to</w:t>
      </w:r>
      <w:r>
        <w:t xml:space="preserve"> </w:t>
      </w:r>
      <w:r>
        <w:t xml:space="preserve">this Regulation.</w:t>
      </w:r>
    </w:p>
    <w:p>
      <w:pPr>
        <w:pStyle w:val="BodyText"/>
      </w:pPr>
      <w:r>
        <w:t xml:space="preserve">12 This procedure is also required when the harmonised standards have been published with a restriction that may change</w:t>
      </w:r>
      <w:r>
        <w:t xml:space="preserve"> </w:t>
      </w:r>
      <w:r>
        <w:t xml:space="preserve">or invalidate certain specification(s) in the standard referenced. The manufacturer may voluntarily have recourse to a</w:t>
      </w:r>
      <w:r>
        <w:t xml:space="preserve"> </w:t>
      </w:r>
      <w:r>
        <w:t xml:space="preserve">Notified Body for the conformity assessment.</w:t>
      </w:r>
      <w:r>
        <w:t xml:space="preserve"> </w:t>
      </w:r>
      <w:r>
        <w:t xml:space="preserve">13 Regulation (EU) 2019/1020 of the European Parliament and of the Council of 20 June 2019 on market surveillance</w:t>
      </w:r>
      <w:r>
        <w:t xml:space="preserve"> </w:t>
      </w:r>
      <w:r>
        <w:t xml:space="preserve">and compliance of products and amending Directive 2004/42/EC and Regulations (EC) No 765/2008 and (EU) No</w:t>
      </w:r>
      <w:r>
        <w:t xml:space="preserve"> </w:t>
      </w:r>
      <w:r>
        <w:t xml:space="preserve">305/2011, OJ L 169, 25.6.2019.</w:t>
      </w:r>
      <w:r>
        <w:t xml:space="preserve"> </w:t>
      </w:r>
      <w:r>
        <w:t xml:space="preserve">14 Regulation (EC) No 765/2008 of the European Parliament and of the Council of 9 July 2008 setting out the requirements</w:t>
      </w:r>
      <w:r>
        <w:t xml:space="preserve"> </w:t>
      </w:r>
      <w:r>
        <w:t xml:space="preserve">for accreditation and market surveillance relating to the marketing of products and repealing Regulation (EEC) No</w:t>
      </w:r>
      <w:r>
        <w:t xml:space="preserve"> </w:t>
      </w:r>
      <w:r>
        <w:t xml:space="preserve">339/93, OJ L 218, 13.8.2008, p. 30</w:t>
      </w:r>
      <w:r>
        <w:t xml:space="preserve"> </w:t>
      </w:r>
      <w:r>
        <w:t xml:space="preserve">15 Revision of EU legislation on hazard classification, labelling and packaging of chemicals (europa.eu)</w:t>
      </w:r>
      <w:r>
        <w:t xml:space="preserve"> </w:t>
      </w:r>
      <w:r>
        <w:t xml:space="preserve">16</w:t>
      </w:r>
      <w:r>
        <w:br/>
      </w:r>
      <w:r>
        <w:t xml:space="preserve">Commission Delegated Regulation (EU) 2023/707 of 19 December 2022 amending Regulation (EC) No</w:t>
      </w:r>
      <w:r>
        <w:t xml:space="preserve"> </w:t>
      </w:r>
      <w:r>
        <w:t xml:space="preserve">1272/2008 as regards hazard classes and criteria for the classification, labelling and packaging of substances and mixtures,</w:t>
      </w:r>
      <w:r>
        <w:br/>
      </w:r>
      <w:r>
        <w:t xml:space="preserve">OJ L 93, 31.3.2023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Figure 1: Mapping of the pieces of legislation according to the different steps of hazard and risk assessments17</w:t>
      </w:r>
      <w:r>
        <w:t xml:space="preserve"> </w:t>
      </w:r>
      <w:r>
        <w:t xml:space="preserve">Revision of the REACH Regulation18 - The REACH Regulation on Registration, Evaluation,</w:t>
      </w:r>
      <w:r>
        <w:t xml:space="preserve"> </w:t>
      </w:r>
      <w:r>
        <w:t xml:space="preserve">Authorisation and Restriction of Chemicals, together with the CLP Regulation, are the key Union</w:t>
      </w:r>
      <w:r>
        <w:t xml:space="preserve"> </w:t>
      </w:r>
      <w:r>
        <w:t xml:space="preserve">legislation for the assessment and management of chemicals. In accordance with the CSS, a targeted</w:t>
      </w:r>
      <w:r>
        <w:t xml:space="preserve"> </w:t>
      </w:r>
      <w:r>
        <w:t xml:space="preserve">revision of REACH will explore extending the generic risk approach to restrictions to most harmful</w:t>
      </w:r>
      <w:r>
        <w:t xml:space="preserve"> </w:t>
      </w:r>
      <w:r>
        <w:t xml:space="preserve">chemicals while allowing their use only when essential. In particular, criteria for essential uses will</w:t>
      </w:r>
      <w:r>
        <w:t xml:space="preserve"> </w:t>
      </w:r>
      <w:r>
        <w:t xml:space="preserve">be defined to ensure that the most harmful chemicals are only allowed if their use is necessary for</w:t>
      </w:r>
      <w:r>
        <w:t xml:space="preserve"> </w:t>
      </w:r>
      <w:r>
        <w:t xml:space="preserve">health, safety or is critical for the functioning of society and if there are no alternatives that are</w:t>
      </w:r>
      <w:r>
        <w:t xml:space="preserve"> </w:t>
      </w:r>
      <w:r>
        <w:t xml:space="preserve">acceptable from the standpoint of environment and health. Toys are within the scope of REACH</w:t>
      </w:r>
      <w:r>
        <w:t xml:space="preserve"> </w:t>
      </w:r>
      <w:r>
        <w:t xml:space="preserve">as consumer articles where REACH addresses environmental or human health concerns.</w:t>
      </w:r>
      <w:r>
        <w:t xml:space="preserve"> </w:t>
      </w:r>
      <w:r>
        <w:t xml:space="preserve">However, the Toy Safety Directive provides for a more comprehensive and targeted approach to toys</w:t>
      </w:r>
      <w:r>
        <w:t xml:space="preserve"> </w:t>
      </w:r>
      <w:r>
        <w:t xml:space="preserve">as regards aspects relating to human health, in view of the vulnerable population group toys are</w:t>
      </w:r>
      <w:r>
        <w:t xml:space="preserve"> </w:t>
      </w:r>
      <w:r>
        <w:t xml:space="preserve">addressed to.</w:t>
      </w:r>
    </w:p>
    <w:p>
      <w:pPr>
        <w:pStyle w:val="BodyText"/>
      </w:pPr>
      <w:r>
        <w:t xml:space="preserve">Figure 2: Hazard identification and risk management in EU legislation</w:t>
      </w:r>
      <w:r>
        <w:t xml:space="preserve"> </w:t>
      </w:r>
      <w:r>
        <w:t xml:space="preserve">The proposed measures under this Impact Assessment do not rely on any changes to be introduced</w:t>
      </w:r>
      <w:r>
        <w:t xml:space="preserve"> </w:t>
      </w:r>
      <w:r>
        <w:t xml:space="preserve">in the REACH Regulation. The REACH revision could introduce generic bans for the most harmful</w:t>
      </w:r>
      <w:r>
        <w:t xml:space="preserve"> </w:t>
      </w:r>
      <w:r>
        <w:t xml:space="preserve">chemicals themselves and for certain uses, in particular in consumer products. This may have an</w:t>
      </w:r>
      <w:r>
        <w:t xml:space="preserve"> </w:t>
      </w:r>
      <w:r>
        <w:t xml:space="preserve">indirect impact on the functioning of the toys industry and the options presented. This is because</w:t>
      </w:r>
      <w:r>
        <w:t xml:space="preserve"> </w:t>
      </w:r>
      <w:r>
        <w:t xml:space="preserve">alternative chemicals will be more likely to be available on the market, including for toy</w:t>
      </w:r>
    </w:p>
    <w:p>
      <w:pPr>
        <w:pStyle w:val="BodyText"/>
      </w:pPr>
      <w:r>
        <w:t xml:space="preserve">17 See the Impact Assessment for the Review of the CLP Regulation, SWD(2022) 435 final, part 1.</w:t>
      </w:r>
      <w:r>
        <w:t xml:space="preserve"> </w:t>
      </w:r>
      <w:r>
        <w:t xml:space="preserve">18 Chemicals legislation – revision of REACH Regulation to help achieve a toxic-free environment (europa.eu)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</w:t>
      </w:r>
      <w:r>
        <w:t xml:space="preserve"> </w:t>
      </w:r>
      <w:r>
        <w:t xml:space="preserve">EN</w:t>
      </w:r>
      <w:r>
        <w:t xml:space="preserve"> </w:t>
      </w:r>
      <w:r>
        <w:t xml:space="preserve">manufacturers, which would limit the negative impacts of options 1b and 1c proposed in the toy</w:t>
      </w:r>
      <w:r>
        <w:t xml:space="preserve"> </w:t>
      </w:r>
      <w:r>
        <w:t xml:space="preserve">industry. However, these changes are not necessary for the revision of the Toy Safety Directive. Thus,</w:t>
      </w:r>
      <w:r>
        <w:t xml:space="preserve"> </w:t>
      </w:r>
      <w:r>
        <w:t xml:space="preserve">the quantitative analysis of impacts of the different policy options in this impact assessment does not</w:t>
      </w:r>
      <w:r>
        <w:t xml:space="preserve"> </w:t>
      </w:r>
      <w:r>
        <w:t xml:space="preserve">factor in the possible effects from the REACH revision.</w:t>
      </w:r>
      <w:r>
        <w:br/>
      </w:r>
      <w:r>
        <w:t xml:space="preserve">Digital Services Act (DSA)19: The DSA includes a new set of horizontal rules to regulate the</w:t>
      </w:r>
      <w:r>
        <w:t xml:space="preserve"> </w:t>
      </w:r>
      <w:r>
        <w:t xml:space="preserve">responsibility of online intermediaries, including online marketplaces. It will establish new</w:t>
      </w:r>
      <w:r>
        <w:t xml:space="preserve"> </w:t>
      </w:r>
      <w:r>
        <w:t xml:space="preserve">obligations for online intermediaries inter alia in relation with how they handle all types of illegal</w:t>
      </w:r>
      <w:r>
        <w:t xml:space="preserve"> </w:t>
      </w:r>
      <w:r>
        <w:t xml:space="preserve">content hosted on their websites including unsafe products. The DSA will reinforce actions to be</w:t>
      </w:r>
      <w:r>
        <w:t xml:space="preserve"> </w:t>
      </w:r>
      <w:r>
        <w:t xml:space="preserve">taken on non-compliant toys sold online, such as mechanisms to counter illegal content online, new</w:t>
      </w:r>
      <w:r>
        <w:t xml:space="preserve"> </w:t>
      </w:r>
      <w:r>
        <w:t xml:space="preserve">rules to trace sellers on online marketplaces and an obligation by online marketplaces to randomly</w:t>
      </w:r>
      <w:r>
        <w:t xml:space="preserve"> </w:t>
      </w:r>
      <w:r>
        <w:t xml:space="preserve">check against existing databases whether products or services on their sites are compliant.</w:t>
      </w:r>
      <w:r>
        <w:br/>
      </w:r>
      <w:r>
        <w:t xml:space="preserve">General Product Safety Regulation20: The recently adopted Regulation (EU) 2023/933 on General</w:t>
      </w:r>
      <w:r>
        <w:t xml:space="preserve"> </w:t>
      </w:r>
      <w:r>
        <w:t xml:space="preserve">Product Safety replaces the General Product Safety Directive21. One of the objectives of the proposal</w:t>
      </w:r>
      <w:r>
        <w:t xml:space="preserve"> </w:t>
      </w:r>
      <w:r>
        <w:t xml:space="preserve">is to offer better protection of consumers when shopping online, including on online marketplaces,</w:t>
      </w:r>
      <w:r>
        <w:t xml:space="preserve"> </w:t>
      </w:r>
      <w:r>
        <w:t xml:space="preserve">and from dangerous products coming from the EU and outside. The General Product Safety</w:t>
      </w:r>
      <w:r>
        <w:t xml:space="preserve"> </w:t>
      </w:r>
      <w:r>
        <w:t xml:space="preserve">Regulation, as the current Directive, will continue to address only products, risks and aspects</w:t>
      </w:r>
      <w:r>
        <w:t xml:space="preserve"> </w:t>
      </w:r>
      <w:r>
        <w:t xml:space="preserve">which may not be specifically covered by the Toy Safety Directive. It is expected to include</w:t>
      </w:r>
      <w:r>
        <w:t xml:space="preserve"> </w:t>
      </w:r>
      <w:r>
        <w:t xml:space="preserve">specific provisions on recalls, accident reporting and online marketplaces which would apply to all</w:t>
      </w:r>
      <w:r>
        <w:t xml:space="preserve"> </w:t>
      </w:r>
      <w:r>
        <w:t xml:space="preserve">consumer products, including toys.</w:t>
      </w:r>
      <w:r>
        <w:t xml:space="preserve"> </w:t>
      </w:r>
      <w:r>
        <w:t xml:space="preserve">Artificial Intelligence (AI) horizontal framework22: The new legislative proposal for the AI</w:t>
      </w:r>
      <w:r>
        <w:t xml:space="preserve"> </w:t>
      </w:r>
      <w:r>
        <w:t xml:space="preserve">horizontal framework (AI Act) will lay down harmonised rules for the placing on the market, the</w:t>
      </w:r>
      <w:r>
        <w:t xml:space="preserve"> </w:t>
      </w:r>
      <w:r>
        <w:t xml:space="preserve">putting into service and the use of artificial intelligence systems (‘AI systems’) in the Union. It lays</w:t>
      </w:r>
      <w:r>
        <w:t xml:space="preserve"> </w:t>
      </w:r>
      <w:r>
        <w:t xml:space="preserve">down specific requirements for high-risk AI systems, and it is expected to cover, as high-risk, AI</w:t>
      </w:r>
      <w:r>
        <w:t xml:space="preserve"> </w:t>
      </w:r>
      <w:r>
        <w:t xml:space="preserve">systems intended to be used as safety components of toys covered by the TSD. Therefore, any risks</w:t>
      </w:r>
      <w:r>
        <w:t xml:space="preserve"> </w:t>
      </w:r>
      <w:r>
        <w:t xml:space="preserve">posed specifically by the incorporation of AI in toys would be addressed by that Regulation.</w:t>
      </w:r>
      <w:r>
        <w:t xml:space="preserve"> </w:t>
      </w:r>
      <w:r>
        <w:t xml:space="preserve">Nevertheless, the AI Act refers to the EU product legislation applicable to the product (in this case</w:t>
      </w:r>
      <w:r>
        <w:t xml:space="preserve"> </w:t>
      </w:r>
      <w:r>
        <w:t xml:space="preserve">the Toy Safety Directive) to determine the conformity assessment procedure which needs to be</w:t>
      </w:r>
      <w:r>
        <w:t xml:space="preserve"> </w:t>
      </w:r>
      <w:r>
        <w:t xml:space="preserve">followed, also with regards to the verification of compliance with the essential requirements</w:t>
      </w:r>
      <w:r>
        <w:t xml:space="preserve"> </w:t>
      </w:r>
      <w:r>
        <w:t xml:space="preserve">concerning AI systems that are to be imposed by the AI act.</w:t>
      </w:r>
      <w:r>
        <w:t xml:space="preserve"> </w:t>
      </w:r>
      <w:r>
        <w:t xml:space="preserve">Delegated acts under the Radio Equipment Directive (RED)23: the RED establishes the possibility</w:t>
      </w:r>
      <w:r>
        <w:t xml:space="preserve"> </w:t>
      </w:r>
      <w:r>
        <w:t xml:space="preserve">for the Commission to adopt delegated acts in relation to several aspects, including requiring</w:t>
      </w:r>
      <w:r>
        <w:t xml:space="preserve"> </w:t>
      </w:r>
      <w:r>
        <w:t xml:space="preserve">protection of networks, personal data and privacy and protection from fraud for specific categories</w:t>
      </w:r>
      <w:r>
        <w:t xml:space="preserve"> </w:t>
      </w:r>
      <w:r>
        <w:t xml:space="preserve">of radio devices. As all internet-connected wireless devices fall under the RED, the Commission</w:t>
      </w:r>
      <w:r>
        <w:t xml:space="preserve"> </w:t>
      </w:r>
      <w:r>
        <w:t xml:space="preserve">adopted on 29 October 2021 a delegated act under that Directive strengthening the level of</w:t>
      </w:r>
      <w:r>
        <w:t xml:space="preserve"> </w:t>
      </w:r>
      <w:r>
        <w:t xml:space="preserve">cybersecurity, personal data protection and privacy of certain categories of radio equipment. This</w:t>
      </w:r>
      <w:r>
        <w:t xml:space="preserve"> </w:t>
      </w:r>
      <w:r>
        <w:t xml:space="preserve">delegated act applies to radio toys (protection of privacy) and to internet-connected radio toys</w:t>
      </w:r>
    </w:p>
    <w:p>
      <w:pPr>
        <w:pStyle w:val="BodyText"/>
      </w:pPr>
      <w:r>
        <w:t xml:space="preserve">19 Digital Services Act – deepening the internal market and clarifying responsibilities for digital services (europa.eu)</w:t>
      </w:r>
      <w:r>
        <w:t xml:space="preserve"> </w:t>
      </w:r>
      <w:r>
        <w:t xml:space="preserve">20 General Product Safety Directive – review (europa.eu)</w:t>
      </w:r>
      <w:r>
        <w:t xml:space="preserve"> </w:t>
      </w:r>
      <w:r>
        <w:t xml:space="preserve">21 Directive 2001/95/EC of the European Parliament and of the Council of 3 December 2001 on general product safety,</w:t>
      </w:r>
      <w:r>
        <w:t xml:space="preserve"> </w:t>
      </w:r>
      <w:r>
        <w:t xml:space="preserve">OJ L 11, 15.1.2002, p. 4.</w:t>
      </w:r>
      <w:r>
        <w:t xml:space="preserve"> </w:t>
      </w:r>
      <w:r>
        <w:t xml:space="preserve">22 Artificial intelligence – ethical and legal requirements (europa.eu). Proposal for a Regulation of the European</w:t>
      </w:r>
      <w:r>
        <w:t xml:space="preserve"> </w:t>
      </w:r>
      <w:r>
        <w:t xml:space="preserve">Parliament and of the Council laying down harmonised rules on Artificial Intelligence (Artificial Intelligence Act) and</w:t>
      </w:r>
      <w:r>
        <w:t xml:space="preserve"> </w:t>
      </w:r>
      <w:r>
        <w:t xml:space="preserve">amending certain Union legislative acts, of 21 April 2021 and available at https://eur-lex.europa.eu/legal-</w:t>
      </w:r>
      <w:r>
        <w:t xml:space="preserve"> </w:t>
      </w:r>
      <w:r>
        <w:t xml:space="preserve">content/EN/TXT/?qid=1623335154975&amp;uri=CELEX%3A52021PC0206</w:t>
      </w:r>
      <w:r>
        <w:t xml:space="preserve"> </w:t>
      </w:r>
      <w:r>
        <w:t xml:space="preserve">23 Directive 2014/53/EU of the European Parliament and of the Council of 16 April 2014 on the harmonisation of the</w:t>
      </w:r>
      <w:r>
        <w:t xml:space="preserve"> </w:t>
      </w:r>
      <w:r>
        <w:t xml:space="preserve">laws of the Member States relating to the making available on the market of radio equipment and repealing</w:t>
      </w:r>
      <w:r>
        <w:t xml:space="preserve"> </w:t>
      </w:r>
      <w:r>
        <w:t xml:space="preserve">Directive 1999/5/EC, OJ L 153, 22.5.2014, p. 62‐106, available at</w:t>
      </w:r>
    </w:p>
    <w:p>
      <w:pPr>
        <w:pStyle w:val="BodyText"/>
      </w:pPr>
      <w:r>
        <w:t xml:space="preserve">https://eur-lex.europa.eu/legal-content/EN/TXT/?uri=CELEX:02014L0053-20180911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</w:t>
      </w:r>
      <w:r>
        <w:t xml:space="preserve"> </w:t>
      </w:r>
      <w:r>
        <w:t xml:space="preserve">EN</w:t>
      </w:r>
      <w:r>
        <w:t xml:space="preserve"> </w:t>
      </w:r>
      <w:r>
        <w:t xml:space="preserve">(protection of networks and from fraud) and will become applicable as of 1 August 202424. It will</w:t>
      </w:r>
      <w:r>
        <w:t xml:space="preserve"> </w:t>
      </w:r>
      <w:r>
        <w:t xml:space="preserve">require that radio toys incorporate safeguards to ensure that the aforementioned assets are protected.</w:t>
      </w:r>
      <w:r>
        <w:t xml:space="preserve"> </w:t>
      </w:r>
      <w:r>
        <w:t xml:space="preserve">Circular Economy: The proposal for a Regulation on Ecodesign for Sustainable Products25 will</w:t>
      </w:r>
      <w:r>
        <w:t xml:space="preserve"> </w:t>
      </w:r>
      <w:r>
        <w:t xml:space="preserve">set a framework and a process through which the Commission will be empowered to progressively</w:t>
      </w:r>
      <w:r>
        <w:t xml:space="preserve"> </w:t>
      </w:r>
      <w:r>
        <w:t xml:space="preserve">set out sustainability requirements for each product or group of products. Safety concerns will not be</w:t>
      </w:r>
      <w:r>
        <w:t xml:space="preserve"> </w:t>
      </w:r>
      <w:r>
        <w:t xml:space="preserve">a criterion to include products under the ESPR; this inclusion will be based on sustainability concerns.</w:t>
      </w:r>
      <w:r>
        <w:t xml:space="preserve"> </w:t>
      </w:r>
      <w:r>
        <w:t xml:space="preserve">The ESPR will not regulate the safety of products. Toys may be covered in the long-term by one of</w:t>
      </w:r>
      <w:r>
        <w:t xml:space="preserve"> </w:t>
      </w:r>
      <w:r>
        <w:t xml:space="preserve">the delegated acts setting sustainability requirements, however they are not included in the list of</w:t>
      </w:r>
      <w:r>
        <w:t xml:space="preserve"> </w:t>
      </w:r>
      <w:r>
        <w:t xml:space="preserve">high priority sectors identified in the Circular Economy Action Plan (CEAP) adopted by the</w:t>
      </w:r>
      <w:r>
        <w:t xml:space="preserve"> </w:t>
      </w:r>
      <w:r>
        <w:t xml:space="preserve">Commission in March 2020. The ESPR will set out the principle of the Digital Product Passport</w:t>
      </w:r>
      <w:r>
        <w:t xml:space="preserve"> </w:t>
      </w:r>
      <w:r>
        <w:t xml:space="preserve">(DPP) and will develop its technical design and operation. The technical design and operation of the</w:t>
      </w:r>
      <w:r>
        <w:t xml:space="preserve"> </w:t>
      </w:r>
      <w:r>
        <w:t xml:space="preserve">DPP are already being developed, following the general principles of the proposed DPP. The ESPR</w:t>
      </w:r>
      <w:r>
        <w:t xml:space="preserve"> </w:t>
      </w:r>
      <w:r>
        <w:t xml:space="preserve">also foresees that the reference of the DPP is included in a central registry managed by the</w:t>
      </w:r>
      <w:r>
        <w:t xml:space="preserve"> </w:t>
      </w:r>
      <w:r>
        <w:t xml:space="preserve">Commission26, that this reference is declared at customs, and that this central registry is</w:t>
      </w:r>
      <w:r>
        <w:t xml:space="preserve"> </w:t>
      </w:r>
      <w:r>
        <w:t xml:space="preserve">interconnected with the customs IT environment27. This will allow an automatic verification of the</w:t>
      </w:r>
      <w:r>
        <w:t xml:space="preserve"> </w:t>
      </w:r>
      <w:r>
        <w:t xml:space="preserve">existence of the DPP for products presented at customs prior to their release for free circulation. It is</w:t>
      </w:r>
      <w:r>
        <w:t xml:space="preserve"> </w:t>
      </w:r>
      <w:r>
        <w:t xml:space="preserve">expected that the DPP will become the vehicle to provide digital information on products in the</w:t>
      </w:r>
      <w:r>
        <w:t xml:space="preserve"> </w:t>
      </w:r>
      <w:r>
        <w:t xml:space="preserve">future.</w:t>
      </w:r>
      <w:r>
        <w:t xml:space="preserve"> </w:t>
      </w:r>
      <w:r>
        <w:t xml:space="preserve">Customs Union Reform28: The Commission has recently proposed a revision of the Union Customs</w:t>
      </w:r>
      <w:r>
        <w:t xml:space="preserve"> </w:t>
      </w:r>
      <w:r>
        <w:t xml:space="preserve">Code in order to strengthen the legal framework for customs and address recent challenges such as</w:t>
      </w:r>
      <w:r>
        <w:t xml:space="preserve"> </w:t>
      </w:r>
      <w:r>
        <w:t xml:space="preserve">e-commerce and to protect the single market from non-compliant goods imported from non-EU</w:t>
      </w:r>
      <w:r>
        <w:t xml:space="preserve"> </w:t>
      </w:r>
      <w:r>
        <w:t xml:space="preserve">countries, among others. This initiative is expected to complement the current revision of the TSD</w:t>
      </w:r>
      <w:r>
        <w:t xml:space="preserve"> </w:t>
      </w:r>
      <w:r>
        <w:t xml:space="preserve">by strengthening risk-based controls at the border and improving the supervision of the supply chain.</w:t>
      </w:r>
      <w:r>
        <w:t xml:space="preserve"> </w:t>
      </w:r>
      <w:r>
        <w:t xml:space="preserve">The exact requirements for toys entering the Union market and being released for free circulation</w:t>
      </w:r>
      <w:r>
        <w:t xml:space="preserve"> </w:t>
      </w:r>
      <w:r>
        <w:t xml:space="preserve">need to be set out in the toy safety rules.</w:t>
      </w:r>
      <w:r>
        <w:br/>
      </w:r>
      <w:r>
        <w:t xml:space="preserve">1.3.</w:t>
      </w:r>
      <w:r>
        <w:t xml:space="preserve"> </w:t>
      </w:r>
      <w:r>
        <w:t xml:space="preserve">Economic context: The market for toys in the EU</w:t>
      </w:r>
      <w:r>
        <w:t xml:space="preserve"> </w:t>
      </w:r>
      <w:r>
        <w:t xml:space="preserve">The European toy market size was estimated to be worth around EUR 20 billion in 202029 in terms</w:t>
      </w:r>
      <w:r>
        <w:t xml:space="preserve"> </w:t>
      </w:r>
      <w:r>
        <w:t xml:space="preserve">of overall value, making it the third-biggest global market after North America and Asia. Online</w:t>
      </w:r>
      <w:r>
        <w:t xml:space="preserve"> </w:t>
      </w:r>
      <w:r>
        <w:t xml:space="preserve">sales are increasing and reach over 1 in every 4 toys in some countries30. Market research estimates</w:t>
      </w:r>
      <w:r>
        <w:t xml:space="preserve"> </w:t>
      </w:r>
      <w:r>
        <w:t xml:space="preserve">place the size of the global toy industry in the range of EUR 86-109 billion in sales in 2019, growing</w:t>
      </w:r>
      <w:r>
        <w:t xml:space="preserve"> </w:t>
      </w:r>
      <w:r>
        <w:t xml:space="preserve">from around EUR 81.7 billion in 2016.31,32 The European toys manufacturing market achieved</w:t>
      </w:r>
    </w:p>
    <w:p>
      <w:pPr>
        <w:pStyle w:val="BodyText"/>
      </w:pPr>
      <w:r>
        <w:t xml:space="preserve">24 Commission Delegated Regulation (EU) 2022/30 of 29 October 2021 supplementing Directive 2014/53/EU of the</w:t>
      </w:r>
      <w:r>
        <w:t xml:space="preserve"> </w:t>
      </w:r>
      <w:r>
        <w:t xml:space="preserve">European Parliament and of the Council with regard to the application of the essential requirements referred to in</w:t>
      </w:r>
      <w:r>
        <w:t xml:space="preserve"> </w:t>
      </w:r>
      <w:r>
        <w:t xml:space="preserve">Article 3(3), points (d), (e) and (f), of that directive, OJ L 7/6 of 12.01.2022.</w:t>
      </w:r>
      <w:r>
        <w:t xml:space="preserve"> </w:t>
      </w:r>
      <w:r>
        <w:t xml:space="preserve">25 Sustainable products initiative (europa.eu). Proposal for a Regulation of the European Parliament and of the Council</w:t>
      </w:r>
      <w:r>
        <w:t xml:space="preserve"> </w:t>
      </w:r>
      <w:r>
        <w:t xml:space="preserve">establishing a framework for setting ecodesign requirements for sustainable products and repealing Directive</w:t>
      </w:r>
      <w:r>
        <w:t xml:space="preserve"> </w:t>
      </w:r>
      <w:r>
        <w:t xml:space="preserve">2009/125/EC of 30 March 2022, COM(2022) 142 final.</w:t>
      </w:r>
      <w:r>
        <w:t xml:space="preserve"> </w:t>
      </w:r>
      <w:r>
        <w:t xml:space="preserve">26</w:t>
      </w:r>
      <w:r>
        <w:br/>
      </w:r>
      <w:r>
        <w:t xml:space="preserve">See the proposed article 12.</w:t>
      </w:r>
      <w:r>
        <w:t xml:space="preserve"> </w:t>
      </w:r>
      <w:r>
        <w:t xml:space="preserve">27</w:t>
      </w:r>
      <w:r>
        <w:br/>
      </w:r>
      <w:r>
        <w:t xml:space="preserve">See the proposed article 13 on customs controls relating to the product passport.</w:t>
      </w:r>
      <w:r>
        <w:br/>
      </w:r>
      <w:r>
        <w:t xml:space="preserve">28 Revision of the Union Customs Code (europa.eu). Proposal for a Council Regulation amending Regulation (EEC) No</w:t>
      </w:r>
      <w:r>
        <w:t xml:space="preserve"> </w:t>
      </w:r>
      <w:r>
        <w:t xml:space="preserve">2658/87 as regards the introduction of a simplified tariff treatment for the distance sales of goods and Regulation (EC)</w:t>
      </w:r>
      <w:r>
        <w:t xml:space="preserve"> </w:t>
      </w:r>
      <w:r>
        <w:t xml:space="preserve">No 1186/2009 as regards the elimination of the customs duty relief threshold (COM(2023) 259 final</w:t>
      </w:r>
      <w:r>
        <w:t xml:space="preserve"> </w:t>
      </w:r>
      <w:r>
        <w:t xml:space="preserve">29 https://globaltoynews.com/2021/02/05/the-european-toy-market-2020-and-digital-trends-2021/</w:t>
      </w:r>
      <w:r>
        <w:t xml:space="preserve"> </w:t>
      </w:r>
      <w:r>
        <w:t xml:space="preserve">30 ECSIP Consortium (2013). Study on the competitiveness of the toy industry – Final Report, p. 17.</w:t>
      </w:r>
      <w:r>
        <w:t xml:space="preserve"> </w:t>
      </w:r>
      <w:r>
        <w:t xml:space="preserve">https://ec.europa.eu/DocsRoom/documents/6653/attachments/1/translations/en/renditions/native</w:t>
      </w:r>
      <w:r>
        <w:br/>
      </w:r>
      <w:r>
        <w:t xml:space="preserve">31 Khajeheian, D. (2018). Market analysis, strategy diagnosis and opportunity recognition in toy industry [in:]</w:t>
      </w:r>
      <w:r>
        <w:t xml:space="preserve"> </w:t>
      </w:r>
      <w:r>
        <w:t xml:space="preserve">“International Journal of Entrepreneurship and Small Business”, 33(2), DOI:10.1504/ijesb.2018.090138, p. 221.</w:t>
      </w:r>
      <w:r>
        <w:t xml:space="preserve"> </w:t>
      </w:r>
      <w:r>
        <w:t xml:space="preserve">32 https://www.toyassociation.org/ta/research/data/population/toys/research-and-data/data/global-sales-data.aspx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</w:t>
      </w:r>
      <w:r>
        <w:t xml:space="preserve"> </w:t>
      </w:r>
      <w:r>
        <w:t xml:space="preserve">EN</w:t>
      </w:r>
      <w:r>
        <w:t xml:space="preserve"> </w:t>
      </w:r>
      <w:r>
        <w:t xml:space="preserve">turnover of at least EUR 8.3 billion in 2019, increasing from EUR 7 billion in 2016.33 However, as</w:t>
      </w:r>
      <w:r>
        <w:t xml:space="preserve"> </w:t>
      </w:r>
      <w:r>
        <w:t xml:space="preserve">for much of the global economy, 2020 also saw a downturn in turnover within the EU toys industry,</w:t>
      </w:r>
      <w:r>
        <w:t xml:space="preserve"> </w:t>
      </w:r>
      <w:r>
        <w:t xml:space="preserve">to around EUR 6.6 billion (based on provisional Eurostat SBS data). In 2017, the EU was reportedly</w:t>
      </w:r>
      <w:r>
        <w:t xml:space="preserve"> </w:t>
      </w:r>
      <w:r>
        <w:t xml:space="preserve">the biggest global importer of toys with EUR 7.2 billion worth of toys imported. The value of EU toy</w:t>
      </w:r>
      <w:r>
        <w:t xml:space="preserve"> </w:t>
      </w:r>
      <w:r>
        <w:t xml:space="preserve">imports had grown by an estimated 70% during the preceding decade. Most toys imported to the EU</w:t>
      </w:r>
      <w:r>
        <w:t xml:space="preserve"> </w:t>
      </w:r>
      <w:r>
        <w:t xml:space="preserve">come from Asia, with China the biggest supplier and the ASEAN countries, such as Thailand and</w:t>
      </w:r>
      <w:r>
        <w:t xml:space="preserve"> </w:t>
      </w:r>
      <w:r>
        <w:t xml:space="preserve">Vietnam, increasing the volume of exported toy products.34</w:t>
      </w:r>
      <w:r>
        <w:t xml:space="preserve"> </w:t>
      </w:r>
      <w:r>
        <w:t xml:space="preserve">Almost 50,000 people are working in the EU toy sector. The structure of the EU toy industry is</w:t>
      </w:r>
      <w:r>
        <w:t xml:space="preserve"> </w:t>
      </w:r>
      <w:r>
        <w:t xml:space="preserve">complex and very heterogeneous, ranging from large world-wide operating companies to very small</w:t>
      </w:r>
      <w:r>
        <w:t xml:space="preserve"> </w:t>
      </w:r>
      <w:r>
        <w:t xml:space="preserve">producers of certain specific kinds of toys. The number of enterprises has been progressively</w:t>
      </w:r>
      <w:r>
        <w:t xml:space="preserve"> </w:t>
      </w:r>
      <w:r>
        <w:t xml:space="preserve">increasing from circa 5,332 in 2016, to an estimated 6,313 in 2020. Around 99% of European toy</w:t>
      </w:r>
      <w:r>
        <w:t xml:space="preserve"> </w:t>
      </w:r>
      <w:r>
        <w:t xml:space="preserve">companies are SMEs, employing around two thirds of employees in the sector. Toy production is</w:t>
      </w:r>
      <w:r>
        <w:t xml:space="preserve"> </w:t>
      </w:r>
      <w:r>
        <w:t xml:space="preserve">highly concentrated, with 96.2% of production value generated across ten countries and 88% of</w:t>
      </w:r>
      <w:r>
        <w:t xml:space="preserve"> </w:t>
      </w:r>
      <w:r>
        <w:t xml:space="preserve">turnover concentrated in seven EU Member States35.</w:t>
      </w:r>
      <w:r>
        <w:br/>
      </w:r>
      <w:r>
        <w:t xml:space="preserve">Online sales have grown significantly, accelerated by the global pandemic36. Consumers are</w:t>
      </w:r>
      <w:r>
        <w:t xml:space="preserve"> </w:t>
      </w:r>
      <w:r>
        <w:t xml:space="preserve">increasingly buying toys online instead of in brick and mortar stores. For instance, according to a</w:t>
      </w:r>
      <w:r>
        <w:t xml:space="preserve"> </w:t>
      </w:r>
      <w:r>
        <w:t xml:space="preserve">study by a market research firm, all national markets in the EU recorded growth in online toy sales</w:t>
      </w:r>
      <w:r>
        <w:t xml:space="preserve"> </w:t>
      </w:r>
      <w:r>
        <w:t xml:space="preserve">in 2020-2021. At the global level, online sales of toys were estimated to have increased markedly, by</w:t>
      </w:r>
      <w:r>
        <w:t xml:space="preserve"> </w:t>
      </w:r>
      <w:r>
        <w:t xml:space="preserve">an estimated 20%, in 2020-2021.37 See annex 7 for a more detailed overview of the toys market.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2.1.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In the context of toy safety, two main separate problems can be currently identified. As the Evaluation</w:t>
      </w:r>
      <w:r>
        <w:t xml:space="preserve"> </w:t>
      </w:r>
      <w:r>
        <w:t xml:space="preserve">concluded, the first problem is that the Directive does not ensure adequate protection of children</w:t>
      </w:r>
      <w:r>
        <w:t xml:space="preserve"> </w:t>
      </w:r>
      <w:r>
        <w:t xml:space="preserve">when playing with toys from risks posed by hazardous chemicals: the Directive does not sufficiently</w:t>
      </w:r>
      <w:r>
        <w:t xml:space="preserve"> </w:t>
      </w:r>
      <w:r>
        <w:t xml:space="preserve">address the risks of certain harmful chemicals such as endocrine disruptors (EDs) and CMR</w:t>
      </w:r>
      <w:r>
        <w:t xml:space="preserve"> </w:t>
      </w:r>
      <w:r>
        <w:t xml:space="preserve">substances. The possibilities to amend the TSD in relation to limit values for toys intended for</w:t>
      </w:r>
      <w:r>
        <w:t xml:space="preserve"> </w:t>
      </w:r>
      <w:r>
        <w:t xml:space="preserve">children over 36 months, or for certain problematic substances such as nitrosamines, are limited. In</w:t>
      </w:r>
      <w:r>
        <w:t xml:space="preserve"> </w:t>
      </w:r>
      <w:r>
        <w:t xml:space="preserve">addition, there are a high number of non-compliant and unsafe toys on the Union market, which also</w:t>
      </w:r>
      <w:r>
        <w:t xml:space="preserve"> </w:t>
      </w:r>
      <w:r>
        <w:t xml:space="preserve">put children at risk and create an uneven playing field for compliant companies. See Annex 8 for the</w:t>
      </w:r>
      <w:r>
        <w:t xml:space="preserve"> </w:t>
      </w:r>
      <w:r>
        <w:t xml:space="preserve">main findings of the Evaluation.</w:t>
      </w:r>
      <w:r>
        <w:t xml:space="preserve"> </w:t>
      </w:r>
      <w:r>
        <w:t xml:space="preserve">2.1.1. Problem 1- Insufficient protection of children from harmful chemicals</w:t>
      </w:r>
      <w:r>
        <w:br/>
      </w:r>
      <w:r>
        <w:t xml:space="preserve">The objective of the TSD is to ensure that toys, including the chemicals they contain, do not</w:t>
      </w:r>
      <w:r>
        <w:t xml:space="preserve"> </w:t>
      </w:r>
      <w:r>
        <w:t xml:space="preserve">jeopardise the safety of children. However, as the Evaluation concluded, the protection from most</w:t>
      </w:r>
      <w:r>
        <w:t xml:space="preserve"> </w:t>
      </w:r>
      <w:r>
        <w:t xml:space="preserve">harmful chemicals in toys in the current Directive is not complete. Almost 60% of respondents (116</w:t>
      </w:r>
      <w:r>
        <w:t xml:space="preserve"> </w:t>
      </w:r>
      <w:r>
        <w:t xml:space="preserve">out of 196) to the public consultation believed that the TSD should set stricter requirements for</w:t>
      </w:r>
      <w:r>
        <w:t xml:space="preserve"> </w:t>
      </w:r>
      <w:r>
        <w:t xml:space="preserve">chemicals: however, 47% representatives of business associations and companies (strongly)</w:t>
      </w:r>
      <w:r>
        <w:t xml:space="preserve"> </w:t>
      </w:r>
      <w:r>
        <w:t xml:space="preserve">disagreed (42 out of 89), while all the environmental and consumer organisations agree to some</w:t>
      </w:r>
      <w:r>
        <w:t xml:space="preserve"> </w:t>
      </w:r>
      <w:r>
        <w:t xml:space="preserve">degree with the statement (57 out of 61 - over 90%). Similarly, 90 % of public authorities (28 out of</w:t>
      </w:r>
    </w:p>
    <w:p>
      <w:pPr>
        <w:pStyle w:val="BodyText"/>
      </w:pPr>
      <w:r>
        <w:t xml:space="preserve">33 As described further in Annex 4, the Eurostat Structural Business Statistics (SBS) data for 2016-2020 has a range of</w:t>
      </w:r>
      <w:r>
        <w:t xml:space="preserve"> </w:t>
      </w:r>
      <w:r>
        <w:t xml:space="preserve">data gaps and the data for 2020 is provisional.</w:t>
      </w:r>
      <w:r>
        <w:t xml:space="preserve"> </w:t>
      </w:r>
      <w:r>
        <w:t xml:space="preserve">34 Ismail, R., et al. (2020). Toy Safety in the ASEAN and European Union: A Comparative Approach [in:] International</w:t>
      </w:r>
      <w:r>
        <w:t xml:space="preserve"> </w:t>
      </w:r>
      <w:r>
        <w:t xml:space="preserve">Journal of Innovation, Creativity and Change, vol. 10/11, online, p. 118-119.</w:t>
      </w:r>
      <w:r>
        <w:t xml:space="preserve"> </w:t>
      </w:r>
      <w:r>
        <w:t xml:space="preserve">35 See Annex 4 for the details on the methodology and annex 7 for a more detailed overview of the data sources. Study</w:t>
      </w:r>
      <w:r>
        <w:t xml:space="preserve"> </w:t>
      </w:r>
      <w:r>
        <w:t xml:space="preserve">for the revision of the Toy Safety Directive, 2022, by VVA, CSES and Asterisk, to be published.</w:t>
      </w:r>
      <w:r>
        <w:br/>
      </w:r>
      <w:r>
        <w:t xml:space="preserve">36 https://globaltoynews.com/2021/02/05/the-european-toy-market-2020-and-digital-trends-2021/</w:t>
      </w:r>
      <w:r>
        <w:t xml:space="preserve"> </w:t>
      </w:r>
      <w:r>
        <w:t xml:space="preserve">37 https://www.npd.com/news/thought-leadership/2021/whats-driving-online-toy-sales/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</w:t>
      </w:r>
      <w:r>
        <w:t xml:space="preserve"> </w:t>
      </w:r>
      <w:r>
        <w:t xml:space="preserve">EN</w:t>
      </w:r>
      <w:r>
        <w:t xml:space="preserve"> </w:t>
      </w:r>
      <w:r>
        <w:t xml:space="preserve">31) agreed or strongly agreed. Concerning other risks from toys (for example, preventing suffocation</w:t>
      </w:r>
      <w:r>
        <w:t xml:space="preserve"> </w:t>
      </w:r>
      <w:r>
        <w:t xml:space="preserve">of small children by requiring that toys for younger children do not contain small parts), the</w:t>
      </w:r>
      <w:r>
        <w:t xml:space="preserve"> </w:t>
      </w:r>
      <w:r>
        <w:t xml:space="preserve">Evaluation concluded that the protection in the TSD is adequate and no evidence has appeared since</w:t>
      </w:r>
      <w:r>
        <w:t xml:space="preserve"> </w:t>
      </w:r>
      <w:r>
        <w:t xml:space="preserve">its publication which would affect that conclusion38.</w:t>
      </w:r>
      <w:r>
        <w:t xml:space="preserve"> </w:t>
      </w:r>
      <w:r>
        <w:t xml:space="preserve">Chemicals with hazardous properties can cause harm to human health and the environment.</w:t>
      </w:r>
      <w:r>
        <w:t xml:space="preserve"> </w:t>
      </w:r>
      <w:r>
        <w:t xml:space="preserve">Chemical substances may be classified under the hazard classes of the CLP Regulation on the basis</w:t>
      </w:r>
      <w:r>
        <w:t xml:space="preserve"> </w:t>
      </w:r>
      <w:r>
        <w:t xml:space="preserve">of the hazardous properties they present to human health, the environment or their physical hazards.</w:t>
      </w:r>
      <w:r>
        <w:t xml:space="preserve"> </w:t>
      </w:r>
      <w:r>
        <w:t xml:space="preserve">The classification under the CLP Regulation informs on the hazardous properties of a chemical</w:t>
      </w:r>
      <w:r>
        <w:t xml:space="preserve"> </w:t>
      </w:r>
      <w:r>
        <w:t xml:space="preserve">substance, but does not provide for the management of the risk. Other legislation, such as the TSD,</w:t>
      </w:r>
      <w:r>
        <w:t xml:space="preserve"> </w:t>
      </w:r>
      <w:r>
        <w:t xml:space="preserve">is to define whether and how the risks posed by certain chemical substances must be addressed in</w:t>
      </w:r>
      <w:r>
        <w:t xml:space="preserve"> </w:t>
      </w:r>
      <w:r>
        <w:t xml:space="preserve">specific products. While not all hazardous chemicals raise the same concerns, certain chemicals are</w:t>
      </w:r>
      <w:r>
        <w:t xml:space="preserve"> </w:t>
      </w:r>
      <w:r>
        <w:t xml:space="preserve">particularly harmful as they can cause cancers, affect the immune, respiratory, endocrine,</w:t>
      </w:r>
      <w:r>
        <w:t xml:space="preserve"> </w:t>
      </w:r>
      <w:r>
        <w:t xml:space="preserve">reproductive and cardiovascular systems, weaken human resilience and capacity to respond to</w:t>
      </w:r>
      <w:r>
        <w:t xml:space="preserve"> </w:t>
      </w:r>
      <w:r>
        <w:t xml:space="preserve">vaccines, or increase vulnerability to diseases. Exposure to these harmful chemicals is therefore a</w:t>
      </w:r>
      <w:r>
        <w:t xml:space="preserve"> </w:t>
      </w:r>
      <w:r>
        <w:t xml:space="preserve">threat to human health.39 Children, pregnant women, workers and the elderly are particularly</w:t>
      </w:r>
      <w:r>
        <w:t xml:space="preserve"> </w:t>
      </w:r>
      <w:r>
        <w:t xml:space="preserve">vulnerable to risks arising from chemical exposure, and have higher probabilities of adverse health</w:t>
      </w:r>
      <w:r>
        <w:t xml:space="preserve"> </w:t>
      </w:r>
      <w:r>
        <w:t xml:space="preserve">symptoms or diseases throughout their lives40.</w:t>
      </w:r>
      <w:r>
        <w:t xml:space="preserve"> </w:t>
      </w:r>
      <w:r>
        <w:t xml:space="preserve">The Toy Safety Directive does not sufficiently protect children from risks posed by the most harmful</w:t>
      </w:r>
      <w:r>
        <w:t xml:space="preserve"> </w:t>
      </w:r>
      <w:r>
        <w:t xml:space="preserve">chemicals. Children are exposed to harmful chemicals from different sources (indoor air, food, water,</w:t>
      </w:r>
      <w:r>
        <w:t xml:space="preserve"> </w:t>
      </w:r>
      <w:r>
        <w:t xml:space="preserve">consumer products in general, for example, as well as toys) and it is difficult to establish a clear link</w:t>
      </w:r>
      <w:r>
        <w:t xml:space="preserve"> </w:t>
      </w:r>
      <w:r>
        <w:t xml:space="preserve">between their exposure to these substances through one of these sources, such as toys, and immediate</w:t>
      </w:r>
      <w:r>
        <w:t xml:space="preserve"> </w:t>
      </w:r>
      <w:r>
        <w:t xml:space="preserve">health consequences. The particular vulnerability of children to the harmful effects of hazardous</w:t>
      </w:r>
      <w:r>
        <w:t xml:space="preserve"> </w:t>
      </w:r>
      <w:r>
        <w:t xml:space="preserve">chemicals is well documented41. There are physiological differences between children (especially</w:t>
      </w:r>
      <w:r>
        <w:t xml:space="preserve"> </w:t>
      </w:r>
      <w:r>
        <w:t xml:space="preserve">those under 36 months of age) and adults, affecting the accuracy of certain exposure assessment</w:t>
      </w:r>
      <w:r>
        <w:t xml:space="preserve"> </w:t>
      </w:r>
      <w:r>
        <w:t xml:space="preserve">methodologies (i.e. immature metabolic and immune system, proliferative tissues) 42434445.</w:t>
      </w:r>
      <w:r>
        <w:t xml:space="preserve"> </w:t>
      </w:r>
      <w:r>
        <w:t xml:space="preserve">Furthermore, the manner in which children interact with toys, in particular in their earlier years,</w:t>
      </w:r>
      <w:r>
        <w:t xml:space="preserve"> </w:t>
      </w:r>
      <w:r>
        <w:t xml:space="preserve">makes them particularly exposed to any harmful chemicals that may be present in toys. Children</w:t>
      </w:r>
      <w:r>
        <w:t xml:space="preserve"> </w:t>
      </w:r>
      <w:r>
        <w:t xml:space="preserve">exhibit specific habits and practices that may result in exposure scenarios not considered for other</w:t>
      </w:r>
      <w:r>
        <w:t xml:space="preserve"> </w:t>
      </w:r>
      <w:r>
        <w:t xml:space="preserve">population groups. Under the age of 3, mouthing behaviour plays an important role regarding contact</w:t>
      </w:r>
      <w:r>
        <w:t xml:space="preserve"> </w:t>
      </w:r>
      <w:r>
        <w:t xml:space="preserve">of children with toy materials46. As an example, the current migration limits for 19 substances or</w:t>
      </w:r>
      <w:r>
        <w:t xml:space="preserve"> </w:t>
      </w:r>
      <w:r>
        <w:t xml:space="preserve">heavy metals in the Directive are based on the assumption that a child would ingest per day 100 mg</w:t>
      </w:r>
      <w:r>
        <w:t xml:space="preserve"> </w:t>
      </w:r>
      <w:r>
        <w:t xml:space="preserve">of dry, brittle, powder-like or pliable toy material, 400 mg of liquid or sticky toy material, and 8 mg</w:t>
      </w:r>
      <w:r>
        <w:t xml:space="preserve"> </w:t>
      </w:r>
      <w:r>
        <w:t xml:space="preserve">of scraped-off toy material. Studies show that children are currently exposed to known and unknown</w:t>
      </w:r>
    </w:p>
    <w:p>
      <w:pPr>
        <w:pStyle w:val="BodyText"/>
      </w:pPr>
      <w:r>
        <w:t xml:space="preserve">38 The essential requirements of the Directive addressing other risks, supported by harmonised standards, have allowed</w:t>
      </w:r>
      <w:r>
        <w:t xml:space="preserve"> </w:t>
      </w:r>
      <w:r>
        <w:t xml:space="preserve">to address or adapt the detailed technical specifications whenever new issues have emerged.</w:t>
      </w:r>
      <w:r>
        <w:t xml:space="preserve"> </w:t>
      </w:r>
      <w:r>
        <w:t xml:space="preserve">39 See the CSS.</w:t>
      </w:r>
      <w:r>
        <w:t xml:space="preserve"> </w:t>
      </w:r>
      <w:r>
        <w:t xml:space="preserve">40 European Commission, Study for the Strategy for the Non-Toxic Environment, p. 74</w:t>
      </w:r>
      <w:r>
        <w:t xml:space="preserve"> </w:t>
      </w:r>
      <w:r>
        <w:t xml:space="preserve">41 European Commission, Study for the Strategy for the Non-Toxic Environment,</w:t>
      </w:r>
      <w:r>
        <w:t xml:space="preserve"> </w:t>
      </w:r>
      <w:r>
        <w:t xml:space="preserve">42</w:t>
      </w:r>
      <w:r>
        <w:t xml:space="preserve"> </w:t>
      </w:r>
      <w:r>
        <w:t xml:space="preserve">https://www.oecd.org/officialdocuments/publicdisplaydocumentpdf/?cote=ENV/JM/MONO(2019)29&amp;docLanguage=e</w:t>
      </w:r>
      <w:r>
        <w:t xml:space="preserve"> </w:t>
      </w:r>
      <w:r>
        <w:t xml:space="preserve">n</w:t>
      </w:r>
      <w:r>
        <w:t xml:space="preserve"> </w:t>
      </w:r>
      <w:r>
        <w:t xml:space="preserve">43 Environmental Chemicals and Children | Washington State Department of Health</w:t>
      </w:r>
      <w:r>
        <w:t xml:space="preserve"> </w:t>
      </w:r>
      <w:r>
        <w:t xml:space="preserve">44 SWD(2019) 199.</w:t>
      </w:r>
      <w:r>
        <w:t xml:space="preserve"> </w:t>
      </w:r>
      <w:r>
        <w:t xml:space="preserve">45 Carroquino, Maria J. et al. “Environmental Toxicology: Children at Risk.” Environmental Toxicology: Selected Entries</w:t>
      </w:r>
      <w:r>
        <w:t xml:space="preserve"> </w:t>
      </w:r>
      <w:r>
        <w:t xml:space="preserve">from the Encyclopedia of Sustainability Science and Technology 239–291. 4 Dec. 2012, doi:10.1007/978-1-4614-5764-</w:t>
      </w:r>
      <w:r>
        <w:t xml:space="preserve"> </w:t>
      </w:r>
      <w:r>
        <w:t xml:space="preserve">0_11</w:t>
      </w:r>
      <w:r>
        <w:br/>
      </w:r>
      <w:r>
        <w:t xml:space="preserve">46 See the SCHEER opinion on the estimates of amount of toy materials ingested by children Estimates of the amount of</w:t>
      </w:r>
      <w:r>
        <w:t xml:space="preserve"> </w:t>
      </w:r>
      <w:r>
        <w:t xml:space="preserve">toy materials ingested by children (europa.eu): Toys not intended to be mouthed were mouthed almost as frequently as</w:t>
      </w:r>
      <w:r>
        <w:t xml:space="preserve"> </w:t>
      </w:r>
      <w:r>
        <w:t xml:space="preserve">toys intended to be mouthed.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</w:t>
      </w:r>
      <w:r>
        <w:t xml:space="preserve"> </w:t>
      </w:r>
      <w:r>
        <w:t xml:space="preserve">EN</w:t>
      </w:r>
      <w:r>
        <w:t xml:space="preserve"> </w:t>
      </w:r>
      <w:r>
        <w:t xml:space="preserve">endocrine disrupting chemicals in toys47, or to other chemicals that pose risks to children48. See annex</w:t>
      </w:r>
      <w:r>
        <w:t xml:space="preserve"> </w:t>
      </w:r>
      <w:r>
        <w:t xml:space="preserve">10. D. for an estimate of the potential harmful chemicals that could be currently present in toys. In</w:t>
      </w:r>
      <w:r>
        <w:t xml:space="preserve"> </w:t>
      </w:r>
      <w:r>
        <w:t xml:space="preserve">particular, it has been mentioned by industry that toys like balloons, paints, modelling clays, glue or</w:t>
      </w:r>
      <w:r>
        <w:t xml:space="preserve"> </w:t>
      </w:r>
      <w:r>
        <w:t xml:space="preserve">slime could be affected by the policy options proposed in this impact assessment.</w:t>
      </w:r>
      <w:r>
        <w:br/>
      </w:r>
      <w:r>
        <w:t xml:space="preserve">CMR (carcinogenic, mutagenic or toxic for reproduction) substances are particularly harmful,</w:t>
      </w:r>
      <w:r>
        <w:t xml:space="preserve"> </w:t>
      </w:r>
      <w:r>
        <w:t xml:space="preserve">and their effects can only be seen in the long term and are often irreversible. The Evaluation</w:t>
      </w:r>
      <w:r>
        <w:t xml:space="preserve"> </w:t>
      </w:r>
      <w:r>
        <w:t xml:space="preserve">concluded that the current requirements in the Directive for CMR substances are not effective</w:t>
      </w:r>
      <w:r>
        <w:t xml:space="preserve"> </w:t>
      </w:r>
      <w:r>
        <w:t xml:space="preserve">and they do not sufficiently protect children from these substances in toys. As will be explained</w:t>
      </w:r>
      <w:r>
        <w:t xml:space="preserve"> </w:t>
      </w:r>
      <w:r>
        <w:t xml:space="preserve">below when describing the drivers of this problem (see section 2.2.1 below), the TSD contains</w:t>
      </w:r>
      <w:r>
        <w:t xml:space="preserve"> </w:t>
      </w:r>
      <w:r>
        <w:t xml:space="preserve">generic bans for CMR substances subject to derogations, but these derogations still allow for too high</w:t>
      </w:r>
      <w:r>
        <w:t xml:space="preserve"> </w:t>
      </w:r>
      <w:r>
        <w:t xml:space="preserve">a presence of CMRs in toys. Furthermore, the limit values currently set in the TSD for nitrosamines</w:t>
      </w:r>
      <w:r>
        <w:t xml:space="preserve"> </w:t>
      </w:r>
      <w:r>
        <w:t xml:space="preserve">and nitrosatable substances, which are strong carcinogens, are deemed to be too high, and these limits</w:t>
      </w:r>
      <w:r>
        <w:t xml:space="preserve"> </w:t>
      </w:r>
      <w:r>
        <w:t xml:space="preserve">cannot be amended by the Commission with its empowerments.</w:t>
      </w:r>
      <w:r>
        <w:t xml:space="preserve"> </w:t>
      </w:r>
      <w:r>
        <w:t xml:space="preserve">In addition, there are ongoing and emerging health concerns for other most harmful chemicals that</w:t>
      </w:r>
      <w:r>
        <w:t xml:space="preserve"> </w:t>
      </w:r>
      <w:r>
        <w:t xml:space="preserve">are not addressed by the Directive. This is particularly the case for chemicals that affect the</w:t>
      </w:r>
      <w:r>
        <w:t xml:space="preserve"> </w:t>
      </w:r>
      <w:r>
        <w:t xml:space="preserve">endocrine system, the immune, neurological or respiratory systems or chemicals that are toxic</w:t>
      </w:r>
      <w:r>
        <w:t xml:space="preserve"> </w:t>
      </w:r>
      <w:r>
        <w:t xml:space="preserve">to a specific organ. In respect of these chemicals, the Fitness Check on Chemicals legislation</w:t>
      </w:r>
      <w:r>
        <w:t xml:space="preserve"> </w:t>
      </w:r>
      <w:r>
        <w:t xml:space="preserve">excluding REACH49 pointed to shortcomings in current legislation in meeting the objectives of</w:t>
      </w:r>
      <w:r>
        <w:t xml:space="preserve"> </w:t>
      </w:r>
      <w:r>
        <w:t xml:space="preserve">protecting human health in particular as regards exposures to: neurotoxic substances; chemicals</w:t>
      </w:r>
      <w:r>
        <w:t xml:space="preserve"> </w:t>
      </w:r>
      <w:r>
        <w:t xml:space="preserve">linked to cardiovascular and respiratory (CVR) disease; and endocrine disrupting chemicals. The</w:t>
      </w:r>
      <w:r>
        <w:t xml:space="preserve"> </w:t>
      </w:r>
      <w:r>
        <w:t xml:space="preserve">possible risks associated with the combination of chemicals are also not addressed in the</w:t>
      </w:r>
      <w:r>
        <w:t xml:space="preserve"> </w:t>
      </w:r>
      <w:r>
        <w:t xml:space="preserve">Directive. There are no specific legal requirements to ensure that risks from simultaneous exposure</w:t>
      </w:r>
      <w:r>
        <w:t xml:space="preserve"> </w:t>
      </w:r>
      <w:r>
        <w:t xml:space="preserve">to multiple chemicals are effectively and systematically taken into account in toys. While it may not</w:t>
      </w:r>
      <w:r>
        <w:t xml:space="preserve"> </w:t>
      </w:r>
      <w:r>
        <w:t xml:space="preserve">be currently realistic or economically feasible to specifically assess and regulate an almost infinite</w:t>
      </w:r>
      <w:r>
        <w:t xml:space="preserve"> </w:t>
      </w:r>
      <w:r>
        <w:t xml:space="preserve">number of possible combinations of chemicals, scientific consensus is emerging that the effect of</w:t>
      </w:r>
      <w:r>
        <w:t xml:space="preserve"> </w:t>
      </w:r>
      <w:r>
        <w:t xml:space="preserve">chemical mixtures needs to be taken into account and integrated more generally into chemical risk</w:t>
      </w:r>
      <w:r>
        <w:t xml:space="preserve"> </w:t>
      </w:r>
      <w:r>
        <w:t xml:space="preserve">assessments50.</w:t>
      </w:r>
      <w:r>
        <w:br/>
      </w:r>
      <w:r>
        <w:t xml:space="preserve">Endocrine-disrupting (ED) chemicals require specific attention; these chemical substances can</w:t>
      </w:r>
      <w:r>
        <w:t xml:space="preserve"> </w:t>
      </w:r>
      <w:r>
        <w:t xml:space="preserve">alter the functioning of the endocrine (hormonal) system and negatively affect the health of humans</w:t>
      </w:r>
      <w:r>
        <w:t xml:space="preserve"> </w:t>
      </w:r>
      <w:r>
        <w:t xml:space="preserve">or animals. Endocrine disrupting properties have been the focus of increasing scientific research, and</w:t>
      </w:r>
    </w:p>
    <w:p>
      <w:pPr>
        <w:pStyle w:val="BodyText"/>
      </w:pPr>
      <w:r>
        <w:t xml:space="preserve">47 See for example “Potential endocrine disrupting properties of toys for babies and infants” available at:</w:t>
      </w:r>
      <w:r>
        <w:t xml:space="preserve"> </w:t>
      </w:r>
      <w:r>
        <w:t xml:space="preserve">https://doi.org/10.1371/journal.pone.0231171; where nine of the 18 products showed significant oestrogenic activity. For</w:t>
      </w:r>
      <w:r>
        <w:t xml:space="preserve"> </w:t>
      </w:r>
      <w:r>
        <w:t xml:space="preserve">seven of those, the source of the activity could not be accounted for by reference to a list of 41 known or suspected</w:t>
      </w:r>
      <w:r>
        <w:t xml:space="preserve"> </w:t>
      </w:r>
      <w:r>
        <w:t xml:space="preserve">endocrine disrupting chemicals that had been compiled primarily from literature reviews of substances authorised for use</w:t>
      </w:r>
      <w:r>
        <w:t xml:space="preserve"> </w:t>
      </w:r>
      <w:r>
        <w:t xml:space="preserve">in food packaging materials. See also the UN Environment Programme (UNEP) report that finds 25% of children’s toys</w:t>
      </w:r>
      <w:r>
        <w:t xml:space="preserve"> </w:t>
      </w:r>
      <w:r>
        <w:t xml:space="preserve">contain</w:t>
      </w:r>
      <w:r>
        <w:t xml:space="preserve"> </w:t>
      </w:r>
      <w:r>
        <w:t xml:space="preserve">harmful</w:t>
      </w:r>
      <w:r>
        <w:t xml:space="preserve"> </w:t>
      </w:r>
      <w:r>
        <w:t xml:space="preserve">chemicals</w:t>
      </w:r>
      <w:r>
        <w:t xml:space="preserve"> </w:t>
      </w:r>
      <w:r>
        <w:t xml:space="preserve">“Chemicals</w:t>
      </w:r>
      <w:r>
        <w:t xml:space="preserve"> </w:t>
      </w:r>
      <w:r>
        <w:t xml:space="preserve">of</w:t>
      </w:r>
      <w:r>
        <w:t xml:space="preserve"> </w:t>
      </w:r>
      <w:r>
        <w:t xml:space="preserve">concern</w:t>
      </w:r>
      <w:r>
        <w:t xml:space="preserve"> </w:t>
      </w:r>
      <w:r>
        <w:t xml:space="preserve">in</w:t>
      </w:r>
      <w:r>
        <w:t xml:space="preserve"> </w:t>
      </w:r>
      <w:r>
        <w:t xml:space="preserve">plastic</w:t>
      </w:r>
      <w:r>
        <w:t xml:space="preserve"> </w:t>
      </w:r>
      <w:r>
        <w:t xml:space="preserve">toys”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https://doi.org/10.1016/j.envint.2020.106194. Results indicate that a relevant amount of chemicals used in plastic toy</w:t>
      </w:r>
      <w:r>
        <w:t xml:space="preserve"> </w:t>
      </w:r>
      <w:r>
        <w:t xml:space="preserve">materials may pose a non-negligible health risk to children, calling for more refined investigations and more human- and</w:t>
      </w:r>
      <w:r>
        <w:t xml:space="preserve"> </w:t>
      </w:r>
      <w:r>
        <w:t xml:space="preserve">eco-friendly alternatives. Out of 419 chemicals found in hard, soft and foam plastic materials used in children toys, 126</w:t>
      </w:r>
      <w:r>
        <w:t xml:space="preserve"> </w:t>
      </w:r>
      <w:r>
        <w:t xml:space="preserve">substances that can potentially harm children’s health either via cancer or non-cancer effects were identified, including</w:t>
      </w:r>
      <w:r>
        <w:t xml:space="preserve"> </w:t>
      </w:r>
      <w:r>
        <w:t xml:space="preserve">31 plasticizers, 18 flame retardants, and 8 fragrances. See also “CMR Substances in Toys – Market Surveillance and</w:t>
      </w:r>
      <w:r>
        <w:t xml:space="preserve"> </w:t>
      </w:r>
      <w:r>
        <w:t xml:space="preserve">Risk</w:t>
      </w:r>
      <w:r>
        <w:t xml:space="preserve"> </w:t>
      </w:r>
      <w:r>
        <w:t xml:space="preserve">Assessment”,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Danish</w:t>
      </w:r>
      <w:r>
        <w:t xml:space="preserve"> </w:t>
      </w:r>
      <w:r>
        <w:t xml:space="preserve">Environmental</w:t>
      </w:r>
      <w:r>
        <w:t xml:space="preserve"> </w:t>
      </w:r>
      <w:r>
        <w:t xml:space="preserve">Protection</w:t>
      </w:r>
      <w:r>
        <w:t xml:space="preserve"> </w:t>
      </w:r>
      <w:r>
        <w:t xml:space="preserve">Agency,</w:t>
      </w:r>
      <w:r>
        <w:t xml:space="preserve"> </w:t>
      </w:r>
      <w:r>
        <w:t xml:space="preserve">2015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https://www2.mst.dk/Udgiv/publications/2015/10/978-87-93352-79-7.pdf</w:t>
      </w:r>
      <w:r>
        <w:t xml:space="preserve"> </w:t>
      </w:r>
      <w:r>
        <w:t xml:space="preserve">48 A Danish survey showed that 12 out of 12 tested squishies emitted chemical substances that posed a risk for children:</w:t>
      </w:r>
      <w:r>
        <w:t xml:space="preserve"> </w:t>
      </w:r>
      <w:r>
        <w:t xml:space="preserve">Analysis</w:t>
      </w:r>
      <w:r>
        <w:t xml:space="preserve"> </w:t>
      </w:r>
      <w:r>
        <w:t xml:space="preserve">and</w:t>
      </w:r>
      <w:r>
        <w:t xml:space="preserve"> </w:t>
      </w:r>
      <w:r>
        <w:t xml:space="preserve">risk</w:t>
      </w:r>
      <w:r>
        <w:t xml:space="preserve"> </w:t>
      </w:r>
      <w:r>
        <w:t xml:space="preserve">assessment</w:t>
      </w:r>
      <w:r>
        <w:t xml:space="preserve"> </w:t>
      </w:r>
      <w:r>
        <w:t xml:space="preserve">of</w:t>
      </w:r>
      <w:r>
        <w:t xml:space="preserve"> </w:t>
      </w:r>
      <w:r>
        <w:t xml:space="preserve">fragrances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organic</w:t>
      </w:r>
      <w:r>
        <w:t xml:space="preserve"> </w:t>
      </w:r>
      <w:r>
        <w:t xml:space="preserve">substances</w:t>
      </w:r>
      <w:r>
        <w:t xml:space="preserve"> </w:t>
      </w:r>
      <w:r>
        <w:t xml:space="preserve">in</w:t>
      </w:r>
      <w:r>
        <w:t xml:space="preserve"> </w:t>
      </w:r>
      <w:r>
        <w:t xml:space="preserve">squishy</w:t>
      </w:r>
      <w:r>
        <w:t xml:space="preserve"> </w:t>
      </w:r>
      <w:r>
        <w:t xml:space="preserve">toys,</w:t>
      </w:r>
      <w:r>
        <w:t xml:space="preserve"> </w:t>
      </w:r>
      <w:r>
        <w:t xml:space="preserve">https://www2.msl.dk/Ud£iv/Dub1ications/2oi8/o8/Q78-87-QT7io-64-i.ndf.</w:t>
      </w:r>
      <w:r>
        <w:t xml:space="preserve"> </w:t>
      </w:r>
      <w:r>
        <w:t xml:space="preserve">49 https://ec.europa.eu/info/publications/fitness-check-most-relevant-chemical-legislation-excluding-reach_en</w:t>
      </w:r>
      <w:r>
        <w:t xml:space="preserve"> </w:t>
      </w:r>
      <w:r>
        <w:t xml:space="preserve">50 See section 2.2.2. of the CSS.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</w:t>
      </w:r>
      <w:r>
        <w:t xml:space="preserve"> </w:t>
      </w:r>
      <w:r>
        <w:t xml:space="preserve">EN</w:t>
      </w:r>
      <w:r>
        <w:t xml:space="preserve"> </w:t>
      </w:r>
      <w:r>
        <w:t xml:space="preserve">the accumulated knowledge identifies endocrine disruptors as a concern to public health5152. Given</w:t>
      </w:r>
      <w:r>
        <w:t xml:space="preserve"> </w:t>
      </w:r>
      <w:r>
        <w:t xml:space="preserve">the essential role of the endocrine system during development, exposure to endocrine disruptors</w:t>
      </w:r>
      <w:r>
        <w:t xml:space="preserve"> </w:t>
      </w:r>
      <w:r>
        <w:t xml:space="preserve">during vulnerable periods can induce long-lasting changes, with adverse effects in the short and long</w:t>
      </w:r>
      <w:r>
        <w:t xml:space="preserve"> </w:t>
      </w:r>
      <w:r>
        <w:t xml:space="preserve">terms; some of these effects are expected at very low-doses53. Early exposure during critical periods</w:t>
      </w:r>
      <w:r>
        <w:t xml:space="preserve"> </w:t>
      </w:r>
      <w:r>
        <w:t xml:space="preserve">of development can affect health at a later stage of life54. Many chronic health disorders have been</w:t>
      </w:r>
      <w:r>
        <w:t xml:space="preserve"> </w:t>
      </w:r>
      <w:r>
        <w:t xml:space="preserve">clearly linked to endocrine disruptors55. These disorders include obesity and metabolic disorders,</w:t>
      </w:r>
      <w:r>
        <w:t xml:space="preserve"> </w:t>
      </w:r>
      <w:r>
        <w:t xml:space="preserve">male and female reproductive disorders, reproductive cancers, thyroid disorders, neurodevelopmental</w:t>
      </w:r>
      <w:r>
        <w:t xml:space="preserve"> </w:t>
      </w:r>
      <w:r>
        <w:t xml:space="preserve">disease and IQ loss 56. It is not possible to quantify fully the impact on human health of chemicals</w:t>
      </w:r>
      <w:r>
        <w:t xml:space="preserve"> </w:t>
      </w:r>
      <w:r>
        <w:t xml:space="preserve">with the most critical hazards. However, for illustrative purposes, a causal link of 70% to 100%</w:t>
      </w:r>
      <w:r>
        <w:t xml:space="preserve"> </w:t>
      </w:r>
      <w:r>
        <w:t xml:space="preserve">between exposure to EDs and IQ loss and intellectual deficiencies was identified57. EDs are also</w:t>
      </w:r>
      <w:r>
        <w:t xml:space="preserve"> </w:t>
      </w:r>
      <w:r>
        <w:t xml:space="preserve">suspected to cause male fertility troubles with a probability of causation between 40-69%.</w:t>
      </w:r>
      <w:r>
        <w:t xml:space="preserve"> </w:t>
      </w:r>
      <w:r>
        <w:t xml:space="preserve">Researchers estimated that exposure to EDs leads to substantial health-related societal costs in the</w:t>
      </w:r>
      <w:r>
        <w:t xml:space="preserve"> </w:t>
      </w:r>
      <w:r>
        <w:t xml:space="preserve">EU between 46 and 288 billion Euro per year58. The TSD does not currently have provisions that</w:t>
      </w:r>
      <w:r>
        <w:t xml:space="preserve"> </w:t>
      </w:r>
      <w:r>
        <w:t xml:space="preserve">allow to address EDs in toys in general and limit children exposure wherever this is necessary.</w:t>
      </w:r>
      <w:r>
        <w:br/>
      </w:r>
      <w:r>
        <w:t xml:space="preserve">Chemicals that affect the immune, neurological or respiratory systems or chemicals that are</w:t>
      </w:r>
      <w:r>
        <w:t xml:space="preserve"> </w:t>
      </w:r>
      <w:r>
        <w:t xml:space="preserve">toxic to a specific organ are also amongst the most harmful chemicals. It is equally well</w:t>
      </w:r>
      <w:r>
        <w:t xml:space="preserve"> </w:t>
      </w:r>
      <w:r>
        <w:t xml:space="preserve">documented that neurotoxic chemicals are particularly harmful to the developing brain of children,</w:t>
      </w:r>
      <w:r>
        <w:t xml:space="preserve"> </w:t>
      </w:r>
      <w:r>
        <w:t xml:space="preserve">which is inherently more vulnerable to toxic injury than the adult brain59. Adverse effects of exposure</w:t>
      </w:r>
      <w:r>
        <w:t xml:space="preserve"> </w:t>
      </w:r>
      <w:r>
        <w:t xml:space="preserve">to certain chemicals on IQ scores are well established and other disorders where the role of chemical</w:t>
      </w:r>
      <w:r>
        <w:t xml:space="preserve"> </w:t>
      </w:r>
      <w:r>
        <w:t xml:space="preserve">exposure is suspected, include ADHD and autism. Recent research has focussed on links to</w:t>
      </w:r>
      <w:r>
        <w:t xml:space="preserve"> </w:t>
      </w:r>
      <w:r>
        <w:t xml:space="preserve">depression, bipolar disorder, OCD, psychoses, dementia, Parkinson and Alzheimer’s.60 For example,</w:t>
      </w:r>
      <w:r>
        <w:t xml:space="preserve"> </w:t>
      </w:r>
      <w:r>
        <w:t xml:space="preserve">it can be estimated that, in the EU, some 30,000 disability adjusted life years (DALYs) related to</w:t>
      </w:r>
      <w:r>
        <w:t xml:space="preserve"> </w:t>
      </w:r>
      <w:r>
        <w:t xml:space="preserve">neurotoxic disease may be a result of chemicals exposure, with some 250,000 DALYs a result of</w:t>
      </w:r>
      <w:r>
        <w:t xml:space="preserve"> </w:t>
      </w:r>
      <w:r>
        <w:t xml:space="preserve">chemicals exposure combined with underlying genetic predisposition. Developmental disabilities due</w:t>
      </w:r>
      <w:r>
        <w:t xml:space="preserve"> </w:t>
      </w:r>
      <w:r>
        <w:t xml:space="preserve">to chemicals alone could cost the EU between €1.7 up to €4 billion per year directly and up to €14 –</w:t>
      </w:r>
      <w:r>
        <w:t xml:space="preserve"> </w:t>
      </w:r>
      <w:r>
        <w:t xml:space="preserve">€33 billion per year taking into account chemical exposure and combined with genetic factors,</w:t>
      </w:r>
      <w:r>
        <w:t xml:space="preserve"> </w:t>
      </w:r>
      <w:r>
        <w:t xml:space="preserve">depending on the valuation used61. Environmentally attributable childhood asthma (i.e. where the</w:t>
      </w:r>
      <w:r>
        <w:t xml:space="preserve"> </w:t>
      </w:r>
      <w:r>
        <w:t xml:space="preserve">onset of asthma has been triggered by exposure to pollution and hazardous chemicals) was estimated</w:t>
      </w:r>
      <w:r>
        <w:t xml:space="preserve"> </w:t>
      </w:r>
      <w:r>
        <w:t xml:space="preserve">in 2013 to cost the EU approximately €1.6 billion per year (inclusive of direct medical costs and</w:t>
      </w:r>
      <w:r>
        <w:t xml:space="preserve"> </w:t>
      </w:r>
      <w:r>
        <w:t xml:space="preserve">indirect economic losses due to productive time lost by care for children with asthma).62 The TSD</w:t>
      </w:r>
    </w:p>
    <w:p>
      <w:pPr>
        <w:pStyle w:val="BodyText"/>
      </w:pPr>
      <w:r>
        <w:t xml:space="preserve">51 United Nations Environment Programme, State of the Science of Endocrine Disputing Chemicals - IPCP-2012.</w:t>
      </w:r>
      <w:r>
        <w:t xml:space="preserve"> </w:t>
      </w:r>
      <w:r>
        <w:t xml:space="preserve">52 L.N. Vandenberg &amp; J.L. Turgeon, Endocrine disrupting chemicals: Understanding what matters. In L. N. Vandenberg,</w:t>
      </w:r>
      <w:r>
        <w:t xml:space="preserve"> </w:t>
      </w:r>
      <w:r>
        <w:t xml:space="preserve">&amp; J. L. Turgeon (Eds.), Endocrine-Disrupting Chemicals, 2021. Combined effects on two year old children (mst.dk)</w:t>
      </w:r>
      <w:r>
        <w:t xml:space="preserve"> </w:t>
      </w:r>
      <w:r>
        <w:t xml:space="preserve">53 See also Prederi, Barbara, Alves, Crésio A.D. et Lughetti Lorenzo. “New insights on the effects of endocrine disrupting</w:t>
      </w:r>
      <w:r>
        <w:t xml:space="preserve"> </w:t>
      </w:r>
      <w:r>
        <w:t xml:space="preserve">chemicals on children” Jornal de Pediatria Volume 98, supplement 1, March-April 2022, p. S73.</w:t>
      </w:r>
      <w:r>
        <w:t xml:space="preserve"> </w:t>
      </w:r>
      <w:r>
        <w:t xml:space="preserve">https://doi.org/10.1016/j.jped.2021.11.003</w:t>
      </w:r>
      <w:r>
        <w:t xml:space="preserve"> </w:t>
      </w:r>
      <w:r>
        <w:t xml:space="preserve">54 Fitness Check on endocrine disruptors and its Executive Summary, accompanying the Chemicals Strategy for</w:t>
      </w:r>
      <w:r>
        <w:t xml:space="preserve"> </w:t>
      </w:r>
      <w:r>
        <w:t xml:space="preserve">Sustainability SWD(2020) 251 final.</w:t>
      </w:r>
      <w:r>
        <w:t xml:space="preserve"> </w:t>
      </w:r>
      <w:r>
        <w:t xml:space="preserve">55 Endocrine-related disorders impact in particular the functioning of the thyroid, the immune system, the reproduction</w:t>
      </w:r>
      <w:r>
        <w:t xml:space="preserve"> </w:t>
      </w:r>
      <w:r>
        <w:t xml:space="preserve">system and the overall human metabolism. SWD(2020) 249.</w:t>
      </w:r>
      <w:r>
        <w:t xml:space="preserve"> </w:t>
      </w:r>
      <w:r>
        <w:t xml:space="preserve">56 Endocrine Disruptors: from Scientific Evidence to Human Health Protection (aesan.gob.es)</w:t>
      </w:r>
      <w:r>
        <w:t xml:space="preserve"> </w:t>
      </w:r>
      <w:r>
        <w:t xml:space="preserve">57 Technical and Scientific Support to the Commission’s Impact Assessment for the Revision of the Regulation on</w:t>
      </w:r>
      <w:r>
        <w:t xml:space="preserve"> </w:t>
      </w:r>
      <w:r>
        <w:t xml:space="preserve">Classification, Labelling and Packaging of Substances and Mixtures (CLP), to be published.</w:t>
      </w:r>
      <w:r>
        <w:t xml:space="preserve"> </w:t>
      </w:r>
      <w:r>
        <w:t xml:space="preserve">58 I. Rijk, M. van Duursen, and M. van den Berg, Health cost that may be associated with Endocrine Disrupting Chemicals</w:t>
      </w:r>
      <w:r>
        <w:t xml:space="preserve"> </w:t>
      </w:r>
      <w:r>
        <w:t xml:space="preserve">— An inventory, evaluation and way forward to assess the potential health impact of EDC-associated health effects in</w:t>
      </w:r>
      <w:r>
        <w:t xml:space="preserve"> </w:t>
      </w:r>
      <w:r>
        <w:t xml:space="preserve">the EU, Institute for Risk Assessment Sciences, University of Utrecht, 2016.</w:t>
      </w:r>
      <w:r>
        <w:t xml:space="preserve"> </w:t>
      </w:r>
      <w:r>
        <w:t xml:space="preserve">59 The toxic truth | UNICEF</w:t>
      </w:r>
      <w:r>
        <w:t xml:space="preserve"> </w:t>
      </w:r>
      <w:r>
        <w:t xml:space="preserve">60 Fitness Check of Chemicals legislation (excluding REACH).</w:t>
      </w:r>
      <w:r>
        <w:t xml:space="preserve"> </w:t>
      </w:r>
      <w:r>
        <w:t xml:space="preserve">61 Study on the cumulative health and environmental benefits of chemical legislation - Publications Office of the EU</w:t>
      </w:r>
      <w:r>
        <w:t xml:space="preserve"> </w:t>
      </w:r>
      <w:r>
        <w:t xml:space="preserve">(europa.eu)</w:t>
      </w:r>
      <w:r>
        <w:t xml:space="preserve"> </w:t>
      </w:r>
      <w:r>
        <w:t xml:space="preserve">62 Study on the cumulative health and environmental benefits of chemical legislation - Publications Office of the EU</w:t>
      </w:r>
      <w:r>
        <w:t xml:space="preserve"> </w:t>
      </w:r>
      <w:r>
        <w:t xml:space="preserve">(europa.eu)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15</w:t>
      </w:r>
      <w:r>
        <w:t xml:space="preserve"> </w:t>
      </w:r>
      <w:r>
        <w:t xml:space="preserve">EN</w:t>
      </w:r>
      <w:r>
        <w:t xml:space="preserve"> </w:t>
      </w:r>
      <w:r>
        <w:t xml:space="preserve">has specific limit values for some of the chemicals in these categories, but it does not address</w:t>
      </w:r>
      <w:r>
        <w:t xml:space="preserve"> </w:t>
      </w:r>
      <w:r>
        <w:t xml:space="preserve">them in a general manner and new limit values for other substances in this category cannot be</w:t>
      </w:r>
      <w:r>
        <w:t xml:space="preserve"> </w:t>
      </w:r>
      <w:r>
        <w:t xml:space="preserve">generally introduced either.</w:t>
      </w:r>
      <w:r>
        <w:br/>
      </w:r>
      <w:r>
        <w:t xml:space="preserve">Sufficient protection needs to be provided to children from potential exposure to those risks for</w:t>
      </w:r>
      <w:r>
        <w:t xml:space="preserve"> </w:t>
      </w:r>
      <w:r>
        <w:t xml:space="preserve">human health when playing with toys. Risks coming from harmful substances are often only visible</w:t>
      </w:r>
      <w:r>
        <w:t xml:space="preserve"> </w:t>
      </w:r>
      <w:r>
        <w:t xml:space="preserve">long term and parents are generally unaware of these risks in toys or of their potential severity; as</w:t>
      </w:r>
      <w:r>
        <w:t xml:space="preserve"> </w:t>
      </w:r>
      <w:r>
        <w:t xml:space="preserve">opposed to mechanical risks, they cannot be avoided by parents being more or less vigilant of their</w:t>
      </w:r>
      <w:r>
        <w:t xml:space="preserve"> </w:t>
      </w:r>
      <w:r>
        <w:t xml:space="preserve">children playing with toys. Increasing the requirements in the TSD for harmful chemicals is not</w:t>
      </w:r>
      <w:r>
        <w:t xml:space="preserve"> </w:t>
      </w:r>
      <w:r>
        <w:t xml:space="preserve">expected to lead to less surveillance of children by their parents when playing with toys (i.e. the</w:t>
      </w:r>
      <w:r>
        <w:t xml:space="preserve"> </w:t>
      </w:r>
      <w:r>
        <w:t xml:space="preserve">Peltzman effect is not expected to materialise).</w:t>
      </w:r>
      <w:r>
        <w:br/>
      </w:r>
      <w:r>
        <w:t xml:space="preserve">REACH already regulates the environmental aspects of toys and the chemical substances in toys that</w:t>
      </w:r>
      <w:r>
        <w:t xml:space="preserve"> </w:t>
      </w:r>
      <w:r>
        <w:t xml:space="preserve">pose a risk to the environment. Furthermore, the ESPR will also apply to toys. Therefore, the extent</w:t>
      </w:r>
      <w:r>
        <w:t xml:space="preserve"> </w:t>
      </w:r>
      <w:r>
        <w:t xml:space="preserve">to which harmful substances to the environment may be limited in consumer products (such as</w:t>
      </w:r>
      <w:r>
        <w:t xml:space="preserve"> </w:t>
      </w:r>
      <w:r>
        <w:t xml:space="preserve">substances which are persistent, bioaccumulative and toxic – PBTs and vPvBs), including in toys,</w:t>
      </w:r>
      <w:r>
        <w:t xml:space="preserve"> </w:t>
      </w:r>
      <w:r>
        <w:t xml:space="preserve">will continue to be addressed under horizontal legislation such as REACH and the ESPR and not in</w:t>
      </w:r>
      <w:r>
        <w:t xml:space="preserve"> </w:t>
      </w:r>
      <w:r>
        <w:t xml:space="preserve">the revision of the TSD.</w:t>
      </w:r>
      <w:r>
        <w:br/>
      </w:r>
      <w:r>
        <w:t xml:space="preserve">2.1.2. Problem 2- A high number of toys on the Union market do not comply with the</w:t>
      </w:r>
      <w:r>
        <w:t xml:space="preserve"> </w:t>
      </w:r>
      <w:r>
        <w:t xml:space="preserve">Toy Safety Directive and are unsafe</w:t>
      </w:r>
      <w:r>
        <w:t xml:space="preserve"> </w:t>
      </w:r>
      <w:r>
        <w:t xml:space="preserve">Unsafe toys put children at risk and may lead to accidents that can even be fatal. Not all toys on the</w:t>
      </w:r>
      <w:r>
        <w:t xml:space="preserve"> </w:t>
      </w:r>
      <w:r>
        <w:t xml:space="preserve">market can be subject to checks and, therefore, the exact share of non-compliant toys in the Union</w:t>
      </w:r>
      <w:r>
        <w:t xml:space="preserve"> </w:t>
      </w:r>
      <w:r>
        <w:t xml:space="preserve">market cannot be quantified with precision. However, there are sufficient separate indicators that</w:t>
      </w:r>
      <w:r>
        <w:t xml:space="preserve"> </w:t>
      </w:r>
      <w:r>
        <w:t xml:space="preserve">confirm that the number of non-compliant toys on the Union market is very high. Whenever market</w:t>
      </w:r>
      <w:r>
        <w:t xml:space="preserve"> </w:t>
      </w:r>
      <w:r>
        <w:t xml:space="preserve">surveillance actions or inspections take place, the percentage of non-compliant and unsafe toys found</w:t>
      </w:r>
      <w:r>
        <w:t xml:space="preserve"> </w:t>
      </w:r>
      <w:r>
        <w:t xml:space="preserve">is consistently high.</w:t>
      </w:r>
    </w:p>
    <w:p>
      <w:pPr>
        <w:pStyle w:val="BodyText"/>
      </w:pPr>
      <w:r>
        <w:t xml:space="preserve">Figure 3: RAPEX notifications per year and toys notifications</w:t>
      </w:r>
      <w:r>
        <w:br/>
      </w:r>
      <w:r>
        <w:t xml:space="preserve">First of all, as regards notifications in the Safety Gate for alerts of dangerous products (RAPEX</w:t>
      </w:r>
      <w:r>
        <w:t xml:space="preserve"> </w:t>
      </w:r>
      <w:r>
        <w:t xml:space="preserve">notifications), during the past years, toys were consistently one of the top categories of products</w:t>
      </w:r>
      <w:r>
        <w:t xml:space="preserve"> </w:t>
      </w:r>
      <w:r>
        <w:t xml:space="preserve">with the highest number of notifications for dangerous products per year.</w:t>
      </w:r>
      <w:r>
        <w:t xml:space="preserve"> </w:t>
      </w:r>
      <w:r>
        <w:t xml:space="preserve">1919</w:t>
      </w:r>
      <w:r>
        <w:t xml:space="preserve"> </w:t>
      </w:r>
      <w:r>
        <w:t xml:space="preserve">2048</w:t>
      </w:r>
      <w:r>
        <w:t xml:space="preserve"> </w:t>
      </w:r>
      <w:r>
        <w:t xml:space="preserve">2117</w:t>
      </w:r>
      <w:r>
        <w:t xml:space="preserve"> </w:t>
      </w:r>
      <w:r>
        <w:t xml:space="preserve">2202</w:t>
      </w:r>
      <w:r>
        <w:t xml:space="preserve"> </w:t>
      </w:r>
      <w:r>
        <w:t xml:space="preserve">2221</w:t>
      </w:r>
      <w:r>
        <w:t xml:space="preserve"> </w:t>
      </w:r>
      <w:r>
        <w:t xml:space="preserve">2130</w:t>
      </w:r>
      <w:r>
        <w:t xml:space="preserve"> </w:t>
      </w:r>
      <w:r>
        <w:t xml:space="preserve">1028</w:t>
      </w:r>
      <w:r>
        <w:t xml:space="preserve"> </w:t>
      </w:r>
      <w:r>
        <w:t xml:space="preserve">482</w:t>
      </w:r>
      <w:r>
        <w:t xml:space="preserve"> </w:t>
      </w:r>
      <w:r>
        <w:t xml:space="preserve">595</w:t>
      </w:r>
      <w:r>
        <w:t xml:space="preserve"> </w:t>
      </w:r>
      <w:r>
        <w:t xml:space="preserve">667</w:t>
      </w:r>
      <w:r>
        <w:t xml:space="preserve"> </w:t>
      </w:r>
      <w:r>
        <w:t xml:space="preserve">635</w:t>
      </w:r>
      <w:r>
        <w:t xml:space="preserve"> </w:t>
      </w:r>
      <w:r>
        <w:t xml:space="preserve">588</w:t>
      </w:r>
      <w:r>
        <w:t xml:space="preserve"> </w:t>
      </w:r>
      <w:r>
        <w:t xml:space="preserve">417</w:t>
      </w:r>
      <w:r>
        <w:t xml:space="preserve"> </w:t>
      </w:r>
      <w:r>
        <w:t xml:space="preserve">195</w:t>
      </w:r>
      <w:r>
        <w:t xml:space="preserve"> </w:t>
      </w:r>
      <w:r>
        <w:t xml:space="preserve">0</w:t>
      </w:r>
      <w:r>
        <w:t xml:space="preserve"> </w:t>
      </w:r>
      <w:r>
        <w:t xml:space="preserve">500</w:t>
      </w:r>
      <w:r>
        <w:t xml:space="preserve"> </w:t>
      </w:r>
      <w:r>
        <w:t xml:space="preserve">1000</w:t>
      </w:r>
      <w:r>
        <w:t xml:space="preserve"> </w:t>
      </w:r>
      <w:r>
        <w:t xml:space="preserve">1500</w:t>
      </w:r>
      <w:r>
        <w:t xml:space="preserve"> </w:t>
      </w:r>
      <w:r>
        <w:t xml:space="preserve">2000</w:t>
      </w:r>
      <w:r>
        <w:t xml:space="preserve"> </w:t>
      </w:r>
      <w:r>
        <w:t xml:space="preserve">2500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 (till 31</w:t>
      </w:r>
      <w:r>
        <w:t xml:space="preserve"> </w:t>
      </w:r>
      <w:r>
        <w:t xml:space="preserve">May)</w:t>
      </w:r>
      <w:r>
        <w:t xml:space="preserve"> </w:t>
      </w:r>
      <w:r>
        <w:t xml:space="preserve">All notifications</w:t>
      </w:r>
      <w:r>
        <w:t xml:space="preserve"> </w:t>
      </w:r>
      <w:r>
        <w:t xml:space="preserve">Toys notifications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16</w:t>
      </w:r>
      <w:r>
        <w:t xml:space="preserve"> </w:t>
      </w:r>
      <w:r>
        <w:t xml:space="preserve">EN</w:t>
      </w:r>
      <w:r>
        <w:t xml:space="preserve"> </w:t>
      </w:r>
      <w:r>
        <w:t xml:space="preserve">Overall, during the period 2016- May 2022, a total of</w:t>
      </w:r>
      <w:r>
        <w:t xml:space="preserve"> </w:t>
      </w:r>
      <w:r>
        <w:t xml:space="preserve">3579 dangerous toys were subject to an alert through</w:t>
      </w:r>
      <w:r>
        <w:t xml:space="preserve"> </w:t>
      </w:r>
      <w:r>
        <w:t xml:space="preserve">the RAPEX system for exchange of information on</w:t>
      </w:r>
      <w:r>
        <w:t xml:space="preserve"> </w:t>
      </w:r>
      <w:r>
        <w:t xml:space="preserve">dangerous products63.64 Around 40% of these</w:t>
      </w:r>
      <w:r>
        <w:t xml:space="preserve"> </w:t>
      </w:r>
      <w:r>
        <w:t xml:space="preserve">notifications concerned chemical risks, which means</w:t>
      </w:r>
      <w:r>
        <w:t xml:space="preserve"> </w:t>
      </w:r>
      <w:r>
        <w:t xml:space="preserve">that exposure to dangerous chemical substances</w:t>
      </w:r>
      <w:r>
        <w:t xml:space="preserve"> </w:t>
      </w:r>
      <w:r>
        <w:t xml:space="preserve">through unsafe toys is a matter of concern, while</w:t>
      </w:r>
      <w:r>
        <w:t xml:space="preserve"> </w:t>
      </w:r>
      <w:r>
        <w:t xml:space="preserve">another 40% concerned choking risks for younger</w:t>
      </w:r>
      <w:r>
        <w:t xml:space="preserve"> </w:t>
      </w:r>
      <w:r>
        <w:t xml:space="preserve">children that can lead to fatal injuries.</w:t>
      </w:r>
      <w:r>
        <w:br/>
      </w:r>
      <w:r>
        <w:t xml:space="preserve">Market surveillance authorities are also required to</w:t>
      </w:r>
      <w:r>
        <w:t xml:space="preserve"> </w:t>
      </w:r>
      <w:r>
        <w:t xml:space="preserve">enter into the information and communication system</w:t>
      </w:r>
      <w:r>
        <w:t xml:space="preserve"> </w:t>
      </w:r>
      <w:r>
        <w:t xml:space="preserve">for market surveillance (ICSMS) information in</w:t>
      </w:r>
      <w:r>
        <w:t xml:space="preserve"> </w:t>
      </w:r>
      <w:r>
        <w:t xml:space="preserve">relation to products made available on the Union</w:t>
      </w:r>
      <w:r>
        <w:t xml:space="preserve"> </w:t>
      </w:r>
      <w:r>
        <w:t xml:space="preserve">market for which an in-depth check of compliance</w:t>
      </w:r>
      <w:r>
        <w:t xml:space="preserve"> </w:t>
      </w:r>
      <w:r>
        <w:t xml:space="preserve">has been carried out, in addition to their obligation to</w:t>
      </w:r>
      <w:r>
        <w:t xml:space="preserve"> </w:t>
      </w:r>
      <w:r>
        <w:t xml:space="preserve">alert of dangerous products under RAPEX. This</w:t>
      </w:r>
      <w:r>
        <w:t xml:space="preserve"> </w:t>
      </w:r>
      <w:r>
        <w:t xml:space="preserve">obligation has become more explicit with the new Regulation 2019/1020 on market surveillance65,</w:t>
      </w:r>
      <w:r>
        <w:t xml:space="preserve"> </w:t>
      </w:r>
      <w:r>
        <w:t xml:space="preserve">which is fully applicable since July 2021. Data on the period 2016- May 2022 reveals that 43% of</w:t>
      </w:r>
      <w:r>
        <w:t xml:space="preserve"> </w:t>
      </w:r>
      <w:r>
        <w:t xml:space="preserve">the toys subject to in depth inspections were found to be non-compliant and more than half of</w:t>
      </w:r>
      <w:r>
        <w:t xml:space="preserve"> </w:t>
      </w:r>
      <w:r>
        <w:t xml:space="preserve">these relate to substantive safety risks. Market surveillance authorities rely on risk management</w:t>
      </w:r>
      <w:r>
        <w:t xml:space="preserve"> </w:t>
      </w:r>
      <w:r>
        <w:t xml:space="preserve">procedures to try and target their activities on toys with higher probabilities to be non-compliant. In-</w:t>
      </w:r>
      <w:r>
        <w:t xml:space="preserve"> </w:t>
      </w:r>
      <w:r>
        <w:t xml:space="preserve">depth checks are carried out on toys which present such higher risks of non-compliance. While these</w:t>
      </w:r>
      <w:r>
        <w:t xml:space="preserve"> </w:t>
      </w:r>
      <w:r>
        <w:t xml:space="preserve">data may show the effectiveness of such procedures, it still evidences the high number of non-</w:t>
      </w:r>
      <w:r>
        <w:t xml:space="preserve"> </w:t>
      </w:r>
      <w:r>
        <w:t xml:space="preserve">compliant and unsafe toys that are present on the Union market.</w:t>
      </w:r>
    </w:p>
    <w:p>
      <w:pPr>
        <w:pStyle w:val="BodyText"/>
      </w:pPr>
      <w:r>
        <w:t xml:space="preserve">Figure 5: non-compliant toys and total number of in-depth toy investigations per year in ICSMS</w:t>
      </w:r>
    </w:p>
    <w:p>
      <w:pPr>
        <w:pStyle w:val="BodyText"/>
      </w:pPr>
      <w:r>
        <w:t xml:space="preserve">63 Each of these notifications affects a significant number of toys; for example, in 2020 there were 592 notifications of</w:t>
      </w:r>
      <w:r>
        <w:t xml:space="preserve"> </w:t>
      </w:r>
      <w:r>
        <w:t xml:space="preserve">toys in RAPEX which affected as a minimum almost 1.100.000 individual items, with almost 50.000 items more in follow</w:t>
      </w:r>
      <w:r>
        <w:t xml:space="preserve"> </w:t>
      </w:r>
      <w:r>
        <w:t xml:space="preserve">up market surveillance measures in other Member States. Similarly, in 2021 there were 438 notifications of dangerous</w:t>
      </w:r>
      <w:r>
        <w:t xml:space="preserve"> </w:t>
      </w:r>
      <w:r>
        <w:t xml:space="preserve">toys in RAPEX which affected again almost 1.100.000 individual items, as a minimum, with an additional 120.000 in</w:t>
      </w:r>
      <w:r>
        <w:t xml:space="preserve"> </w:t>
      </w:r>
      <w:r>
        <w:t xml:space="preserve">follow up measures. Not all RAPEX notifications include the number of individual items affected and this is why this</w:t>
      </w:r>
      <w:r>
        <w:t xml:space="preserve"> </w:t>
      </w:r>
      <w:r>
        <w:t xml:space="preserve">information is the minimum.</w:t>
      </w:r>
      <w:r>
        <w:t xml:space="preserve"> </w:t>
      </w:r>
      <w:r>
        <w:t xml:space="preserve">64 To note that RAPEX notifications only concern dangerous products (more or less serious risks) but not non-</w:t>
      </w:r>
      <w:r>
        <w:t xml:space="preserve"> </w:t>
      </w:r>
      <w:r>
        <w:t xml:space="preserve">compliances that pose no risk for consumers (such as the wrong affixing of the CE marking, or lacking documentation…).</w:t>
      </w:r>
      <w:r>
        <w:t xml:space="preserve"> </w:t>
      </w:r>
      <w:r>
        <w:t xml:space="preserve">65 See article 34 of Regulation (EU) 2019/1020 of the European Parliament and of the Council of 20 June 2019 on market</w:t>
      </w:r>
      <w:r>
        <w:t xml:space="preserve"> </w:t>
      </w:r>
      <w:r>
        <w:t xml:space="preserve">surveillance and compliance of products and amending Directive 2004/42/EC and Regulations (EC) No 765/2008 and</w:t>
      </w:r>
      <w:r>
        <w:t xml:space="preserve"> </w:t>
      </w:r>
      <w:r>
        <w:t xml:space="preserve">(EU) No 305/2011.</w:t>
      </w:r>
      <w:r>
        <w:t xml:space="preserve"> </w:t>
      </w:r>
      <w:r>
        <w:t xml:space="preserve">472</w:t>
      </w:r>
      <w:r>
        <w:t xml:space="preserve"> </w:t>
      </w:r>
      <w:r>
        <w:t xml:space="preserve">488</w:t>
      </w:r>
      <w:r>
        <w:t xml:space="preserve"> </w:t>
      </w:r>
      <w:r>
        <w:t xml:space="preserve">1172</w:t>
      </w:r>
      <w:r>
        <w:t xml:space="preserve"> </w:t>
      </w:r>
      <w:r>
        <w:t xml:space="preserve">619</w:t>
      </w:r>
      <w:r>
        <w:t xml:space="preserve"> </w:t>
      </w:r>
      <w:r>
        <w:t xml:space="preserve">385</w:t>
      </w:r>
      <w:r>
        <w:t xml:space="preserve"> </w:t>
      </w:r>
      <w:r>
        <w:t xml:space="preserve">503</w:t>
      </w:r>
      <w:r>
        <w:t xml:space="preserve"> </w:t>
      </w:r>
      <w:r>
        <w:t xml:space="preserve">343</w:t>
      </w:r>
      <w:r>
        <w:t xml:space="preserve"> </w:t>
      </w:r>
      <w:r>
        <w:t xml:space="preserve">762</w:t>
      </w:r>
      <w:r>
        <w:t xml:space="preserve"> </w:t>
      </w:r>
      <w:r>
        <w:t xml:space="preserve">699</w:t>
      </w:r>
      <w:r>
        <w:t xml:space="preserve"> </w:t>
      </w:r>
      <w:r>
        <w:t xml:space="preserve">3287</w:t>
      </w:r>
      <w:r>
        <w:t xml:space="preserve"> </w:t>
      </w:r>
      <w:r>
        <w:t xml:space="preserve">1416</w:t>
      </w:r>
      <w:r>
        <w:t xml:space="preserve"> </w:t>
      </w:r>
      <w:r>
        <w:t xml:space="preserve">985</w:t>
      </w:r>
      <w:r>
        <w:t xml:space="preserve"> </w:t>
      </w:r>
      <w:r>
        <w:t xml:space="preserve">1364</w:t>
      </w:r>
      <w:r>
        <w:t xml:space="preserve"> </w:t>
      </w:r>
      <w:r>
        <w:t xml:space="preserve">686</w:t>
      </w:r>
      <w:r>
        <w:t xml:space="preserve"> </w:t>
      </w:r>
      <w:r>
        <w:t xml:space="preserve">0</w:t>
      </w:r>
      <w:r>
        <w:t xml:space="preserve"> </w:t>
      </w:r>
      <w:r>
        <w:t xml:space="preserve">500</w:t>
      </w:r>
      <w:r>
        <w:t xml:space="preserve"> </w:t>
      </w:r>
      <w:r>
        <w:t xml:space="preserve">1000</w:t>
      </w:r>
      <w:r>
        <w:t xml:space="preserve"> </w:t>
      </w:r>
      <w:r>
        <w:t xml:space="preserve">1500</w:t>
      </w:r>
      <w:r>
        <w:t xml:space="preserve"> </w:t>
      </w:r>
      <w:r>
        <w:t xml:space="preserve">2000</w:t>
      </w:r>
      <w:r>
        <w:t xml:space="preserve"> </w:t>
      </w:r>
      <w:r>
        <w:t xml:space="preserve">2500</w:t>
      </w:r>
      <w:r>
        <w:t xml:space="preserve"> </w:t>
      </w:r>
      <w:r>
        <w:t xml:space="preserve">3000</w:t>
      </w:r>
      <w:r>
        <w:t xml:space="preserve"> </w:t>
      </w:r>
      <w:r>
        <w:t xml:space="preserve">3500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 (until</w:t>
      </w:r>
      <w:r>
        <w:t xml:space="preserve"> </w:t>
      </w:r>
      <w:r>
        <w:t xml:space="preserve">31/05/2022)</w:t>
      </w:r>
      <w:r>
        <w:t xml:space="preserve"> </w:t>
      </w:r>
      <w:r>
        <w:t xml:space="preserve">Not compliant</w:t>
      </w:r>
      <w:r>
        <w:t xml:space="preserve"> </w:t>
      </w:r>
      <w:r>
        <w:t xml:space="preserve">Total investigations</w:t>
      </w:r>
      <w:r>
        <w:t xml:space="preserve"> </w:t>
      </w:r>
      <w:r>
        <w:t xml:space="preserve">41%</w:t>
      </w:r>
      <w:r>
        <w:t xml:space="preserve"> </w:t>
      </w:r>
      <w:r>
        <w:t xml:space="preserve">40%</w:t>
      </w:r>
      <w:r>
        <w:t xml:space="preserve"> </w:t>
      </w:r>
      <w:r>
        <w:t xml:space="preserve">19%</w:t>
      </w:r>
      <w:r>
        <w:t xml:space="preserve"> </w:t>
      </w:r>
      <w:r>
        <w:t xml:space="preserve">Chemical</w:t>
      </w:r>
      <w:r>
        <w:t xml:space="preserve"> </w:t>
      </w:r>
      <w:r>
        <w:t xml:space="preserve">Small parts</w:t>
      </w:r>
      <w:r>
        <w:t xml:space="preserve"> </w:t>
      </w:r>
      <w:r>
        <w:t xml:space="preserve">Other</w:t>
      </w:r>
      <w:r>
        <w:t xml:space="preserve"> </w:t>
      </w:r>
      <w:r>
        <w:t xml:space="preserve">Figure 4: Types of risks in dangerous toys</w:t>
      </w:r>
      <w:r>
        <w:t xml:space="preserve"> </w:t>
      </w:r>
      <w:r>
        <w:t xml:space="preserve">notified in RAPEX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17</w:t>
      </w:r>
      <w:r>
        <w:t xml:space="preserve"> </w:t>
      </w:r>
      <w:r>
        <w:t xml:space="preserve">EN</w:t>
      </w:r>
      <w:r>
        <w:t xml:space="preserve"> </w:t>
      </w:r>
      <w:r>
        <w:t xml:space="preserve">Other recent but more targeted market surveillance joint actions focused on toys also confirm the</w:t>
      </w:r>
      <w:r>
        <w:t xml:space="preserve"> </w:t>
      </w:r>
      <w:r>
        <w:t xml:space="preserve">high rates of non-compliance, see annex 11 for detailed results on coordinated activities on the safety</w:t>
      </w:r>
      <w:r>
        <w:t xml:space="preserve"> </w:t>
      </w:r>
      <w:r>
        <w:t xml:space="preserve">of products (CASP)66. Data from the Evaluation based on the reports on market surveillance</w:t>
      </w:r>
      <w:r>
        <w:t xml:space="preserve"> </w:t>
      </w:r>
      <w:r>
        <w:t xml:space="preserve">submitted by Member States67 also shows a significant rate of non-compliant toys found on the Union</w:t>
      </w:r>
      <w:r>
        <w:t xml:space="preserve"> </w:t>
      </w:r>
      <w:r>
        <w:t xml:space="preserve">market; almost every third toy inspected in the reported period was non-compliant.</w:t>
      </w:r>
      <w:r>
        <w:t xml:space="preserve"> </w:t>
      </w:r>
      <w:r>
        <w:t xml:space="preserve">The high number of non-compliant toys means that children in the EU can be exposed to risks when</w:t>
      </w:r>
      <w:r>
        <w:t xml:space="preserve"> </w:t>
      </w:r>
      <w:r>
        <w:t xml:space="preserve">playing with these toys. Unsafe toys can cause injuries and even fatal accidents, for example risks of</w:t>
      </w:r>
      <w:r>
        <w:t xml:space="preserve"> </w:t>
      </w:r>
      <w:r>
        <w:t xml:space="preserve">choking or from very serious injuries such as from magnets, or button cells batteries that children can</w:t>
      </w:r>
      <w:r>
        <w:t xml:space="preserve"> </w:t>
      </w:r>
      <w:r>
        <w:t xml:space="preserve">swallow. Children may also be exposed to dangerous chemicals, for example from phthalates in soft</w:t>
      </w:r>
      <w:r>
        <w:t xml:space="preserve"> </w:t>
      </w:r>
      <w:r>
        <w:t xml:space="preserve">plastics or too high quantities of boron in slime. Unsafe toys may undermine consumer trust in the</w:t>
      </w:r>
      <w:r>
        <w:t xml:space="preserve"> </w:t>
      </w:r>
      <w:r>
        <w:t xml:space="preserve">safety of toys available in the EU. They are also a risk to the environment as the harmful substances</w:t>
      </w:r>
      <w:r>
        <w:t xml:space="preserve"> </w:t>
      </w:r>
      <w:r>
        <w:t xml:space="preserve">they contain are ultimately released into waste.</w:t>
      </w:r>
      <w:r>
        <w:t xml:space="preserve"> </w:t>
      </w:r>
      <w:r>
        <w:t xml:space="preserve">Non-compliant toys also lead to an uneven playing field for compliant companies. Complying with</w:t>
      </w:r>
      <w:r>
        <w:t xml:space="preserve"> </w:t>
      </w:r>
      <w:r>
        <w:t xml:space="preserve">the stringent requirements is costly for companies, reputable manufacturers face the unfair</w:t>
      </w:r>
      <w:r>
        <w:t xml:space="preserve"> </w:t>
      </w:r>
      <w:r>
        <w:t xml:space="preserve">competition of non-compliant toys from rogue traders who are able to sell their toys at lower prices.</w:t>
      </w:r>
      <w:r>
        <w:t xml:space="preserve"> </w:t>
      </w:r>
      <w:r>
        <w:t xml:space="preserve">The value of the non-compliant toys market has been estimated for 2019 to span from EUR 248</w:t>
      </w:r>
      <w:r>
        <w:t xml:space="preserve"> </w:t>
      </w:r>
      <w:r>
        <w:t xml:space="preserve">million to EUR 1.65 billion68.</w:t>
      </w:r>
      <w:r>
        <w:br/>
      </w:r>
      <w:r>
        <w:t xml:space="preserve">At the stakeholder workshop organised on 26 April 2020, all the intervening stakeholders (consumer</w:t>
      </w:r>
      <w:r>
        <w:t xml:space="preserve"> </w:t>
      </w:r>
      <w:r>
        <w:t xml:space="preserve">organisations, industry and market surveillance authorities) expressed strong concerns about the high</w:t>
      </w:r>
      <w:r>
        <w:t xml:space="preserve"> </w:t>
      </w:r>
      <w:r>
        <w:t xml:space="preserve">number of non-compliant and unsafe toys, in particular made available through online sales, and the</w:t>
      </w:r>
      <w:r>
        <w:t xml:space="preserve"> </w:t>
      </w:r>
      <w:r>
        <w:t xml:space="preserve">urgent need to take action at EU level to address this.</w:t>
      </w:r>
      <w:r>
        <w:t xml:space="preserve"> </w:t>
      </w:r>
      <w:r>
        <w:t xml:space="preserve">2.1.3. New risks in toys, in particular from digital technologies</w:t>
      </w:r>
      <w:r>
        <w:t xml:space="preserve"> </w:t>
      </w:r>
      <w:r>
        <w:t xml:space="preserve">The Evaluation also concluded on the TSD not being able to address new risks in toys linked to the</w:t>
      </w:r>
      <w:r>
        <w:t xml:space="preserve"> </w:t>
      </w:r>
      <w:r>
        <w:t xml:space="preserve">use of digital technologies. The scope of the Directive is focused on health and safety and does not</w:t>
      </w:r>
      <w:r>
        <w:t xml:space="preserve"> </w:t>
      </w:r>
      <w:r>
        <w:t xml:space="preserve">cover other issues such as privacy or information security. As a result, there were cases in the past</w:t>
      </w:r>
      <w:r>
        <w:t xml:space="preserve"> </w:t>
      </w:r>
      <w:r>
        <w:t xml:space="preserve">where risks posed by cybersecurity or privacy concerns on toys could not be addressed. The</w:t>
      </w:r>
      <w:r>
        <w:t xml:space="preserve"> </w:t>
      </w:r>
      <w:r>
        <w:t xml:space="preserve">application of the RED delegated act mid-2024 will address the cybersecurity and personal data</w:t>
      </w:r>
      <w:r>
        <w:t xml:space="preserve"> </w:t>
      </w:r>
      <w:r>
        <w:t xml:space="preserve">privacy issues identified in the Evaluation. This delegated act requires radio toys to guarantee</w:t>
      </w:r>
      <w:r>
        <w:t xml:space="preserve"> </w:t>
      </w:r>
      <w:r>
        <w:t xml:space="preserve">protection of privacy and data of the users, through cybersecurity features. Cybersecurity should be</w:t>
      </w:r>
      <w:r>
        <w:t xml:space="preserve"> </w:t>
      </w:r>
      <w:r>
        <w:t xml:space="preserve">strengthened by the Cyber Resilience Act as well, once adopted69. Additionally, the incorporation of</w:t>
      </w:r>
      <w:r>
        <w:t xml:space="preserve"> </w:t>
      </w:r>
      <w:r>
        <w:t xml:space="preserve">AI in toys may also lead to new risks. The Commission proposal on a regulatory framework for</w:t>
      </w:r>
      <w:r>
        <w:t xml:space="preserve"> </w:t>
      </w:r>
      <w:r>
        <w:t xml:space="preserve">artificial intelligence, once adopted, will ensure that any AI systems incorporated into toys comply</w:t>
      </w:r>
      <w:r>
        <w:t xml:space="preserve"> </w:t>
      </w:r>
      <w:r>
        <w:t xml:space="preserve">with the rules that safeguard the functioning of markets and the public sector, and people’s safety and</w:t>
      </w:r>
      <w:r>
        <w:t xml:space="preserve"> </w:t>
      </w:r>
      <w:r>
        <w:t xml:space="preserve">fundamental rights. Therefore, these risks have been addressed in legislation already adopted or under</w:t>
      </w:r>
      <w:r>
        <w:t xml:space="preserve"> </w:t>
      </w:r>
      <w:r>
        <w:t xml:space="preserve">inter-institutional discussions and it does not appear that any significant legal gap remains that</w:t>
      </w:r>
    </w:p>
    <w:p>
      <w:pPr>
        <w:pStyle w:val="BodyText"/>
      </w:pPr>
      <w:r>
        <w:t xml:space="preserve">66 For example, the 2021 CASP joint action on toys from non-EU workshops focused on plastic toys and toys with plastic</w:t>
      </w:r>
      <w:r>
        <w:t xml:space="preserve"> </w:t>
      </w:r>
      <w:r>
        <w:t xml:space="preserve">parts for children under and above 36 months collected online and originated from third countries and found that 84% of</w:t>
      </w:r>
      <w:r>
        <w:t xml:space="preserve"> </w:t>
      </w:r>
      <w:r>
        <w:t xml:space="preserve">toys tested did not meet the applicable safety requirements.</w:t>
      </w:r>
      <w:r>
        <w:t xml:space="preserve"> </w:t>
      </w:r>
      <w:r>
        <w:t xml:space="preserve">67 Article 48 of the Toy Safety Directive.</w:t>
      </w:r>
      <w:r>
        <w:t xml:space="preserve"> </w:t>
      </w:r>
      <w:r>
        <w:t xml:space="preserve">68 Using the non-compliance rates identified through various market reports, the CLP Impact Assessment established</w:t>
      </w:r>
      <w:r>
        <w:t xml:space="preserve"> </w:t>
      </w:r>
      <w:r>
        <w:t xml:space="preserve">three scenarios for the level of non-compliance with chemical-related requirements in the product ‘Children toys or</w:t>
      </w:r>
      <w:r>
        <w:t xml:space="preserve"> </w:t>
      </w:r>
      <w:r>
        <w:t xml:space="preserve">childcare items’: a lower scenario of 3-4% non-compliance, a central scenario of 5-8% non-compliance, and an upper</w:t>
      </w:r>
      <w:r>
        <w:t xml:space="preserve"> </w:t>
      </w:r>
      <w:r>
        <w:t xml:space="preserve">scenario of 10-20% non-compliance. These scenarios are primarily placed lower than the non-compliance rate identified</w:t>
      </w:r>
      <w:r>
        <w:t xml:space="preserve"> </w:t>
      </w:r>
      <w:r>
        <w:t xml:space="preserve">above as the exercises used to generate the above rate target product types that are known for non-compliance. Using</w:t>
      </w:r>
      <w:r>
        <w:t xml:space="preserve"> </w:t>
      </w:r>
      <w:r>
        <w:t xml:space="preserve">these scenarios, the value of the non-compliant toys market has been estimated as follows: considering turnover in the</w:t>
      </w:r>
      <w:r>
        <w:t xml:space="preserve"> </w:t>
      </w:r>
      <w:r>
        <w:t xml:space="preserve">European toys market for 2019 was around EUR 8.3 billion, the non-compliant portion of this market could span from</w:t>
      </w:r>
      <w:r>
        <w:t xml:space="preserve"> </w:t>
      </w:r>
      <w:r>
        <w:t xml:space="preserve">EUR 248 million (3%) to EUR 1.65 billion (20%). See the study supporting the revision of the Toy Safety Directive.</w:t>
      </w:r>
      <w:r>
        <w:t xml:space="preserve"> </w:t>
      </w:r>
      <w:r>
        <w:t xml:space="preserve">69 Cyber resilience act – new cybersecurity rules for digital products and ancillary services (europa.eu)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18</w:t>
      </w:r>
      <w:r>
        <w:t xml:space="preserve"> </w:t>
      </w:r>
      <w:r>
        <w:t xml:space="preserve">EN</w:t>
      </w:r>
      <w:r>
        <w:t xml:space="preserve"> </w:t>
      </w:r>
      <w:r>
        <w:t xml:space="preserve">requires intervention through the revision of the TSD for the purposes of addressing cybersecurity,</w:t>
      </w:r>
      <w:r>
        <w:t xml:space="preserve"> </w:t>
      </w:r>
      <w:r>
        <w:t xml:space="preserve">personal data privacy or AI.</w:t>
      </w:r>
      <w:r>
        <w:t xml:space="preserve"> </w:t>
      </w:r>
      <w:r>
        <w:t xml:space="preserve">2.2.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2.2.1. Problem 1- Insufficient protection of children from harmful chemicals</w:t>
      </w:r>
      <w:r>
        <w:br/>
      </w:r>
      <w:r>
        <w:t xml:space="preserve">a) The Directive allows for too high presence of CMR substances in toys</w:t>
      </w:r>
      <w:r>
        <w:t xml:space="preserve"> </w:t>
      </w:r>
      <w:r>
        <w:t xml:space="preserve">The Directive includes a generic ban on the presence of CMRs in toys subject to a number of</w:t>
      </w:r>
      <w:r>
        <w:t xml:space="preserve"> </w:t>
      </w:r>
      <w:r>
        <w:t xml:space="preserve">derogations. The Evalution concluded that these derogations do not ensure sufficient protection of</w:t>
      </w:r>
      <w:r>
        <w:t xml:space="preserve"> </w:t>
      </w:r>
      <w:r>
        <w:t xml:space="preserve">children from these harmful subtances. In particular, the Toy Safety Directive currently allows three</w:t>
      </w:r>
      <w:r>
        <w:t xml:space="preserve"> </w:t>
      </w:r>
      <w:r>
        <w:t xml:space="preserve">possibilities to derogate from the generic ban to CMRs in toys: i) the TSD tolerates the presence of</w:t>
      </w:r>
      <w:r>
        <w:t xml:space="preserve"> </w:t>
      </w:r>
      <w:r>
        <w:t xml:space="preserve">CMRs in toys or their components up to the ‘relevant concentrations’ of the CLP Regulation for</w:t>
      </w:r>
      <w:r>
        <w:t xml:space="preserve"> </w:t>
      </w:r>
      <w:r>
        <w:t xml:space="preserve">the classification of mixtures containing these subtances. ‘Relevant’ are either the specific</w:t>
      </w:r>
      <w:r>
        <w:t xml:space="preserve"> </w:t>
      </w:r>
      <w:r>
        <w:t xml:space="preserve">concentration limits assigned to specific substances in Annex VI, table 3.1 of the CLP Regulation or,</w:t>
      </w:r>
      <w:r>
        <w:t xml:space="preserve"> </w:t>
      </w:r>
      <w:r>
        <w:t xml:space="preserve">if no specific concentration limits are indicated in that table, the generic concentration limits in Annex</w:t>
      </w:r>
      <w:r>
        <w:t xml:space="preserve"> </w:t>
      </w:r>
      <w:r>
        <w:t xml:space="preserve">I of the CLP Regulation70. In addition, the TSD allows for the presence of CMRs ii) if they are</w:t>
      </w:r>
      <w:r>
        <w:t xml:space="preserve"> </w:t>
      </w:r>
      <w:r>
        <w:t xml:space="preserve">inaccesible to children, including via inhalation and iii) if the Commission takes a decision to allow</w:t>
      </w:r>
      <w:r>
        <w:t xml:space="preserve"> </w:t>
      </w:r>
      <w:r>
        <w:t xml:space="preserve">their presence if it is considered safe following a rigorous scientific evaluation and if they are not</w:t>
      </w:r>
      <w:r>
        <w:t xml:space="preserve"> </w:t>
      </w:r>
      <w:r>
        <w:t xml:space="preserve">prohibited in consumer articles under REACH. For CMR substances of categories 1A and 1B which</w:t>
      </w:r>
      <w:r>
        <w:t xml:space="preserve"> </w:t>
      </w:r>
      <w:r>
        <w:t xml:space="preserve">are of most concern, no suitable alternatives must exist for a Commission to take a decision granting</w:t>
      </w:r>
      <w:r>
        <w:t xml:space="preserve"> </w:t>
      </w:r>
      <w:r>
        <w:t xml:space="preserve">the derogation. (For CMRs category 2, no analysis of alternatives is necessary.)</w:t>
      </w:r>
      <w:r>
        <w:t xml:space="preserve"> </w:t>
      </w:r>
      <w:r>
        <w:t xml:space="preserve">The Evaluation found the first derogation inadequate71. These ‘relevant concentrations’ have been</w:t>
      </w:r>
      <w:r>
        <w:t xml:space="preserve"> </w:t>
      </w:r>
      <w:r>
        <w:t xml:space="preserve">set for the purpose of classification and labelling of mixtures containing hazardous substances, with</w:t>
      </w:r>
      <w:r>
        <w:t xml:space="preserve"> </w:t>
      </w:r>
      <w:r>
        <w:t xml:space="preserve">the primary aim to ensure that the hazards of such mixtures are properly identified and communicated.</w:t>
      </w:r>
      <w:r>
        <w:t xml:space="preserve"> </w:t>
      </w:r>
      <w:r>
        <w:t xml:space="preserve">They do not take account of possible exposures and do not entail an assessment of risk related</w:t>
      </w:r>
      <w:r>
        <w:t xml:space="preserve"> </w:t>
      </w:r>
      <w:r>
        <w:t xml:space="preserve">to the uses of a substance in an article such as a toy. Whenever risk-based limit values for certain</w:t>
      </w:r>
      <w:r>
        <w:t xml:space="preserve"> </w:t>
      </w:r>
      <w:r>
        <w:t xml:space="preserve">CMRs were introduced in the TSD through the empowerments to the Commission, these have been</w:t>
      </w:r>
      <w:r>
        <w:t xml:space="preserve"> </w:t>
      </w:r>
      <w:r>
        <w:t xml:space="preserve">15 to 1,000 times lower than the ‘relevant concentrations’ in the CLP Regulation. However, in</w:t>
      </w:r>
      <w:r>
        <w:t xml:space="preserve"> </w:t>
      </w:r>
      <w:r>
        <w:t xml:space="preserve">accordance with the empowerements to the Commission for amending the Directive, these limit</w:t>
      </w:r>
      <w:r>
        <w:t xml:space="preserve"> </w:t>
      </w:r>
      <w:r>
        <w:t xml:space="preserve">values could only be introduced for toys intended for children under 36 months, or to be put in the</w:t>
      </w:r>
      <w:r>
        <w:t xml:space="preserve"> </w:t>
      </w:r>
      <w:r>
        <w:t xml:space="preserve">mouth (Apendix C). The Scientific Committee for Health, Environmental and Emerging Risks72</w:t>
      </w:r>
      <w:r>
        <w:t xml:space="preserve"> </w:t>
      </w:r>
      <w:r>
        <w:t xml:space="preserve">(SCHEER) also identified a number of problems with this approach, due to the fact that classification</w:t>
      </w:r>
      <w:r>
        <w:t xml:space="preserve"> </w:t>
      </w:r>
      <w:r>
        <w:t xml:space="preserve">limits set for mixtures are applied to articles (as the toys should be considered) 73. This inadequacy</w:t>
      </w:r>
      <w:r>
        <w:t xml:space="preserve"> </w:t>
      </w:r>
      <w:r>
        <w:t xml:space="preserve">of the CMR derogation based on the concentration limits for classification of mixtures from the CLP</w:t>
      </w:r>
      <w:r>
        <w:t xml:space="preserve"> </w:t>
      </w:r>
      <w:r>
        <w:t xml:space="preserve">Regulation was referred to by public authorities (70% of public authorities responding – 22 out of 31</w:t>
      </w:r>
      <w:r>
        <w:t xml:space="preserve"> </w:t>
      </w:r>
      <w:r>
        <w:t xml:space="preserve">-disagreed or strongly disagreed with having this derogation) and by consumer organisations (75%-</w:t>
      </w:r>
      <w:r>
        <w:t xml:space="preserve"> </w:t>
      </w:r>
      <w:r>
        <w:t xml:space="preserve">46 out of 61) in the public consultation74.</w:t>
      </w:r>
      <w:r>
        <w:br/>
      </w:r>
      <w:r>
        <w:t xml:space="preserve">In addition, the Evaluation found that the limit values in the Directive for nitrosamines and</w:t>
      </w:r>
      <w:r>
        <w:t xml:space="preserve"> </w:t>
      </w:r>
      <w:r>
        <w:t xml:space="preserve">nitrosatable substances were too high75. Certain nitrosamines may be genotoxic and very strong</w:t>
      </w:r>
      <w:r>
        <w:t xml:space="preserve"> </w:t>
      </w:r>
      <w:r>
        <w:t xml:space="preserve">carcinogens (CMRs). Nitrosatable substances can be converted into nitrosamines in the human body.</w:t>
      </w:r>
    </w:p>
    <w:p>
      <w:pPr>
        <w:pStyle w:val="BodyText"/>
      </w:pPr>
      <w:r>
        <w:t xml:space="preserve">70 These limits are 0.1% and 1% for carcinogens (table 3.6.2 of the CLP Regulation) and mutagens (table 3.5.2 of the</w:t>
      </w:r>
      <w:r>
        <w:t xml:space="preserve"> </w:t>
      </w:r>
      <w:r>
        <w:t xml:space="preserve">CLP Regulation) of categories 1 and 2, respectively, and 0.3% and 3% for reproductive toxins (table 3.7.2 of the CLP</w:t>
      </w:r>
      <w:r>
        <w:t xml:space="preserve"> </w:t>
      </w:r>
      <w:r>
        <w:t xml:space="preserve">Regulation) of categories 1 and 2, respectively</w:t>
      </w:r>
      <w:r>
        <w:t xml:space="preserve"> </w:t>
      </w:r>
      <w:r>
        <w:t xml:space="preserve">71 See section 5.1.1.2 of the Evaluation</w:t>
      </w:r>
      <w:r>
        <w:t xml:space="preserve"> </w:t>
      </w:r>
      <w:r>
        <w:t xml:space="preserve">72 The SCHEER, on request of Commission services, provides Opinions on questions concerning health, environmental</w:t>
      </w:r>
      <w:r>
        <w:t xml:space="preserve"> </w:t>
      </w:r>
      <w:r>
        <w:t xml:space="preserve">and emerging risks, including in toys.</w:t>
      </w:r>
      <w:r>
        <w:t xml:space="preserve"> </w:t>
      </w:r>
      <w:r>
        <w:t xml:space="preserve">73 SCHER Opinion on risk from organic CMR substances in toys, 18 May 2010.</w:t>
      </w:r>
      <w:r>
        <w:t xml:space="preserve"> </w:t>
      </w:r>
      <w:r>
        <w:t xml:space="preserve">74 See annex 2.4 for further details on the replies to the public consultation.</w:t>
      </w:r>
      <w:r>
        <w:t xml:space="preserve"> </w:t>
      </w:r>
      <w:r>
        <w:t xml:space="preserve">75 See section 5.1.1.2 of the Evaluation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19</w:t>
      </w:r>
      <w:r>
        <w:t xml:space="preserve"> </w:t>
      </w:r>
      <w:r>
        <w:t xml:space="preserve">EN</w:t>
      </w:r>
      <w:r>
        <w:t xml:space="preserve"> </w:t>
      </w:r>
      <w:r>
        <w:t xml:space="preserve">The TSD sets migration limits for nitrosamines and nitrosatable substances in toys intended for use</w:t>
      </w:r>
      <w:r>
        <w:t xml:space="preserve"> </w:t>
      </w:r>
      <w:r>
        <w:t xml:space="preserve">by children under 36 months or in other toys intended to be placed in the mouth: 0.05 mg/kg for</w:t>
      </w:r>
      <w:r>
        <w:t xml:space="preserve"> </w:t>
      </w:r>
      <w:r>
        <w:t xml:space="preserve">nitrosamines, 1 mg/kg for nitrosatable substances.76 Germany however insisted on its lower national</w:t>
      </w:r>
      <w:r>
        <w:t xml:space="preserve"> </w:t>
      </w:r>
      <w:r>
        <w:t xml:space="preserve">limits of 0.01 mg/kg for nitrosamines and of 0.1 mg/kg for nitrosatable substances in toys made of</w:t>
      </w:r>
      <w:r>
        <w:t xml:space="preserve"> </w:t>
      </w:r>
      <w:r>
        <w:t xml:space="preserve">natural or synthetic rubber designed for children under 36 months and intended or likely to be placed</w:t>
      </w:r>
      <w:r>
        <w:t xml:space="preserve"> </w:t>
      </w:r>
      <w:r>
        <w:t xml:space="preserve">in the mouth, which the Commission allowed77. Therefore, currently Germany has lower limits for</w:t>
      </w:r>
      <w:r>
        <w:t xml:space="preserve"> </w:t>
      </w:r>
      <w:r>
        <w:t xml:space="preserve">these substances that do not correspond to the ones in the TSD. In their letter of April 2019 to the</w:t>
      </w:r>
      <w:r>
        <w:t xml:space="preserve"> </w:t>
      </w:r>
      <w:r>
        <w:t xml:space="preserve">Commission,78 11 Member States considered that there was an urgent need to lower the limits for</w:t>
      </w:r>
      <w:r>
        <w:t xml:space="preserve"> </w:t>
      </w:r>
      <w:r>
        <w:t xml:space="preserve">nitrosamines and nitrosatable substances. The Commission is not empowered to amend these limit</w:t>
      </w:r>
      <w:r>
        <w:t xml:space="preserve"> </w:t>
      </w:r>
      <w:r>
        <w:t xml:space="preserve">values in the TSD via its possibilities for adaptation (see article 46 of the TSD and the section below);</w:t>
      </w:r>
      <w:r>
        <w:t xml:space="preserve"> </w:t>
      </w:r>
      <w:r>
        <w:t xml:space="preserve">these limit values can only be amended via a revision of the TSD by the co-legislators. In the open</w:t>
      </w:r>
      <w:r>
        <w:t xml:space="preserve"> </w:t>
      </w:r>
      <w:r>
        <w:t xml:space="preserve">public consultation, 31% (28 out of 89) of industry representatives believed that these limits should</w:t>
      </w:r>
      <w:r>
        <w:t xml:space="preserve"> </w:t>
      </w:r>
      <w:r>
        <w:t xml:space="preserve">be lowered and a further 25 % were neutral about it; while 77% (24 out of 31) of public authorities</w:t>
      </w:r>
      <w:r>
        <w:t xml:space="preserve"> </w:t>
      </w:r>
      <w:r>
        <w:t xml:space="preserve">and 73% (45 out of 61) of citizens and consumer associations were in favour of lowering them. In</w:t>
      </w:r>
      <w:r>
        <w:t xml:space="preserve"> </w:t>
      </w:r>
      <w:r>
        <w:t xml:space="preserve">practice, most manufacturers have indicated to comply already with the lower limit values applicable</w:t>
      </w:r>
      <w:r>
        <w:t xml:space="preserve"> </w:t>
      </w:r>
      <w:r>
        <w:t xml:space="preserve">in Germany, but a problem with enforcing this limit remains79.</w:t>
      </w:r>
      <w:r>
        <w:t xml:space="preserve"> </w:t>
      </w:r>
      <w:r>
        <w:t xml:space="preserve">b) The possibilities to adapt the Directive to new scientific knowledge on chemical substances</w:t>
      </w:r>
      <w:r>
        <w:t xml:space="preserve"> </w:t>
      </w:r>
      <w:r>
        <w:t xml:space="preserve">are too limited</w:t>
      </w:r>
      <w:r>
        <w:t xml:space="preserve"> </w:t>
      </w:r>
      <w:r>
        <w:t xml:space="preserve">Having an effective and flexible system for adapting the protection from possible chemical risks in</w:t>
      </w:r>
      <w:r>
        <w:t xml:space="preserve"> </w:t>
      </w:r>
      <w:r>
        <w:t xml:space="preserve">toys is crucial because scientific knowledge about chemical toxicity is constantly changing. Even</w:t>
      </w:r>
      <w:r>
        <w:t xml:space="preserve"> </w:t>
      </w:r>
      <w:r>
        <w:t xml:space="preserve">chemicals with a long-known toxicity may turn out to be ‘more toxic’ when new knowledge arises80.</w:t>
      </w:r>
      <w:r>
        <w:t xml:space="preserve"> </w:t>
      </w:r>
      <w:r>
        <w:t xml:space="preserve">In order to keep pace with latest technical and scientific developments, the Commission can amend</w:t>
      </w:r>
      <w:r>
        <w:t xml:space="preserve"> </w:t>
      </w:r>
      <w:r>
        <w:t xml:space="preserve">certain parts of the Toy Safety Directive.81 82 In particular, the Commission may establish maximum</w:t>
      </w:r>
      <w:r>
        <w:t xml:space="preserve"> </w:t>
      </w:r>
      <w:r>
        <w:t xml:space="preserve">limit values for any chemical in toys intended for children under 36 months of age and in all toys</w:t>
      </w:r>
      <w:r>
        <w:t xml:space="preserve"> </w:t>
      </w:r>
      <w:r>
        <w:t xml:space="preserve">intended to be placed in the mouth, and it may also amend those limits (Appendix C to Annex II).</w:t>
      </w:r>
      <w:r>
        <w:t xml:space="preserve"> </w:t>
      </w:r>
      <w:r>
        <w:t xml:space="preserve">However, the Commission is not empowered to introduce new limit values for any chemical in</w:t>
      </w:r>
    </w:p>
    <w:p>
      <w:pPr>
        <w:pStyle w:val="BodyText"/>
      </w:pPr>
      <w:r>
        <w:t xml:space="preserve">76 Annex II, Part III, point 8 of the Toy Safety Directive.</w:t>
      </w:r>
      <w:r>
        <w:t xml:space="preserve"> </w:t>
      </w:r>
      <w:r>
        <w:t xml:space="preserve">77</w:t>
      </w:r>
      <w:r>
        <w:t xml:space="preserve"> </w:t>
      </w:r>
      <w:r>
        <w:t xml:space="preserve">Recital</w:t>
      </w:r>
      <w:r>
        <w:t xml:space="preserve"> </w:t>
      </w:r>
      <w:r>
        <w:t xml:space="preserve">88</w:t>
      </w:r>
      <w:r>
        <w:t xml:space="preserve"> </w:t>
      </w:r>
      <w:r>
        <w:t xml:space="preserve">of</w:t>
      </w:r>
      <w:r>
        <w:t xml:space="preserve"> </w:t>
      </w:r>
      <w:r>
        <w:t xml:space="preserve">Commission</w:t>
      </w:r>
      <w:r>
        <w:t xml:space="preserve"> </w:t>
      </w:r>
      <w:r>
        <w:t xml:space="preserve">Decision</w:t>
      </w:r>
      <w:r>
        <w:t xml:space="preserve"> </w:t>
      </w:r>
      <w:r>
        <w:t xml:space="preserve">2012/160/EU.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content/EN/TXT/PDF/?uri=CELEX:32012D0160&amp;qid=1571656440439&amp;from=EN</w:t>
      </w:r>
      <w:r>
        <w:br/>
      </w:r>
      <w:r>
        <w:t xml:space="preserve">78 See letter of 25.4.2019 from the relevant Ministers of Denmark, Belgium, Sweden, Norway, Lithuania, The</w:t>
      </w:r>
      <w:r>
        <w:t xml:space="preserve"> </w:t>
      </w:r>
      <w:r>
        <w:t xml:space="preserve">Netherlands, Hungary, Finland, Czech Republic, Luxembourg and France.</w:t>
      </w:r>
      <w:r>
        <w:t xml:space="preserve"> </w:t>
      </w:r>
      <w:r>
        <w:t xml:space="preserve">79 Source: targeted survey and interviews. See annex 14 on the economic impacts and impacts on competitiveness from</w:t>
      </w:r>
      <w:r>
        <w:t xml:space="preserve"> </w:t>
      </w:r>
      <w:r>
        <w:t xml:space="preserve">lowering the limit values on nitrosamines to the levels currently applicable in Germany.</w:t>
      </w:r>
      <w:r>
        <w:t xml:space="preserve"> </w:t>
      </w:r>
      <w:r>
        <w:t xml:space="preserve">80 As an example, ‘[t]he toxicity of lead has been studied extensively in both animals and humans. On numerous occasions</w:t>
      </w:r>
      <w:r>
        <w:t xml:space="preserve"> </w:t>
      </w:r>
      <w:r>
        <w:t xml:space="preserve">these data have been evaluated by expert committees.’ (National Institute for Public Health and the Environment (RIVM),</w:t>
      </w:r>
      <w:r>
        <w:t xml:space="preserve"> </w:t>
      </w:r>
      <w:r>
        <w:t xml:space="preserve">Chemicals in Toys). The limit values for lead in toys were proposed (and eventually adopted in the 2009 Toy Safety</w:t>
      </w:r>
      <w:r>
        <w:t xml:space="preserve"> </w:t>
      </w:r>
      <w:r>
        <w:t xml:space="preserve">Directive) on the basis of scientific reviews from 1995 – 2005. However, in 2013, the European Food Safety Authority</w:t>
      </w:r>
      <w:r>
        <w:t xml:space="preserve"> </w:t>
      </w:r>
      <w:r>
        <w:t xml:space="preserve">(EFSA) issued a scientific opinion on lead providing that lead is more toxic than known before. (EFSA Panel on</w:t>
      </w:r>
      <w:r>
        <w:t xml:space="preserve"> </w:t>
      </w:r>
      <w:r>
        <w:t xml:space="preserve">Contaminants in the Food Chain (CONTAM), Scientific Opinion on Lead in Food. EFSA Journal 2010; 8(4):1570) Even</w:t>
      </w:r>
      <w:r>
        <w:t xml:space="preserve"> </w:t>
      </w:r>
      <w:r>
        <w:t xml:space="preserve">the smallest intake of lead by children can harm their intelligence. It was therefore necessary to lower the limit values in</w:t>
      </w:r>
      <w:r>
        <w:t xml:space="preserve"> </w:t>
      </w:r>
      <w:r>
        <w:t xml:space="preserve">the Toy Safety Directive almost 7-fold. In 2012 and 2013, the limit values for cadmium and barium had to be lowered,</w:t>
      </w:r>
      <w:r>
        <w:t xml:space="preserve"> </w:t>
      </w:r>
      <w:r>
        <w:t xml:space="preserve">respectively, due to updated knowledge on their toxicity. For the same reason the limit values for bisphenol A and for</w:t>
      </w:r>
      <w:r>
        <w:t xml:space="preserve"> </w:t>
      </w:r>
      <w:r>
        <w:t xml:space="preserve">aluminium had to be lowered, respectively, in 2017 and 2019; new information from EFSA suggests that the limit value</w:t>
      </w:r>
      <w:r>
        <w:t xml:space="preserve"> </w:t>
      </w:r>
      <w:r>
        <w:t xml:space="preserve">for bisphenol A is still too high.</w:t>
      </w:r>
      <w:r>
        <w:t xml:space="preserve"> </w:t>
      </w:r>
      <w:r>
        <w:t xml:space="preserve">81 Article 46 of the Toy Safety Directive.</w:t>
      </w:r>
      <w:r>
        <w:t xml:space="preserve"> </w:t>
      </w:r>
      <w:r>
        <w:t xml:space="preserve">82 In the period 2012 – 2021, the Directive was amended 17 times to address newly identified chemical risks and to revise</w:t>
      </w:r>
      <w:r>
        <w:t xml:space="preserve"> </w:t>
      </w:r>
      <w:r>
        <w:t xml:space="preserve">limit values for chemicals such as chromium VI, lead, phenol, bisphenol A. More particularly, eight amendments to the</w:t>
      </w:r>
      <w:r>
        <w:t xml:space="preserve"> </w:t>
      </w:r>
      <w:r>
        <w:t xml:space="preserve">Toy Safety Directive have inserted specific limit values for a number of CMR substances and highly sensitising</w:t>
      </w:r>
      <w:r>
        <w:t xml:space="preserve"> </w:t>
      </w:r>
      <w:r>
        <w:t xml:space="preserve">substances in Appendix C.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20</w:t>
      </w:r>
      <w:r>
        <w:t xml:space="preserve"> </w:t>
      </w:r>
      <w:r>
        <w:t xml:space="preserve">EN</w:t>
      </w:r>
      <w:r>
        <w:t xml:space="preserve"> </w:t>
      </w:r>
      <w:r>
        <w:t xml:space="preserve">other types of toys. This does not ensure sufficient protection of children or that the Directive can</w:t>
      </w:r>
      <w:r>
        <w:t xml:space="preserve"> </w:t>
      </w:r>
      <w:r>
        <w:t xml:space="preserve">be appropriately adapted to address emerging scientific knowledge83.</w:t>
      </w:r>
      <w:r>
        <w:t xml:space="preserve"> </w:t>
      </w:r>
      <w:r>
        <w:t xml:space="preserve">The distinction between (1) toys for children under 36 months and toys intended to be taken in the</w:t>
      </w:r>
      <w:r>
        <w:t xml:space="preserve"> </w:t>
      </w:r>
      <w:r>
        <w:t xml:space="preserve">mouth, and (2) other toys, takes account of the oral exposure to chemicals. Indeed, children under</w:t>
      </w:r>
      <w:r>
        <w:t xml:space="preserve"> </w:t>
      </w:r>
      <w:r>
        <w:t xml:space="preserve">36 months take ‘everything’ in their mouth, and toys such as a toy flute or a toy harmonica are by</w:t>
      </w:r>
      <w:r>
        <w:t xml:space="preserve"> </w:t>
      </w:r>
      <w:r>
        <w:t xml:space="preserve">definition played in contact with the mouth. However, older children may also be exposed to</w:t>
      </w:r>
      <w:r>
        <w:t xml:space="preserve"> </w:t>
      </w:r>
      <w:r>
        <w:t xml:space="preserve">chemicals via the skin or via inhalation. Experts in the Expert Group on Toys Safety repeatedly raised</w:t>
      </w:r>
      <w:r>
        <w:t xml:space="preserve"> </w:t>
      </w:r>
      <w:r>
        <w:t xml:space="preserve">the need that older children be equally well protected for certain of these substances84. Examples are</w:t>
      </w:r>
      <w:r>
        <w:t xml:space="preserve"> </w:t>
      </w:r>
      <w:r>
        <w:t xml:space="preserve">the</w:t>
      </w:r>
      <w:r>
        <w:t xml:space="preserve"> </w:t>
      </w:r>
      <w:r>
        <w:t xml:space="preserve">sensitising</w:t>
      </w:r>
      <w:r>
        <w:t xml:space="preserve"> </w:t>
      </w:r>
      <w:r>
        <w:t xml:space="preserve">preservatives</w:t>
      </w:r>
      <w:r>
        <w:t xml:space="preserve"> </w:t>
      </w:r>
      <w:r>
        <w:t xml:space="preserve">benzisothiazolinone,</w:t>
      </w:r>
      <w:r>
        <w:t xml:space="preserve"> </w:t>
      </w:r>
      <w:r>
        <w:t xml:space="preserve">chloromethylisothiazolinone</w:t>
      </w:r>
      <w:r>
        <w:t xml:space="preserve"> </w:t>
      </w:r>
      <w:r>
        <w:t xml:space="preserve">and</w:t>
      </w:r>
      <w:r>
        <w:t xml:space="preserve"> </w:t>
      </w:r>
      <w:r>
        <w:t xml:space="preserve">methylisothiazolinone for which specific limit values have been inserted in Appendix C to the</w:t>
      </w:r>
      <w:r>
        <w:t xml:space="preserve"> </w:t>
      </w:r>
      <w:r>
        <w:t xml:space="preserve">Directive while SCHEER recommends that they are not used in toys85. In addition, the risk from</w:t>
      </w:r>
      <w:r>
        <w:t xml:space="preserve"> </w:t>
      </w:r>
      <w:r>
        <w:t xml:space="preserve">chemicals may not be much different when comparing children under 36 months and older children</w:t>
      </w:r>
      <w:r>
        <w:t xml:space="preserve"> </w:t>
      </w:r>
      <w:r>
        <w:t xml:space="preserve">based on bodyweight86. Finally, outside of Appendix C, all other chemical limit values in the Toy</w:t>
      </w:r>
      <w:r>
        <w:t xml:space="preserve"> </w:t>
      </w:r>
      <w:r>
        <w:t xml:space="preserve">Safety Directive apply to all toys for children of all ages. In their letter of 25 April 2019, the 11</w:t>
      </w:r>
      <w:r>
        <w:t xml:space="preserve"> </w:t>
      </w:r>
      <w:r>
        <w:t xml:space="preserve">Ministers also stressed their concerns about the lack of possibilities in the Directive to add limit</w:t>
      </w:r>
      <w:r>
        <w:t xml:space="preserve"> </w:t>
      </w:r>
      <w:r>
        <w:t xml:space="preserve">values for toys for older children. Over 93% of public authorities (29 out of 31) and 65% of industry</w:t>
      </w:r>
      <w:r>
        <w:t xml:space="preserve"> </w:t>
      </w:r>
      <w:r>
        <w:t xml:space="preserve">(61 out of 89) responding to the public consutlation believed that the toy safety rules should allow</w:t>
      </w:r>
      <w:r>
        <w:t xml:space="preserve"> </w:t>
      </w:r>
      <w:r>
        <w:t xml:space="preserve">for setting limit values for any toy when new scientific knowledge emerges.</w:t>
      </w:r>
      <w:r>
        <w:br/>
      </w:r>
      <w:r>
        <w:t xml:space="preserve">A further limitation to the effectiveness of the adaptations of the Directive resides in the legal form</w:t>
      </w:r>
      <w:r>
        <w:t xml:space="preserve"> </w:t>
      </w:r>
      <w:r>
        <w:t xml:space="preserve">of the toy safety rules, a Directive, which requires transposition in the national legal systems of all</w:t>
      </w:r>
      <w:r>
        <w:t xml:space="preserve"> </w:t>
      </w:r>
      <w:r>
        <w:t xml:space="preserve">Member States to become applicable. Only then can all provisions be concurrently enforced in all</w:t>
      </w:r>
      <w:r>
        <w:t xml:space="preserve"> </w:t>
      </w:r>
      <w:r>
        <w:t xml:space="preserve">Member States. This makes the overall process for adaptation of newly set limit values through the</w:t>
      </w:r>
      <w:r>
        <w:t xml:space="preserve"> </w:t>
      </w:r>
      <w:r>
        <w:t xml:space="preserve">empowerments to the Commission lengthy. In addition, delays in the transposition in one or several</w:t>
      </w:r>
      <w:r>
        <w:t xml:space="preserve"> </w:t>
      </w:r>
      <w:r>
        <w:t xml:space="preserve">Member States would be detrimental to the protection of children in those States. The Evaluation of</w:t>
      </w:r>
      <w:r>
        <w:t xml:space="preserve"> </w:t>
      </w:r>
      <w:r>
        <w:t xml:space="preserve">the Directive concluded that national transpositions of amendments to the Directive often turn out to</w:t>
      </w:r>
      <w:r>
        <w:t xml:space="preserve"> </w:t>
      </w:r>
      <w:r>
        <w:t xml:space="preserve">be excessively burdensome and time-consuming87.</w:t>
      </w:r>
      <w:r>
        <w:br/>
      </w:r>
      <w:r>
        <w:t xml:space="preserve">2.2.2. Problem 2- A high number of toys on the Union market do not comply with the</w:t>
      </w:r>
      <w:r>
        <w:t xml:space="preserve"> </w:t>
      </w:r>
      <w:r>
        <w:t xml:space="preserve">Toy Safety Directive and are unsafe</w:t>
      </w:r>
      <w:r>
        <w:t xml:space="preserve"> </w:t>
      </w:r>
      <w:r>
        <w:t xml:space="preserve">a) Global supply chains: non-compliant toys from third countries and online commerce</w:t>
      </w:r>
      <w:r>
        <w:t xml:space="preserve"> </w:t>
      </w:r>
      <w:r>
        <w:t xml:space="preserve">Evidence shows that a significant proportion of non-compliant toys come from third countries and</w:t>
      </w:r>
      <w:r>
        <w:t xml:space="preserve"> </w:t>
      </w:r>
      <w:r>
        <w:t xml:space="preserve">that they are particularly present online8889. Only 4% of dangerous toys notified in RAPEX come</w:t>
      </w:r>
    </w:p>
    <w:p>
      <w:pPr>
        <w:pStyle w:val="BodyText"/>
      </w:pPr>
      <w:r>
        <w:t xml:space="preserve">83 See section 5.1.1.2 of the Evaluation.</w:t>
      </w:r>
      <w:r>
        <w:t xml:space="preserve"> </w:t>
      </w:r>
      <w:r>
        <w:t xml:space="preserve">84 See also section 5.1.1.2 of the Evaluation.</w:t>
      </w:r>
      <w:r>
        <w:t xml:space="preserve"> </w:t>
      </w:r>
      <w:r>
        <w:t xml:space="preserve">85 Scientific Committee on Health and Environmental Risks (SCHER), Opinion on</w:t>
      </w:r>
      <w:r>
        <w:t xml:space="preserve"> </w:t>
      </w:r>
      <w:r>
        <w:t xml:space="preserve">“CEN’s response to the opinion of the</w:t>
      </w:r>
      <w:r>
        <w:t xml:space="preserve"> </w:t>
      </w:r>
      <w:r>
        <w:t xml:space="preserve">CSTEE on the assessment of CEN report on the risk assessment of organic chemicals in toys”</w:t>
      </w:r>
      <w:r>
        <w:t xml:space="preserve">, adopted on 29 May 2007,</w:t>
      </w:r>
      <w:r>
        <w:t xml:space="preserve"> </w:t>
      </w:r>
      <w:r>
        <w:t xml:space="preserve">p. 8 and table 1 on p. 9.</w:t>
      </w:r>
      <w:r>
        <w:t xml:space="preserve"> </w:t>
      </w:r>
      <w:r>
        <w:t xml:space="preserve">86 The bodyweight of children under 36 months was estimated to be 7.5 kg86 when calculating the migration limits for</w:t>
      </w:r>
      <w:r>
        <w:t xml:space="preserve"> </w:t>
      </w:r>
      <w:r>
        <w:t xml:space="preserve">toxic ‘elements’ such as arsenic, cadmium or lead; for children of 36 months and over the bodyweight was assumed to</w:t>
      </w:r>
      <w:r>
        <w:t xml:space="preserve"> </w:t>
      </w:r>
      <w:r>
        <w:t xml:space="preserve">be 15 kg.</w:t>
      </w:r>
      <w:r>
        <w:t xml:space="preserve"> </w:t>
      </w:r>
      <w:r>
        <w:t xml:space="preserve">87 See section 5.1.4 of the Evaluation</w:t>
      </w:r>
      <w:r>
        <w:t xml:space="preserve"> </w:t>
      </w:r>
      <w:r>
        <w:t xml:space="preserve">88 See above the results of the CASP joint action on toys from non-EU marketplaces, as well as TIE report on EU Toy</w:t>
      </w:r>
      <w:r>
        <w:t xml:space="preserve"> </w:t>
      </w:r>
      <w:r>
        <w:t xml:space="preserve">Safety: the problem of unreputable sellers on online marketplaces TIE’s EU Toy Safety report: The problem of</w:t>
      </w:r>
      <w:r>
        <w:t xml:space="preserve"> </w:t>
      </w:r>
      <w:r>
        <w:t xml:space="preserve">unreputable sellers on online marketplaces - Toy Industries of Europe or the BTHA report “Still Toying with Children’s</w:t>
      </w:r>
      <w:r>
        <w:t xml:space="preserve"> </w:t>
      </w:r>
      <w:r>
        <w:t xml:space="preserve">Safety” which concerned products found in the EU market at that time BTHA-Online-Marketplace-Report.pdf</w:t>
      </w:r>
      <w:r>
        <w:t xml:space="preserve"> </w:t>
      </w:r>
      <w:r>
        <w:t xml:space="preserve">(toysafety.co.uk). Also, BEUC March 2022 “Products from online marketplaces continue to fail safety tests –</w:t>
      </w:r>
      <w:r>
        <w:t xml:space="preserve"> </w:t>
      </w:r>
      <w:r>
        <w:t xml:space="preserve">Compilation of research on unsafe products from online marketplaces from 2021 and 2022”. Similarly, as an illustration</w:t>
      </w:r>
      <w:r>
        <w:t xml:space="preserve"> </w:t>
      </w:r>
      <w:r>
        <w:t xml:space="preserve">Life-threatening children’s toys easy to sell via Bol.com - Radar - AVROTROS’ consumer program</w:t>
      </w:r>
      <w:r>
        <w:t xml:space="preserve"> </w:t>
      </w:r>
      <w:r>
        <w:t xml:space="preserve">89 Recent joint actions and targeted campaigns illustrate that the rates of non-compliant toys available online are of</w:t>
      </w:r>
      <w:r>
        <w:t xml:space="preserve"> </w:t>
      </w:r>
      <w:r>
        <w:t xml:space="preserve">particular concern, as investigations regularly reveal that these products remain available online even after being subject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21</w:t>
      </w:r>
      <w:r>
        <w:t xml:space="preserve"> </w:t>
      </w:r>
      <w:r>
        <w:t xml:space="preserve">EN</w:t>
      </w:r>
      <w:r>
        <w:t xml:space="preserve"> </w:t>
      </w:r>
      <w:r>
        <w:t xml:space="preserve">from EU countries. Online shopping is continuing to grow in the EU90 and toys are among the most</w:t>
      </w:r>
      <w:r>
        <w:t xml:space="preserve"> </w:t>
      </w:r>
      <w:r>
        <w:t xml:space="preserve">popular categories of products ordered online. For example, the 2021 Eurostat survey showed that</w:t>
      </w:r>
      <w:r>
        <w:t xml:space="preserve"> </w:t>
      </w:r>
      <w:r>
        <w:t xml:space="preserve">20% of people who bought online ordered toys or childcare articles.91</w:t>
      </w:r>
      <w:r>
        <w:br/>
      </w:r>
      <w:r>
        <w:t xml:space="preserve">The value of online sales in total (not limited to toys) increased by 20% between 2010 and 202092.</w:t>
      </w:r>
      <w:r>
        <w:t xml:space="preserve"> </w:t>
      </w:r>
      <w:r>
        <w:t xml:space="preserve">The purchase of goods and services online has also increased the availability of products from outside</w:t>
      </w:r>
      <w:r>
        <w:t xml:space="preserve"> </w:t>
      </w:r>
      <w:r>
        <w:t xml:space="preserve">the EU, with almost one third (31%) of online shoppers having purchased goods or services</w:t>
      </w:r>
      <w:r>
        <w:t xml:space="preserve"> </w:t>
      </w:r>
      <w:r>
        <w:t xml:space="preserve">from outside the EU.93 94</w:t>
      </w:r>
      <w:r>
        <w:br/>
      </w:r>
      <w:r>
        <w:t xml:space="preserve">At the global level, online sales of toys were</w:t>
      </w:r>
      <w:r>
        <w:t xml:space="preserve"> </w:t>
      </w:r>
      <w:r>
        <w:t xml:space="preserve">estimated to have increased markedly, by an</w:t>
      </w:r>
      <w:r>
        <w:t xml:space="preserve"> </w:t>
      </w:r>
      <w:r>
        <w:t xml:space="preserve">estimated 20%, in 2020-2021.95 In 2020, 44 % of</w:t>
      </w:r>
      <w:r>
        <w:t xml:space="preserve"> </w:t>
      </w:r>
      <w:r>
        <w:t xml:space="preserve">large enterprises conducted e-sales, corresponding</w:t>
      </w:r>
      <w:r>
        <w:t xml:space="preserve"> </w:t>
      </w:r>
      <w:r>
        <w:t xml:space="preserve">to an e-sales value of 27 % of total turnover in this</w:t>
      </w:r>
      <w:r>
        <w:t xml:space="preserve"> </w:t>
      </w:r>
      <w:r>
        <w:t xml:space="preserve">size class96. E-commerce enables traders to</w:t>
      </w:r>
      <w:r>
        <w:t xml:space="preserve"> </w:t>
      </w:r>
      <w:r>
        <w:t xml:space="preserve">introduce products that comply with the legal</w:t>
      </w:r>
      <w:r>
        <w:t xml:space="preserve"> </w:t>
      </w:r>
      <w:r>
        <w:t xml:space="preserve">requirements of a non-EU country where they</w:t>
      </w:r>
      <w:r>
        <w:t xml:space="preserve"> </w:t>
      </w:r>
      <w:r>
        <w:t xml:space="preserve">were manufactured, to be sold to other markets,</w:t>
      </w:r>
      <w:r>
        <w:t xml:space="preserve"> </w:t>
      </w:r>
      <w:r>
        <w:t xml:space="preserve">where product safety and chemical legislation</w:t>
      </w:r>
      <w:r>
        <w:t xml:space="preserve"> </w:t>
      </w:r>
      <w:r>
        <w:t xml:space="preserve">requirements may substantially differ97. New</w:t>
      </w:r>
      <w:r>
        <w:t xml:space="preserve"> </w:t>
      </w:r>
      <w:r>
        <w:t xml:space="preserve">business models, including variety of intermediary</w:t>
      </w:r>
      <w:r>
        <w:t xml:space="preserve"> </w:t>
      </w:r>
      <w:r>
        <w:t xml:space="preserve">services (e.g., social media, online marketplaces)</w:t>
      </w:r>
      <w:r>
        <w:t xml:space="preserve"> </w:t>
      </w:r>
      <w:r>
        <w:t xml:space="preserve">that connect online sellers and buyers, increase the</w:t>
      </w:r>
      <w:r>
        <w:t xml:space="preserve"> </w:t>
      </w:r>
      <w:r>
        <w:t xml:space="preserve">engagement in e-commerce of even more diverse players worldwide98.99</w:t>
      </w:r>
    </w:p>
    <w:p>
      <w:pPr>
        <w:pStyle w:val="BodyText"/>
      </w:pPr>
      <w:r>
        <w:t xml:space="preserve">to bans or recalls. OECD 2015 sweep, 62% of non-compliance rate for toys, and the most commonly reported category</w:t>
      </w:r>
      <w:r>
        <w:t xml:space="preserve"> </w:t>
      </w:r>
      <w:r>
        <w:t xml:space="preserve">of banned/recalled products that can still be found online. 5jlnb5q64ktd-en.pdf (oecd-ilibrary.org). The BTHA report</w:t>
      </w:r>
      <w:r>
        <w:t xml:space="preserve"> </w:t>
      </w:r>
      <w:r>
        <w:t xml:space="preserve">signals that 69% of recalled toys could still be found online, albeit from other sellers.</w:t>
      </w:r>
      <w:r>
        <w:t xml:space="preserve"> </w:t>
      </w:r>
      <w:r>
        <w:t xml:space="preserve">90 https://ec.europa.eu/eurostat/statistics-explained/index.php?title=E-commerce_statistics_for_individuals</w:t>
      </w:r>
      <w:r>
        <w:t xml:space="preserve"> </w:t>
      </w:r>
      <w:r>
        <w:t xml:space="preserve">91 90% of people aged 16 to 74 in the EU had used the internet in the 12 months prior to the 2021 Eurostat Survey, 74%</w:t>
      </w:r>
      <w:r>
        <w:t xml:space="preserve"> </w:t>
      </w:r>
      <w:r>
        <w:t xml:space="preserve">of whom had bought or ordered goods or services for private use. 20% of people who bought online ordered toys or</w:t>
      </w:r>
      <w:r>
        <w:t xml:space="preserve"> </w:t>
      </w:r>
      <w:r>
        <w:t xml:space="preserve">childcare articles.</w:t>
      </w:r>
      <w:r>
        <w:t xml:space="preserve"> </w:t>
      </w:r>
      <w:r>
        <w:t xml:space="preserve">92 Eurostat 2021.</w:t>
      </w:r>
      <w:r>
        <w:t xml:space="preserve"> </w:t>
      </w:r>
      <w:r>
        <w:t xml:space="preserve">93 Eurostat 2021</w:t>
      </w:r>
      <w:r>
        <w:t xml:space="preserve"> </w:t>
      </w:r>
      <w:r>
        <w:t xml:space="preserve">94 Many products ordered online are shipped across borders in individual consignments, in what is known as parcel trade.</w:t>
      </w:r>
      <w:r>
        <w:t xml:space="preserve"> </w:t>
      </w:r>
      <w:r>
        <w:t xml:space="preserve">This trade has helped consumers access the goods they need in times of confinement and also allowed firms, especially</w:t>
      </w:r>
      <w:r>
        <w:t xml:space="preserve"> </w:t>
      </w:r>
      <w:r>
        <w:t xml:space="preserve">smaller ones, to maintain economic activity. The types of parcels traded during confinement vary significantly; however,</w:t>
      </w:r>
      <w:r>
        <w:t xml:space="preserve"> </w:t>
      </w:r>
      <w:r>
        <w:t xml:space="preserve">information available for EU countries shows that growth has been dominated by purchases of computers and related</w:t>
      </w:r>
      <w:r>
        <w:t xml:space="preserve"> </w:t>
      </w:r>
      <w:r>
        <w:t xml:space="preserve">accessories; medical goods (pharmaceuticals); and leisure items such as books or games. Compared to ‘traditional’</w:t>
      </w:r>
      <w:r>
        <w:t xml:space="preserve"> </w:t>
      </w:r>
      <w:r>
        <w:t xml:space="preserve">container trade, parcel trade involves an even more complex network of interlinked actors and policies, and so ensuring</w:t>
      </w:r>
      <w:r>
        <w:t xml:space="preserve"> </w:t>
      </w:r>
      <w:r>
        <w:t xml:space="preserve">that parcels get to where they are needed during confinement, as well as during gradual reopening, requires policy action</w:t>
      </w:r>
      <w:r>
        <w:t xml:space="preserve"> </w:t>
      </w:r>
      <w:r>
        <w:t xml:space="preserve">across a diverse set of issues. See https://www.oecd.org/coronavirus/policy-responses/connecting-businesses-and-</w:t>
      </w:r>
      <w:r>
        <w:t xml:space="preserve"> </w:t>
      </w:r>
      <w:r>
        <w:t xml:space="preserve">consumers-during-covid-19-trade-in-parcels-d18de131/</w:t>
      </w:r>
      <w:r>
        <w:t xml:space="preserve"> </w:t>
      </w:r>
      <w:r>
        <w:t xml:space="preserve">95 https://www.npd.com/news/thought-leadership/2021/whats-driving-online-toy-sales/</w:t>
      </w:r>
      <w:r>
        <w:br/>
      </w:r>
      <w:r>
        <w:t xml:space="preserve">96 Eurostat 2021</w:t>
      </w:r>
      <w:r>
        <w:t xml:space="preserve"> </w:t>
      </w:r>
      <w:r>
        <w:t xml:space="preserve">97 KEMI, Increased e-commerce – increased chemicals risks? A mapping of the challenges of e-commerce and proposed</w:t>
      </w:r>
      <w:r>
        <w:t xml:space="preserve"> </w:t>
      </w:r>
      <w:r>
        <w:t xml:space="preserve">measures. Report of a government assignment, 2021.</w:t>
      </w:r>
      <w:r>
        <w:t xml:space="preserve"> </w:t>
      </w:r>
      <w:r>
        <w:t xml:space="preserve">98 See KEMI (2021).</w:t>
      </w:r>
      <w:r>
        <w:t xml:space="preserve"> </w:t>
      </w:r>
      <w:r>
        <w:t xml:space="preserve">99 The Study supporting the revision of the CLP Regulation (Technical Support to the Commissions Impact Assessment</w:t>
      </w:r>
      <w:r>
        <w:t xml:space="preserve"> </w:t>
      </w:r>
      <w:r>
        <w:t xml:space="preserve">for the Revision of the Regulation on Classification, Labelling and Packaging of Substances and Mixtures (CLP), page</w:t>
      </w:r>
      <w:r>
        <w:t xml:space="preserve"> </w:t>
      </w:r>
      <w:r>
        <w:t xml:space="preserve">113) assessed the compliance with chemical requirements detailed in the CLP and REACH Regulations for various</w:t>
      </w:r>
      <w:r>
        <w:t xml:space="preserve"> </w:t>
      </w:r>
      <w:r>
        <w:t xml:space="preserve">product groups by analysing a wide range of market surveillance activities conducted by consumer associations, market</w:t>
      </w:r>
      <w:r>
        <w:t xml:space="preserve"> </w:t>
      </w:r>
      <w:r>
        <w:t xml:space="preserve">surveillance authorities and other stakeholders. It concluded that 20% of the toys assessed across these reports and sold</w:t>
      </w:r>
      <w:r>
        <w:t xml:space="preserve"> </w:t>
      </w:r>
      <w:r>
        <w:t xml:space="preserve">online were found to be non-compliant with regard to chemicals-related requirements. Furthermore, on the basis of reports</w:t>
      </w:r>
      <w:r>
        <w:t xml:space="preserve"> </w:t>
      </w:r>
      <w:r>
        <w:t xml:space="preserve">4%</w:t>
      </w:r>
      <w:r>
        <w:t xml:space="preserve"> </w:t>
      </w:r>
      <w:r>
        <w:t xml:space="preserve">85%</w:t>
      </w:r>
      <w:r>
        <w:t xml:space="preserve"> </w:t>
      </w:r>
      <w:r>
        <w:t xml:space="preserve">11%</w:t>
      </w:r>
      <w:r>
        <w:t xml:space="preserve"> </w:t>
      </w:r>
      <w:r>
        <w:t xml:space="preserve">EU</w:t>
      </w:r>
      <w:r>
        <w:t xml:space="preserve"> </w:t>
      </w:r>
      <w:r>
        <w:t xml:space="preserve">China</w:t>
      </w:r>
      <w:r>
        <w:t xml:space="preserve"> </w:t>
      </w:r>
      <w:r>
        <w:t xml:space="preserve">Other</w:t>
      </w:r>
      <w:r>
        <w:t xml:space="preserve"> </w:t>
      </w:r>
      <w:r>
        <w:t xml:space="preserve">Figure 6: Country of origin of dangerous toys</w:t>
      </w:r>
      <w:r>
        <w:t xml:space="preserve"> </w:t>
      </w:r>
      <w:r>
        <w:t xml:space="preserve">notified in RAPEX (2016- May 2022)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22</w:t>
      </w:r>
      <w:r>
        <w:t xml:space="preserve"> </w:t>
      </w:r>
      <w:r>
        <w:t xml:space="preserve">EN</w:t>
      </w:r>
      <w:r>
        <w:t xml:space="preserve"> </w:t>
      </w:r>
      <w:r>
        <w:t xml:space="preserve">EU consumers are able to buy from non-EU websites toys which were never intended by the</w:t>
      </w:r>
      <w:r>
        <w:t xml:space="preserve"> </w:t>
      </w:r>
      <w:r>
        <w:t xml:space="preserve">manufacturer to be placed on the Union market, but that had been directed to it by other third parties</w:t>
      </w:r>
      <w:r>
        <w:t xml:space="preserve"> </w:t>
      </w:r>
      <w:r>
        <w:t xml:space="preserve">through global distribution chains and no economic operator clearly makes sure that the toy is</w:t>
      </w:r>
      <w:r>
        <w:t xml:space="preserve"> </w:t>
      </w:r>
      <w:r>
        <w:t xml:space="preserve">compliant with the Directive. Non-EU economic operators may not know the requirements applicable</w:t>
      </w:r>
      <w:r>
        <w:t xml:space="preserve"> </w:t>
      </w:r>
      <w:r>
        <w:t xml:space="preserve">in the EU or they may choose to ignore them. Non-EU sellers may only rely on the information</w:t>
      </w:r>
      <w:r>
        <w:t xml:space="preserve"> </w:t>
      </w:r>
      <w:r>
        <w:t xml:space="preserve">provided by the manufacturer that the necessary steps have been taken to ensure that the toys are</w:t>
      </w:r>
      <w:r>
        <w:t xml:space="preserve"> </w:t>
      </w:r>
      <w:r>
        <w:t xml:space="preserve">compliant with the applicable requirements. Rogue traders can benefit from these channels to sell</w:t>
      </w:r>
      <w:r>
        <w:t xml:space="preserve"> </w:t>
      </w:r>
      <w:r>
        <w:t xml:space="preserve">their products at low prices avoiding the costs of complying with the legislation100. It has been found</w:t>
      </w:r>
      <w:r>
        <w:t xml:space="preserve"> </w:t>
      </w:r>
      <w:r>
        <w:t xml:space="preserve">that many toys which have been recalled from the Union market because they are unsafe can still be</w:t>
      </w:r>
      <w:r>
        <w:t xml:space="preserve"> </w:t>
      </w:r>
      <w:r>
        <w:t xml:space="preserve">found for sale online, sometimes from different online sellers. 70% (43 out of 61) of</w:t>
      </w:r>
      <w:r>
        <w:t xml:space="preserve"> </w:t>
      </w:r>
      <w:r>
        <w:t xml:space="preserve">consumers/environmental groups, 80% (25 out of 31) of public authorities and 67% of industry and</w:t>
      </w:r>
      <w:r>
        <w:t xml:space="preserve"> </w:t>
      </w:r>
      <w:r>
        <w:t xml:space="preserve">industry associations responding (61 out of 89) to the public consultation believed that the lack of</w:t>
      </w:r>
      <w:r>
        <w:t xml:space="preserve"> </w:t>
      </w:r>
      <w:r>
        <w:t xml:space="preserve">specific rules on online sales hamper the effectiveness of the TSD.</w:t>
      </w:r>
      <w:r>
        <w:t xml:space="preserve"> </w:t>
      </w:r>
      <w:r>
        <w:t xml:space="preserve">b) Limits to market surveillance checks and customs controls</w:t>
      </w:r>
      <w:r>
        <w:t xml:space="preserve"> </w:t>
      </w:r>
      <w:r>
        <w:t xml:space="preserve">The data on non-compliant products set out above illustrates the ability of market surveillance</w:t>
      </w:r>
      <w:r>
        <w:t xml:space="preserve"> </w:t>
      </w:r>
      <w:r>
        <w:t xml:space="preserve">authorities to target with their inspections non-compliant toys; the fact that toys are constantly one of</w:t>
      </w:r>
      <w:r>
        <w:t xml:space="preserve"> </w:t>
      </w:r>
      <w:r>
        <w:t xml:space="preserve">the top categories of products subject to RAPEX notifications shows that significant efforts are put</w:t>
      </w:r>
      <w:r>
        <w:t xml:space="preserve"> </w:t>
      </w:r>
      <w:r>
        <w:t xml:space="preserve">in market surveillance activities for toys. However, certain issues remain. The high rates of non-</w:t>
      </w:r>
      <w:r>
        <w:t xml:space="preserve"> </w:t>
      </w:r>
      <w:r>
        <w:t xml:space="preserve">compliance show the limits to the effectiveness of market surveillance in ensuring that only compliant</w:t>
      </w:r>
      <w:r>
        <w:t xml:space="preserve"> </w:t>
      </w:r>
      <w:r>
        <w:t xml:space="preserve">and safe toys are placed on the Union market.</w:t>
      </w:r>
      <w:r>
        <w:t xml:space="preserve"> </w:t>
      </w:r>
      <w:r>
        <w:t xml:space="preserve">In particular, the Evaluation concluded that the compliance information (EC Declaration of</w:t>
      </w:r>
      <w:r>
        <w:t xml:space="preserve"> </w:t>
      </w:r>
      <w:r>
        <w:t xml:space="preserve">conformity) is difficult to obtain and equally often incorrect or of questionable quality and/or only</w:t>
      </w:r>
      <w:r>
        <w:t xml:space="preserve"> </w:t>
      </w:r>
      <w:r>
        <w:t xml:space="preserve">drafted when requested by authorities101. Similarly, the safety assessment and the technical</w:t>
      </w:r>
      <w:r>
        <w:t xml:space="preserve"> </w:t>
      </w:r>
      <w:r>
        <w:t xml:space="preserve">documentation also appear to be often incomplete, incorrect, difficult to obtain and only prepared on</w:t>
      </w:r>
      <w:r>
        <w:t xml:space="preserve"> </w:t>
      </w:r>
      <w:r>
        <w:t xml:space="preserve">purpose when the authorities have asked for them. Parts of the technical documentation can be</w:t>
      </w:r>
      <w:r>
        <w:t xml:space="preserve"> </w:t>
      </w:r>
      <w:r>
        <w:t xml:space="preserve">missing or even be faked. Re-launching a request for the obligatory documentation and the follow-</w:t>
      </w:r>
      <w:r>
        <w:t xml:space="preserve"> </w:t>
      </w:r>
      <w:r>
        <w:t xml:space="preserve">up can cause considerable delays. In many cases, it is not possible to link the documentation to the</w:t>
      </w:r>
      <w:r>
        <w:t xml:space="preserve"> </w:t>
      </w:r>
      <w:r>
        <w:t xml:space="preserve">toy, resulting in the documentation being of limited (or of no) value102.</w:t>
      </w:r>
      <w:r>
        <w:t xml:space="preserve"> </w:t>
      </w:r>
      <w:r>
        <w:t xml:space="preserve">An effective way to ensure that unsafe or non-compliant toys are not placed on the Union market</w:t>
      </w:r>
      <w:r>
        <w:t xml:space="preserve"> </w:t>
      </w:r>
      <w:r>
        <w:t xml:space="preserve">would be to detect such products before they are released for free circulation. Controls on products</w:t>
      </w:r>
      <w:r>
        <w:t xml:space="preserve"> </w:t>
      </w:r>
      <w:r>
        <w:t xml:space="preserve">entering the Union market take place on a risk assessment basis and on a limited number of toys</w:t>
      </w:r>
      <w:r>
        <w:t xml:space="preserve"> </w:t>
      </w:r>
      <w:r>
        <w:t xml:space="preserve">entering the Union market. The recent report on the current challenges for the Customs Union</w:t>
      </w:r>
      <w:r>
        <w:t xml:space="preserve"> </w:t>
      </w:r>
      <w:r>
        <w:t xml:space="preserve">“Putting more Union in the European Customs”103 notes that the explosion of e-commerce presents</w:t>
      </w:r>
      <w:r>
        <w:t xml:space="preserve"> </w:t>
      </w:r>
      <w:r>
        <w:t xml:space="preserve">customs with an inflow of small consignments with new financial, counterfeit, compliance, safety</w:t>
      </w:r>
      <w:r>
        <w:t xml:space="preserve"> </w:t>
      </w:r>
      <w:r>
        <w:t xml:space="preserve">and security risks. In 2019, the volume of international trade that was handled by EU customs offices,</w:t>
      </w:r>
    </w:p>
    <w:p>
      <w:pPr>
        <w:pStyle w:val="BodyText"/>
      </w:pPr>
      <w:r>
        <w:t xml:space="preserve">from representatives of the same stakeholder groups assessing non-compliance with non-chemicals related requirements</w:t>
      </w:r>
      <w:r>
        <w:t xml:space="preserve"> </w:t>
      </w:r>
      <w:r>
        <w:t xml:space="preserve">a wide range of compliance levels across toys sold online spanning from 3% to 90% was found, depending on the</w:t>
      </w:r>
      <w:r>
        <w:t xml:space="preserve"> </w:t>
      </w:r>
      <w:r>
        <w:t xml:space="preserve">requirements and types of toys examined.</w:t>
      </w:r>
      <w:r>
        <w:t xml:space="preserve"> </w:t>
      </w:r>
      <w:r>
        <w:t xml:space="preserve">100 See the Europol 2021 campaign on identifying counterfeit toys online, and their operation LUDUS with OLAF and</w:t>
      </w:r>
      <w:r>
        <w:t xml:space="preserve"> </w:t>
      </w:r>
      <w:r>
        <w:t xml:space="preserve">EUIPO between October 2020 and January 2021 which concluded in over 5 million counterfeit toys for a total value</w:t>
      </w:r>
      <w:r>
        <w:t xml:space="preserve"> </w:t>
      </w:r>
      <w:r>
        <w:t xml:space="preserve">exceeding €16 million. How to recognise fake and hazardous toys | Europol (europa.eu) and Cute, but deadly: law</w:t>
      </w:r>
      <w:r>
        <w:t xml:space="preserve"> </w:t>
      </w:r>
      <w:r>
        <w:t xml:space="preserve">enforcement seize over €16 million worth of fake toys | Europol (europa.eu). In 2019, revenue generated from counterfeit</w:t>
      </w:r>
      <w:r>
        <w:t xml:space="preserve"> </w:t>
      </w:r>
      <w:r>
        <w:t xml:space="preserve">toys reached $32.3 billion in the US and $44.6 billion in Europe. Counterfeit toys are also very often non-compliant or</w:t>
      </w:r>
      <w:r>
        <w:t xml:space="preserve"> </w:t>
      </w:r>
      <w:r>
        <w:t xml:space="preserve">unsafe, see Alarming consumer behavior with counterfeit toys (redpoints.com)</w:t>
      </w:r>
      <w:r>
        <w:br/>
      </w:r>
      <w:r>
        <w:t xml:space="preserve">101 See section 5.2.6 of the Evaluation.</w:t>
      </w:r>
      <w:r>
        <w:t xml:space="preserve"> </w:t>
      </w:r>
      <w:r>
        <w:t xml:space="preserve">102 See section 5.2.6 of the Evaluation.</w:t>
      </w:r>
      <w:r>
        <w:t xml:space="preserve"> </w:t>
      </w:r>
      <w:r>
        <w:t xml:space="preserve">103 Putting more Union in the European Customs - Ten proposals to make the EU Customs Union fit for a Geopolitical</w:t>
      </w:r>
      <w:r>
        <w:t xml:space="preserve"> </w:t>
      </w:r>
      <w:r>
        <w:t xml:space="preserve">Europe – Wise Persons Group Report https://ec.europa.eu/taxation_customs/system/files/2022-03/TAX-20-002-</w:t>
      </w:r>
      <w:r>
        <w:t xml:space="preserve"> </w:t>
      </w:r>
      <w:r>
        <w:t xml:space="preserve">Future%20customs-REPORT_BIS_v5%20%28WEB%29.pdf.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23</w:t>
      </w:r>
      <w:r>
        <w:t xml:space="preserve"> </w:t>
      </w:r>
      <w:r>
        <w:t xml:space="preserve">EN</w:t>
      </w:r>
      <w:r>
        <w:t xml:space="preserve"> </w:t>
      </w:r>
      <w:r>
        <w:t xml:space="preserve">in terms of import, export or transit was of over 868 million items104. From July to December 2021,</w:t>
      </w:r>
      <w:r>
        <w:t xml:space="preserve"> </w:t>
      </w:r>
      <w:r>
        <w:t xml:space="preserve">e-commerce represented more than twice the number of traditional customs transactions for only</w:t>
      </w:r>
      <w:r>
        <w:t xml:space="preserve"> </w:t>
      </w:r>
      <w:r>
        <w:t xml:space="preserve">0.4 % of the value.105 For customs, e-commerce means an exponential and unmanageable flow of</w:t>
      </w:r>
      <w:r>
        <w:t xml:space="preserve"> </w:t>
      </w:r>
      <w:r>
        <w:t xml:space="preserve">millions of small individual consignments to be controlled and checked for fiscal and non-fiscal</w:t>
      </w:r>
      <w:r>
        <w:t xml:space="preserve"> </w:t>
      </w:r>
      <w:r>
        <w:t xml:space="preserve">requirements, such as checking toys for compliance with the Toy Safety Directive. Data from</w:t>
      </w:r>
      <w:r>
        <w:t xml:space="preserve"> </w:t>
      </w:r>
      <w:r>
        <w:t xml:space="preserve">European countries show the relevant importance of toys in cross border trade in individual parcels</w:t>
      </w:r>
      <w:r>
        <w:t xml:space="preserve"> </w:t>
      </w:r>
      <w:r>
        <w:t xml:space="preserve">(10 % of small value parcels concerns toys), as well as the very high increase over the last period106.</w:t>
      </w:r>
      <w:r>
        <w:t xml:space="preserve"> </w:t>
      </w:r>
      <w:r>
        <w:t xml:space="preserve">Evidence also suggests that the probability that small consignments will contain non-compliant or</w:t>
      </w:r>
      <w:r>
        <w:t xml:space="preserve"> </w:t>
      </w:r>
      <w:r>
        <w:t xml:space="preserve">dangerous goods is very high107.</w:t>
      </w:r>
    </w:p>
    <w:p>
      <w:pPr>
        <w:pStyle w:val="BodyText"/>
      </w:pPr>
      <w:r>
        <w:t xml:space="preserve">Figure 7: Problems and drivers</w:t>
      </w:r>
      <w:r>
        <w:t xml:space="preserve"> </w:t>
      </w:r>
      <w:r>
        <w:t xml:space="preserve">2.3.</w:t>
      </w:r>
      <w:r>
        <w:t xml:space="preserve"> </w:t>
      </w:r>
      <w:r>
        <w:t xml:space="preserve">How likely is the problem to persist?</w:t>
      </w:r>
      <w:r>
        <w:t xml:space="preserve"> </w:t>
      </w:r>
      <w:r>
        <w:t xml:space="preserve">In the absence of EU action, the protection of children from chemical risks by the Directive will</w:t>
      </w:r>
      <w:r>
        <w:t xml:space="preserve"> </w:t>
      </w:r>
      <w:r>
        <w:t xml:space="preserve">continue to be insufficient, and they will continue to face risks from non-compliant toys.</w:t>
      </w:r>
      <w:r>
        <w:br/>
      </w:r>
      <w:r>
        <w:t xml:space="preserve">The most harmful chemical substances will continue to be harmful in the future. Their toxicity or</w:t>
      </w:r>
      <w:r>
        <w:t xml:space="preserve"> </w:t>
      </w:r>
      <w:r>
        <w:t xml:space="preserve">hazard is not expected to decrease; on the contrary, as scientific knowledge of chemical substances</w:t>
      </w:r>
      <w:r>
        <w:t xml:space="preserve"> </w:t>
      </w:r>
      <w:r>
        <w:t xml:space="preserve">progresses, new scientific evidence is expected to appear refining previous conclusions on the risks</w:t>
      </w:r>
      <w:r>
        <w:t xml:space="preserve"> </w:t>
      </w:r>
      <w:r>
        <w:t xml:space="preserve">of harmful substances and identifying new substances presenting hazardous properties. As</w:t>
      </w:r>
    </w:p>
    <w:p>
      <w:pPr>
        <w:pStyle w:val="BodyText"/>
      </w:pPr>
      <w:r>
        <w:t xml:space="preserve">104 That report notes that imports from third countries into the EU reached over EUR 2 trillion in 2019, rising from about</w:t>
      </w:r>
      <w:r>
        <w:t xml:space="preserve"> </w:t>
      </w:r>
      <w:r>
        <w:t xml:space="preserve">EUR 1 trillion in 2004 and EUR 1.5 trillion in 2008. In recent years, a large proportion of these imports comes from e-</w:t>
      </w:r>
      <w:r>
        <w:t xml:space="preserve"> </w:t>
      </w:r>
      <w:r>
        <w:t xml:space="preserve">commerce.</w:t>
      </w:r>
      <w:r>
        <w:t xml:space="preserve"> </w:t>
      </w:r>
      <w:r>
        <w:t xml:space="preserve">105 From July to December 2021, the first six months of compulsory customs declaration for all goods imported into the</w:t>
      </w:r>
      <w:r>
        <w:t xml:space="preserve"> </w:t>
      </w:r>
      <w:r>
        <w:t xml:space="preserve">EU irrespective of their value – traditional trade in goods represented over 220 million import declarations for a value of</w:t>
      </w:r>
      <w:r>
        <w:t xml:space="preserve"> </w:t>
      </w:r>
      <w:r>
        <w:t xml:space="preserve">EUR 1,250 billion. In contrast, it is estimated that e-commerce represented 490 million customs declarations for a total</w:t>
      </w:r>
      <w:r>
        <w:t xml:space="preserve"> </w:t>
      </w:r>
      <w:r>
        <w:t xml:space="preserve">value of EUR 4.8 billion. One of the aspects identified in urgent need of reform is the declaratory nature of most of the</w:t>
      </w:r>
      <w:r>
        <w:t xml:space="preserve"> </w:t>
      </w:r>
      <w:r>
        <w:t xml:space="preserve">information presented at customs, often unrelated to commercial information or even reality and that can only be verified</w:t>
      </w:r>
      <w:r>
        <w:t xml:space="preserve"> </w:t>
      </w:r>
      <w:r>
        <w:t xml:space="preserve">after specific checks at Customs. Source: DG TAXUD see the Wise Persons Report quoted above.</w:t>
      </w:r>
      <w:r>
        <w:t xml:space="preserve"> </w:t>
      </w:r>
      <w:r>
        <w:t xml:space="preserve">106 An increase of over 500% took place from January to April 2020 compared with the same value the previous year.</w:t>
      </w:r>
      <w:r>
        <w:t xml:space="preserve"> </w:t>
      </w:r>
      <w:r>
        <w:t xml:space="preserve">https://read.oecd-ilibrary.org/view/?ref=135_135520-5u04ajecfy&amp;title=Connecting-Businesses-and-Consumers-</w:t>
      </w:r>
      <w:r>
        <w:t xml:space="preserve"> </w:t>
      </w:r>
      <w:r>
        <w:t xml:space="preserve">During-COVID-19-Trade-in-Parcels</w:t>
      </w:r>
      <w:r>
        <w:t xml:space="preserve"> </w:t>
      </w:r>
      <w:r>
        <w:t xml:space="preserve">107 See the Wise Persons Report. The WTO has also concluded that the increased number of small packages ordered</w:t>
      </w:r>
      <w:r>
        <w:t xml:space="preserve"> </w:t>
      </w:r>
      <w:r>
        <w:t xml:space="preserve">directly to consumers has raised challenges with regard to compliance with health and safety regulations in importing</w:t>
      </w:r>
      <w:r>
        <w:t xml:space="preserve"> </w:t>
      </w:r>
      <w:r>
        <w:t xml:space="preserve">countries https://www.wto.org/english/tratop_e/covid19_e/ecommerce_report_e.pdf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24</w:t>
      </w:r>
      <w:r>
        <w:t xml:space="preserve"> </w:t>
      </w:r>
      <w:r>
        <w:t xml:space="preserve">EN</w:t>
      </w:r>
      <w:r>
        <w:t xml:space="preserve"> </w:t>
      </w:r>
      <w:r>
        <w:t xml:space="preserve">highlighted in the CSS, the sheer number of chemicals on the market represents an immense</w:t>
      </w:r>
      <w:r>
        <w:t xml:space="preserve"> </w:t>
      </w:r>
      <w:r>
        <w:t xml:space="preserve">knowledge challenge, and the expected future rise in chemical production and use risks to further</w:t>
      </w:r>
      <w:r>
        <w:t xml:space="preserve"> </w:t>
      </w:r>
      <w:r>
        <w:t xml:space="preserve">widen the ‘unknown territory of chemical risks’. Children will remain a vulnerable population with</w:t>
      </w:r>
      <w:r>
        <w:t xml:space="preserve"> </w:t>
      </w:r>
      <w:r>
        <w:t xml:space="preserve">specific exposure to chemicals in toys, and the need for them to benefit from swift protection from</w:t>
      </w:r>
      <w:r>
        <w:t xml:space="preserve"> </w:t>
      </w:r>
      <w:r>
        <w:t xml:space="preserve">the most harmful substances will remain. The TSD in its current form will continue to be unable to</w:t>
      </w:r>
      <w:r>
        <w:t xml:space="preserve"> </w:t>
      </w:r>
      <w:r>
        <w:t xml:space="preserve">ensure sufficient protection of children from these risks. It would only be possible to ban new harmful</w:t>
      </w:r>
      <w:r>
        <w:t xml:space="preserve"> </w:t>
      </w:r>
      <w:r>
        <w:t xml:space="preserve">substances in toys for children under 3 years or to be put in the mouth.</w:t>
      </w:r>
      <w:r>
        <w:t xml:space="preserve"> </w:t>
      </w:r>
      <w:r>
        <w:t xml:space="preserve">The high rates of non-compliant and unsafe products on the Union market are expected to remain.</w:t>
      </w:r>
      <w:r>
        <w:t xml:space="preserve"> </w:t>
      </w:r>
      <w:r>
        <w:t xml:space="preserve">Market surveillance authorities will continue to perform checks on toys to remove non-compliant and</w:t>
      </w:r>
      <w:r>
        <w:t xml:space="preserve"> </w:t>
      </w:r>
      <w:r>
        <w:t xml:space="preserve">unsafe toys from the Union market. However, e-commerce will continue to be used, probably</w:t>
      </w:r>
      <w:r>
        <w:t xml:space="preserve"> </w:t>
      </w:r>
      <w:r>
        <w:t xml:space="preserve">increasingly, by EU customers108, in particular cross-border trade will continue its upward trend and</w:t>
      </w:r>
      <w:r>
        <w:t xml:space="preserve"> </w:t>
      </w:r>
      <w:r>
        <w:t xml:space="preserve">the current pressure on customs and market surveillance authorities will continue to grow. From 2020</w:t>
      </w:r>
      <w:r>
        <w:t xml:space="preserve"> </w:t>
      </w:r>
      <w:r>
        <w:t xml:space="preserve">to 2021 alone the proportion of online sales coming from outside the EU increased from 20% to</w:t>
      </w:r>
      <w:r>
        <w:t xml:space="preserve"> </w:t>
      </w:r>
      <w:r>
        <w:t xml:space="preserve">23%109.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The TSD is a ‘total harmonisation’ directive based on Article 114 TFEU (ex-Article 95 TEC) and</w:t>
      </w:r>
      <w:r>
        <w:t xml:space="preserve"> </w:t>
      </w:r>
      <w:r>
        <w:t xml:space="preserve">follows the new legislative framework. As explained in Chapter 1, the TSD, like other EU product</w:t>
      </w:r>
      <w:r>
        <w:t xml:space="preserve"> </w:t>
      </w:r>
      <w:r>
        <w:t xml:space="preserve">legislation, sets the ‘essential safety requirements’ which toys must satisfy to benefit from the free</w:t>
      </w:r>
      <w:r>
        <w:t xml:space="preserve"> </w:t>
      </w:r>
      <w:r>
        <w:t xml:space="preserve">movement of products across the internal market.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This initiative addresses the issues identified in the Evaluation of the TSD. The Evaluation concluded</w:t>
      </w:r>
      <w:r>
        <w:t xml:space="preserve"> </w:t>
      </w:r>
      <w:r>
        <w:t xml:space="preserve">that the TSD is generally relevant, effective, efficient and coherent, and has EU added value, but that</w:t>
      </w:r>
      <w:r>
        <w:t xml:space="preserve"> </w:t>
      </w:r>
      <w:r>
        <w:t xml:space="preserve">there was a need for specific improvements.</w:t>
      </w:r>
      <w:r>
        <w:br/>
      </w:r>
      <w:r>
        <w:t xml:space="preserve">The TSD is key in ensuring protection of children in the EU. The main objective of the Directive is</w:t>
      </w:r>
      <w:r>
        <w:t xml:space="preserve"> </w:t>
      </w:r>
      <w:r>
        <w:t xml:space="preserve">to ensure a high level of safety of children, and to allow the free circulation of toys in the EU. In</w:t>
      </w:r>
      <w:r>
        <w:t xml:space="preserve"> </w:t>
      </w:r>
      <w:r>
        <w:t xml:space="preserve">particular, the TSD helps to reduce social costs by preventing accidents or harm to children that may</w:t>
      </w:r>
      <w:r>
        <w:t xml:space="preserve"> </w:t>
      </w:r>
      <w:r>
        <w:t xml:space="preserve">be caused by the use of unsafe toys. A key rationale for an EU-level toy safety legislation is to provide</w:t>
      </w:r>
      <w:r>
        <w:t xml:space="preserve"> </w:t>
      </w:r>
      <w:r>
        <w:t xml:space="preserve">harmonisation across Member States based on Article 114 TFEU. The TSD is a total harmonisation</w:t>
      </w:r>
      <w:r>
        <w:t xml:space="preserve"> </w:t>
      </w:r>
      <w:r>
        <w:t xml:space="preserve">measure for the safety of toys, so Member States are not allowed to introduce additional safety</w:t>
      </w:r>
      <w:r>
        <w:t xml:space="preserve"> </w:t>
      </w:r>
      <w:r>
        <w:t xml:space="preserve">requirements for toys; any changes to the scope or requirements of such a directive must be made at</w:t>
      </w:r>
      <w:r>
        <w:t xml:space="preserve"> </w:t>
      </w:r>
      <w:r>
        <w:t xml:space="preserve">EU level.</w:t>
      </w:r>
      <w:r>
        <w:br/>
      </w:r>
      <w:r>
        <w:t xml:space="preserve">3.3.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In terms of toy safety and the creation of a large internal market for safe toys, the Evaluation has</w:t>
      </w:r>
      <w:r>
        <w:t xml:space="preserve"> </w:t>
      </w:r>
      <w:r>
        <w:t xml:space="preserve">confirmed the EU added value of the Toy Safety Directive. In particular, without the Directive,</w:t>
      </w:r>
      <w:r>
        <w:t xml:space="preserve"> </w:t>
      </w:r>
      <w:r>
        <w:t xml:space="preserve">Member States could set diverging limit values for chemicals, which would be to the detriment of</w:t>
      </w:r>
      <w:r>
        <w:t xml:space="preserve"> </w:t>
      </w:r>
      <w:r>
        <w:t xml:space="preserve">the internal market. The Evaluation also concluded that all categories of stakeholders welcomed the</w:t>
      </w:r>
      <w:r>
        <w:t xml:space="preserve"> </w:t>
      </w:r>
      <w:r>
        <w:t xml:space="preserve">existence of harmonised safety requirements across the EU, and companies valued the creation of a</w:t>
      </w:r>
    </w:p>
    <w:p>
      <w:pPr>
        <w:pStyle w:val="BodyText"/>
      </w:pPr>
      <w:r>
        <w:t xml:space="preserve">108 The COVID-19 crisis accelerated an expansion of e-commerce towards new firms, customers and types of products.</w:t>
      </w:r>
      <w:r>
        <w:t xml:space="preserve"> </w:t>
      </w:r>
      <w:r>
        <w:t xml:space="preserve">Some of these changes in the e-commerce landscape will likely be of a long-term nature, in light of the possibility of new</w:t>
      </w:r>
      <w:r>
        <w:t xml:space="preserve"> </w:t>
      </w:r>
      <w:r>
        <w:t xml:space="preserve">waves of the epidemic, the convenience of the new purchasing habits, learning costs and the incentive for firms to</w:t>
      </w:r>
      <w:r>
        <w:t xml:space="preserve"> </w:t>
      </w:r>
      <w:r>
        <w:t xml:space="preserve">capitalise on investments in new sales channels. https://www.oecd.org/coronavirus/policy-responses/e-commerce-in-the-</w:t>
      </w:r>
      <w:r>
        <w:t xml:space="preserve"> </w:t>
      </w:r>
      <w:r>
        <w:t xml:space="preserve">time-of-covid-19-3a2b78e8/#biblio-d1e705</w:t>
      </w:r>
      <w:r>
        <w:br/>
      </w:r>
      <w:r>
        <w:t xml:space="preserve">109 Impact Assessment study on a possible revision of the Toy Safety Directive 2009/48/EC, (2022) VVA, CSES and</w:t>
      </w:r>
      <w:r>
        <w:t xml:space="preserve"> </w:t>
      </w:r>
      <w:r>
        <w:t xml:space="preserve">Asterisk, to be published.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25</w:t>
      </w:r>
      <w:r>
        <w:t xml:space="preserve"> </w:t>
      </w:r>
      <w:r>
        <w:t xml:space="preserve">EN</w:t>
      </w:r>
      <w:r>
        <w:t xml:space="preserve"> </w:t>
      </w:r>
      <w:r>
        <w:t xml:space="preserve">large market for toys and the simplification of trade as major achievements. Possibly diverging</w:t>
      </w:r>
      <w:r>
        <w:t xml:space="preserve"> </w:t>
      </w:r>
      <w:r>
        <w:t xml:space="preserve">national rules were not considered as being more beneficial. Notified bodies in particular agreed that</w:t>
      </w:r>
      <w:r>
        <w:t xml:space="preserve"> </w:t>
      </w:r>
      <w:r>
        <w:t xml:space="preserve">the Directive contributes to streamlining testing and standards, and public authorities welcomed the</w:t>
      </w:r>
      <w:r>
        <w:t xml:space="preserve"> </w:t>
      </w:r>
      <w:r>
        <w:t xml:space="preserve">harmonisation of testing and standards and the opportunity to work together with authorities from</w:t>
      </w:r>
      <w:r>
        <w:t xml:space="preserve"> </w:t>
      </w:r>
      <w:r>
        <w:t xml:space="preserve">other Member States.</w:t>
      </w:r>
      <w:r>
        <w:t xml:space="preserve"> </w:t>
      </w:r>
      <w:r>
        <w:t xml:space="preserve">A regulatory action at EU level would ensure coherent implementation of any new safety</w:t>
      </w:r>
      <w:r>
        <w:t xml:space="preserve"> </w:t>
      </w:r>
      <w:r>
        <w:t xml:space="preserve">requirements for toys and thus a greater level of safety, and provide legal certainty and a level playing</w:t>
      </w:r>
      <w:r>
        <w:t xml:space="preserve"> </w:t>
      </w:r>
      <w:r>
        <w:t xml:space="preserve">field for industry. Regulatory action at EU level should lay down EU-wide requirements for ensuring</w:t>
      </w:r>
      <w:r>
        <w:t xml:space="preserve"> </w:t>
      </w:r>
      <w:r>
        <w:t xml:space="preserve">the health and safety of children when playing with toys, and allowing market enforcement at the</w:t>
      </w:r>
      <w:r>
        <w:t xml:space="preserve"> </w:t>
      </w:r>
      <w:r>
        <w:t xml:space="preserve">national level.</w:t>
      </w:r>
      <w:r>
        <w:br/>
      </w:r>
      <w:r>
        <w:t xml:space="preserve">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The revision of the Toy Safety Directive would pursue two general objectives, corresponding to the</w:t>
      </w:r>
      <w:r>
        <w:t xml:space="preserve"> </w:t>
      </w:r>
      <w:r>
        <w:t xml:space="preserve">general objectives of the current Directive:</w:t>
      </w:r>
      <w:r>
        <w:t xml:space="preserve"> </w:t>
      </w:r>
      <w:r>
        <w:t xml:space="preserve"> General Objective 1: Ensure a higher level of safety of toys so as to guarantee a higher level</w:t>
      </w:r>
      <w:r>
        <w:t xml:space="preserve"> </w:t>
      </w:r>
      <w:r>
        <w:t xml:space="preserve">of protection of children</w:t>
      </w:r>
      <w:r>
        <w:t xml:space="preserve"> </w:t>
      </w:r>
      <w:r>
        <w:t xml:space="preserve">Children are amongst the most vulnerable population in the EU; they must continue to benefit from</w:t>
      </w:r>
      <w:r>
        <w:t xml:space="preserve"> </w:t>
      </w:r>
      <w:r>
        <w:t xml:space="preserve">a high level of protection when playing with or enjoying toys. This general objective will also</w:t>
      </w:r>
      <w:r>
        <w:t xml:space="preserve"> </w:t>
      </w:r>
      <w:r>
        <w:t xml:space="preserve">contribute to achieve another objective of the CSS: achieving safe products and non-toxic material</w:t>
      </w:r>
      <w:r>
        <w:t xml:space="preserve"> </w:t>
      </w:r>
      <w:r>
        <w:t xml:space="preserve">cycles and directly to SDG#3: good health and well-being.</w:t>
      </w:r>
      <w:r>
        <w:t xml:space="preserve"> </w:t>
      </w:r>
      <w:r>
        <w:t xml:space="preserve"> General Objective 2: Continue to guarantee the functioning of the internal market for toys,</w:t>
      </w:r>
      <w:r>
        <w:t xml:space="preserve"> </w:t>
      </w:r>
      <w:r>
        <w:t xml:space="preserve">limiting the number of non-compliant toys and preserving the competitiveness of EU industry</w:t>
      </w:r>
      <w:r>
        <w:t xml:space="preserve"> </w:t>
      </w:r>
      <w:r>
        <w:t xml:space="preserve">The objective of the functioning of the EU internal market is natural to a “total harmonisation” EU</w:t>
      </w:r>
      <w:r>
        <w:t xml:space="preserve"> </w:t>
      </w:r>
      <w:r>
        <w:t xml:space="preserve">product legislation like the TSD. Toys complying with the Directive can circulate freely within the</w:t>
      </w:r>
      <w:r>
        <w:t xml:space="preserve"> </w:t>
      </w:r>
      <w:r>
        <w:t xml:space="preserve">single market without further requirements. At the same time, it is essential to limit non-compliant</w:t>
      </w:r>
      <w:r>
        <w:t xml:space="preserve"> </w:t>
      </w:r>
      <w:r>
        <w:t xml:space="preserve">products in the Union market, which put children at risk and create an uneven playing field for</w:t>
      </w:r>
      <w:r>
        <w:t xml:space="preserve"> </w:t>
      </w:r>
      <w:r>
        <w:t xml:space="preserve">reputable companies. Manufacturers producing compliant toys must be protected from unfair</w:t>
      </w:r>
      <w:r>
        <w:t xml:space="preserve"> </w:t>
      </w:r>
      <w:r>
        <w:t xml:space="preserve">competition, especially in online marketplaces.</w:t>
      </w:r>
      <w:r>
        <w:br/>
      </w: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The initiative pursues the following specific objectives:</w:t>
      </w:r>
      <w:r>
        <w:t xml:space="preserve"> </w:t>
      </w:r>
      <w:r>
        <w:t xml:space="preserve"> SO 1: Adapt the rules to ensure protection of children against the most harmful chemicals</w:t>
      </w:r>
      <w:r>
        <w:br/>
      </w:r>
      <w:r>
        <w:t xml:space="preserve"> SO 2.: ensure the necessary flexibility to be able to adequately address emerging scientific</w:t>
      </w:r>
      <w:r>
        <w:t xml:space="preserve"> </w:t>
      </w:r>
      <w:r>
        <w:t xml:space="preserve">knowledge and risks</w:t>
      </w:r>
      <w:r>
        <w:t xml:space="preserve"> </w:t>
      </w:r>
      <w:r>
        <w:t xml:space="preserve">The toy industry is very innovative as this is essential to maintain a competitive position. At the same</w:t>
      </w:r>
      <w:r>
        <w:t xml:space="preserve"> </w:t>
      </w:r>
      <w:r>
        <w:t xml:space="preserve">time, scientific knowledge on chemical substances is constantly evolving. It is essential that the rules</w:t>
      </w:r>
      <w:r>
        <w:t xml:space="preserve"> </w:t>
      </w:r>
      <w:r>
        <w:t xml:space="preserve">can easily adapt to emerging knowledge and risks.</w:t>
      </w:r>
      <w:r>
        <w:t xml:space="preserve"> </w:t>
      </w:r>
      <w:r>
        <w:t xml:space="preserve"> SO 3: reduce the number of non-compliant and unsafe toys on the Union market</w:t>
      </w:r>
      <w:r>
        <w:t xml:space="preserve"> </w:t>
      </w:r>
      <w:r>
        <w:t xml:space="preserve">There is a significant number of non-compliant and unsafe toys on the EU market. To ensure the</w:t>
      </w:r>
      <w:r>
        <w:t xml:space="preserve"> </w:t>
      </w:r>
      <w:r>
        <w:t xml:space="preserve">safety of children and facilitate the development of the internal market there is a need to reduce the</w:t>
      </w:r>
      <w:r>
        <w:t xml:space="preserve"> </w:t>
      </w:r>
      <w:r>
        <w:t xml:space="preserve">number of these unsafe or non-compliant toys on the market. Given the growing prominence of online</w:t>
      </w:r>
      <w:r>
        <w:t xml:space="preserve"> </w:t>
      </w:r>
      <w:r>
        <w:t xml:space="preserve">sales of products coming from outside the EU, there is a risk of seeing toy manufacturers following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26</w:t>
      </w:r>
      <w:r>
        <w:t xml:space="preserve"> </w:t>
      </w:r>
      <w:r>
        <w:t xml:space="preserve">EN</w:t>
      </w:r>
      <w:r>
        <w:t xml:space="preserve"> </w:t>
      </w:r>
      <w:r>
        <w:t xml:space="preserve">the requirements of the TSD having to compete with manufacturers producing toys which are not in</w:t>
      </w:r>
      <w:r>
        <w:t xml:space="preserve"> </w:t>
      </w:r>
      <w:r>
        <w:t xml:space="preserve">conformity with the Directive.</w:t>
      </w:r>
      <w:r>
        <w:t xml:space="preserve"> </w:t>
      </w:r>
      <w:r>
        <w:t xml:space="preserve"> SO 4: streamline enforcement of the TSD</w:t>
      </w:r>
      <w:r>
        <w:t xml:space="preserve"> </w:t>
      </w:r>
      <w:r>
        <w:t xml:space="preserve">The work of market surveillance and enforcement authorities is crucial in ensuring the reduction of</w:t>
      </w:r>
      <w:r>
        <w:t xml:space="preserve"> </w:t>
      </w:r>
      <w:r>
        <w:t xml:space="preserve">the number of non-compliant toys on the market and the internal market functions properly. Rogue</w:t>
      </w:r>
      <w:r>
        <w:t xml:space="preserve"> </w:t>
      </w:r>
      <w:r>
        <w:t xml:space="preserve">traders can have an advantage against reputable manufacturers by exploiting the difficulties market</w:t>
      </w:r>
      <w:r>
        <w:t xml:space="preserve"> </w:t>
      </w:r>
      <w:r>
        <w:t xml:space="preserve">surveillance authorities have in enforcing the rules. As such, one of the objectives of the revision of</w:t>
      </w:r>
      <w:r>
        <w:t xml:space="preserve"> </w:t>
      </w:r>
      <w:r>
        <w:t xml:space="preserve">the Directive should be to facilitate the work on enforcement by market surveillance authorities.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The baseline assumes no change in the current TSD. Other legislative developments taking place in</w:t>
      </w:r>
      <w:r>
        <w:t xml:space="preserve"> </w:t>
      </w:r>
      <w:r>
        <w:t xml:space="preserve">parallel are nonetheless considered in the baseline. On chemical protection, the revision of the CLP</w:t>
      </w:r>
      <w:r>
        <w:t xml:space="preserve"> </w:t>
      </w:r>
      <w:r>
        <w:t xml:space="preserve">Regulation is expected to define new hazard classes for harmful chemicals, such as endocrine</w:t>
      </w:r>
      <w:r>
        <w:t xml:space="preserve"> </w:t>
      </w:r>
      <w:r>
        <w:t xml:space="preserve">disruptors. However, the introduction of new hazard classes under the CLP Regulation will not have</w:t>
      </w:r>
      <w:r>
        <w:t xml:space="preserve"> </w:t>
      </w:r>
      <w:r>
        <w:t xml:space="preserve">any effects in terms of the protection of children under the TSD: these hazard classes are not</w:t>
      </w:r>
      <w:r>
        <w:t xml:space="preserve"> </w:t>
      </w:r>
      <w:r>
        <w:t xml:space="preserve">addressed in the TSD and the Commission is not empowered to introduce new limit values in all toys.</w:t>
      </w:r>
      <w:r>
        <w:t xml:space="preserve"> </w:t>
      </w:r>
      <w:r>
        <w:t xml:space="preserve">The revision of the REACH Regulation has not been presented yet. It is expected to introduce generic</w:t>
      </w:r>
      <w:r>
        <w:t xml:space="preserve"> </w:t>
      </w:r>
      <w:r>
        <w:t xml:space="preserve">bans on substances for the most harmful chemicals. It is also expected to address the risk management</w:t>
      </w:r>
      <w:r>
        <w:t xml:space="preserve"> </w:t>
      </w:r>
      <w:r>
        <w:t xml:space="preserve">of consumer products containing chemicals classified under the most harmful hazard classes</w:t>
      </w:r>
      <w:r>
        <w:t xml:space="preserve"> </w:t>
      </w:r>
      <w:r>
        <w:t xml:space="preserve">identified by the CLP Regulation. The REACH revision is not expected to introduce an upfront</w:t>
      </w:r>
      <w:r>
        <w:t xml:space="preserve"> </w:t>
      </w:r>
      <w:r>
        <w:t xml:space="preserve">generic ban of the most harmful substances in the legislation but rather to provide for the legal means</w:t>
      </w:r>
      <w:r>
        <w:t xml:space="preserve"> </w:t>
      </w:r>
      <w:r>
        <w:t xml:space="preserve">for the Commission to introduce such generic bans of the most harmful substances in consumer</w:t>
      </w:r>
      <w:r>
        <w:t xml:space="preserve"> </w:t>
      </w:r>
      <w:r>
        <w:t xml:space="preserve">articles. However, the extent to which it will apply to consumer articles including toys, the hazard</w:t>
      </w:r>
      <w:r>
        <w:t xml:space="preserve"> </w:t>
      </w:r>
      <w:r>
        <w:t xml:space="preserve">classes it may cover as well as the timing is yet unclear. A work plan to define how the most harmful</w:t>
      </w:r>
      <w:r>
        <w:t xml:space="preserve"> </w:t>
      </w:r>
      <w:r>
        <w:t xml:space="preserve">chemicals will be addressed in REACH as well as the priorities is being prepared. So far, REACH</w:t>
      </w:r>
      <w:r>
        <w:t xml:space="preserve"> </w:t>
      </w:r>
      <w:r>
        <w:t xml:space="preserve">has not been able to fully address the protection of children when playing with toys described in the</w:t>
      </w:r>
      <w:r>
        <w:t xml:space="preserve"> </w:t>
      </w:r>
      <w:r>
        <w:t xml:space="preserve">problem definition. The protection from harmful substances that it will offer is not expected to be as</w:t>
      </w:r>
      <w:r>
        <w:t xml:space="preserve"> </w:t>
      </w:r>
      <w:r>
        <w:t xml:space="preserve">comprehensive as the targeted approach in the TSD for toys. Nevertheless, toys will remain within</w:t>
      </w:r>
      <w:r>
        <w:t xml:space="preserve"> </w:t>
      </w:r>
      <w:r>
        <w:t xml:space="preserve">the scope of REACH also concerning the risks on human health and if a substance is restricted under</w:t>
      </w:r>
      <w:r>
        <w:t xml:space="preserve"> </w:t>
      </w:r>
      <w:r>
        <w:t xml:space="preserve">REACH in consumer articles, this can continue applying to toys.</w:t>
      </w:r>
      <w:r>
        <w:br/>
      </w:r>
      <w:r>
        <w:t xml:space="preserve">Under the baseline, the Commission will continue to be able to amend the TSD with its empowerment</w:t>
      </w:r>
      <w:r>
        <w:t xml:space="preserve"> </w:t>
      </w:r>
      <w:r>
        <w:t xml:space="preserve">under article 46. These regular amendments are expected to continue at the same pace as since the</w:t>
      </w:r>
      <w:r>
        <w:t xml:space="preserve"> </w:t>
      </w:r>
      <w:r>
        <w:t xml:space="preserve">adoption of the Directive, and will continue to require economic operators to adjust to those.</w:t>
      </w:r>
      <w:r>
        <w:t xml:space="preserve"> </w:t>
      </w:r>
      <w:r>
        <w:t xml:space="preserve">Economic operators will continue to face business-as-usual costs from complying with the current</w:t>
      </w:r>
      <w:r>
        <w:t xml:space="preserve"> </w:t>
      </w:r>
      <w:r>
        <w:t xml:space="preserve">obligations of the TSD and its regular amendments.</w:t>
      </w:r>
      <w:r>
        <w:br/>
      </w:r>
      <w:r>
        <w:t xml:space="preserve">In terms of administrative burden, the total costs of the current TSD have been estimated at EUR</w:t>
      </w:r>
      <w:r>
        <w:t xml:space="preserve"> </w:t>
      </w:r>
      <w:r>
        <w:t xml:space="preserve">4000 per toy model both in case of large firms and SMEs in case of self-certification, and EUR 4500</w:t>
      </w:r>
      <w:r>
        <w:t xml:space="preserve"> </w:t>
      </w:r>
      <w:r>
        <w:t xml:space="preserve">in case of third-party certification. This includes drafting the technical documentation necessary to</w:t>
      </w:r>
      <w:r>
        <w:t xml:space="preserve"> </w:t>
      </w:r>
      <w:r>
        <w:t xml:space="preserve">demonstrate compliance, the certification itself and labelling110.</w:t>
      </w:r>
      <w:r>
        <w:br/>
      </w:r>
      <w:r>
        <w:t xml:space="preserve">In terms of adjustment costs, the key costs considered are i) costs related to chemical substitution or</w:t>
      </w:r>
      <w:r>
        <w:t xml:space="preserve"> </w:t>
      </w:r>
      <w:r>
        <w:t xml:space="preserve">withdrawal and ii) testing. The analysis on adjustment costs makes a number of assumptions but</w:t>
      </w:r>
      <w:r>
        <w:t xml:space="preserve"> </w:t>
      </w:r>
      <w:r>
        <w:t xml:space="preserve">acknowledges that there are a number of uncertainties which do not make it possible to provide a</w:t>
      </w:r>
      <w:r>
        <w:t xml:space="preserve"> </w:t>
      </w:r>
      <w:r>
        <w:t xml:space="preserve">precise estimate for the baseline or each policy option. These underlying assumptions and</w:t>
      </w:r>
    </w:p>
    <w:p>
      <w:pPr>
        <w:pStyle w:val="BodyText"/>
      </w:pPr>
      <w:r>
        <w:t xml:space="preserve">110 See more details for these calculations in Annex 14.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27</w:t>
      </w:r>
      <w:r>
        <w:t xml:space="preserve"> </w:t>
      </w:r>
      <w:r>
        <w:t xml:space="preserve">EN</w:t>
      </w:r>
      <w:r>
        <w:t xml:space="preserve"> </w:t>
      </w:r>
      <w:r>
        <w:t xml:space="preserve">uncertainties concerning the cost estimates are explained in detail below111. In respect of the dynamic</w:t>
      </w:r>
      <w:r>
        <w:t xml:space="preserve"> </w:t>
      </w:r>
      <w:r>
        <w:t xml:space="preserve">baseline, the uncertainties concern particularly i) the specific substances for which a new limit value</w:t>
      </w:r>
      <w:r>
        <w:t xml:space="preserve"> </w:t>
      </w:r>
      <w:r>
        <w:t xml:space="preserve">may be introduced in accordance with the existing possibilities to adapt the Directive, ii) the number</w:t>
      </w:r>
      <w:r>
        <w:t xml:space="preserve"> </w:t>
      </w:r>
      <w:r>
        <w:t xml:space="preserve">of toy models which would be affected by the new restrictions; iii) the precise costs of replacing the</w:t>
      </w:r>
      <w:r>
        <w:t xml:space="preserve"> </w:t>
      </w:r>
      <w:r>
        <w:t xml:space="preserve">particular chemical substance which would be restricted; iv) the capacity of the EU industry to shift</w:t>
      </w:r>
      <w:r>
        <w:t xml:space="preserve"> </w:t>
      </w:r>
      <w:r>
        <w:t xml:space="preserve">production to alternative toys; and v) in cases of product withdrawals, the extent to which demand</w:t>
      </w:r>
      <w:r>
        <w:t xml:space="preserve"> </w:t>
      </w:r>
      <w:r>
        <w:t xml:space="preserve">will shift to other toys which remain on the market, or will rather shift to other non-toy products. This</w:t>
      </w:r>
      <w:r>
        <w:t xml:space="preserve"> </w:t>
      </w:r>
      <w:r>
        <w:t xml:space="preserve">is why a range of economic impacts is provided for the baseline and each policy option. Adaptation</w:t>
      </w:r>
      <w:r>
        <w:t xml:space="preserve"> </w:t>
      </w:r>
      <w:r>
        <w:t xml:space="preserve">and withdrawal costs are one-off costs but would occur over time with the regular amendments of</w:t>
      </w:r>
      <w:r>
        <w:t xml:space="preserve"> </w:t>
      </w:r>
      <w:r>
        <w:t xml:space="preserve">the Directive; for the purpose of the analyisis a 10 year timeframe can be considered.</w:t>
      </w:r>
      <w:r>
        <w:br/>
      </w:r>
      <w:r>
        <w:t xml:space="preserve">As indicated above, in a dynamic baseline scenario the Commission will still be able to adapt the</w:t>
      </w:r>
      <w:r>
        <w:t xml:space="preserve"> </w:t>
      </w:r>
      <w:r>
        <w:t xml:space="preserve">TSD’s chemical restrictions, and new limit values for chemical substances will continue to be</w:t>
      </w:r>
      <w:r>
        <w:t xml:space="preserve"> </w:t>
      </w:r>
      <w:r>
        <w:t xml:space="preserve">introduced in the Directive in accordance with the provisions of Article 46. Such changes would lead</w:t>
      </w:r>
      <w:r>
        <w:t xml:space="preserve"> </w:t>
      </w:r>
      <w:r>
        <w:t xml:space="preserve">to product adjustment costs stemming from chemical substitutions and potential market withdrawals</w:t>
      </w:r>
      <w:r>
        <w:t xml:space="preserve"> </w:t>
      </w:r>
      <w:r>
        <w:t xml:space="preserve">that would mostly affect toys intended for children under 36 months or to be put in the mouth. These</w:t>
      </w:r>
      <w:r>
        <w:t xml:space="preserve"> </w:t>
      </w:r>
      <w:r>
        <w:t xml:space="preserve">costs, presented below, are considered business as usual compared to which costs of the different</w:t>
      </w:r>
      <w:r>
        <w:t xml:space="preserve"> </w:t>
      </w:r>
      <w:r>
        <w:t xml:space="preserve">policy options should be presented. Assuming that the market for toys intended for use by children</w:t>
      </w:r>
      <w:r>
        <w:t xml:space="preserve"> </w:t>
      </w:r>
      <w:r>
        <w:t xml:space="preserve">under 36 months and toys intended to be placed in the mouth accounts for around 20% of the total</w:t>
      </w:r>
      <w:r>
        <w:t xml:space="preserve"> </w:t>
      </w:r>
      <w:r>
        <w:t xml:space="preserve">toys market, any new restriction could only apply to these toys, but any new limit value would not</w:t>
      </w:r>
      <w:r>
        <w:t xml:space="preserve"> </w:t>
      </w:r>
      <w:r>
        <w:t xml:space="preserve">apply to all toys in that category, only to toys in which the restricted substance is used. It is estimated</w:t>
      </w:r>
      <w:r>
        <w:t xml:space="preserve"> </w:t>
      </w:r>
      <w:r>
        <w:t xml:space="preserve">that the baseline scenario would require one-off product adaptation or withdrawal costs in 0.6-</w:t>
      </w:r>
      <w:r>
        <w:t xml:space="preserve"> </w:t>
      </w:r>
      <w:r>
        <w:t xml:space="preserve">1.2% of toy models112 to comply with newly adopted limit values. Approximately 0.4-0.8% toy</w:t>
      </w:r>
      <w:r>
        <w:t xml:space="preserve"> </w:t>
      </w:r>
      <w:r>
        <w:t xml:space="preserve">models would be subject to adaptation, while a smaller segment of around 0.2-0.4% could no longer</w:t>
      </w:r>
      <w:r>
        <w:t xml:space="preserve"> </w:t>
      </w:r>
      <w:r>
        <w:t xml:space="preserve">be made available on the market. While there are a number of uncertainties around these cost</w:t>
      </w:r>
      <w:r>
        <w:t xml:space="preserve"> </w:t>
      </w:r>
      <w:r>
        <w:t xml:space="preserve">estimates depending on the specific substances that will be limited113, adaptation costs to new limit</w:t>
      </w:r>
      <w:r>
        <w:t xml:space="preserve"> </w:t>
      </w:r>
      <w:r>
        <w:t xml:space="preserve">values could range from EUR 6,700 per toy model produced by large firms and EUR 7,700 per toy</w:t>
      </w:r>
      <w:r>
        <w:t xml:space="preserve"> </w:t>
      </w:r>
      <w:r>
        <w:t xml:space="preserve">model produced by SMEs to over EUR 15,000 per toy model114. Accordingly, the total one-off costs</w:t>
      </w:r>
      <w:r>
        <w:t xml:space="preserve"> </w:t>
      </w:r>
      <w:r>
        <w:t xml:space="preserve">associated with product adaptation (including chemical substitution) across the EU toys</w:t>
      </w:r>
      <w:r>
        <w:t xml:space="preserve"> </w:t>
      </w:r>
      <w:r>
        <w:t xml:space="preserve">industry in the baseline scenario could range from around EUR 2 million to EUR 44 million</w:t>
      </w:r>
      <w:r>
        <w:t xml:space="preserve"> </w:t>
      </w:r>
      <w:r>
        <w:t xml:space="preserve">over the period considered 115. It is expected that the costs are closer to the lower range as these</w:t>
      </w:r>
      <w:r>
        <w:t xml:space="preserve"> </w:t>
      </w:r>
      <w:r>
        <w:t xml:space="preserve">mirror the costs for complying with the updates of limit values calculated in the Evaluation.</w:t>
      </w:r>
      <w:r>
        <w:br/>
      </w:r>
      <w:r>
        <w:t xml:space="preserve">In terms of market withdrawals, although the ultimate impact would depend on the value of the toy</w:t>
      </w:r>
      <w:r>
        <w:t xml:space="preserve"> </w:t>
      </w:r>
      <w:r>
        <w:t xml:space="preserve">models affected, it is possible to indicate an estimate based on the turnover achieved by the European</w:t>
      </w:r>
      <w:r>
        <w:t xml:space="preserve"> </w:t>
      </w:r>
      <w:r>
        <w:t xml:space="preserve">toys industry. The baseline scenario could affect EUR 13.2 to 26.2 million worth of toys (based on</w:t>
      </w:r>
      <w:r>
        <w:t xml:space="preserve"> </w:t>
      </w:r>
      <w:r>
        <w:t xml:space="preserve">the percentage of toy models of 0.2-0.4 % which could no longer be made available on the market</w:t>
      </w:r>
      <w:r>
        <w:t xml:space="preserve"> </w:t>
      </w:r>
      <w:r>
        <w:t xml:space="preserve">because of new limit values and based on provisional EU industry turnover of EUR 6.56 billion for</w:t>
      </w:r>
      <w:r>
        <w:t xml:space="preserve"> </w:t>
      </w:r>
      <w:r>
        <w:t xml:space="preserve">2020) over the period considered. In addition, given the time provided to accommodate such changes,</w:t>
      </w:r>
      <w:r>
        <w:t xml:space="preserve"> </w:t>
      </w:r>
      <w:r>
        <w:t xml:space="preserve">the impact of such product withdrawals would likely be mitigated by: i) the ability for producers to</w:t>
      </w:r>
      <w:r>
        <w:t xml:space="preserve"> </w:t>
      </w:r>
      <w:r>
        <w:t xml:space="preserve">shift resources to the production and sale of alternative toy products; and ii) the purchasing decisions</w:t>
      </w:r>
    </w:p>
    <w:p>
      <w:pPr>
        <w:pStyle w:val="BodyText"/>
      </w:pPr>
      <w:r>
        <w:t xml:space="preserve">111 See section 6 for the explanation on the underlying assumptions of these costs.</w:t>
      </w:r>
      <w:r>
        <w:t xml:space="preserve"> </w:t>
      </w:r>
      <w:r>
        <w:t xml:space="preserve">112 Estimations by respondents to the SME survey.</w:t>
      </w:r>
      <w:r>
        <w:br/>
      </w:r>
      <w:r>
        <w:t xml:space="preserve">113 See Annex 14 for the precise description of the cost estimates. Data for the current administrative burden is calculated</w:t>
      </w:r>
      <w:r>
        <w:t xml:space="preserve"> </w:t>
      </w:r>
      <w:r>
        <w:t xml:space="preserve">from the Evaluation, as well as interviews with industry and targeted SME survey in the framework of consultation</w:t>
      </w:r>
      <w:r>
        <w:t xml:space="preserve"> </w:t>
      </w:r>
      <w:r>
        <w:t xml:space="preserve">activities.</w:t>
      </w:r>
      <w:r>
        <w:br/>
      </w:r>
      <w:r>
        <w:t xml:space="preserve">114 See the details for these calculations in Annex 14. The cost of adapting to new limit values introduced in the Directive</w:t>
      </w:r>
      <w:r>
        <w:t xml:space="preserve"> </w:t>
      </w:r>
      <w:r>
        <w:t xml:space="preserve">have been calculated based on the information from the Evaluation on the basis of past adaptations (lower range), as well</w:t>
      </w:r>
      <w:r>
        <w:t xml:space="preserve"> </w:t>
      </w:r>
      <w:r>
        <w:t xml:space="preserve">as interviews with industry and the targeted SME survey (higher range).</w:t>
      </w:r>
      <w:r>
        <w:t xml:space="preserve"> </w:t>
      </w:r>
      <w:r>
        <w:t xml:space="preserve">115 This is based on 78,702 new toys models across all business sizes per year, and applying to that number the percentages</w:t>
      </w:r>
      <w:r>
        <w:t xml:space="preserve"> </w:t>
      </w:r>
      <w:r>
        <w:t xml:space="preserve">of toy models that would be impacted by substitution costs and subsequently applying the costs for redesign or</w:t>
      </w:r>
      <w:r>
        <w:t xml:space="preserve"> </w:t>
      </w:r>
      <w:r>
        <w:t xml:space="preserve">redevelopment that may be incurred.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28</w:t>
      </w:r>
      <w:r>
        <w:t xml:space="preserve"> </w:t>
      </w:r>
      <w:r>
        <w:t xml:space="preserve">EN</w:t>
      </w:r>
      <w:r>
        <w:t xml:space="preserve"> </w:t>
      </w:r>
      <w:r>
        <w:t xml:space="preserve">of consumers, who, instead of choosing not to purchase a product, will in many instances purchase</w:t>
      </w:r>
      <w:r>
        <w:t xml:space="preserve"> </w:t>
      </w:r>
      <w:r>
        <w:t xml:space="preserve">an alternative product and still contribute to the toys market.</w:t>
      </w:r>
      <w:r>
        <w:t xml:space="preserve"> </w:t>
      </w:r>
      <w:r>
        <w:t xml:space="preserve">The Toy Safety Directive puts the responsibility for the compliance of the toy on the manufacturer,</w:t>
      </w:r>
      <w:r>
        <w:t xml:space="preserve"> </w:t>
      </w:r>
      <w:r>
        <w:t xml:space="preserve">in line with all EU product legislation. Beyond one-off adaptation costs to find alternative chemicals</w:t>
      </w:r>
      <w:r>
        <w:t xml:space="preserve"> </w:t>
      </w:r>
      <w:r>
        <w:t xml:space="preserve">to those which are subject to restrictions or generic bans, any new toy model will need to be tested</w:t>
      </w:r>
      <w:r>
        <w:t xml:space="preserve"> </w:t>
      </w:r>
      <w:r>
        <w:t xml:space="preserve">by the manufacturer for compliance with the applicable requirements. The manufacturer being</w:t>
      </w:r>
      <w:r>
        <w:t xml:space="preserve"> </w:t>
      </w:r>
      <w:r>
        <w:t xml:space="preserve">responsible for the compliance of the toy, cannot simply rely on information provided by suppliers</w:t>
      </w:r>
      <w:r>
        <w:t xml:space="preserve"> </w:t>
      </w:r>
      <w:r>
        <w:t xml:space="preserve">of raw materials for the toy, as he would not be complying with its obligations under EU product</w:t>
      </w:r>
      <w:r>
        <w:t xml:space="preserve"> </w:t>
      </w:r>
      <w:r>
        <w:t xml:space="preserve">legislation. Testing costs for new toy models in the future will increase, as toys will have to be tested</w:t>
      </w:r>
      <w:r>
        <w:t xml:space="preserve"> </w:t>
      </w:r>
      <w:r>
        <w:t xml:space="preserve">for more chemical substances. Testing of toys as part of assessing their compliance is estimated to</w:t>
      </w:r>
      <w:r>
        <w:t xml:space="preserve"> </w:t>
      </w:r>
      <w:r>
        <w:t xml:space="preserve">cost currently EUR 2,200 per new toy model, but this is not considered to be administrative burden</w:t>
      </w:r>
      <w:r>
        <w:t xml:space="preserve"> </w:t>
      </w:r>
      <w:r>
        <w:t xml:space="preserve">(testing per year for the overall EU industry under the baseline would be estimated at EUR 189.25</w:t>
      </w:r>
      <w:r>
        <w:t xml:space="preserve"> </w:t>
      </w:r>
      <w:r>
        <w:t xml:space="preserve">million116).</w:t>
      </w:r>
      <w:r>
        <w:t xml:space="preserve"> </w:t>
      </w:r>
      <w:r>
        <w:t xml:space="preserve">The regular amendments of the Directive should continue to introduce limit values for specific</w:t>
      </w:r>
      <w:r>
        <w:t xml:space="preserve"> </w:t>
      </w:r>
      <w:r>
        <w:t xml:space="preserve">substances that will ensure better and targeted protection of children health but will be mostly limited</w:t>
      </w:r>
      <w:r>
        <w:t xml:space="preserve"> </w:t>
      </w:r>
      <w:r>
        <w:t xml:space="preserve">to younger children or mouthing exposure in toys intended to be put in the mouth. This will lead to</w:t>
      </w:r>
      <w:r>
        <w:t xml:space="preserve"> </w:t>
      </w:r>
      <w:r>
        <w:t xml:space="preserve">certain health benefits, targeted to those substances which have been limited, where there are specific</w:t>
      </w:r>
      <w:r>
        <w:t xml:space="preserve"> </w:t>
      </w:r>
      <w:r>
        <w:t xml:space="preserve">and demonstrated risks. However, developing appropriate risk assessments for single chemicals has</w:t>
      </w:r>
      <w:r>
        <w:t xml:space="preserve"> </w:t>
      </w:r>
      <w:r>
        <w:t xml:space="preserve">proven to be laborious, if not cumbersome in the past117. It will only be possible to introduce a reduced</w:t>
      </w:r>
      <w:r>
        <w:t xml:space="preserve"> </w:t>
      </w:r>
      <w:r>
        <w:t xml:space="preserve">number of new limit values per year, as is the case now. The precise benefits on human health will</w:t>
      </w:r>
      <w:r>
        <w:t xml:space="preserve"> </w:t>
      </w:r>
      <w:r>
        <w:t xml:space="preserve">only be realized after the introduction of such specific limit values and only for exposure to such</w:t>
      </w:r>
      <w:r>
        <w:t xml:space="preserve"> </w:t>
      </w:r>
      <w:r>
        <w:t xml:space="preserve">substances. Furthermore, under the baseline, the increased protection of human health will only</w:t>
      </w:r>
      <w:r>
        <w:t xml:space="preserve"> </w:t>
      </w:r>
      <w:r>
        <w:t xml:space="preserve">benefit younger children or children exposed to these substances through toys intended to be put in</w:t>
      </w:r>
      <w:r>
        <w:t xml:space="preserve"> </w:t>
      </w:r>
      <w:r>
        <w:t xml:space="preserve">the mouth. This is because the current mechanisms to introduce new limit values in the Directive are</w:t>
      </w:r>
      <w:r>
        <w:t xml:space="preserve"> </w:t>
      </w:r>
      <w:r>
        <w:t xml:space="preserve">limited to toys intended to be put in the mouth or intended for children under 3 years.</w:t>
      </w:r>
      <w:r>
        <w:br/>
      </w:r>
      <w:r>
        <w:t xml:space="preserve">Under the baseline, the Commission together with members of the Expert Group on Toy Safety will</w:t>
      </w:r>
      <w:r>
        <w:t xml:space="preserve"> </w:t>
      </w:r>
      <w:r>
        <w:t xml:space="preserve">continue to produce guidance on the application of the Toy Safety Directive which is helpful to</w:t>
      </w:r>
      <w:r>
        <w:t xml:space="preserve"> </w:t>
      </w:r>
      <w:r>
        <w:t xml:space="preserve">economic operators in understanding how to comply with the Directive. Regulation 2019/1020 on</w:t>
      </w:r>
      <w:r>
        <w:t xml:space="preserve"> </w:t>
      </w:r>
      <w:r>
        <w:t xml:space="preserve">market surveillance started applying fully on 16 July 2021. It is expected to improve the efficiency</w:t>
      </w:r>
      <w:r>
        <w:t xml:space="preserve"> </w:t>
      </w:r>
      <w:r>
        <w:t xml:space="preserve">of market surveillance, including for toys, through more coordination and powers for market</w:t>
      </w:r>
      <w:r>
        <w:t xml:space="preserve"> </w:t>
      </w:r>
      <w:r>
        <w:t xml:space="preserve">surveillance authorities; and to facilitate checks of toys coming from third parties and in particular</w:t>
      </w:r>
      <w:r>
        <w:t xml:space="preserve"> </w:t>
      </w:r>
      <w:r>
        <w:t xml:space="preserve">online by being able to contact an economic operator established in the Union and responsible for the</w:t>
      </w:r>
      <w:r>
        <w:t xml:space="preserve"> </w:t>
      </w:r>
      <w:r>
        <w:t xml:space="preserve">toy. The Digital Services Act will increase the involvement of online platforms in ensuring product</w:t>
      </w:r>
      <w:r>
        <w:t xml:space="preserve"> </w:t>
      </w:r>
      <w:r>
        <w:t xml:space="preserve">safety by establishing the “know your business customer” principle. This legislative measure,</w:t>
      </w:r>
      <w:r>
        <w:t xml:space="preserve"> </w:t>
      </w:r>
      <w:r>
        <w:t xml:space="preserve">together with the Regulation on General Product Safety should facilitate that non-compliant and</w:t>
      </w:r>
      <w:r>
        <w:t xml:space="preserve"> </w:t>
      </w:r>
      <w:r>
        <w:t xml:space="preserve">unsafe products are withdrawn from online marketplaces when they have been subject to market</w:t>
      </w:r>
      <w:r>
        <w:t xml:space="preserve"> </w:t>
      </w:r>
      <w:r>
        <w:t xml:space="preserve">surveillance measures (e.g. recalls). These initiatives should have positive effects on the rates of non-</w:t>
      </w:r>
      <w:r>
        <w:t xml:space="preserve"> </w:t>
      </w:r>
      <w:r>
        <w:t xml:space="preserve">compliance, in particular concerning products sold online, but a high number of non-compliant</w:t>
      </w:r>
      <w:r>
        <w:t xml:space="preserve"> </w:t>
      </w:r>
      <w:r>
        <w:t xml:space="preserve">products is expected to persist, damaging competitiveness of reputable manufacturers and the single</w:t>
      </w:r>
      <w:r>
        <w:t xml:space="preserve"> </w:t>
      </w:r>
      <w:r>
        <w:t xml:space="preserve">market. E-commerce will continue to be used increasingly by EU customers118, and the current</w:t>
      </w:r>
      <w:r>
        <w:t xml:space="preserve"> </w:t>
      </w:r>
      <w:r>
        <w:t xml:space="preserve">pressure on customs and market surveillance authorities will continue to grow.</w:t>
      </w:r>
    </w:p>
    <w:p>
      <w:pPr>
        <w:pStyle w:val="BodyText"/>
      </w:pPr>
      <w:r>
        <w:t xml:space="preserve">116 Based on a total number of tests per year of 86,024 across all business sizes, from information by companies at the</w:t>
      </w:r>
      <w:r>
        <w:t xml:space="preserve"> </w:t>
      </w:r>
      <w:r>
        <w:t xml:space="preserve">targeted survey.</w:t>
      </w:r>
      <w:r>
        <w:t xml:space="preserve"> </w:t>
      </w:r>
      <w:r>
        <w:t xml:space="preserve">117 See section 5.1.1.2 of the Evaluation.</w:t>
      </w:r>
      <w:r>
        <w:t xml:space="preserve"> </w:t>
      </w:r>
      <w:r>
        <w:t xml:space="preserve">118 The COVID-19 crisis accelerated an expansion of e-commerce towards new firms, customers and types of products.</w:t>
      </w:r>
      <w:r>
        <w:t xml:space="preserve"> </w:t>
      </w:r>
      <w:r>
        <w:t xml:space="preserve">Some of these changes in the e-commerce landscape will likely be of a long-term nature, in light of the possibility of new</w:t>
      </w:r>
      <w:r>
        <w:t xml:space="preserve"> </w:t>
      </w:r>
      <w:r>
        <w:t xml:space="preserve">waves of the epidemic, the convenience of the new purchasing habits, learning costs and the incentive for firms to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29</w:t>
      </w:r>
      <w:r>
        <w:t xml:space="preserve"> </w:t>
      </w:r>
      <w:r>
        <w:t xml:space="preserve">EN</w:t>
      </w:r>
      <w:r>
        <w:t xml:space="preserve"> </w:t>
      </w:r>
      <w:r>
        <w:t xml:space="preserve">The number of inspections in toys undertaken annually is estimated at a total of 25,259119, and</w:t>
      </w:r>
      <w:r>
        <w:t xml:space="preserve"> </w:t>
      </w:r>
      <w:r>
        <w:t xml:space="preserve">the average cost per inspection has been estimated at EUR 739 on the basis of the annual budget</w:t>
      </w:r>
      <w:r>
        <w:t xml:space="preserve"> </w:t>
      </w:r>
      <w:r>
        <w:t xml:space="preserve">available. Customs authorities carry out controls on toys entering the Union market on a risk based</w:t>
      </w:r>
      <w:r>
        <w:t xml:space="preserve"> </w:t>
      </w:r>
      <w:r>
        <w:t xml:space="preserve">manner. Amendments to the TSD will continue to take place on a regular basis, which will require</w:t>
      </w:r>
      <w:r>
        <w:t xml:space="preserve"> </w:t>
      </w:r>
      <w:r>
        <w:t xml:space="preserve">the transposition of the new rules into national legislation leading to one-off costs per amendment of</w:t>
      </w:r>
      <w:r>
        <w:t xml:space="preserve"> </w:t>
      </w:r>
      <w:r>
        <w:t xml:space="preserve">the Directive (EUR 6,174 to EUR 18,522 per Member State)120.</w:t>
      </w:r>
      <w:r>
        <w:br/>
      </w:r>
      <w:r>
        <w:t xml:space="preserve">In line with the strategic foresight approach, the baseline also takes into account relevant</w:t>
      </w:r>
      <w:r>
        <w:t xml:space="preserve"> </w:t>
      </w:r>
      <w:r>
        <w:t xml:space="preserve">megatrends121 identified. Growing consumption is relevant for this initiative, and in particular new</w:t>
      </w:r>
      <w:r>
        <w:t xml:space="preserve"> </w:t>
      </w:r>
      <w:r>
        <w:t xml:space="preserve">trends such as sustainable consumption and digital, as well as previous covered trends such as eco-</w:t>
      </w:r>
      <w:r>
        <w:t xml:space="preserve"> </w:t>
      </w:r>
      <w:r>
        <w:t xml:space="preserve">friendly products and e-commerce. Consumers are increasingly buying online, which will strengthen</w:t>
      </w:r>
      <w:r>
        <w:t xml:space="preserve"> </w:t>
      </w:r>
      <w:r>
        <w:t xml:space="preserve">the role this channel plays in toys distribution, with the challenges that it poses for toy safety. The</w:t>
      </w:r>
      <w:r>
        <w:t xml:space="preserve"> </w:t>
      </w:r>
      <w:r>
        <w:t xml:space="preserve">overall trend of digitalisation should support the companies’ move towards digitalising product</w:t>
      </w:r>
      <w:r>
        <w:t xml:space="preserve"> </w:t>
      </w:r>
      <w:r>
        <w:t xml:space="preserve">documentation. Other megatrends have also been factored in in the analysis, such as shifting health</w:t>
      </w:r>
      <w:r>
        <w:t xml:space="preserve"> </w:t>
      </w:r>
      <w:r>
        <w:t xml:space="preserve">challenges and that new health burdens may appear and in particular the current trend towards a</w:t>
      </w:r>
      <w:r>
        <w:t xml:space="preserve"> </w:t>
      </w:r>
      <w:r>
        <w:t xml:space="preserve">healthy environment. These megatrends strengthen the need to act as they show that the problem and</w:t>
      </w:r>
      <w:r>
        <w:t xml:space="preserve"> </w:t>
      </w:r>
      <w:r>
        <w:t xml:space="preserve">the knowledge of hazardous substances will increase.</w:t>
      </w:r>
      <w:r>
        <w:t xml:space="preserve"> </w:t>
      </w:r>
      <w:r>
        <w:t xml:space="preserve">5.2.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Three policy options were identified to address each of the problems 1 and 2. In order to address all</w:t>
      </w:r>
      <w:r>
        <w:t xml:space="preserve"> </w:t>
      </w:r>
      <w:r>
        <w:t xml:space="preserve">problems that the initiative aims to tackle, option 1a, 1b or 1c (addressing problem 1 relating to</w:t>
      </w:r>
      <w:r>
        <w:t xml:space="preserve"> </w:t>
      </w:r>
      <w:r>
        <w:t xml:space="preserve">strengthening the protection of children when playing with toys) would have to be combined with</w:t>
      </w:r>
      <w:r>
        <w:t xml:space="preserve"> </w:t>
      </w:r>
      <w:r>
        <w:t xml:space="preserve">option 2a, 2b or 2c (addressing problem 2 related to the high number of non-compliant and unsafe</w:t>
      </w:r>
      <w:r>
        <w:t xml:space="preserve"> </w:t>
      </w:r>
      <w:r>
        <w:t xml:space="preserve">toys). Addressing both different problems at the same time is essential, given that strengthening the</w:t>
      </w:r>
      <w:r>
        <w:t xml:space="preserve"> </w:t>
      </w:r>
      <w:r>
        <w:t xml:space="preserve">requirements for toys will make compliance more costly, which will increase the incentives for rogue</w:t>
      </w:r>
      <w:r>
        <w:t xml:space="preserve"> </w:t>
      </w:r>
      <w:r>
        <w:t xml:space="preserve">traders not to comply if the possibilities for detection are low. This risks damaging significantly</w:t>
      </w:r>
      <w:r>
        <w:t xml:space="preserve"> </w:t>
      </w:r>
      <w:r>
        <w:t xml:space="preserve">competitiveness of industry if not accompanied with effective policy options to tackle non-</w:t>
      </w:r>
      <w:r>
        <w:t xml:space="preserve"> </w:t>
      </w:r>
      <w:r>
        <w:t xml:space="preserve">compliance.</w:t>
      </w:r>
      <w:r>
        <w:t xml:space="preserve"> </w:t>
      </w:r>
      <w:r>
        <w:t xml:space="preserve">5.2.1. Policy options to strengthen the protection of children when playing with toys</w:t>
      </w:r>
      <w:r>
        <w:t xml:space="preserve"> </w:t>
      </w:r>
      <w:r>
        <w:t xml:space="preserve">Three policy options are presented, which are incremental, from minimum to highest level of</w:t>
      </w:r>
      <w:r>
        <w:t xml:space="preserve"> </w:t>
      </w:r>
      <w:r>
        <w:t xml:space="preserve">intervention and with different approaches as regards risk management measures for harmful</w:t>
      </w:r>
      <w:r>
        <w:t xml:space="preserve"> </w:t>
      </w:r>
      <w:r>
        <w:t xml:space="preserve">chemical substances. See annex 9 for the different risk management approaches in chemicals</w:t>
      </w:r>
      <w:r>
        <w:t xml:space="preserve"> </w:t>
      </w:r>
      <w:r>
        <w:t xml:space="preserve">legislation and annex 9.4 for the description of the interaction between REACH and the TSD.</w:t>
      </w:r>
      <w:r>
        <w:t xml:space="preserve"> </w:t>
      </w:r>
      <w:r>
        <w:t xml:space="preserve">Option 1a – Minimum changes to the Directive</w:t>
      </w:r>
      <w:r>
        <w:t xml:space="preserve"> </w:t>
      </w:r>
      <w:r>
        <w:t xml:space="preserve">This option would keep the overall framework of the Directive unchanged, but would allow the</w:t>
      </w:r>
      <w:r>
        <w:t xml:space="preserve"> </w:t>
      </w:r>
      <w:r>
        <w:t xml:space="preserve">Directive to adapt to emerging knowledge of chemical substances by imposing new limits for</w:t>
      </w:r>
      <w:r>
        <w:t xml:space="preserve"> </w:t>
      </w:r>
      <w:r>
        <w:t xml:space="preserve">substances in any toy (and not only in toys intended for children under 36 months or to be put in the</w:t>
      </w:r>
      <w:r>
        <w:t xml:space="preserve"> </w:t>
      </w:r>
      <w:r>
        <w:t xml:space="preserve">mouth, as in the current Directive). Therefore, more specifically, this option would:</w:t>
      </w:r>
    </w:p>
    <w:p>
      <w:pPr>
        <w:pStyle w:val="BodyText"/>
      </w:pPr>
      <w:r>
        <w:t xml:space="preserve">capitalise on investments in new sales channels. https://www.oecd.org/coronavirus/policy-responses/e-commerce-in-the-</w:t>
      </w:r>
      <w:r>
        <w:t xml:space="preserve"> </w:t>
      </w:r>
      <w:r>
        <w:t xml:space="preserve">time-of-covid-19-3a2b78e8/#biblio-d1e705</w:t>
      </w:r>
      <w:r>
        <w:t xml:space="preserve"> </w:t>
      </w:r>
      <w:r>
        <w:t xml:space="preserve">119 This information is based on summary of market surveillance reports provided by Member States in accordance with</w:t>
      </w:r>
      <w:r>
        <w:t xml:space="preserve"> </w:t>
      </w:r>
      <w:r>
        <w:t xml:space="preserve">Regulation (EC) No 765/2008. See annex 14 for the detailed calculations and estimates.</w:t>
      </w:r>
      <w:r>
        <w:br/>
      </w:r>
      <w:r>
        <w:t xml:space="preserve">120 Data about the amount of person days needed for transposition considers the number of person days needed for</w:t>
      </w:r>
      <w:r>
        <w:t xml:space="preserve"> </w:t>
      </w:r>
      <w:r>
        <w:t xml:space="preserve">transposition of a Directive to be between 20 and 60. Using the Member State daily labour cost (i.e. EUR 309- Data about</w:t>
      </w:r>
      <w:r>
        <w:t xml:space="preserve"> </w:t>
      </w:r>
      <w:r>
        <w:t xml:space="preserve">labour costs comes from Eurostat’s Labour Cost Survey, (2016), category ‘public administration and defence, compulsory</w:t>
      </w:r>
      <w:r>
        <w:t xml:space="preserve"> </w:t>
      </w:r>
      <w:r>
        <w:t xml:space="preserve">social security’ per employee FTE and adjusted for inflation.), the overall cost of transposition is estimated to be in the</w:t>
      </w:r>
      <w:r>
        <w:t xml:space="preserve"> </w:t>
      </w:r>
      <w:r>
        <w:t xml:space="preserve">range of EUR 6,174 to EUR 18,522 per Member State. Assuming the same number of amendments to the rules as in the</w:t>
      </w:r>
      <w:r>
        <w:t xml:space="preserve"> </w:t>
      </w:r>
      <w:r>
        <w:t xml:space="preserve">last 10 years, this could amount to total costs of EUR 104,958 to EUR 314, 874 per Member State.</w:t>
      </w:r>
      <w:r>
        <w:t xml:space="preserve"> </w:t>
      </w:r>
      <w:r>
        <w:t xml:space="preserve">121 Megatrends Hub; https://knowledge4policy.ec.europa.eu/foresight/tool/megatrends-hub_en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30</w:t>
      </w:r>
      <w:r>
        <w:t xml:space="preserve"> </w:t>
      </w:r>
      <w:r>
        <w:t xml:space="preserve">EN</w:t>
      </w:r>
      <w:r>
        <w:t xml:space="preserve"> </w:t>
      </w:r>
      <w:r>
        <w:t xml:space="preserve"> Empower the Commission to set, and amend, limit values for any chemicals and for toys</w:t>
      </w:r>
      <w:r>
        <w:t xml:space="preserve"> </w:t>
      </w:r>
      <w:r>
        <w:t xml:space="preserve">for children of any age by introducing an additional Annex for other toys that are not for</w:t>
      </w:r>
      <w:r>
        <w:t xml:space="preserve"> </w:t>
      </w:r>
      <w:r>
        <w:t xml:space="preserve">young children or to be put in the mouth. Substances would be scientifically assessed and</w:t>
      </w:r>
      <w:r>
        <w:t xml:space="preserve"> </w:t>
      </w:r>
      <w:r>
        <w:t xml:space="preserve">banned from toys when they are deemed unsafe in a particular use (specific risk assessment).</w:t>
      </w:r>
      <w:r>
        <w:t xml:space="preserve"> </w:t>
      </w:r>
      <w:r>
        <w:t xml:space="preserve">Therefore, the Directive would have the possibility of introducing limit values for any toy and</w:t>
      </w:r>
      <w:r>
        <w:t xml:space="preserve"> </w:t>
      </w:r>
      <w:r>
        <w:t xml:space="preserve">to differentiate between toys intended for children under 3 years or to be put in the mouth (in</w:t>
      </w:r>
      <w:r>
        <w:t xml:space="preserve"> </w:t>
      </w:r>
      <w:r>
        <w:t xml:space="preserve">the current Appendix C) and for toys for older children (in a new Appendix) if this would be</w:t>
      </w:r>
      <w:r>
        <w:t xml:space="preserve"> </w:t>
      </w:r>
      <w:r>
        <w:t xml:space="preserve">warranted. This approach would not distinguish between chemical substances depending on</w:t>
      </w:r>
      <w:r>
        <w:t xml:space="preserve"> </w:t>
      </w:r>
      <w:r>
        <w:t xml:space="preserve">the hazards they present, but would allow that any substance is limited in toys if an assessment</w:t>
      </w:r>
      <w:r>
        <w:t xml:space="preserve"> </w:t>
      </w:r>
      <w:r>
        <w:t xml:space="preserve">of the substance’s hazards and the exposure to those hazards in toys concludes that they pose</w:t>
      </w:r>
      <w:r>
        <w:t xml:space="preserve"> </w:t>
      </w:r>
      <w:r>
        <w:t xml:space="preserve">a risk to children.</w:t>
      </w:r>
      <w:r>
        <w:t xml:space="preserve"> </w:t>
      </w:r>
      <w:r>
        <w:t xml:space="preserve"> Reduce limit values for nitrosamines and nitrosatable substances to align them with those</w:t>
      </w:r>
      <w:r>
        <w:t xml:space="preserve"> </w:t>
      </w:r>
      <w:r>
        <w:t xml:space="preserve">in force in Germany</w:t>
      </w:r>
      <w:r>
        <w:br/>
      </w:r>
      <w:r>
        <w:t xml:space="preserve"> Require manufacturers to assess the known risks from the combination of chemicals in the</w:t>
      </w:r>
      <w:r>
        <w:t xml:space="preserve"> </w:t>
      </w:r>
      <w:r>
        <w:t xml:space="preserve">toy, by providing guidance;</w:t>
      </w:r>
      <w:r>
        <w:t xml:space="preserve"> </w:t>
      </w:r>
      <w:r>
        <w:t xml:space="preserve"> Finally, a fast-track mechanism will allow the Commission in consultation with national</w:t>
      </w:r>
      <w:r>
        <w:t xml:space="preserve"> </w:t>
      </w:r>
      <w:r>
        <w:t xml:space="preserve">authorities to take exceptional measures against unsafe toys presenting sudden risks not</w:t>
      </w:r>
      <w:r>
        <w:t xml:space="preserve"> </w:t>
      </w:r>
      <w:r>
        <w:t xml:space="preserve">specifically foreseen in the TSD122.</w:t>
      </w:r>
      <w:r>
        <w:t xml:space="preserve"> </w:t>
      </w:r>
      <w:r>
        <w:t xml:space="preserve">This option would not revise the general prohibition of CMRs substances in toys nor the derogations</w:t>
      </w:r>
      <w:r>
        <w:t xml:space="preserve"> </w:t>
      </w:r>
      <w:r>
        <w:t xml:space="preserve">to that prohibition; these would remain unchanged. However, specific limit values for such CMRs</w:t>
      </w:r>
      <w:r>
        <w:t xml:space="preserve"> </w:t>
      </w:r>
      <w:r>
        <w:t xml:space="preserve">substances could be added for any toy. A differentiation in limit values for toys intended for children</w:t>
      </w:r>
      <w:r>
        <w:t xml:space="preserve"> </w:t>
      </w:r>
      <w:r>
        <w:t xml:space="preserve">under 36 months/to be put in the mouth and toys for older children will be possible where this is</w:t>
      </w:r>
      <w:r>
        <w:t xml:space="preserve"> </w:t>
      </w:r>
      <w:r>
        <w:t xml:space="preserve">warranted. Limit values for other chemical substances would also remain unchanged but could be</w:t>
      </w:r>
      <w:r>
        <w:t xml:space="preserve"> </w:t>
      </w:r>
      <w:r>
        <w:t xml:space="preserve">amended. In this manner, this option would address all the problem drivers with minimum changes</w:t>
      </w:r>
      <w:r>
        <w:t xml:space="preserve"> </w:t>
      </w:r>
      <w:r>
        <w:t xml:space="preserve">to the Directive.</w:t>
      </w:r>
      <w:r>
        <w:t xml:space="preserve"> </w:t>
      </w:r>
      <w:r>
        <w:t xml:space="preserve">Option 1b – Improved prevention: generic bans for the most harmful chemicals subject to</w:t>
      </w:r>
      <w:r>
        <w:t xml:space="preserve"> </w:t>
      </w:r>
      <w:r>
        <w:t xml:space="preserve">derogations</w:t>
      </w:r>
      <w:r>
        <w:t xml:space="preserve"> </w:t>
      </w:r>
      <w:r>
        <w:t xml:space="preserve">This option would include the following elements:</w:t>
      </w:r>
      <w:r>
        <w:t xml:space="preserve"> </w:t>
      </w:r>
      <w:r>
        <w:t xml:space="preserve"> Extend the generic approach to risk management to other most harmful substances. This</w:t>
      </w:r>
      <w:r>
        <w:t xml:space="preserve"> </w:t>
      </w:r>
      <w:r>
        <w:t xml:space="preserve">means that the existing general prohibition of CMR substances would be extended to</w:t>
      </w:r>
      <w:r>
        <w:t xml:space="preserve"> </w:t>
      </w:r>
      <w:r>
        <w:t xml:space="preserve">endocrine disruptors (a new hazard class recently introduced in the CLP Regulation),</w:t>
      </w:r>
      <w:r>
        <w:t xml:space="preserve"> </w:t>
      </w:r>
      <w:r>
        <w:t xml:space="preserve">substances affecting the respiratory system123, substances affecting the immune or</w:t>
      </w:r>
      <w:r>
        <w:t xml:space="preserve"> </w:t>
      </w:r>
      <w:r>
        <w:t xml:space="preserve">neurological systems and chemicals toxic to a specific organ (currently under specific</w:t>
      </w:r>
      <w:r>
        <w:t xml:space="preserve"> </w:t>
      </w:r>
      <w:r>
        <w:t xml:space="preserve">target organ toxicity – STOT - classes in the CLP Regulation). These substances would</w:t>
      </w:r>
      <w:r>
        <w:t xml:space="preserve"> </w:t>
      </w:r>
      <w:r>
        <w:t xml:space="preserve">be automatically banned from toys as soon as they are classified under the CLP Regulation</w:t>
      </w:r>
      <w:r>
        <w:t xml:space="preserve"> </w:t>
      </w:r>
      <w:r>
        <w:t xml:space="preserve">in these most harmful hazard classes. As these generic bans will concern the most harmful</w:t>
      </w:r>
      <w:r>
        <w:t xml:space="preserve"> </w:t>
      </w:r>
      <w:r>
        <w:t xml:space="preserve">chemicals, they would apply to all toys without distinction, i.e. toys for children under 36</w:t>
      </w:r>
      <w:r>
        <w:t xml:space="preserve"> </w:t>
      </w:r>
      <w:r>
        <w:t xml:space="preserve">months or for older children as well as toys intended to be put in the mouth.</w:t>
      </w:r>
      <w:r>
        <w:t xml:space="preserve"> </w:t>
      </w:r>
      <w:r>
        <w:t xml:space="preserve"> Derogations to these generic bans would be possible. Derogations would be based on</w:t>
      </w:r>
      <w:r>
        <w:t xml:space="preserve"> </w:t>
      </w:r>
      <w:r>
        <w:t xml:space="preserve">one of the current provisions for derogations to the CMR ban, and would apply when all</w:t>
      </w:r>
      <w:r>
        <w:t xml:space="preserve"> </w:t>
      </w:r>
      <w:r>
        <w:t xml:space="preserve">the following conditions are met: i) when the use of the specific substances in toys has</w:t>
      </w:r>
      <w:r>
        <w:t xml:space="preserve"> </w:t>
      </w:r>
      <w:r>
        <w:t xml:space="preserve">been assessed as safe for children, ii) when there are no suitable alternatives for that</w:t>
      </w:r>
      <w:r>
        <w:t xml:space="preserve"> </w:t>
      </w:r>
      <w:r>
        <w:t xml:space="preserve">substance and iii) when that specific substance is not prohibited in consumer articles</w:t>
      </w:r>
      <w:r>
        <w:t xml:space="preserve"> </w:t>
      </w:r>
      <w:r>
        <w:t xml:space="preserve">under REACH. In the current TSD, these derogations are adopted by the Commission</w:t>
      </w:r>
    </w:p>
    <w:p>
      <w:pPr>
        <w:pStyle w:val="BodyText"/>
      </w:pPr>
      <w:r>
        <w:t xml:space="preserve">122 Similar to the mechanism in Article 13 of the General Product Safety Directive 2001/95/EC.</w:t>
      </w:r>
      <w:r>
        <w:t xml:space="preserve"> </w:t>
      </w:r>
      <w:r>
        <w:t xml:space="preserve">123 Classified as respiratory sensitizers in the CLP Regulation, see Annex 10.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31</w:t>
      </w:r>
      <w:r>
        <w:t xml:space="preserve"> </w:t>
      </w:r>
      <w:r>
        <w:t xml:space="preserve">EN</w:t>
      </w:r>
      <w:r>
        <w:t xml:space="preserve"> </w:t>
      </w:r>
      <w:r>
        <w:t xml:space="preserve">following a scientific assessment and discussed with experts from Member States and</w:t>
      </w:r>
      <w:r>
        <w:t xml:space="preserve"> </w:t>
      </w:r>
      <w:r>
        <w:t xml:space="preserve">industry. Under this option, the scientific assessment should be carried out by ECHA the</w:t>
      </w:r>
      <w:r>
        <w:t xml:space="preserve"> </w:t>
      </w:r>
      <w:r>
        <w:t xml:space="preserve">European Chemicals Agency in Helsinki. ECHA would evaluate whether the substance,</w:t>
      </w:r>
      <w:r>
        <w:t xml:space="preserve"> </w:t>
      </w:r>
      <w:r>
        <w:t xml:space="preserve">despite its hazard classification, would not expose the children to any health or safety risk</w:t>
      </w:r>
      <w:r>
        <w:t xml:space="preserve"> </w:t>
      </w:r>
      <w:r>
        <w:t xml:space="preserve">in the manner in which it is used in toys. This chemical risk assessment would require the</w:t>
      </w:r>
      <w:r>
        <w:t xml:space="preserve"> </w:t>
      </w:r>
      <w:r>
        <w:t xml:space="preserve">consideration of the inherent hazardous properties of the substance or a mixture and the</w:t>
      </w:r>
      <w:r>
        <w:t xml:space="preserve"> </w:t>
      </w:r>
      <w:r>
        <w:t xml:space="preserve">extent of exposure to that substance or mixture in toys124. Derogations could only be</w:t>
      </w:r>
      <w:r>
        <w:t xml:space="preserve"> </w:t>
      </w:r>
      <w:r>
        <w:t xml:space="preserve">granted where the scientific assessment concludes that the use of the substance in toys is</w:t>
      </w:r>
      <w:r>
        <w:t xml:space="preserve"> </w:t>
      </w:r>
      <w:r>
        <w:t xml:space="preserve">safe and there are no alternatives. This is why derogations granted in this manner would</w:t>
      </w:r>
      <w:r>
        <w:t xml:space="preserve"> </w:t>
      </w:r>
      <w:r>
        <w:t xml:space="preserve">ensure that the safety of children is not put at risk. The intention is to streamline this</w:t>
      </w:r>
      <w:r>
        <w:t xml:space="preserve"> </w:t>
      </w:r>
      <w:r>
        <w:t xml:space="preserve">assessment as much as possible with other health and safety assessments done by ECHA</w:t>
      </w:r>
      <w:r>
        <w:t xml:space="preserve"> </w:t>
      </w:r>
      <w:r>
        <w:t xml:space="preserve">for other EU safety legislation. The ECHA opinion would then serve as a basis for a</w:t>
      </w:r>
      <w:r>
        <w:t xml:space="preserve"> </w:t>
      </w:r>
      <w:r>
        <w:t xml:space="preserve">Commission decision on the derogation request.</w:t>
      </w:r>
      <w:r>
        <w:t xml:space="preserve"> </w:t>
      </w:r>
      <w:r>
        <w:t xml:space="preserve">This option only retains one of the current derogations to the generic prohibition of</w:t>
      </w:r>
      <w:r>
        <w:t xml:space="preserve"> </w:t>
      </w:r>
      <w:r>
        <w:t xml:space="preserve">substances classified as carcinogenic, mutagenic or toxic for reproduction (CMRs)</w:t>
      </w:r>
      <w:r>
        <w:t xml:space="preserve"> </w:t>
      </w:r>
      <w:r>
        <w:t xml:space="preserve">and is therefore more stringent than the current system. Accordingly, derogations will only</w:t>
      </w:r>
      <w:r>
        <w:t xml:space="preserve"> </w:t>
      </w:r>
      <w:r>
        <w:t xml:space="preserve">be possible if the scientific assessment concludes that the use of the substance is safe. This</w:t>
      </w:r>
      <w:r>
        <w:t xml:space="preserve"> </w:t>
      </w:r>
      <w:r>
        <w:t xml:space="preserve">means that where there are uncertainties about its safety in toys, a derogation should not</w:t>
      </w:r>
      <w:r>
        <w:t xml:space="preserve"> </w:t>
      </w:r>
      <w:r>
        <w:t xml:space="preserve">be granted.</w:t>
      </w:r>
      <w:r>
        <w:br/>
      </w:r>
      <w:r>
        <w:t xml:space="preserve"> Other derogations to generic bans in the current TSD, such as the possibilities of harmful</w:t>
      </w:r>
      <w:r>
        <w:t xml:space="preserve"> </w:t>
      </w:r>
      <w:r>
        <w:t xml:space="preserve">substances to be present in toys up to the relevant concentration limits for classification</w:t>
      </w:r>
      <w:r>
        <w:t xml:space="preserve"> </w:t>
      </w:r>
      <w:r>
        <w:t xml:space="preserve">established under the CLP Regulation will be deleted. The Evaluation concluded that this</w:t>
      </w:r>
      <w:r>
        <w:t xml:space="preserve"> </w:t>
      </w:r>
      <w:r>
        <w:t xml:space="preserve">derogation still allowed for too much presence of CMRs in toys, posing a risk to children.</w:t>
      </w:r>
      <w:r>
        <w:t xml:space="preserve"> </w:t>
      </w:r>
      <w:r>
        <w:t xml:space="preserve">The derogations proposed in this option 1b would not allow for this exposure. In addition,</w:t>
      </w:r>
      <w:r>
        <w:t xml:space="preserve"> </w:t>
      </w:r>
      <w:r>
        <w:t xml:space="preserve">the derogation allowing for harmful substances in toys if they are inaccessible to children</w:t>
      </w:r>
      <w:r>
        <w:t xml:space="preserve"> </w:t>
      </w:r>
      <w:r>
        <w:t xml:space="preserve">will be removed too. There were uncertainties in the past on the correct interpretation of</w:t>
      </w:r>
      <w:r>
        <w:t xml:space="preserve"> </w:t>
      </w:r>
      <w:r>
        <w:t xml:space="preserve">this derogation. If they are inaccessible and they are safe, this should be scientifically</w:t>
      </w:r>
      <w:r>
        <w:t xml:space="preserve"> </w:t>
      </w:r>
      <w:r>
        <w:t xml:space="preserve">assessed in the context of the remaining derogation. Lower limits or limits of quantification</w:t>
      </w:r>
      <w:r>
        <w:t xml:space="preserve"> </w:t>
      </w:r>
      <w:r>
        <w:t xml:space="preserve">and/or detection would be set for the purposes of verifying compliance.</w:t>
      </w:r>
      <w:r>
        <w:br/>
      </w:r>
      <w:r>
        <w:t xml:space="preserve"> In addition, this option would include all the elements of option 1a and would allow the</w:t>
      </w:r>
      <w:r>
        <w:t xml:space="preserve"> </w:t>
      </w:r>
      <w:r>
        <w:t xml:space="preserve">introduction of specific limit values for specific chemicals if these are not covered by the</w:t>
      </w:r>
      <w:r>
        <w:t xml:space="preserve"> </w:t>
      </w:r>
      <w:r>
        <w:t xml:space="preserve">generic bans.</w:t>
      </w:r>
      <w:r>
        <w:t xml:space="preserve"> </w:t>
      </w:r>
      <w:r>
        <w:t xml:space="preserve">With the introduction of generic bans for the most harmful substances and the removal of the</w:t>
      </w:r>
      <w:r>
        <w:t xml:space="preserve"> </w:t>
      </w:r>
      <w:r>
        <w:t xml:space="preserve">derogation allowing the presence of such substances up to the ‘relevant concentrations’ of the CLP</w:t>
      </w:r>
      <w:r>
        <w:t xml:space="preserve"> </w:t>
      </w:r>
      <w:r>
        <w:t xml:space="preserve">Regulation, this option is expected to address the problem drivers in a more preventive manner.</w:t>
      </w:r>
      <w:r>
        <w:t xml:space="preserve"> </w:t>
      </w:r>
      <w:r>
        <w:t xml:space="preserve">As in option 1a, whenever scientific knowledge would point to the Directive still allowing for too</w:t>
      </w:r>
      <w:r>
        <w:t xml:space="preserve"> </w:t>
      </w:r>
      <w:r>
        <w:t xml:space="preserve">high presence of other chemical that is posing a risk to children, specific limit values for such</w:t>
      </w:r>
      <w:r>
        <w:t xml:space="preserve"> </w:t>
      </w:r>
      <w:r>
        <w:t xml:space="preserve">substance in any toy could be introduced125. A differentiation in limit values for toys intended for</w:t>
      </w:r>
      <w:r>
        <w:t xml:space="preserve"> </w:t>
      </w:r>
      <w:r>
        <w:t xml:space="preserve">children under 36 months/to be put in the mouth and toys for older children would be possible</w:t>
      </w:r>
    </w:p>
    <w:p>
      <w:pPr>
        <w:pStyle w:val="BodyText"/>
      </w:pPr>
      <w:r>
        <w:t xml:space="preserve">124 Previous scientific opinions on hazardous substances in toys have assessed the possible ways in which children may</w:t>
      </w:r>
      <w:r>
        <w:t xml:space="preserve"> </w:t>
      </w:r>
      <w:r>
        <w:t xml:space="preserve">be exposed to the substances (either via inhalation, ingestion or dermal contact) and whether there was any risk from that</w:t>
      </w:r>
      <w:r>
        <w:t xml:space="preserve"> </w:t>
      </w:r>
      <w:r>
        <w:t xml:space="preserve">exposure. It may be that a substance is classified as hazardous via inhalation but it is only included in toys in metals</w:t>
      </w:r>
      <w:r>
        <w:t xml:space="preserve"> </w:t>
      </w:r>
      <w:r>
        <w:t xml:space="preserve">containing that substance, so that the risk that children would be exposed to inhaling the substance is negligible. See the</w:t>
      </w:r>
      <w:r>
        <w:t xml:space="preserve"> </w:t>
      </w:r>
      <w:r>
        <w:t xml:space="preserve">SCHEER opinion on nickel in toys: https://health.ec.europa.eu/document/download/af3a05ea-2f9f-4939-89c6-</w:t>
      </w:r>
      <w:r>
        <w:t xml:space="preserve"> </w:t>
      </w:r>
      <w:r>
        <w:t xml:space="preserve">1637796d285b_en?filename=scher_o_163.pdf</w:t>
      </w:r>
      <w:r>
        <w:t xml:space="preserve"> </w:t>
      </w:r>
      <w:r>
        <w:t xml:space="preserve">125 These limit values would be based, as is the case today for the limits in Appendix C of the TSD, on the experts views</w:t>
      </w:r>
      <w:r>
        <w:t xml:space="preserve"> </w:t>
      </w:r>
      <w:r>
        <w:t xml:space="preserve">of the members of the Subgroup of Chemicals of the Expert Group on Toy Safety, as well as a relevant scientific opinion.</w:t>
      </w:r>
      <w:r>
        <w:t xml:space="preserve"> </w:t>
      </w:r>
      <w:r>
        <w:t xml:space="preserve">Under this option, the scientific opinion is expected to be delivered by ECHA.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32</w:t>
      </w:r>
      <w:r>
        <w:t xml:space="preserve"> </w:t>
      </w:r>
      <w:r>
        <w:t xml:space="preserve">EN</w:t>
      </w:r>
      <w:r>
        <w:t xml:space="preserve"> </w:t>
      </w:r>
      <w:r>
        <w:t xml:space="preserve">where this is warranted. However, in view of all the substances that would be covered by generic</w:t>
      </w:r>
      <w:r>
        <w:t xml:space="preserve"> </w:t>
      </w:r>
      <w:r>
        <w:t xml:space="preserve">bans, these specific limit values should be less frequent than with the current TSD or option 1a.</w:t>
      </w:r>
      <w:r>
        <w:t xml:space="preserve"> </w:t>
      </w:r>
      <w:r>
        <w:t xml:space="preserve">Option 1c – Maximum protection from harmful chemicals: generic bans for the most</w:t>
      </w:r>
      <w:r>
        <w:t xml:space="preserve"> </w:t>
      </w:r>
      <w:r>
        <w:t xml:space="preserve">harmful chemicals without derogations</w:t>
      </w:r>
      <w:r>
        <w:t xml:space="preserve"> </w:t>
      </w:r>
      <w:r>
        <w:t xml:space="preserve">This option would include all the elements in option 1a, it would also include the general bans of</w:t>
      </w:r>
      <w:r>
        <w:t xml:space="preserve"> </w:t>
      </w:r>
      <w:r>
        <w:t xml:space="preserve">the most harmful substances in toys, as soon as these substances are classified under the CLP</w:t>
      </w:r>
      <w:r>
        <w:t xml:space="preserve"> </w:t>
      </w:r>
      <w:r>
        <w:t xml:space="preserve">Regulation as presenting hazardous properties for human health in the most hazardous classes, as</w:t>
      </w:r>
      <w:r>
        <w:t xml:space="preserve"> </w:t>
      </w:r>
      <w:r>
        <w:t xml:space="preserve">in option 1b. However, this option would not allow for derogations to the generic bans for the</w:t>
      </w:r>
      <w:r>
        <w:t xml:space="preserve"> </w:t>
      </w:r>
      <w:r>
        <w:t xml:space="preserve">most harmful substances. As toys are intended for a vulnerable population group, this option</w:t>
      </w:r>
      <w:r>
        <w:t xml:space="preserve"> </w:t>
      </w:r>
      <w:r>
        <w:t xml:space="preserve">would offer zero tolerance for the most harmful chemicals in toys. This would ensure the most</w:t>
      </w:r>
      <w:r>
        <w:t xml:space="preserve"> </w:t>
      </w:r>
      <w:r>
        <w:t xml:space="preserve">preventive approach for children, and if new scientific knowledge emerged indicating that these</w:t>
      </w:r>
      <w:r>
        <w:t xml:space="preserve"> </w:t>
      </w:r>
      <w:r>
        <w:t xml:space="preserve">harmful substances are even more harmful than considered before, exposure of children to those</w:t>
      </w:r>
      <w:r>
        <w:t xml:space="preserve"> </w:t>
      </w:r>
      <w:r>
        <w:t xml:space="preserve">would have been prevented. As in option 1a and 1b, whenever scientific knowledge would point</w:t>
      </w:r>
      <w:r>
        <w:t xml:space="preserve"> </w:t>
      </w:r>
      <w:r>
        <w:t xml:space="preserve">to a certain chemical that is posing a risk to children in toys and is not included among the hazard</w:t>
      </w:r>
      <w:r>
        <w:t xml:space="preserve"> </w:t>
      </w:r>
      <w:r>
        <w:t xml:space="preserve">classes covered by generic bans, specific limit values for such substance in any toy could be</w:t>
      </w:r>
      <w:r>
        <w:t xml:space="preserve"> </w:t>
      </w:r>
      <w:r>
        <w:t xml:space="preserve">introduced. A differentiation in limit values for toys intended for children under 36 months/to be</w:t>
      </w:r>
      <w:r>
        <w:t xml:space="preserve"> </w:t>
      </w:r>
      <w:r>
        <w:t xml:space="preserve">put in the mouth and toys for older children would be possible where this is warranted. However,</w:t>
      </w:r>
      <w:r>
        <w:t xml:space="preserve"> </w:t>
      </w:r>
      <w:r>
        <w:t xml:space="preserve">in view of the number of substances covered by generic bans, these specific limit values should</w:t>
      </w:r>
      <w:r>
        <w:t xml:space="preserve"> </w:t>
      </w:r>
      <w:r>
        <w:t xml:space="preserve">be less frequent than under the current TSD or in option 1a.</w:t>
      </w:r>
      <w:r>
        <w:t xml:space="preserve"> </w:t>
      </w:r>
      <w:r>
        <w:t xml:space="preserve">5.2.2. Policy options to reduce the number of non-compliant and unsafe toys</w:t>
      </w:r>
      <w:r>
        <w:t xml:space="preserve"> </w:t>
      </w:r>
      <w:r>
        <w:t xml:space="preserve">Three policy options are presented, with a different focus in its intervention:</w:t>
      </w:r>
      <w:r>
        <w:t xml:space="preserve"> </w:t>
      </w:r>
      <w:r>
        <w:t xml:space="preserve">Option 2a – Extending third-party conformity assessment</w:t>
      </w:r>
      <w:r>
        <w:br/>
      </w:r>
      <w:r>
        <w:t xml:space="preserve">To reduce the number of non-compliant toys on the European market, pre-marketing conformity</w:t>
      </w:r>
      <w:r>
        <w:t xml:space="preserve"> </w:t>
      </w:r>
      <w:r>
        <w:t xml:space="preserve">assessment (third-party conformity assessment) would be extended for certain toys. The</w:t>
      </w:r>
      <w:r>
        <w:t xml:space="preserve"> </w:t>
      </w:r>
      <w:r>
        <w:t xml:space="preserve">Directive currently requires third-party conformity assessment only under very specific</w:t>
      </w:r>
      <w:r>
        <w:t xml:space="preserve"> </w:t>
      </w:r>
      <w:r>
        <w:t xml:space="preserve">circumstances. With the extension of third-party conformity assessment, the intervention of a</w:t>
      </w:r>
      <w:r>
        <w:t xml:space="preserve"> </w:t>
      </w:r>
      <w:r>
        <w:t xml:space="preserve">notified body could be required for a) those types of toys which present higher risks, as well as b)</w:t>
      </w:r>
      <w:r>
        <w:t xml:space="preserve"> </w:t>
      </w:r>
      <w:r>
        <w:t xml:space="preserve">for toys for which higher rates of non-compliance are found. As shown in section 2 above, the</w:t>
      </w:r>
      <w:r>
        <w:t xml:space="preserve"> </w:t>
      </w:r>
      <w:r>
        <w:t xml:space="preserve">notifications of toys intended for children under 36 months which do not comply with the</w:t>
      </w:r>
      <w:r>
        <w:t xml:space="preserve"> </w:t>
      </w:r>
      <w:r>
        <w:t xml:space="preserve">requirement not to have small parts which may cause a child to choke constitute around 40% of</w:t>
      </w:r>
      <w:r>
        <w:t xml:space="preserve"> </w:t>
      </w:r>
      <w:r>
        <w:t xml:space="preserve">unsafe products notified under RAPEX. Notifications of toys non-compliant with chemical risks</w:t>
      </w:r>
      <w:r>
        <w:t xml:space="preserve"> </w:t>
      </w:r>
      <w:r>
        <w:t xml:space="preserve">constitute around 40 % of notifications, too. While these may concern chemical risks on any toy,</w:t>
      </w:r>
      <w:r>
        <w:t xml:space="preserve"> </w:t>
      </w:r>
      <w:r>
        <w:t xml:space="preserve">toys which are chemical substances or mixtures can lead to higher exposure of children to any</w:t>
      </w:r>
      <w:r>
        <w:t xml:space="preserve"> </w:t>
      </w:r>
      <w:r>
        <w:t xml:space="preserve">harmful chemicals in them. Therefore, with this option, third-party conformity assessment would</w:t>
      </w:r>
      <w:r>
        <w:t xml:space="preserve"> </w:t>
      </w:r>
      <w:r>
        <w:t xml:space="preserve">be extended to:</w:t>
      </w:r>
      <w:r>
        <w:t xml:space="preserve"> </w:t>
      </w:r>
      <w:r>
        <w:t xml:space="preserve"> Toys marketed at children under the age of 36 months old or designed to be put in the mouth.</w:t>
      </w:r>
      <w:r>
        <w:t xml:space="preserve"> </w:t>
      </w:r>
      <w:r>
        <w:t xml:space="preserve">These toys are subject to the specific requirement not to include small parts which may cause</w:t>
      </w:r>
      <w:r>
        <w:t xml:space="preserve"> </w:t>
      </w:r>
      <w:r>
        <w:t xml:space="preserve">the child to choke.</w:t>
      </w:r>
      <w:r>
        <w:br/>
      </w:r>
      <w:r>
        <w:t xml:space="preserve"> Toys which are chemical mixtures or substances (i.e. such as slime, modelling clay or finger</w:t>
      </w:r>
      <w:r>
        <w:t xml:space="preserve"> </w:t>
      </w:r>
      <w:r>
        <w:t xml:space="preserve">paint).</w:t>
      </w:r>
      <w:r>
        <w:br/>
      </w:r>
      <w:r>
        <w:t xml:space="preserve">Option 2b – Facilitation of market surveillance checks and customs controls through</w:t>
      </w:r>
      <w:r>
        <w:t xml:space="preserve"> </w:t>
      </w:r>
      <w:r>
        <w:t xml:space="preserve">digitalisation</w:t>
      </w:r>
      <w:r>
        <w:t xml:space="preserve"> </w:t>
      </w:r>
      <w:r>
        <w:t xml:space="preserve">To reduce the number of non-compliant and unsafe toys on the European market option 2b would</w:t>
      </w:r>
      <w:r>
        <w:t xml:space="preserve"> </w:t>
      </w:r>
      <w:r>
        <w:t xml:space="preserve">include post-marketing facilitation of market surveillance checks. It would require the</w:t>
      </w:r>
      <w:r>
        <w:t xml:space="preserve"> </w:t>
      </w:r>
      <w:r>
        <w:t xml:space="preserve">introduction of a digital product passport (DPP) containing the EU declaration of conformity that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33</w:t>
      </w:r>
      <w:r>
        <w:t xml:space="preserve"> </w:t>
      </w:r>
      <w:r>
        <w:t xml:space="preserve">EN</w:t>
      </w:r>
      <w:r>
        <w:t xml:space="preserve"> </w:t>
      </w:r>
      <w:r>
        <w:t xml:space="preserve">could be immediately consulted by market surveillance authorities. In addition, the reference of</w:t>
      </w:r>
      <w:r>
        <w:t xml:space="preserve"> </w:t>
      </w:r>
      <w:r>
        <w:t xml:space="preserve">this DPP would be presented at customs so that its presence can be automatically verified when</w:t>
      </w:r>
      <w:r>
        <w:t xml:space="preserve"> </w:t>
      </w:r>
      <w:r>
        <w:t xml:space="preserve">the toy enters the Union market. Release for free circulation of such toys would not be granted if</w:t>
      </w:r>
      <w:r>
        <w:t xml:space="preserve"> </w:t>
      </w:r>
      <w:r>
        <w:t xml:space="preserve">it is absent. This would be based on the Digital Product Passport under the proposal for Ecodesign</w:t>
      </w:r>
      <w:r>
        <w:t xml:space="preserve"> </w:t>
      </w:r>
      <w:r>
        <w:t xml:space="preserve">for Sustainable Products Regulation126, in order to avoid multiplication of digitalisation systems</w:t>
      </w:r>
      <w:r>
        <w:t xml:space="preserve"> </w:t>
      </w:r>
      <w:r>
        <w:t xml:space="preserve">but this option is independent from the regulation of sustainability of toys under the ESPR. While</w:t>
      </w:r>
      <w:r>
        <w:t xml:space="preserve"> </w:t>
      </w:r>
      <w:r>
        <w:t xml:space="preserve">toys are not currently included in the list of high priority sectors identified in the Circular Economy</w:t>
      </w:r>
      <w:r>
        <w:t xml:space="preserve"> </w:t>
      </w:r>
      <w:r>
        <w:t xml:space="preserve">Action Plan, sustainability requirements under the ESPR may be imposed in the medium or longer</w:t>
      </w:r>
      <w:r>
        <w:t xml:space="preserve"> </w:t>
      </w:r>
      <w:r>
        <w:t xml:space="preserve">term. Furthermore, it is expected that the DPP will become the vehicle to provide digital</w:t>
      </w:r>
      <w:r>
        <w:t xml:space="preserve"> </w:t>
      </w:r>
      <w:r>
        <w:t xml:space="preserve">information on products in the future. The ESPR already foresees that the DPPs would be</w:t>
      </w:r>
      <w:r>
        <w:t xml:space="preserve"> </w:t>
      </w:r>
      <w:r>
        <w:t xml:space="preserve">registered in a central registry which will be interconnected with the EU Customs Single Window</w:t>
      </w:r>
      <w:r>
        <w:t xml:space="preserve"> </w:t>
      </w:r>
      <w:r>
        <w:t xml:space="preserve">Certificate Exchange System (EU CSW-CERTEX), which is the central module of the EU Single</w:t>
      </w:r>
      <w:r>
        <w:t xml:space="preserve"> </w:t>
      </w:r>
      <w:r>
        <w:t xml:space="preserve">Window Environment for Customs127. Relying on the DPP under the ESPR and its registry for the</w:t>
      </w:r>
      <w:r>
        <w:t xml:space="preserve"> </w:t>
      </w:r>
      <w:r>
        <w:t xml:space="preserve">revised toy safety rules will guarantee that these efforts are not duplicated. By means of this</w:t>
      </w:r>
      <w:r>
        <w:t xml:space="preserve"> </w:t>
      </w:r>
      <w:r>
        <w:t xml:space="preserve">interconnection, when toys coming from third countries are presented at the borders, customs</w:t>
      </w:r>
      <w:r>
        <w:t xml:space="preserve"> </w:t>
      </w:r>
      <w:r>
        <w:t xml:space="preserve">authorities will check that the DPP is referenced in the central registry. This will apply to any toy,</w:t>
      </w:r>
      <w:r>
        <w:t xml:space="preserve"> </w:t>
      </w:r>
      <w:r>
        <w:t xml:space="preserve">either sold online or distributed through more traditional supply chains, and therefore cover also</w:t>
      </w:r>
      <w:r>
        <w:t xml:space="preserve"> </w:t>
      </w:r>
      <w:r>
        <w:t xml:space="preserve">small or individual parcels containing toys and coming into the Union market from third countries.</w:t>
      </w:r>
      <w:r>
        <w:t xml:space="preserve"> </w:t>
      </w:r>
      <w:r>
        <w:t xml:space="preserve">In order to be registered, the DPP for toys will have to include the EU declaration of conformity.</w:t>
      </w:r>
      <w:r>
        <w:br/>
      </w:r>
      <w:r>
        <w:t xml:space="preserve">All commercial goods imported into the EU require a customs declaration for release for free</w:t>
      </w:r>
      <w:r>
        <w:t xml:space="preserve"> </w:t>
      </w:r>
      <w:r>
        <w:t xml:space="preserve">circulation. The main benefit of the DPP as proposed in option 2b will be that a reference to it</w:t>
      </w:r>
      <w:r>
        <w:t xml:space="preserve"> </w:t>
      </w:r>
      <w:r>
        <w:t xml:space="preserve">should be included in the customs declaration for every toy, and this includes online purchases by</w:t>
      </w:r>
      <w:r>
        <w:t xml:space="preserve"> </w:t>
      </w:r>
      <w:r>
        <w:t xml:space="preserve">individual EU customers from third countries. The reference of the DPP, which for toys would</w:t>
      </w:r>
      <w:r>
        <w:t xml:space="preserve"> </w:t>
      </w:r>
      <w:r>
        <w:t xml:space="preserve">include the product compliance information, will also have to be included in a central registry</w:t>
      </w:r>
      <w:r>
        <w:t xml:space="preserve"> </w:t>
      </w:r>
      <w:r>
        <w:t xml:space="preserve">managed by the Commission, which will be interconnected with the IT customs environment to</w:t>
      </w:r>
      <w:r>
        <w:t xml:space="preserve"> </w:t>
      </w:r>
      <w:r>
        <w:t xml:space="preserve">allow for its automatic verification. This will allow that any toy which does not indicate a valid</w:t>
      </w:r>
      <w:r>
        <w:t xml:space="preserve"> </w:t>
      </w:r>
      <w:r>
        <w:t xml:space="preserve">DPP reference in the customs declaration is automatically stopped at EU customs and is not</w:t>
      </w:r>
      <w:r>
        <w:t xml:space="preserve"> </w:t>
      </w:r>
      <w:r>
        <w:t xml:space="preserve">released for free circulation. Customs authorities will be able to carry out this automated control</w:t>
      </w:r>
      <w:r>
        <w:t xml:space="preserve"> </w:t>
      </w:r>
      <w:r>
        <w:t xml:space="preserve">on all products entering the Union market, rather than controls on a risk-based manner on a limited</w:t>
      </w:r>
      <w:r>
        <w:t xml:space="preserve"> </w:t>
      </w:r>
      <w:r>
        <w:t xml:space="preserve">amount of products as is the case today. Automated controls on every toy cannot take place today;</w:t>
      </w:r>
      <w:r>
        <w:t xml:space="preserve"> </w:t>
      </w:r>
      <w:r>
        <w:t xml:space="preserve">a legislative change is necessary in the Toy Safety Directive to improve controls on toys in this</w:t>
      </w:r>
      <w:r>
        <w:t xml:space="preserve"> </w:t>
      </w:r>
      <w:r>
        <w:t xml:space="preserve">manner.</w:t>
      </w:r>
      <w:r>
        <w:br/>
      </w:r>
      <w:r>
        <w:t xml:space="preserve">With this option, the revised Toy Safety rules would require that the compliance information on</w:t>
      </w:r>
      <w:r>
        <w:t xml:space="preserve"> </w:t>
      </w:r>
      <w:r>
        <w:t xml:space="preserve">the toy is presented at customs when it enters the Union market. The proposed measures under</w:t>
      </w:r>
      <w:r>
        <w:t xml:space="preserve"> </w:t>
      </w:r>
      <w:r>
        <w:t xml:space="preserve">option 2b can take place independently from the revision of the UCC but they would support the</w:t>
      </w:r>
      <w:r>
        <w:t xml:space="preserve"> </w:t>
      </w:r>
      <w:r>
        <w:t xml:space="preserve">general objectives of the revision of the UCC, including improved access to data to improve risk</w:t>
      </w:r>
      <w:r>
        <w:t xml:space="preserve"> </w:t>
      </w:r>
      <w:r>
        <w:t xml:space="preserve">management at customs, to increase the capacity of customs to detect non-compliant toys. When</w:t>
      </w:r>
      <w:r>
        <w:t xml:space="preserve"> </w:t>
      </w:r>
      <w:r>
        <w:t xml:space="preserve">both are adopted, there will be better controls at the border for toys.</w:t>
      </w:r>
    </w:p>
    <w:p>
      <w:pPr>
        <w:pStyle w:val="BodyText"/>
      </w:pPr>
      <w:r>
        <w:t xml:space="preserve">126 Proposal for a Regulation of the European Parliament and of the Council establishing a framework for setting</w:t>
      </w:r>
      <w:r>
        <w:t xml:space="preserve"> </w:t>
      </w:r>
      <w:r>
        <w:t xml:space="preserve">ecodesign requirements for sustainable products and repealing Directive 2009/125/EC, COM(2022) 142 final</w:t>
      </w:r>
      <w:r>
        <w:t xml:space="preserve"> </w:t>
      </w:r>
      <w:r>
        <w:t xml:space="preserve">127 Proposal for a Regulation of the European Parliament and of the Council establishing the European Union Single</w:t>
      </w:r>
      <w:r>
        <w:t xml:space="preserve"> </w:t>
      </w:r>
      <w:r>
        <w:t xml:space="preserve">Window Environment for Customs and amending Regulation (EU) No 952/2013, COM(2020) 673 final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34</w:t>
      </w:r>
      <w:r>
        <w:t xml:space="preserve"> </w:t>
      </w:r>
      <w:r>
        <w:t xml:space="preserve">EN</w:t>
      </w:r>
      <w:r>
        <w:t xml:space="preserve"> </w:t>
      </w:r>
      <w:r>
        <w:t xml:space="preserve">Option 2c – Extension of third-party conformity assessment and facilitation of market</w:t>
      </w:r>
      <w:r>
        <w:t xml:space="preserve"> </w:t>
      </w:r>
      <w:r>
        <w:t xml:space="preserve">surveillance checks and customs controls through digitalisation</w:t>
      </w:r>
      <w:r>
        <w:t xml:space="preserve"> </w:t>
      </w:r>
      <w:r>
        <w:t xml:space="preserve">This option would combine options 2a and 2b.</w:t>
      </w:r>
      <w:r>
        <w:br/>
      </w:r>
      <w:r>
        <w:t xml:space="preserve">Figure 8: Intervention logic</w:t>
      </w:r>
      <w:r>
        <w:t xml:space="preserve"> </w:t>
      </w:r>
      <w:r>
        <w:t xml:space="preserve">5.3.</w:t>
      </w:r>
      <w:r>
        <w:t xml:space="preserve"> </w:t>
      </w:r>
      <w:r>
        <w:t xml:space="preserve">Options discarded at an early stage</w:t>
      </w:r>
      <w:r>
        <w:t xml:space="preserve"> </w:t>
      </w:r>
      <w:r>
        <w:t xml:space="preserve">Several potential options were discarded at an earlier stage:</w:t>
      </w:r>
      <w:r>
        <w:t xml:space="preserve"> </w:t>
      </w:r>
      <w:r>
        <w:t xml:space="preserve">Introducing essential requirements for Internet-connected or other digital aspects of toys – The</w:t>
      </w:r>
      <w:r>
        <w:t xml:space="preserve"> </w:t>
      </w:r>
      <w:r>
        <w:t xml:space="preserve">Evaluation had concluded that the issue of the security of internet-connected toys and the related</w:t>
      </w:r>
      <w:r>
        <w:t xml:space="preserve"> </w:t>
      </w:r>
      <w:r>
        <w:t xml:space="preserve">protection of privacy (cybersecurity) emerged as a concern: the security threats that new technologies</w:t>
      </w:r>
      <w:r>
        <w:t xml:space="preserve"> </w:t>
      </w:r>
      <w:r>
        <w:t xml:space="preserve">(including toys) pose cannot be addressed by the Directive in force, because of its limited scope,</w:t>
      </w:r>
      <w:r>
        <w:t xml:space="preserve"> </w:t>
      </w:r>
      <w:r>
        <w:t xml:space="preserve">which focuses on health and safety, but not on privacy and security issues. Nevertheless, since the</w:t>
      </w:r>
      <w:r>
        <w:t xml:space="preserve"> </w:t>
      </w:r>
      <w:r>
        <w:t xml:space="preserve">publication of the Evaluation, the RED delegated act128 establishing essential requirements for the</w:t>
      </w:r>
      <w:r>
        <w:t xml:space="preserve"> </w:t>
      </w:r>
      <w:r>
        <w:t xml:space="preserve">personal data protection and privacy as well as cybersecurity was adopted, covering radio toys within</w:t>
      </w:r>
      <w:r>
        <w:t xml:space="preserve"> </w:t>
      </w:r>
      <w:r>
        <w:t xml:space="preserve">its scope. Similarly, a proposal for a Regulation on Artificial Intelligence129 has been put forward and</w:t>
      </w:r>
      <w:r>
        <w:t xml:space="preserve"> </w:t>
      </w:r>
      <w:r>
        <w:t xml:space="preserve">should address the specific risks that the integration of AI may pose on toys. Cybersecurity should</w:t>
      </w:r>
      <w:r>
        <w:t xml:space="preserve"> </w:t>
      </w:r>
      <w:r>
        <w:t xml:space="preserve">be strengthened by the Cyber Resilience Act as well, once adopted130. With these initiatives, the risks</w:t>
      </w:r>
      <w:r>
        <w:t xml:space="preserve"> </w:t>
      </w:r>
      <w:r>
        <w:t xml:space="preserve">for privacy, those concerning cybersecurity as well as artificial intelligence should be addressed and</w:t>
      </w:r>
      <w:r>
        <w:t xml:space="preserve"> </w:t>
      </w:r>
      <w:r>
        <w:t xml:space="preserve">no remaining gap has been observed in the field of toys.</w:t>
      </w:r>
      <w:r>
        <w:br/>
      </w:r>
      <w:r>
        <w:t xml:space="preserve">Derogations for “essential uses” to the generic bans of the most harmful chemicals</w:t>
      </w:r>
      <w:r>
        <w:t xml:space="preserve"> </w:t>
      </w:r>
      <w:r>
        <w:t xml:space="preserve">The Chemicals Strategy for Sustainability committed generally to extend the generic approach to risk</w:t>
      </w:r>
      <w:r>
        <w:t xml:space="preserve"> </w:t>
      </w:r>
      <w:r>
        <w:t xml:space="preserve">management (preventive bans) to the most harmful chemicals in consumer products, while still</w:t>
      </w:r>
      <w:r>
        <w:t xml:space="preserve"> </w:t>
      </w:r>
      <w:r>
        <w:t xml:space="preserve">allowing their use where proven essential for society. While the concept of essential use is still under</w:t>
      </w:r>
      <w:r>
        <w:t xml:space="preserve"> </w:t>
      </w:r>
      <w:r>
        <w:t xml:space="preserve">development, including for its application under REACH and possibly other downstream legislation,</w:t>
      </w:r>
      <w:r>
        <w:t xml:space="preserve"> </w:t>
      </w:r>
      <w:r>
        <w:t xml:space="preserve">it is not presented as an option or criterion for derogating from the generic bans under the Toy Safety</w:t>
      </w:r>
    </w:p>
    <w:p>
      <w:pPr>
        <w:pStyle w:val="BodyText"/>
      </w:pPr>
      <w:r>
        <w:t xml:space="preserve">128 Commission Delegated Regulation (EU) 2022/30 of 29 October 2021 supplementing Directive 2014/53/EU of the</w:t>
      </w:r>
      <w:r>
        <w:t xml:space="preserve"> </w:t>
      </w:r>
      <w:r>
        <w:t xml:space="preserve">European Parliament and of the Council with regard to the application of the essential requirements referred to in Article</w:t>
      </w:r>
      <w:r>
        <w:t xml:space="preserve"> </w:t>
      </w:r>
      <w:r>
        <w:t xml:space="preserve">3(3), points (d), (e) and (f), of that Directive.</w:t>
      </w:r>
      <w:r>
        <w:t xml:space="preserve"> </w:t>
      </w:r>
      <w:r>
        <w:t xml:space="preserve">129 Proposal for a Regulation of the European Parliament and of the Council laying down harmonised rules on Artificial</w:t>
      </w:r>
      <w:r>
        <w:t xml:space="preserve"> </w:t>
      </w:r>
      <w:r>
        <w:t xml:space="preserve">Intelligence (Artificial Intelligence Act) and amending certain Union legislative acts, of 21 April 2021</w:t>
      </w:r>
      <w:r>
        <w:br/>
      </w:r>
      <w:r>
        <w:t xml:space="preserve">130 Cyber resilience act – new cybersecurity rules for digital products and ancillary services (europa.eu)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35</w:t>
      </w:r>
      <w:r>
        <w:t xml:space="preserve"> </w:t>
      </w:r>
      <w:r>
        <w:t xml:space="preserve">EN</w:t>
      </w:r>
      <w:r>
        <w:t xml:space="preserve"> </w:t>
      </w:r>
      <w:r>
        <w:t xml:space="preserve">Directive. First of all, toys will remain under the scope of REACH in the future, both for human</w:t>
      </w:r>
      <w:r>
        <w:t xml:space="preserve"> </w:t>
      </w:r>
      <w:r>
        <w:t xml:space="preserve">health and environmental considerations. If a harmful substance would be banned under REACH in</w:t>
      </w:r>
      <w:r>
        <w:t xml:space="preserve"> </w:t>
      </w:r>
      <w:r>
        <w:t xml:space="preserve">consumer articles (be it due to generic risk to human health or to the environment), for instance</w:t>
      </w:r>
      <w:r>
        <w:t xml:space="preserve"> </w:t>
      </w:r>
      <w:r>
        <w:t xml:space="preserve">because it has no essential use, it can be prohibited for toys. If this is not (yet) the case, substances</w:t>
      </w:r>
      <w:r>
        <w:t xml:space="preserve"> </w:t>
      </w:r>
      <w:r>
        <w:t xml:space="preserve">under the most harmful hazard classes will be covered by the generic bans under the TSD and subject</w:t>
      </w:r>
      <w:r>
        <w:t xml:space="preserve"> </w:t>
      </w:r>
      <w:r>
        <w:t xml:space="preserve">to its derogations. As the main objective of the TSD is ensuring children safety, the assessment of</w:t>
      </w:r>
      <w:r>
        <w:t xml:space="preserve"> </w:t>
      </w:r>
      <w:r>
        <w:t xml:space="preserve">the derogations under the TSD will remain based on the safety of the use of the substance in toys.</w:t>
      </w:r>
      <w:r>
        <w:t xml:space="preserve"> </w:t>
      </w:r>
      <w:r>
        <w:t xml:space="preserve">Consequently, in PO1b presented in this Impact Assessment, derogations to the generic bans are</w:t>
      </w:r>
      <w:r>
        <w:t xml:space="preserve"> </w:t>
      </w:r>
      <w:r>
        <w:t xml:space="preserve">considered possible if (i) the use of the chemical is safe, (ii) there are no alternatives to the presence</w:t>
      </w:r>
      <w:r>
        <w:t xml:space="preserve"> </w:t>
      </w:r>
      <w:r>
        <w:t xml:space="preserve">of the chemical in the toy, and (iii) the specific substance is not prohibited for use in consumer articles</w:t>
      </w:r>
      <w:r>
        <w:t xml:space="preserve"> </w:t>
      </w:r>
      <w:r>
        <w:t xml:space="preserve">under REACH131. The latter condition would continue to ensure consistency with REACH.</w:t>
      </w:r>
      <w:r>
        <w:br/>
      </w:r>
      <w:r>
        <w:t xml:space="preserve">Creating an injury database</w:t>
      </w:r>
      <w:r>
        <w:t xml:space="preserve"> </w:t>
      </w:r>
      <w:r>
        <w:t xml:space="preserve">The Evaluation indicated that data on injuries or accidents caused by toys was not readily available.</w:t>
      </w:r>
      <w:r>
        <w:t xml:space="preserve"> </w:t>
      </w:r>
      <w:r>
        <w:t xml:space="preserve">Nonetheless, addressing this issue identified in the Evaluation through the maintenance of a European</w:t>
      </w:r>
      <w:r>
        <w:t xml:space="preserve"> </w:t>
      </w:r>
      <w:r>
        <w:t xml:space="preserve">injury database has not been considered as part of the options. First of all, since the publication of the</w:t>
      </w:r>
      <w:r>
        <w:t xml:space="preserve"> </w:t>
      </w:r>
      <w:r>
        <w:t xml:space="preserve">Evaluation, Regulation 2019/1020 on market surveillance has become fully applicable. This</w:t>
      </w:r>
      <w:r>
        <w:t xml:space="preserve"> </w:t>
      </w:r>
      <w:r>
        <w:t xml:space="preserve">Regulation requires market surveillance authorities to share information on all the in-depth checks of</w:t>
      </w:r>
      <w:r>
        <w:t xml:space="preserve"> </w:t>
      </w:r>
      <w:r>
        <w:t xml:space="preserve">compliance that they perform, and the results of those investigations, in addition to any notification</w:t>
      </w:r>
      <w:r>
        <w:t xml:space="preserve"> </w:t>
      </w:r>
      <w:r>
        <w:t xml:space="preserve">of dangerous products they may need to perform through RAPEX – Safety Gate. This information</w:t>
      </w:r>
      <w:r>
        <w:t xml:space="preserve"> </w:t>
      </w:r>
      <w:r>
        <w:t xml:space="preserve">should provide a comprehensive picture of non-compliance of toys in the EU including on the specific</w:t>
      </w:r>
      <w:r>
        <w:t xml:space="preserve"> </w:t>
      </w:r>
      <w:r>
        <w:t xml:space="preserve">type of non-compliance and the percentage of toys inspected which are not compliant. This</w:t>
      </w:r>
      <w:r>
        <w:t xml:space="preserve"> </w:t>
      </w:r>
      <w:r>
        <w:t xml:space="preserve">information can also provide information on new risks emerging in toys. As such, these data provide</w:t>
      </w:r>
      <w:r>
        <w:t xml:space="preserve"> </w:t>
      </w:r>
      <w:r>
        <w:t xml:space="preserve">more thorough information on the extent to which in the Union there are unsafe toys which do not</w:t>
      </w:r>
      <w:r>
        <w:t xml:space="preserve"> </w:t>
      </w:r>
      <w:r>
        <w:t xml:space="preserve">comply with the applicable requirements of the legislation, and which may be putting children at risk.</w:t>
      </w:r>
      <w:r>
        <w:br/>
      </w:r>
      <w:r>
        <w:t xml:space="preserve">In addition, the General Product Safety Regulation includes a provision on mandatory accident</w:t>
      </w:r>
      <w:r>
        <w:t xml:space="preserve"> </w:t>
      </w:r>
      <w:r>
        <w:t xml:space="preserve">reporting, which would be applicable to harmonised products such as toys. This obligation is</w:t>
      </w:r>
      <w:r>
        <w:t xml:space="preserve"> </w:t>
      </w:r>
      <w:r>
        <w:t xml:space="preserve">primarily for manufacturers to notify accidents caused by products, within two working days from</w:t>
      </w:r>
      <w:r>
        <w:t xml:space="preserve"> </w:t>
      </w:r>
      <w:r>
        <w:t xml:space="preserve">the moment they know about the accident, to the competent authorities of the Member State where</w:t>
      </w:r>
      <w:r>
        <w:t xml:space="preserve"> </w:t>
      </w:r>
      <w:r>
        <w:t xml:space="preserve">the accident has occurred. This should already ensure greater availability of data regarding the</w:t>
      </w:r>
      <w:r>
        <w:t xml:space="preserve"> </w:t>
      </w:r>
      <w:r>
        <w:t xml:space="preserve">accidents related to toys. Setting up and maintaining an injury database would be costly, and it would</w:t>
      </w:r>
      <w:r>
        <w:t xml:space="preserve"> </w:t>
      </w:r>
      <w:r>
        <w:t xml:space="preserve">not provide sufficiently reliable information on toy safety in the EU. Information should be filled in</w:t>
      </w:r>
      <w:r>
        <w:t xml:space="preserve"> </w:t>
      </w:r>
      <w:r>
        <w:t xml:space="preserve">by doctors when accidents happen, this may not be done consistently or in a comparable manner, or</w:t>
      </w:r>
      <w:r>
        <w:t xml:space="preserve"> </w:t>
      </w:r>
      <w:r>
        <w:t xml:space="preserve">in a way that identifies the product at stake precisely enough and even when accidents concern toys,</w:t>
      </w:r>
      <w:r>
        <w:t xml:space="preserve"> </w:t>
      </w:r>
      <w:r>
        <w:t xml:space="preserve">they may not relate to a safety issue of the toy or to a malfunction, as many accidents can be caused</w:t>
      </w:r>
      <w:r>
        <w:t xml:space="preserve"> </w:t>
      </w:r>
      <w:r>
        <w:t xml:space="preserve">by safe toys (for example, injuries caused by falling from toy scooters). Furthermore, such an injury</w:t>
      </w:r>
      <w:r>
        <w:t xml:space="preserve"> </w:t>
      </w:r>
      <w:r>
        <w:t xml:space="preserve">database should be addressed generally for all products in a manner that could provide additional</w:t>
      </w:r>
      <w:r>
        <w:t xml:space="preserve"> </w:t>
      </w:r>
      <w:r>
        <w:t xml:space="preserve">sources of evidence for policy monitoring, but creating it only for specific toys injuries would not be</w:t>
      </w:r>
      <w:r>
        <w:t xml:space="preserve"> </w:t>
      </w:r>
      <w:r>
        <w:t xml:space="preserve">efficient.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The following sections provide estimations of the costs based on certain assumptions (see annex 14</w:t>
      </w:r>
      <w:r>
        <w:t xml:space="preserve"> </w:t>
      </w:r>
      <w:r>
        <w:t xml:space="preserve">for the detailed estimates) and address in particular economic impacts for economic operators, for</w:t>
      </w:r>
      <w:r>
        <w:t xml:space="preserve"> </w:t>
      </w:r>
      <w:r>
        <w:t xml:space="preserve">public authorities, competitiveness and innovation, human health and the environment. Regarding</w:t>
      </w:r>
      <w:r>
        <w:t xml:space="preserve"> </w:t>
      </w:r>
      <w:r>
        <w:t xml:space="preserve">fundamental rights, none of the policy options is expected to have significant impacts, but the first</w:t>
      </w:r>
      <w:r>
        <w:t xml:space="preserve"> </w:t>
      </w:r>
      <w:r>
        <w:t xml:space="preserve">three policy options should generally assist in the rights of children and their possibility to play.</w:t>
      </w:r>
      <w:r>
        <w:t xml:space="preserve"> </w:t>
      </w:r>
      <w:r>
        <w:t xml:space="preserve">While the objectives of the revision of the TSD are focused on strengthening the protection of</w:t>
      </w:r>
    </w:p>
    <w:p>
      <w:pPr>
        <w:pStyle w:val="BodyText"/>
      </w:pPr>
      <w:r>
        <w:t xml:space="preserve">131 See Annex II, part III point 4(c)(iii) of the TSD.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36</w:t>
      </w:r>
      <w:r>
        <w:t xml:space="preserve"> </w:t>
      </w:r>
      <w:r>
        <w:t xml:space="preserve">EN</w:t>
      </w:r>
      <w:r>
        <w:t xml:space="preserve"> </w:t>
      </w:r>
      <w:r>
        <w:t xml:space="preserve">children health, the different policy options should have a limited positive impact on the environment.</w:t>
      </w:r>
      <w:r>
        <w:t xml:space="preserve"> </w:t>
      </w:r>
      <w:r>
        <w:t xml:space="preserve">As such, the policy options devised respect the ‘do not significant harm’ to the environment</w:t>
      </w:r>
      <w:r>
        <w:t xml:space="preserve"> </w:t>
      </w:r>
      <w:r>
        <w:t xml:space="preserve">principle but do not address it specifically. In addition, the policy options do not have a relevant</w:t>
      </w:r>
      <w:r>
        <w:t xml:space="preserve"> </w:t>
      </w:r>
      <w:r>
        <w:t xml:space="preserve">impact on the climate-neutrality objective of the Union. PO2b could, by means of digitalisation, lead</w:t>
      </w:r>
      <w:r>
        <w:t xml:space="preserve"> </w:t>
      </w:r>
      <w:r>
        <w:t xml:space="preserve">to increased energy needs in terms of IT servers or cloud services by toy manufacturers, but these</w:t>
      </w:r>
      <w:r>
        <w:t xml:space="preserve"> </w:t>
      </w:r>
      <w:r>
        <w:t xml:space="preserve">should be covered by the overall digitalisation of industry and balanced by energy efficiency efforts</w:t>
      </w:r>
      <w:r>
        <w:t xml:space="preserve"> </w:t>
      </w:r>
      <w:r>
        <w:t xml:space="preserve">by the underlying IT infrastructure. On the other hand, it should reduce the use of paper.</w:t>
      </w:r>
      <w:r>
        <w:br/>
      </w:r>
      <w:r>
        <w:t xml:space="preserve">Approach for the analysis of economic impacts and adjustment costs</w:t>
      </w:r>
      <w:r>
        <w:t xml:space="preserve"> </w:t>
      </w:r>
      <w:r>
        <w:t xml:space="preserve">This impact assessment considers the costs of product adaptation for economic operators, mainly</w:t>
      </w:r>
      <w:r>
        <w:t xml:space="preserve"> </w:t>
      </w:r>
      <w:r>
        <w:t xml:space="preserve">toy manufacturers, stemming from possible new restrictions of chemicals in toys and based on the</w:t>
      </w:r>
      <w:r>
        <w:t xml:space="preserve"> </w:t>
      </w:r>
      <w:r>
        <w:t xml:space="preserve">percentage of toy models to which those costs would apply in the different policy options under</w:t>
      </w:r>
      <w:r>
        <w:t xml:space="preserve"> </w:t>
      </w:r>
      <w:r>
        <w:t xml:space="preserve">consideration. It also considers the sales value of the percentage of toys that could no longer be</w:t>
      </w:r>
      <w:r>
        <w:t xml:space="preserve"> </w:t>
      </w:r>
      <w:r>
        <w:t xml:space="preserve">made available on the market, if alternatives to the chemical substances are not found and, in case</w:t>
      </w:r>
      <w:r>
        <w:t xml:space="preserve"> </w:t>
      </w:r>
      <w:r>
        <w:t xml:space="preserve">of option 1c, if derogations are not available. These costs are relevant for a dynamic baseline scenario</w:t>
      </w:r>
      <w:r>
        <w:t xml:space="preserve"> </w:t>
      </w:r>
      <w:r>
        <w:t xml:space="preserve">and the first set of policy options.</w:t>
      </w:r>
      <w:r>
        <w:t xml:space="preserve"> </w:t>
      </w:r>
      <w:r>
        <w:t xml:space="preserve">Adjustment costs have thus been estimated under a dynamic baseline scenario and for all the first set</w:t>
      </w:r>
      <w:r>
        <w:t xml:space="preserve"> </w:t>
      </w:r>
      <w:r>
        <w:t xml:space="preserve">of policy options 1a, 1b and 1c of this impact assessment. The key costs considered as adjustment</w:t>
      </w:r>
      <w:r>
        <w:t xml:space="preserve"> </w:t>
      </w:r>
      <w:r>
        <w:t xml:space="preserve">costs are i) costs related to chemical substitution or withdrawal and ii) testing. The analysis on</w:t>
      </w:r>
      <w:r>
        <w:t xml:space="preserve"> </w:t>
      </w:r>
      <w:r>
        <w:t xml:space="preserve">adjustment costs of the baseline and compared to that, of the different policy options 1a, 1b and 1c</w:t>
      </w:r>
      <w:r>
        <w:t xml:space="preserve"> </w:t>
      </w:r>
      <w:r>
        <w:t xml:space="preserve">makes a number of assumptions but acknowledges that there are a number of uncertainties which do</w:t>
      </w:r>
      <w:r>
        <w:t xml:space="preserve"> </w:t>
      </w:r>
      <w:r>
        <w:t xml:space="preserve">not make it possible to provide a precise estimate for the baseline and each policy option. These</w:t>
      </w:r>
      <w:r>
        <w:t xml:space="preserve"> </w:t>
      </w:r>
      <w:r>
        <w:t xml:space="preserve">uncertainties concern: i) the specific substances that may be banned in toys under option 1a; ii) the</w:t>
      </w:r>
      <w:r>
        <w:t xml:space="preserve"> </w:t>
      </w:r>
      <w:r>
        <w:t xml:space="preserve">specific substances covered by generic bans in options 1b and 1c, and in particular the substances</w:t>
      </w:r>
      <w:r>
        <w:t xml:space="preserve"> </w:t>
      </w:r>
      <w:r>
        <w:t xml:space="preserve">that will be classified as endocrine disruptors under the new hazard class proposed to be introduced</w:t>
      </w:r>
      <w:r>
        <w:t xml:space="preserve"> </w:t>
      </w:r>
      <w:r>
        <w:t xml:space="preserve">in the CLP Regulation; iii) the number of toy models which would be affected by the new restrictions;</w:t>
      </w:r>
      <w:r>
        <w:t xml:space="preserve"> </w:t>
      </w:r>
      <w:r>
        <w:t xml:space="preserve">iv) the precise costs of replacing the particular chemical substance which would be restricted; v) the</w:t>
      </w:r>
      <w:r>
        <w:t xml:space="preserve"> </w:t>
      </w:r>
      <w:r>
        <w:t xml:space="preserve">extent to which derogations would be granted under option 1b; vi) the capacity of the EU industry to</w:t>
      </w:r>
      <w:r>
        <w:t xml:space="preserve"> </w:t>
      </w:r>
      <w:r>
        <w:t xml:space="preserve">shift production to alternative toys; and vii) in cases of product withdrawals, the extent to which</w:t>
      </w:r>
      <w:r>
        <w:t xml:space="preserve"> </w:t>
      </w:r>
      <w:r>
        <w:t xml:space="preserve">demand will shift to other toys which remain on the market, or will rather shift to other non-toy</w:t>
      </w:r>
      <w:r>
        <w:t xml:space="preserve"> </w:t>
      </w:r>
      <w:r>
        <w:t xml:space="preserve">products. This is why a range of adjustment costs is provided as regards costs related to chemical</w:t>
      </w:r>
      <w:r>
        <w:t xml:space="preserve"> </w:t>
      </w:r>
      <w:r>
        <w:t xml:space="preserve">substitution or withdrawal of products and testing costs. The different policy options 1a, 1b and 1c</w:t>
      </w:r>
      <w:r>
        <w:t xml:space="preserve"> </w:t>
      </w:r>
      <w:r>
        <w:t xml:space="preserve">are presented with ranges of adjusment costs incremental to the baseline.</w:t>
      </w:r>
      <w:r>
        <w:br/>
      </w:r>
      <w:r>
        <w:t xml:space="preserve">Adaptation and withdrawal costs are one-off costs but would occur over time with the regular</w:t>
      </w:r>
      <w:r>
        <w:t xml:space="preserve"> </w:t>
      </w:r>
      <w:r>
        <w:t xml:space="preserve">amendments of the Directive in the dynamic baseline and in policy option 1a, and with the substances</w:t>
      </w:r>
      <w:r>
        <w:t xml:space="preserve"> </w:t>
      </w:r>
      <w:r>
        <w:t xml:space="preserve">being classified under the relevant hazard classes covered by generic bans under policy options 1b</w:t>
      </w:r>
      <w:r>
        <w:t xml:space="preserve"> </w:t>
      </w:r>
      <w:r>
        <w:t xml:space="preserve">and 1c. For the purpose of this impact assessment and comparison of the options and against the</w:t>
      </w:r>
      <w:r>
        <w:t xml:space="preserve"> </w:t>
      </w:r>
      <w:r>
        <w:t xml:space="preserve">baseline, an overall figure corresponding to the total one-off adaptation or withdrawal costs over a</w:t>
      </w:r>
      <w:r>
        <w:t xml:space="preserve"> </w:t>
      </w:r>
      <w:r>
        <w:t xml:space="preserve">10 year timeframe has been considered.</w:t>
      </w:r>
    </w:p>
    <w:p>
      <w:pPr>
        <w:pStyle w:val="BodyText"/>
      </w:pPr>
      <w:r>
        <w:t xml:space="preserve">6.1.</w:t>
      </w:r>
      <w:r>
        <w:t xml:space="preserve"> </w:t>
      </w:r>
      <w:r>
        <w:t xml:space="preserve">Policy option 1a – minimum changes to the Directive</w:t>
      </w:r>
      <w:r>
        <w:br/>
      </w:r>
      <w:r>
        <w:t xml:space="preserve">Economic impacts - Impacts on economic operators</w:t>
      </w:r>
      <w:r>
        <w:t xml:space="preserve"> </w:t>
      </w:r>
      <w:r>
        <w:t xml:space="preserve">In terms of administrative burden, this option would not entail a direct increase of the administrative</w:t>
      </w:r>
      <w:r>
        <w:t xml:space="preserve"> </w:t>
      </w:r>
      <w:r>
        <w:t xml:space="preserve">burden reported in the baseline since it does not involve any specific change in terms of information</w:t>
      </w:r>
      <w:r>
        <w:t xml:space="preserve"> </w:t>
      </w:r>
      <w:r>
        <w:t xml:space="preserve">obligations or certification. In terms of adjustment costs, the lowering of limit values for nitrosamines</w:t>
      </w:r>
      <w:r>
        <w:t xml:space="preserve"> </w:t>
      </w:r>
      <w:r>
        <w:t xml:space="preserve">and nitrosatable substances to the levels already applicable in German law would have a minimal</w:t>
      </w:r>
      <w:r>
        <w:t xml:space="preserve"> </w:t>
      </w:r>
      <w:r>
        <w:t xml:space="preserve">impact, as manufacturers are already complying with these lower values. Similarly, most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37</w:t>
      </w:r>
      <w:r>
        <w:t xml:space="preserve"> </w:t>
      </w:r>
      <w:r>
        <w:t xml:space="preserve">EN</w:t>
      </w:r>
      <w:r>
        <w:t xml:space="preserve"> </w:t>
      </w:r>
      <w:r>
        <w:t xml:space="preserve">manufacturers are already assessing and addressing the risks stemming from combination of</w:t>
      </w:r>
      <w:r>
        <w:t xml:space="preserve"> </w:t>
      </w:r>
      <w:r>
        <w:t xml:space="preserve">chemicals132 and therefore the need to consider known risks of combination of particular chemicals</w:t>
      </w:r>
      <w:r>
        <w:t xml:space="preserve"> </w:t>
      </w:r>
      <w:r>
        <w:t xml:space="preserve">was not considered to lead to increased costs. The primary adjustment costs anticipated form this</w:t>
      </w:r>
      <w:r>
        <w:t xml:space="preserve"> </w:t>
      </w:r>
      <w:r>
        <w:t xml:space="preserve">option are costs of chemical substitution and redevelopment resulting from new limit values which</w:t>
      </w:r>
      <w:r>
        <w:t xml:space="preserve"> </w:t>
      </w:r>
      <w:r>
        <w:t xml:space="preserve">would apply to all toys (in contrast to the baseline in which new limit values only apply to toys</w:t>
      </w:r>
      <w:r>
        <w:t xml:space="preserve"> </w:t>
      </w:r>
      <w:r>
        <w:t xml:space="preserve">intended for children under 36 months or to be put in the mouth). Should suitable chemical</w:t>
      </w:r>
      <w:r>
        <w:t xml:space="preserve"> </w:t>
      </w:r>
      <w:r>
        <w:t xml:space="preserve">alternatives not exist, or product redesign not be possible, it may no longer be possible to make certain</w:t>
      </w:r>
      <w:r>
        <w:t xml:space="preserve"> </w:t>
      </w:r>
      <w:r>
        <w:t xml:space="preserve">toys available on the market. The precise costs of product adaptation and product withdrawal will</w:t>
      </w:r>
      <w:r>
        <w:t xml:space="preserve"> </w:t>
      </w:r>
      <w:r>
        <w:t xml:space="preserve">depend on the specific limit values that could be progressively introduced in the TSD and as such are</w:t>
      </w:r>
      <w:r>
        <w:t xml:space="preserve"> </w:t>
      </w:r>
      <w:r>
        <w:t xml:space="preserve">difficult to quantify at this stage. Also, the scale of impact could differ based on the make-up of a</w:t>
      </w:r>
      <w:r>
        <w:t xml:space="preserve"> </w:t>
      </w:r>
      <w:r>
        <w:t xml:space="preserve">manufacturer’s portfolio and to what extent they manufacture toys using the restricted substance.</w:t>
      </w:r>
      <w:r>
        <w:br/>
      </w:r>
      <w:r>
        <w:t xml:space="preserve">Potential impacts could be estimated to require adaptation or withdrawal of 2.4-4.8% of toy</w:t>
      </w:r>
      <w:r>
        <w:t xml:space="preserve"> </w:t>
      </w:r>
      <w:r>
        <w:t xml:space="preserve">models on the market in addition to the baseline133. In particular, it could be estimated that 1.6-</w:t>
      </w:r>
      <w:r>
        <w:t xml:space="preserve"> </w:t>
      </w:r>
      <w:r>
        <w:t xml:space="preserve">3.2% of toy models would require redevelopment to identify and use safe, alternative chemicals,</w:t>
      </w:r>
      <w:r>
        <w:t xml:space="preserve"> </w:t>
      </w:r>
      <w:r>
        <w:t xml:space="preserve">while the remaining 0.8-1.6% could no longer be made available on the market if no alternatives to</w:t>
      </w:r>
      <w:r>
        <w:t xml:space="preserve"> </w:t>
      </w:r>
      <w:r>
        <w:t xml:space="preserve">the restricted chemicals are available134. Based on these estimates and the cost estimates for</w:t>
      </w:r>
      <w:r>
        <w:t xml:space="preserve"> </w:t>
      </w:r>
      <w:r>
        <w:t xml:space="preserve">adjustments per toy model detailed in the baseline above which indicate that adaptation costs to new</w:t>
      </w:r>
      <w:r>
        <w:t xml:space="preserve"> </w:t>
      </w:r>
      <w:r>
        <w:t xml:space="preserve">limit values could range from EUR 6,700 per toy model produced by large firms and EUR 7,700 per</w:t>
      </w:r>
      <w:r>
        <w:t xml:space="preserve"> </w:t>
      </w:r>
      <w:r>
        <w:t xml:space="preserve">toy model produced by SMEs to over EUR 15,000 per toy model135, the total incremental one-off</w:t>
      </w:r>
      <w:r>
        <w:t xml:space="preserve"> </w:t>
      </w:r>
      <w:r>
        <w:t xml:space="preserve">adjustment costs associated with product redesign and redevelopment to adapt to greater</w:t>
      </w:r>
      <w:r>
        <w:t xml:space="preserve"> </w:t>
      </w:r>
      <w:r>
        <w:t xml:space="preserve">restrictions over the period considered could range from EUR 8.18 million to EUR 176.3 million</w:t>
      </w:r>
      <w:r>
        <w:t xml:space="preserve"> </w:t>
      </w:r>
      <w:r>
        <w:t xml:space="preserve">compared to the baseline136. As this option would be similar to the current system of the TSD but</w:t>
      </w:r>
      <w:r>
        <w:t xml:space="preserve"> </w:t>
      </w:r>
      <w:r>
        <w:t xml:space="preserve">allow that limit values are introduce for all toys, costs are expected to be closer to the lower range as</w:t>
      </w:r>
      <w:r>
        <w:t xml:space="preserve"> </w:t>
      </w:r>
      <w:r>
        <w:t xml:space="preserve">these mirror the costs calculated in the Evaluation.</w:t>
      </w:r>
      <w:r>
        <w:br/>
      </w:r>
      <w:r>
        <w:t xml:space="preserve">With limit values being added for new substances in toys, new toy models will need to be tested in</w:t>
      </w:r>
      <w:r>
        <w:t xml:space="preserve"> </w:t>
      </w:r>
      <w:r>
        <w:t xml:space="preserve">order to ensure compliance. The increased complexity of testing for lower limit values would</w:t>
      </w:r>
      <w:r>
        <w:t xml:space="preserve"> </w:t>
      </w:r>
      <w:r>
        <w:t xml:space="preserve">reportedly lead to increases in testing costs from EUR 2,200 to around EUR 3,300 per toy model</w:t>
      </w:r>
      <w:r>
        <w:t xml:space="preserve"> </w:t>
      </w:r>
      <w:r>
        <w:t xml:space="preserve">when toys need to be tested for the substances subject to new limit values137. In view of the fact that</w:t>
      </w:r>
      <w:r>
        <w:t xml:space="preserve"> </w:t>
      </w:r>
      <w:r>
        <w:t xml:space="preserve">products subject to adaptation efforts will be subject to these increased testing costs, yearly testing</w:t>
      </w:r>
      <w:r>
        <w:t xml:space="preserve"> </w:t>
      </w:r>
      <w:r>
        <w:t xml:space="preserve">costs are estimated to incrementally increase compared to the baseline by around EUR 1.89-</w:t>
      </w:r>
      <w:r>
        <w:t xml:space="preserve"> </w:t>
      </w:r>
      <w:r>
        <w:t xml:space="preserve">3.79 million138.</w:t>
      </w:r>
      <w:r>
        <w:br/>
      </w:r>
      <w:r>
        <w:t xml:space="preserve">These are overall estimates for the EU market, given that the specific number of substances that will</w:t>
      </w:r>
      <w:r>
        <w:t xml:space="preserve"> </w:t>
      </w:r>
      <w:r>
        <w:t xml:space="preserve">be addressed with future limit values for chemicals is not currently known. Depending on which</w:t>
      </w:r>
      <w:r>
        <w:t xml:space="preserve"> </w:t>
      </w:r>
      <w:r>
        <w:t xml:space="preserve">substances are addressed by new limit values, companies will have to determine which products in</w:t>
      </w:r>
    </w:p>
    <w:p>
      <w:pPr>
        <w:pStyle w:val="BodyText"/>
      </w:pPr>
      <w:r>
        <w:t xml:space="preserve">132 See Annex 14 for further details. Source: Study on the possible revision of the Toy Safety Directive, 2022, VVA,</w:t>
      </w:r>
      <w:r>
        <w:t xml:space="preserve"> </w:t>
      </w:r>
      <w:r>
        <w:t xml:space="preserve">CSES and Asterisk, to be published.</w:t>
      </w:r>
      <w:r>
        <w:t xml:space="preserve"> </w:t>
      </w:r>
      <w:r>
        <w:t xml:space="preserve">133 Estimates from manufacturers in the targeted survey are that this option would affect 3-6 % of toy models (compared</w:t>
      </w:r>
      <w:r>
        <w:t xml:space="preserve"> </w:t>
      </w:r>
      <w:r>
        <w:t xml:space="preserve">to the baseline of 0.6-1.2%).</w:t>
      </w:r>
      <w:r>
        <w:t xml:space="preserve"> </w:t>
      </w:r>
      <w:r>
        <w:t xml:space="preserve">134 This is based on a number of assumptions considering information provided by industry, and that this option will lead</w:t>
      </w:r>
      <w:r>
        <w:t xml:space="preserve"> </w:t>
      </w:r>
      <w:r>
        <w:t xml:space="preserve">to the introduction of limit values that may affect all toys rather than only toys intended for children under 36 months or</w:t>
      </w:r>
      <w:r>
        <w:t xml:space="preserve"> </w:t>
      </w:r>
      <w:r>
        <w:t xml:space="preserve">toys to be put in the mouth, as is the case today. See Annex 14 for further details on these calculations.</w:t>
      </w:r>
      <w:r>
        <w:t xml:space="preserve"> </w:t>
      </w:r>
      <w:r>
        <w:t xml:space="preserve">135 See the details for these calculations in Annex 14. The cost of adapting to new limit values introduced in the Directive</w:t>
      </w:r>
      <w:r>
        <w:t xml:space="preserve"> </w:t>
      </w:r>
      <w:r>
        <w:t xml:space="preserve">have been calculated based on the information from the Evaluation on the basis of past adaptations, as well as interviews</w:t>
      </w:r>
      <w:r>
        <w:t xml:space="preserve"> </w:t>
      </w:r>
      <w:r>
        <w:t xml:space="preserve">with industry and the targeted SME survey.</w:t>
      </w:r>
      <w:r>
        <w:t xml:space="preserve"> </w:t>
      </w:r>
      <w:r>
        <w:t xml:space="preserve">136 This is based on an estimation of 78,702 new toys models put at the market yearly across all business sizes, out of</w:t>
      </w:r>
      <w:r>
        <w:t xml:space="preserve"> </w:t>
      </w:r>
      <w:r>
        <w:t xml:space="preserve">which the percentage of those impacted by substitution costs is calculated, and on the range of costs that redesigning each</w:t>
      </w:r>
      <w:r>
        <w:t xml:space="preserve"> </w:t>
      </w:r>
      <w:r>
        <w:t xml:space="preserve">of those affected toy models could represent.</w:t>
      </w:r>
      <w:r>
        <w:t xml:space="preserve"> </w:t>
      </w:r>
      <w:r>
        <w:t xml:space="preserve">137 Estimates by businesses interviewed in the framework of the supporting study.</w:t>
      </w:r>
      <w:r>
        <w:t xml:space="preserve"> </w:t>
      </w:r>
      <w:r>
        <w:t xml:space="preserve">138 Based on the percentage of tests per year (from the total 86,024 test per year) that would be more complex (1.6-3.2%)</w:t>
      </w:r>
      <w:r>
        <w:t xml:space="preserve"> </w:t>
      </w:r>
      <w:r>
        <w:t xml:space="preserve">and for which the costs will be higher. See annex 14 for more detailed estimates.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38</w:t>
      </w:r>
      <w:r>
        <w:t xml:space="preserve"> </w:t>
      </w:r>
      <w:r>
        <w:t xml:space="preserve">EN</w:t>
      </w:r>
      <w:r>
        <w:t xml:space="preserve"> </w:t>
      </w:r>
      <w:r>
        <w:t xml:space="preserve">their portfolios are affected and need to be redesigned. This is why precise cost estimates per type of</w:t>
      </w:r>
      <w:r>
        <w:t xml:space="preserve"> </w:t>
      </w:r>
      <w:r>
        <w:t xml:space="preserve">company could not be calculated. Nevertheless, SMEs account for a fourth of turnover in the sector</w:t>
      </w:r>
      <w:r>
        <w:t xml:space="preserve"> </w:t>
      </w:r>
      <w:r>
        <w:t xml:space="preserve">so they will bear a proportionate amount of these costs; they are also expected to have higher costs</w:t>
      </w:r>
      <w:r>
        <w:t xml:space="preserve"> </w:t>
      </w:r>
      <w:r>
        <w:t xml:space="preserve">per new toy model than larger firms, as they face higher unit costs. As it was reported in the</w:t>
      </w:r>
      <w:r>
        <w:t xml:space="preserve"> </w:t>
      </w:r>
      <w:r>
        <w:t xml:space="preserve">Evaluation, while large companies have had adaptation costs of EUR 6,700 per toy model, these cost</w:t>
      </w:r>
      <w:r>
        <w:t xml:space="preserve"> </w:t>
      </w:r>
      <w:r>
        <w:t xml:space="preserve">are of EUR 7,700 per SME. SMEs were concerned about facing higher unit costs than large</w:t>
      </w:r>
      <w:r>
        <w:t xml:space="preserve"> </w:t>
      </w:r>
      <w:r>
        <w:t xml:space="preserve">manufacturers in particular for testing139. Specific differences per size of SMEs were not available</w:t>
      </w:r>
      <w:r>
        <w:t xml:space="preserve"> </w:t>
      </w:r>
      <w:r>
        <w:t xml:space="preserve">either.</w:t>
      </w:r>
      <w:r>
        <w:t xml:space="preserve"> </w:t>
      </w:r>
      <w:r>
        <w:t xml:space="preserve">In terms of product withdrawals, although the ultimate impact would depend on the value of the toy</w:t>
      </w:r>
      <w:r>
        <w:t xml:space="preserve"> </w:t>
      </w:r>
      <w:r>
        <w:t xml:space="preserve">models impacted, it is possible to indicate an estimate based on the turnover achieved by the European</w:t>
      </w:r>
      <w:r>
        <w:t xml:space="preserve"> </w:t>
      </w:r>
      <w:r>
        <w:t xml:space="preserve">toys industry. Accordingly, this option could affect EUR 52.47 to 104.9 million worth of toys in</w:t>
      </w:r>
      <w:r>
        <w:t xml:space="preserve"> </w:t>
      </w:r>
      <w:r>
        <w:t xml:space="preserve">addition to the baseline (based on provisional EU industry turnover of EUR 6.56 billion for 2020).</w:t>
      </w:r>
      <w:r>
        <w:t xml:space="preserve"> </w:t>
      </w:r>
      <w:r>
        <w:t xml:space="preserve">As detailed under the baseline, these impacts would be mitigated by the time provided to adjust to</w:t>
      </w:r>
      <w:r>
        <w:t xml:space="preserve"> </w:t>
      </w:r>
      <w:r>
        <w:t xml:space="preserve">the updated rules, which would allow producers to shift resources to the production and sale of</w:t>
      </w:r>
      <w:r>
        <w:t xml:space="preserve"> </w:t>
      </w:r>
      <w:r>
        <w:t xml:space="preserve">alternative products, and the fact that, in many instances, consumers would choose to purchase an</w:t>
      </w:r>
      <w:r>
        <w:t xml:space="preserve"> </w:t>
      </w:r>
      <w:r>
        <w:t xml:space="preserve">alternative toy product, rather than not purchasing anything, thereby ensuring the revenue to the toys</w:t>
      </w:r>
      <w:r>
        <w:t xml:space="preserve"> </w:t>
      </w:r>
      <w:r>
        <w:t xml:space="preserve">market remains.</w:t>
      </w:r>
      <w:r>
        <w:t xml:space="preserve"> </w:t>
      </w:r>
      <w:r>
        <w:t xml:space="preserve">Impacts on public authorities</w:t>
      </w:r>
      <w:r>
        <w:t xml:space="preserve"> </w:t>
      </w:r>
      <w:r>
        <w:t xml:space="preserve">It is likely that there would not be any additional costs for national authorities. The budget available</w:t>
      </w:r>
      <w:r>
        <w:t xml:space="preserve"> </w:t>
      </w:r>
      <w:r>
        <w:t xml:space="preserve">is expected to remain the same, as well as the number of inspections. Even if the number of substances</w:t>
      </w:r>
      <w:r>
        <w:t xml:space="preserve"> </w:t>
      </w:r>
      <w:r>
        <w:t xml:space="preserve">subject to limit values would increase, market surveillance authorities are expected to conduct testing</w:t>
      </w:r>
      <w:r>
        <w:t xml:space="preserve"> </w:t>
      </w:r>
      <w:r>
        <w:t xml:space="preserve">only for certain types of products inspected, as is currently the case.</w:t>
      </w:r>
      <w:r>
        <w:br/>
      </w:r>
      <w:r>
        <w:t xml:space="preserve">Impacts on innovation, competitiveness and the internal market</w:t>
      </w:r>
      <w:r>
        <w:t xml:space="preserve"> </w:t>
      </w:r>
      <w:r>
        <w:t xml:space="preserve">It has been estimated that for a number of restricted chemicals, alternatives may not be found and</w:t>
      </w:r>
      <w:r>
        <w:t xml:space="preserve"> </w:t>
      </w:r>
      <w:r>
        <w:t xml:space="preserve">certain toys could no longer be made available on the market (around 0.8-1.6%). This would be</w:t>
      </w:r>
      <w:r>
        <w:t xml:space="preserve"> </w:t>
      </w:r>
      <w:r>
        <w:t xml:space="preserve">mitigated in terms of the impact on the toy industry overall as consumers may instead purchase</w:t>
      </w:r>
      <w:r>
        <w:t xml:space="preserve"> </w:t>
      </w:r>
      <w:r>
        <w:t xml:space="preserve">alternative products that remain on the market and that meet more stringent limit value thresholds, as</w:t>
      </w:r>
      <w:r>
        <w:t xml:space="preserve"> </w:t>
      </w:r>
      <w:r>
        <w:t xml:space="preserve">well as the possibility for producers to adapt production through a sufficiently long transition period.</w:t>
      </w:r>
      <w:r>
        <w:t xml:space="preserve"> </w:t>
      </w:r>
      <w:r>
        <w:t xml:space="preserve">The impacts on competitiveness will depend strongly on the specific substances concerned by a</w:t>
      </w:r>
      <w:r>
        <w:t xml:space="preserve"> </w:t>
      </w:r>
      <w:r>
        <w:t xml:space="preserve">change in the limit values. Regarding the impacts on innovation, no evidence was identified that there</w:t>
      </w:r>
      <w:r>
        <w:t xml:space="preserve"> </w:t>
      </w:r>
      <w:r>
        <w:t xml:space="preserve">are alternative substitutes to many chemicals used in toy production and therefore, if major changes</w:t>
      </w:r>
      <w:r>
        <w:t xml:space="preserve"> </w:t>
      </w:r>
      <w:r>
        <w:t xml:space="preserve">to limit values are introduced, this could incentivise producers to search for alternatives, which could</w:t>
      </w:r>
      <w:r>
        <w:t xml:space="preserve"> </w:t>
      </w:r>
      <w:r>
        <w:t xml:space="preserve">spur innovation.</w:t>
      </w:r>
      <w:r>
        <w:br/>
      </w:r>
      <w:r>
        <w:t xml:space="preserve">This option is not expected to have net impacts on employment, as it is expected that companies will</w:t>
      </w:r>
      <w:r>
        <w:t xml:space="preserve"> </w:t>
      </w:r>
      <w:r>
        <w:t xml:space="preserve">require more man hours dedicated to research of alternative chemicals and product redesign. Overall,</w:t>
      </w:r>
      <w:r>
        <w:t xml:space="preserve"> </w:t>
      </w:r>
      <w:r>
        <w:t xml:space="preserve">complementing this option with another option to effectively address the high number of non-</w:t>
      </w:r>
      <w:r>
        <w:t xml:space="preserve"> </w:t>
      </w:r>
      <w:r>
        <w:t xml:space="preserve">compliant toys on the Union market was considered essential by industry to preserve its</w:t>
      </w:r>
      <w:r>
        <w:t xml:space="preserve"> </w:t>
      </w:r>
      <w:r>
        <w:t xml:space="preserve">competitiveness140. There would be positive impacts on the single market for having uniform limit</w:t>
      </w:r>
      <w:r>
        <w:t xml:space="preserve"> </w:t>
      </w:r>
      <w:r>
        <w:t xml:space="preserve">values for all substances in toys, and responding to consumer expectations regarding the safety of</w:t>
      </w:r>
      <w:r>
        <w:t xml:space="preserve"> </w:t>
      </w:r>
      <w:r>
        <w:t xml:space="preserve">chemicals in toys.</w:t>
      </w:r>
      <w:r>
        <w:t xml:space="preserve"> </w:t>
      </w:r>
      <w:r>
        <w:t xml:space="preserve">Social impacts - Impacts on human health</w:t>
      </w:r>
      <w:r>
        <w:t xml:space="preserve"> </w:t>
      </w:r>
      <w:r>
        <w:t xml:space="preserve">The available evidence on potential human health impacts of PO1a was limited mainly due to the</w:t>
      </w:r>
      <w:r>
        <w:t xml:space="preserve"> </w:t>
      </w:r>
      <w:r>
        <w:t xml:space="preserve">lack of detail on which limit values would be updated or introduced (apart from nitrosamines). Most</w:t>
      </w:r>
    </w:p>
    <w:p>
      <w:pPr>
        <w:pStyle w:val="BodyText"/>
      </w:pPr>
      <w:r>
        <w:t xml:space="preserve">139 Source: interviews. See Annex 14 for further details.</w:t>
      </w:r>
      <w:r>
        <w:t xml:space="preserve"> </w:t>
      </w:r>
      <w:r>
        <w:t xml:space="preserve">140 Source: interviews and targeted survey. See annex 14 for further details.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39</w:t>
      </w:r>
      <w:r>
        <w:t xml:space="preserve"> </w:t>
      </w:r>
      <w:r>
        <w:t xml:space="preserve">EN</w:t>
      </w:r>
      <w:r>
        <w:t xml:space="preserve"> </w:t>
      </w:r>
      <w:r>
        <w:t xml:space="preserve">manufacturers already comply with the lower limits for nitrosamines141, but this option would ensure</w:t>
      </w:r>
      <w:r>
        <w:t xml:space="preserve"> </w:t>
      </w:r>
      <w:r>
        <w:t xml:space="preserve">enforceability of those lower limits if this may not be the case and thus lead to better protection from</w:t>
      </w:r>
      <w:r>
        <w:t xml:space="preserve"> </w:t>
      </w:r>
      <w:r>
        <w:t xml:space="preserve">these strong carcinogens. For other specific limit values, this option will lead to better and targeted</w:t>
      </w:r>
      <w:r>
        <w:t xml:space="preserve"> </w:t>
      </w:r>
      <w:r>
        <w:t xml:space="preserve">protection of children health by ensuring that only those cases based on scientific evidence of hazards</w:t>
      </w:r>
      <w:r>
        <w:t xml:space="preserve"> </w:t>
      </w:r>
      <w:r>
        <w:t xml:space="preserve">and risks would be addressed, with due account of mouthing exposure by younger children, as</w:t>
      </w:r>
      <w:r>
        <w:t xml:space="preserve"> </w:t>
      </w:r>
      <w:r>
        <w:t xml:space="preserve">appropriate. This will guarantee a targeted approach for the protection of specific and demonstrated</w:t>
      </w:r>
      <w:r>
        <w:t xml:space="preserve"> </w:t>
      </w:r>
      <w:r>
        <w:t xml:space="preserve">risks. However, developing appropriate risk assessments for single chemicals has proven to be</w:t>
      </w:r>
      <w:r>
        <w:t xml:space="preserve"> </w:t>
      </w:r>
      <w:r>
        <w:t xml:space="preserve">laborious, if not cumbersome in the past142. The time between the identification of a hazard for</w:t>
      </w:r>
      <w:r>
        <w:t xml:space="preserve"> </w:t>
      </w:r>
      <w:r>
        <w:t xml:space="preserve">children or from the classification of a chemical as hazardous under the CLP Regulation until it is</w:t>
      </w:r>
      <w:r>
        <w:t xml:space="preserve"> </w:t>
      </w:r>
      <w:r>
        <w:t xml:space="preserve">banned in toys is likely to be too long (around 2 years in past instances), leaving children unprotected</w:t>
      </w:r>
      <w:r>
        <w:t xml:space="preserve"> </w:t>
      </w:r>
      <w:r>
        <w:t xml:space="preserve">for a certain period of time and requiring prioritisation of substances to be tackled in toys. For these</w:t>
      </w:r>
      <w:r>
        <w:t xml:space="preserve"> </w:t>
      </w:r>
      <w:r>
        <w:t xml:space="preserve">reasons, it may only be possible to introduce a limited number of new limit values per year. The</w:t>
      </w:r>
      <w:r>
        <w:t xml:space="preserve"> </w:t>
      </w:r>
      <w:r>
        <w:t xml:space="preserve">precise benefits on human health will only be realized after the introduction of such precise limit</w:t>
      </w:r>
      <w:r>
        <w:t xml:space="preserve"> </w:t>
      </w:r>
      <w:r>
        <w:t xml:space="preserve">values.</w:t>
      </w:r>
      <w:r>
        <w:br/>
      </w:r>
      <w:r>
        <w:t xml:space="preserve">In terms of consumer welfare, as this option is only expected to have limited impacts on product</w:t>
      </w:r>
      <w:r>
        <w:t xml:space="preserve"> </w:t>
      </w:r>
      <w:r>
        <w:t xml:space="preserve">redesign and adaptations, it should not lead to lower choice of products or increased prices. A certain</w:t>
      </w:r>
      <w:r>
        <w:t xml:space="preserve"> </w:t>
      </w:r>
      <w:r>
        <w:t xml:space="preserve">improvement of toy safety and trust could be expected but, like the benefits for human health, these</w:t>
      </w:r>
      <w:r>
        <w:t xml:space="preserve"> </w:t>
      </w:r>
      <w:r>
        <w:t xml:space="preserve">are expected to be limited.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PO 1a will not address chemical substances that are harmful to the environment as such. It will</w:t>
      </w:r>
      <w:r>
        <w:t xml:space="preserve"> </w:t>
      </w:r>
      <w:r>
        <w:t xml:space="preserve">address specific chemical substances that would pose a risk to children’s health. Nevertheless, this</w:t>
      </w:r>
      <w:r>
        <w:t xml:space="preserve"> </w:t>
      </w:r>
      <w:r>
        <w:t xml:space="preserve">PO could still have a minor positive effect on the environment, as it would lead to less harmful</w:t>
      </w:r>
      <w:r>
        <w:t xml:space="preserve"> </w:t>
      </w:r>
      <w:r>
        <w:t xml:space="preserve">substances from toy materials once they are banned in toys. This means that less harmful chemicals</w:t>
      </w:r>
      <w:r>
        <w:t xml:space="preserve"> </w:t>
      </w:r>
      <w:r>
        <w:t xml:space="preserve">would reach the environment by means of end-of-life toys in waste or recycling.</w:t>
      </w:r>
      <w:r>
        <w:br/>
      </w:r>
      <w:r>
        <w:t xml:space="preserve">Stakeholders’ views</w:t>
      </w:r>
      <w:r>
        <w:t xml:space="preserve"> </w:t>
      </w:r>
      <w:r>
        <w:t xml:space="preserve">92% of consumers/environmental groups (56 out of 61), 94% (29 out of 31) of public authorities and</w:t>
      </w:r>
      <w:r>
        <w:t xml:space="preserve"> </w:t>
      </w:r>
      <w:r>
        <w:t xml:space="preserve">68% of industry (61 out of 89) agreed or strongly agreed that the Commission should be empowered</w:t>
      </w:r>
      <w:r>
        <w:t xml:space="preserve"> </w:t>
      </w:r>
      <w:r>
        <w:t xml:space="preserve">to amend the Directive to set new requirements for chemicals in any toy.</w:t>
      </w:r>
      <w:r>
        <w:br/>
      </w:r>
      <w:r>
        <w:t xml:space="preserve">6.2.</w:t>
      </w:r>
      <w:r>
        <w:t xml:space="preserve"> </w:t>
      </w:r>
      <w:r>
        <w:t xml:space="preserve">Policy option 1b – Improved protection: generic bans of the most harmful</w:t>
      </w:r>
      <w:r>
        <w:t xml:space="preserve"> </w:t>
      </w:r>
      <w:r>
        <w:t xml:space="preserve">substances with derogations</w:t>
      </w:r>
      <w:r>
        <w:t xml:space="preserve"> </w:t>
      </w:r>
      <w:r>
        <w:t xml:space="preserve">Economic impacts - Impacts on economic operators</w:t>
      </w:r>
      <w:r>
        <w:t xml:space="preserve"> </w:t>
      </w:r>
      <w:r>
        <w:t xml:space="preserve">Similar to PO1a, this option would not entail a direct increase of the administrative burden since it</w:t>
      </w:r>
      <w:r>
        <w:t xml:space="preserve"> </w:t>
      </w:r>
      <w:r>
        <w:t xml:space="preserve">does not introduce any specific change in terms of information obligations or certification.</w:t>
      </w:r>
      <w:r>
        <w:t xml:space="preserve"> </w:t>
      </w:r>
      <w:r>
        <w:t xml:space="preserve">Nevertheless, if industry intends to request a derogation from generic bans, it will need to submit a</w:t>
      </w:r>
      <w:r>
        <w:t xml:space="preserve"> </w:t>
      </w:r>
      <w:r>
        <w:t xml:space="preserve">dossier with this request, justifying that the specific substance is safe and that there is no alternative.</w:t>
      </w:r>
      <w:r>
        <w:t xml:space="preserve"> </w:t>
      </w:r>
      <w:r>
        <w:t xml:space="preserve">This cost is considered as administrative burden even if it will only be incurred if manufacturers want</w:t>
      </w:r>
      <w:r>
        <w:t xml:space="preserve"> </w:t>
      </w:r>
      <w:r>
        <w:t xml:space="preserve">to continue using substances subject to generic bans in toys. This administrative burden will depend</w:t>
      </w:r>
      <w:r>
        <w:t xml:space="preserve"> </w:t>
      </w:r>
      <w:r>
        <w:t xml:space="preserve">on the specific derogations that will be requested. In the past, requests for derogations have been</w:t>
      </w:r>
      <w:r>
        <w:t xml:space="preserve"> </w:t>
      </w:r>
      <w:r>
        <w:t xml:space="preserve">made by industry associations, which means that the administrative cost for requesting a derogation</w:t>
      </w:r>
      <w:r>
        <w:t xml:space="preserve"> </w:t>
      </w:r>
      <w:r>
        <w:t xml:space="preserve">could be expected to be shared among industry rather than born by a specific company. Past</w:t>
      </w:r>
      <w:r>
        <w:t xml:space="preserve"> </w:t>
      </w:r>
      <w:r>
        <w:t xml:space="preserve">derogation requests have been estimated by the toy industry at roughly EUR 50.000 per derogation</w:t>
      </w:r>
      <w:r>
        <w:t xml:space="preserve"> </w:t>
      </w:r>
      <w:r>
        <w:t xml:space="preserve">request (per industry association, not per company), including the work that manufacturers incur in</w:t>
      </w:r>
      <w:r>
        <w:t xml:space="preserve"> </w:t>
      </w:r>
      <w:r>
        <w:t xml:space="preserve">verifying whether a derogation appears necessary, formally requesting the derogation through</w:t>
      </w:r>
    </w:p>
    <w:p>
      <w:pPr>
        <w:pStyle w:val="BodyText"/>
      </w:pPr>
      <w:r>
        <w:t xml:space="preserve">141 Source: interviews and targeted survey. See annex 14 on the economic impacts and impacts on competitiveness.</w:t>
      </w:r>
      <w:r>
        <w:t xml:space="preserve"> </w:t>
      </w:r>
      <w:r>
        <w:t xml:space="preserve">142 See section 5.1.1.2 of the Evaluation.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40</w:t>
      </w:r>
      <w:r>
        <w:t xml:space="preserve"> </w:t>
      </w:r>
      <w:r>
        <w:t xml:space="preserve">EN</w:t>
      </w:r>
      <w:r>
        <w:t xml:space="preserve"> </w:t>
      </w:r>
      <w:r>
        <w:t xml:space="preserve">industry associations and commissioning a study on the scientific aspects. Other industries which</w:t>
      </w:r>
      <w:r>
        <w:t xml:space="preserve"> </w:t>
      </w:r>
      <w:r>
        <w:t xml:space="preserve">need to request derogations for continued use of chemicals under generic bans, through similar</w:t>
      </w:r>
      <w:r>
        <w:t xml:space="preserve"> </w:t>
      </w:r>
      <w:r>
        <w:t xml:space="preserve">procedures, have indicated a rough estimate of EUR 150.000 to EUR 200.000 per derogation request</w:t>
      </w:r>
      <w:r>
        <w:t xml:space="preserve"> </w:t>
      </w:r>
      <w:r>
        <w:t xml:space="preserve">in the most complex cases. Based on this information, it could be estimated that the cost per</w:t>
      </w:r>
      <w:r>
        <w:t xml:space="preserve"> </w:t>
      </w:r>
      <w:r>
        <w:t xml:space="preserve">derogation request could range from EUR 50.000 to EUR 150.000 per derogation request, and that</w:t>
      </w:r>
      <w:r>
        <w:t xml:space="preserve"> </w:t>
      </w:r>
      <w:r>
        <w:t xml:space="preserve">there could be a maximum of two derogation requests per year, which would represent a total</w:t>
      </w:r>
      <w:r>
        <w:t xml:space="preserve"> </w:t>
      </w:r>
      <w:r>
        <w:t xml:space="preserve">administrative burden for the overall industry of EUR 100.000 to EUR 300.000 per year. Derogations</w:t>
      </w:r>
      <w:r>
        <w:t xml:space="preserve"> </w:t>
      </w:r>
      <w:r>
        <w:t xml:space="preserve">would be requested by companies as a means to mitigate the adjustment costs.</w:t>
      </w:r>
      <w:r>
        <w:br/>
      </w:r>
      <w:r>
        <w:t xml:space="preserve">As for PO1a, the primary adjustment costs anticipated under PO1b are the costs of chemical</w:t>
      </w:r>
      <w:r>
        <w:t xml:space="preserve"> </w:t>
      </w:r>
      <w:r>
        <w:t xml:space="preserve">substitution or product redesign and redevelopment resulting from greater restrictions on the use of</w:t>
      </w:r>
      <w:r>
        <w:t xml:space="preserve"> </w:t>
      </w:r>
      <w:r>
        <w:t xml:space="preserve">chemical substances in toys. Should suitable chemical alternatives not exist, or product redesign not</w:t>
      </w:r>
      <w:r>
        <w:t xml:space="preserve"> </w:t>
      </w:r>
      <w:r>
        <w:t xml:space="preserve">be possible, or derogations are not possible, certain products could no longer be made available on</w:t>
      </w:r>
      <w:r>
        <w:t xml:space="preserve"> </w:t>
      </w:r>
      <w:r>
        <w:t xml:space="preserve">the market. The challenge in providing specific cost estimates is the uncertainty about the precise</w:t>
      </w:r>
      <w:r>
        <w:t xml:space="preserve"> </w:t>
      </w:r>
      <w:r>
        <w:t xml:space="preserve">number of substances that might be included in extension of the generic bans143. The specific</w:t>
      </w:r>
      <w:r>
        <w:t xml:space="preserve"> </w:t>
      </w:r>
      <w:r>
        <w:t xml:space="preserve">substances that may be covered in future hazard classes of the CLP Regulation is not yet known.</w:t>
      </w:r>
      <w:r>
        <w:t xml:space="preserve"> </w:t>
      </w:r>
      <w:r>
        <w:t xml:space="preserve">Furthermore, manufacturers will need to assess the extent to which their portfolio is affected. In</w:t>
      </w:r>
      <w:r>
        <w:t xml:space="preserve"> </w:t>
      </w:r>
      <w:r>
        <w:t xml:space="preserve">addition, if similar generic bans are applied to substances themselves under REACH, it will be much</w:t>
      </w:r>
      <w:r>
        <w:t xml:space="preserve"> </w:t>
      </w:r>
      <w:r>
        <w:t xml:space="preserve">less costly for the toy industry to comply with this option as chemical substitution will already be</w:t>
      </w:r>
      <w:r>
        <w:t xml:space="preserve"> </w:t>
      </w:r>
      <w:r>
        <w:t xml:space="preserve">carried out by chemical producers. It could be estimated that the number of substances covered by</w:t>
      </w:r>
      <w:r>
        <w:t xml:space="preserve"> </w:t>
      </w:r>
      <w:r>
        <w:t xml:space="preserve">generic bans under PO1b might increase by about 10-30%. This could affect a significant number of</w:t>
      </w:r>
      <w:r>
        <w:t xml:space="preserve"> </w:t>
      </w:r>
      <w:r>
        <w:t xml:space="preserve">toy models, but derogations would limit the toy models that would need to be subject to product</w:t>
      </w:r>
      <w:r>
        <w:t xml:space="preserve"> </w:t>
      </w:r>
      <w:r>
        <w:t xml:space="preserve">adaptations or which could no longer be made available. A total of 8.4-12.8% of toy models</w:t>
      </w:r>
      <w:r>
        <w:t xml:space="preserve"> </w:t>
      </w:r>
      <w:r>
        <w:t xml:space="preserve">additional to the baseline may be impacted under PO1b and for which a derogation may not be</w:t>
      </w:r>
      <w:r>
        <w:t xml:space="preserve"> </w:t>
      </w:r>
      <w:r>
        <w:t xml:space="preserve">possible144, with 4.6-7.2% subject to product adaptation efforts (including chemical substitution</w:t>
      </w:r>
      <w:r>
        <w:t xml:space="preserve"> </w:t>
      </w:r>
      <w:r>
        <w:t xml:space="preserve">efforts) and 3.8-5.6% could no longer be made available on the market if no alternatives to the</w:t>
      </w:r>
      <w:r>
        <w:t xml:space="preserve"> </w:t>
      </w:r>
      <w:r>
        <w:t xml:space="preserve">restricted chemicals are available. Using the same data on cost estimates for product adaptation and</w:t>
      </w:r>
      <w:r>
        <w:t xml:space="preserve"> </w:t>
      </w:r>
      <w:r>
        <w:t xml:space="preserve">redevelopment detailed above for the baseline (from EUR 6,700 for large firms and EUR 7.700 for</w:t>
      </w:r>
      <w:r>
        <w:t xml:space="preserve"> </w:t>
      </w:r>
      <w:r>
        <w:t xml:space="preserve">SMEs per toy model to over EUR 15,000 per toy model), the estimated impact on 4.6-7.2% of all EU</w:t>
      </w:r>
      <w:r>
        <w:t xml:space="preserve"> </w:t>
      </w:r>
      <w:r>
        <w:t xml:space="preserve">new toy models could result in total incremental one-off adjustment costs associated with product</w:t>
      </w:r>
      <w:r>
        <w:t xml:space="preserve"> </w:t>
      </w:r>
      <w:r>
        <w:t xml:space="preserve">redesign and redevelopment of EUR 23.5 to 396.66 million compared to the baseline145. With</w:t>
      </w:r>
      <w:r>
        <w:t xml:space="preserve"> </w:t>
      </w:r>
      <w:r>
        <w:t xml:space="preserve">more substances being subject to general bans, as well as limit values added for new substances in</w:t>
      </w:r>
      <w:r>
        <w:t xml:space="preserve"> </w:t>
      </w:r>
      <w:r>
        <w:t xml:space="preserve">toys, new toy models will need to be tested in order to ensure compliance with such limit values. Due</w:t>
      </w:r>
      <w:r>
        <w:t xml:space="preserve"> </w:t>
      </w:r>
      <w:r>
        <w:t xml:space="preserve">to the need to have more complex and sensitive testing for the toy models that may be impacted by</w:t>
      </w:r>
      <w:r>
        <w:t xml:space="preserve"> </w:t>
      </w:r>
      <w:r>
        <w:t xml:space="preserve">the new requirements for chemical substances, the costs of testing may increase from EUR 2,200 to</w:t>
      </w:r>
      <w:r>
        <w:t xml:space="preserve"> </w:t>
      </w:r>
      <w:r>
        <w:t xml:space="preserve">EUR 3,900 per toy model. In view of the products subject to adaptation efforts will be subject to</w:t>
      </w:r>
      <w:r>
        <w:t xml:space="preserve"> </w:t>
      </w:r>
      <w:r>
        <w:t xml:space="preserve">these increased testing costs, yearly testing costs are estimated to incrementally increase</w:t>
      </w:r>
      <w:r>
        <w:t xml:space="preserve"> </w:t>
      </w:r>
      <w:r>
        <w:t xml:space="preserve">compared to the baseline by around EUR 7.31-11.70 million146.</w:t>
      </w:r>
      <w:r>
        <w:t xml:space="preserve"> </w:t>
      </w:r>
      <w:r>
        <w:t xml:space="preserve">As in PO1a, these are overall estimates but the specific costs of this option and the precise impacts</w:t>
      </w:r>
      <w:r>
        <w:t xml:space="preserve"> </w:t>
      </w:r>
      <w:r>
        <w:t xml:space="preserve">depending on the size of the company could not be quantified. Nevertheless, as mentioned for PO1a</w:t>
      </w:r>
      <w:r>
        <w:t xml:space="preserve"> </w:t>
      </w:r>
      <w:r>
        <w:t xml:space="preserve">above, SMEs are expected to have higher costs per new toy model than larger firms, as they face</w:t>
      </w:r>
      <w:r>
        <w:t xml:space="preserve"> </w:t>
      </w:r>
      <w:r>
        <w:t xml:space="preserve">higher unit costs. Also, as SMEs account for one fourth of the turnover in the sector, they are expected</w:t>
      </w:r>
      <w:r>
        <w:t xml:space="preserve"> </w:t>
      </w:r>
      <w:r>
        <w:t xml:space="preserve">to bear costs in proportion to that.</w:t>
      </w:r>
    </w:p>
    <w:p>
      <w:pPr>
        <w:pStyle w:val="BodyText"/>
      </w:pPr>
      <w:r>
        <w:t xml:space="preserve">143 See annex 10 for a more detailed estimate of substances that could be covered by generic bans.</w:t>
      </w:r>
      <w:r>
        <w:t xml:space="preserve"> </w:t>
      </w:r>
      <w:r>
        <w:t xml:space="preserve">144 Based on information by manufacturers in the targeted survey.</w:t>
      </w:r>
      <w:r>
        <w:t xml:space="preserve"> </w:t>
      </w:r>
      <w:r>
        <w:t xml:space="preserve">145 Applying the relevant percentages of toy models affected to the estimate of 78,702 new toys, and based on the range</w:t>
      </w:r>
      <w:r>
        <w:t xml:space="preserve"> </w:t>
      </w:r>
      <w:r>
        <w:t xml:space="preserve">of costs that such redesign may require.</w:t>
      </w:r>
      <w:r>
        <w:t xml:space="preserve"> </w:t>
      </w:r>
      <w:r>
        <w:t xml:space="preserve">146 Based on the percentage of tests per year (from the total 86,024 test per year) that would be more complex (4.6-7.2%)</w:t>
      </w:r>
      <w:r>
        <w:t xml:space="preserve"> </w:t>
      </w:r>
      <w:r>
        <w:t xml:space="preserve">and for which the costs will be higher.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41</w:t>
      </w:r>
      <w:r>
        <w:t xml:space="preserve"> </w:t>
      </w:r>
      <w:r>
        <w:t xml:space="preserve">EN</w:t>
      </w:r>
      <w:r>
        <w:t xml:space="preserve"> </w:t>
      </w:r>
      <w:r>
        <w:t xml:space="preserve">In terms of product withdrawals, although the ultimate impact would depend on the value of the toy</w:t>
      </w:r>
      <w:r>
        <w:t xml:space="preserve"> </w:t>
      </w:r>
      <w:r>
        <w:t xml:space="preserve">models impacted, it is possible to indicate an estimate based on the turnover achieved by the European</w:t>
      </w:r>
      <w:r>
        <w:t xml:space="preserve"> </w:t>
      </w:r>
      <w:r>
        <w:t xml:space="preserve">toys industry. This option could thus affect EUR 249 to 367 million worth of toys in addition to</w:t>
      </w:r>
      <w:r>
        <w:t xml:space="preserve"> </w:t>
      </w:r>
      <w:r>
        <w:t xml:space="preserve">the baseline147. As mentioned throughout, this would not lead to a direct market contraction of that</w:t>
      </w:r>
      <w:r>
        <w:t xml:space="preserve"> </w:t>
      </w:r>
      <w:r>
        <w:t xml:space="preserve">size, given manufacturers will be provided with an appropriate transition period in which they will</w:t>
      </w:r>
      <w:r>
        <w:t xml:space="preserve"> </w:t>
      </w:r>
      <w:r>
        <w:t xml:space="preserve">be able to assess the viability of existing products and, if needed, shift resources to the production</w:t>
      </w:r>
      <w:r>
        <w:t xml:space="preserve"> </w:t>
      </w:r>
      <w:r>
        <w:t xml:space="preserve">and sale of alternative toy products. Moreover, consumers will in many cases simply purchase an</w:t>
      </w:r>
      <w:r>
        <w:t xml:space="preserve"> </w:t>
      </w:r>
      <w:r>
        <w:t xml:space="preserve">alternative toy product rather than not purchase anything.</w:t>
      </w:r>
      <w:r>
        <w:br/>
      </w:r>
      <w:r>
        <w:t xml:space="preserve">There would be additional costs for companies to request a derogation insofar as they will need to</w:t>
      </w:r>
      <w:r>
        <w:t xml:space="preserve"> </w:t>
      </w:r>
      <w:r>
        <w:t xml:space="preserve">prepare a dossier justifying the request. These costs could not be quantified with precision at this</w:t>
      </w:r>
      <w:r>
        <w:t xml:space="preserve"> </w:t>
      </w:r>
      <w:r>
        <w:t xml:space="preserve">stage, as it will depend on the specific derogations that will be requested and on whether a number</w:t>
      </w:r>
      <w:r>
        <w:t xml:space="preserve"> </w:t>
      </w:r>
      <w:r>
        <w:t xml:space="preserve">of derogations are requested at the same time, in particular in the initial application of GRA. In the</w:t>
      </w:r>
      <w:r>
        <w:t xml:space="preserve"> </w:t>
      </w:r>
      <w:r>
        <w:t xml:space="preserve">past, derogations have been requested jointly by industry, and sometimes for a number of substances</w:t>
      </w:r>
      <w:r>
        <w:t xml:space="preserve"> </w:t>
      </w:r>
      <w:r>
        <w:t xml:space="preserve">at the same time, which helped generate savings.</w:t>
      </w:r>
      <w:r>
        <w:t xml:space="preserve"> </w:t>
      </w:r>
      <w:r>
        <w:t xml:space="preserve">Impacts on public authorities</w:t>
      </w:r>
      <w:r>
        <w:t xml:space="preserve"> </w:t>
      </w:r>
      <w:r>
        <w:t xml:space="preserve">As in PO1a, it is likely that there would not be any additional costs. The budget available is expected</w:t>
      </w:r>
      <w:r>
        <w:t xml:space="preserve"> </w:t>
      </w:r>
      <w:r>
        <w:t xml:space="preserve">to remain the same, as well as the number of inspections. Even if the number of substances subject</w:t>
      </w:r>
      <w:r>
        <w:t xml:space="preserve"> </w:t>
      </w:r>
      <w:r>
        <w:t xml:space="preserve">to limit values would increase, market surveillance authorities are expected to conduct testing only</w:t>
      </w:r>
      <w:r>
        <w:t xml:space="preserve"> </w:t>
      </w:r>
      <w:r>
        <w:t xml:space="preserve">for certain types of products inspected, as is currently the case.</w:t>
      </w:r>
      <w:r>
        <w:t xml:space="preserve"> </w:t>
      </w:r>
      <w:r>
        <w:t xml:space="preserve">Impacts on innovation, competitiveness and the internal market</w:t>
      </w:r>
      <w:r>
        <w:t xml:space="preserve"> </w:t>
      </w:r>
      <w:r>
        <w:t xml:space="preserve">The extension of the GRA to other harmful chemicals could have certain negative impacts on</w:t>
      </w:r>
      <w:r>
        <w:t xml:space="preserve"> </w:t>
      </w:r>
      <w:r>
        <w:t xml:space="preserve">competitiveness. It has been estimated that if alternatives to restricted chemicals cannot be found,</w:t>
      </w:r>
      <w:r>
        <w:t xml:space="preserve"> </w:t>
      </w:r>
      <w:r>
        <w:t xml:space="preserve">3.8-5.6% of toy models could no longer be made available on the market. The impacts of market</w:t>
      </w:r>
      <w:r>
        <w:t xml:space="preserve"> </w:t>
      </w:r>
      <w:r>
        <w:t xml:space="preserve">withdrawals may be limited to a certain extent by transition periods, shift of production to alternative</w:t>
      </w:r>
      <w:r>
        <w:t xml:space="preserve"> </w:t>
      </w:r>
      <w:r>
        <w:t xml:space="preserve">toys and consumers purchasing an alternative safer product. While some industry stakeholders noted</w:t>
      </w:r>
      <w:r>
        <w:t xml:space="preserve"> </w:t>
      </w:r>
      <w:r>
        <w:t xml:space="preserve">that most toy manufacturers already adopt a risk management approach centred on exposure risk and</w:t>
      </w:r>
      <w:r>
        <w:t xml:space="preserve"> </w:t>
      </w:r>
      <w:r>
        <w:t xml:space="preserve">do not use the substances that would be subject to restrictions under the extension of the GRA, others</w:t>
      </w:r>
      <w:r>
        <w:t xml:space="preserve"> </w:t>
      </w:r>
      <w:r>
        <w:t xml:space="preserve">highlighted the potential scale of the substances that could be banned and stated that there would be</w:t>
      </w:r>
      <w:r>
        <w:t xml:space="preserve"> </w:t>
      </w:r>
      <w:r>
        <w:t xml:space="preserve">a potentially significant impact on their product portfolio148. There are a number of concerns among</w:t>
      </w:r>
      <w:r>
        <w:t xml:space="preserve"> </w:t>
      </w:r>
      <w:r>
        <w:t xml:space="preserve">industry (especially SMEs) regarding adverse impacts on competitiveness, as SMEs have less</w:t>
      </w:r>
      <w:r>
        <w:t xml:space="preserve"> </w:t>
      </w:r>
      <w:r>
        <w:t xml:space="preserve">resources to allocate for research and innovation149. These negative impacts may be limited by the</w:t>
      </w:r>
      <w:r>
        <w:t xml:space="preserve"> </w:t>
      </w:r>
      <w:r>
        <w:t xml:space="preserve">discussed implementation of the GRA in REACH. If the same hazard classes and substances are</w:t>
      </w:r>
      <w:r>
        <w:t xml:space="preserve"> </w:t>
      </w:r>
      <w:r>
        <w:t xml:space="preserve">banned under REACH, it will be much easier for the toy industry to be compliant as chemical</w:t>
      </w:r>
      <w:r>
        <w:t xml:space="preserve"> </w:t>
      </w:r>
      <w:r>
        <w:t xml:space="preserve">manufactures themselves will need to adapt their practices. Innovation could be stimulated e.g. </w:t>
      </w:r>
      <w:r>
        <w:t xml:space="preserve"> </w:t>
      </w:r>
      <w:r>
        <w:t xml:space="preserve">through investment in R&amp;D&amp;I for alternative chemical substitutes. In order to preserve</w:t>
      </w:r>
      <w:r>
        <w:t xml:space="preserve"> </w:t>
      </w:r>
      <w:r>
        <w:t xml:space="preserve">competitiveness of EU industry, measures under the second set of policy options to address the high</w:t>
      </w:r>
      <w:r>
        <w:t xml:space="preserve"> </w:t>
      </w:r>
      <w:r>
        <w:t xml:space="preserve">number of non-compliant products are essential and which would harm even more compliant</w:t>
      </w:r>
      <w:r>
        <w:t xml:space="preserve"> </w:t>
      </w:r>
      <w:r>
        <w:t xml:space="preserve">manufacturers which face these adaptation costs. PO1b is not expected to have net impacts on</w:t>
      </w:r>
      <w:r>
        <w:t xml:space="preserve"> </w:t>
      </w:r>
      <w:r>
        <w:t xml:space="preserve">employment, as it is expected that companies will require more man hours dedicated to research of</w:t>
      </w:r>
      <w:r>
        <w:t xml:space="preserve"> </w:t>
      </w:r>
      <w:r>
        <w:t xml:space="preserve">alternative chemicals and product redesign and that the toys that may no longer be made available on</w:t>
      </w:r>
      <w:r>
        <w:t xml:space="preserve"> </w:t>
      </w:r>
      <w:r>
        <w:t xml:space="preserve">the market should not lead to loss of turnover for the overall sector. In terms of working conditions,</w:t>
      </w:r>
    </w:p>
    <w:p>
      <w:pPr>
        <w:pStyle w:val="BodyText"/>
      </w:pPr>
      <w:r>
        <w:t xml:space="preserve">147 Based on provisional EU industry turnover of EUR 6.56 billion for 2020.</w:t>
      </w:r>
      <w:r>
        <w:t xml:space="preserve"> </w:t>
      </w:r>
      <w:r>
        <w:t xml:space="preserve">148 Source: interviews. See Annex 2 for the results of the consultations and in particular annex 14 for the detailed</w:t>
      </w:r>
      <w:r>
        <w:t xml:space="preserve"> </w:t>
      </w:r>
      <w:r>
        <w:t xml:space="preserve">explanations on impacts on competitiveness.</w:t>
      </w:r>
      <w:r>
        <w:t xml:space="preserve"> </w:t>
      </w:r>
      <w:r>
        <w:t xml:space="preserve">149 Source: interviews. See Annex 2 for the results of the consultations and in particular annex 14 for the detailed</w:t>
      </w:r>
      <w:r>
        <w:t xml:space="preserve"> </w:t>
      </w:r>
      <w:r>
        <w:t xml:space="preserve">explanations on impacts on competitiveness.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42</w:t>
      </w:r>
      <w:r>
        <w:t xml:space="preserve"> </w:t>
      </w:r>
      <w:r>
        <w:t xml:space="preserve">EN</w:t>
      </w:r>
      <w:r>
        <w:t xml:space="preserve"> </w:t>
      </w:r>
      <w:r>
        <w:t xml:space="preserve">it could lead to certain benefits in terms of reduced exposure to harmful substances of workers for</w:t>
      </w:r>
      <w:r>
        <w:t xml:space="preserve"> </w:t>
      </w:r>
      <w:r>
        <w:t xml:space="preserve">toy manufacturers.</w:t>
      </w:r>
      <w:r>
        <w:br/>
      </w:r>
      <w:r>
        <w:t xml:space="preserve">Social impacts - Impacts on human health</w:t>
      </w:r>
      <w:r>
        <w:t xml:space="preserve"> </w:t>
      </w:r>
      <w:r>
        <w:t xml:space="preserve">The human health impacts of an extension of the GRA and the removal of the derogation up to the</w:t>
      </w:r>
      <w:r>
        <w:t xml:space="preserve"> </w:t>
      </w:r>
      <w:r>
        <w:t xml:space="preserve">concentration limits of the CLP regulation would bring high benefits for the protection of children</w:t>
      </w:r>
      <w:r>
        <w:t xml:space="preserve"> </w:t>
      </w:r>
      <w:r>
        <w:t xml:space="preserve">health. The health benefits would be immediate for children, as the generic bans will apply as soon</w:t>
      </w:r>
      <w:r>
        <w:t xml:space="preserve"> </w:t>
      </w:r>
      <w:r>
        <w:t xml:space="preserve">as substances are classified in one of the relevant most harmful hazard classes in the CLP Regulation.</w:t>
      </w:r>
      <w:r>
        <w:t xml:space="preserve"> </w:t>
      </w:r>
      <w:r>
        <w:t xml:space="preserve">The study analysing the extension of the GRA in REACH150 is looking into the overall damages that</w:t>
      </w:r>
      <w:r>
        <w:t xml:space="preserve"> </w:t>
      </w:r>
      <w:r>
        <w:t xml:space="preserve">endocrine disruptors in particular are causing. It is not possible to establish the precise contribution</w:t>
      </w:r>
      <w:r>
        <w:t xml:space="preserve"> </w:t>
      </w:r>
      <w:r>
        <w:t xml:space="preserve">of toys to exposure to such harmful substances. However, certain indicative health benefits are</w:t>
      </w:r>
      <w:r>
        <w:t xml:space="preserve"> </w:t>
      </w:r>
      <w:r>
        <w:t xml:space="preserve">presented from the introduction of generic bans based on the value of the avoided health damage</w:t>
      </w:r>
      <w:r>
        <w:t xml:space="preserve"> </w:t>
      </w:r>
      <w:r>
        <w:t xml:space="preserve">from exposure to harmful chemicals in toys, in particular to endocrine disrupting chemicals, taking</w:t>
      </w:r>
      <w:r>
        <w:t xml:space="preserve"> </w:t>
      </w:r>
      <w:r>
        <w:t xml:space="preserve">into account currently identified health outcomes from exposure to these chemical substances. The</w:t>
      </w:r>
      <w:r>
        <w:t xml:space="preserve"> </w:t>
      </w:r>
      <w:r>
        <w:t xml:space="preserve">estimate considers a number of assumptions and relies on the study analysing the extension of the</w:t>
      </w:r>
      <w:r>
        <w:t xml:space="preserve"> </w:t>
      </w:r>
      <w:r>
        <w:t xml:space="preserve">GRA in REACH. As indicated, the precise chemical substances that would be covered under the</w:t>
      </w:r>
      <w:r>
        <w:t xml:space="preserve"> </w:t>
      </w:r>
      <w:r>
        <w:t xml:space="preserve">generic bans in the TSD, as well as their current presence in toys are not known at this stage.</w:t>
      </w:r>
      <w:r>
        <w:t xml:space="preserve"> </w:t>
      </w:r>
      <w:r>
        <w:t xml:space="preserve">Therefore, the precise exposure that children have today to these harmful chemicals in toys is not</w:t>
      </w:r>
      <w:r>
        <w:t xml:space="preserve"> </w:t>
      </w:r>
      <w:r>
        <w:t xml:space="preserve">known either. Due to these uncertainties, the value of the health damage is estimated for endocrine</w:t>
      </w:r>
      <w:r>
        <w:t xml:space="preserve"> </w:t>
      </w:r>
      <w:r>
        <w:t xml:space="preserve">disrupting chemicals only, as it is known that children are particularly vulnerable to the harmful</w:t>
      </w:r>
      <w:r>
        <w:t xml:space="preserve"> </w:t>
      </w:r>
      <w:r>
        <w:t xml:space="preserve">effects of those. Exposure during childhood and puberty, even at low doses, has been found to lead</w:t>
      </w:r>
      <w:r>
        <w:t xml:space="preserve"> </w:t>
      </w:r>
      <w:r>
        <w:t xml:space="preserve">to significant health damage that can only be observed at later stages. Even if the contribution of toys</w:t>
      </w:r>
      <w:r>
        <w:t xml:space="preserve"> </w:t>
      </w:r>
      <w:r>
        <w:t xml:space="preserve">to the exposure to harmful chemicals is not known with precision, specific limit values in the current</w:t>
      </w:r>
      <w:r>
        <w:t xml:space="preserve"> </w:t>
      </w:r>
      <w:r>
        <w:t xml:space="preserve">TSD are based on the fact that toys should only contribute to 10% of tolerable daily intakes of harmful</w:t>
      </w:r>
      <w:r>
        <w:t xml:space="preserve"> </w:t>
      </w:r>
      <w:r>
        <w:t xml:space="preserve">chemicals, and 5% for particularly toxic metals151. Furthermore, the limit values are also based on</w:t>
      </w:r>
      <w:r>
        <w:t xml:space="preserve"> </w:t>
      </w:r>
      <w:r>
        <w:t xml:space="preserve">the assumption that a child would ingest per day 100 mg of dry, brittle, powder-like or pliable toy</w:t>
      </w:r>
      <w:r>
        <w:t xml:space="preserve"> </w:t>
      </w:r>
      <w:r>
        <w:t xml:space="preserve">material, 400 mg of liquid or sticky toy material, and 8 mg of scraped-off toy material. These</w:t>
      </w:r>
      <w:r>
        <w:t xml:space="preserve"> </w:t>
      </w:r>
      <w:r>
        <w:t xml:space="preserve">assumptions are based on a number of studies on children exposure scenarios and mouthing</w:t>
      </w:r>
      <w:r>
        <w:t xml:space="preserve"> </w:t>
      </w:r>
      <w:r>
        <w:t xml:space="preserve">behaviour and have been validated by the relevant scientific committee152.</w:t>
      </w:r>
      <w:r>
        <w:t xml:space="preserve"> </w:t>
      </w:r>
      <w:r>
        <w:t xml:space="preserve">On this basis, it is considered that from 1 up to 5% of health damage can be avoided due to reduced</w:t>
      </w:r>
      <w:r>
        <w:t xml:space="preserve"> </w:t>
      </w:r>
      <w:r>
        <w:t xml:space="preserve">exposure to endocrine disruptors in toys. For other classes of harmful substances, the precise</w:t>
      </w:r>
      <w:r>
        <w:t xml:space="preserve"> </w:t>
      </w:r>
      <w:r>
        <w:t xml:space="preserve">contribution that toys could have to the health damages and the benefits that could be expected from</w:t>
      </w:r>
      <w:r>
        <w:t xml:space="preserve"> </w:t>
      </w:r>
      <w:r>
        <w:t xml:space="preserve">the proposed policy options were considered more uncertain and could not allow for reasonable</w:t>
      </w:r>
      <w:r>
        <w:t xml:space="preserve"> </w:t>
      </w:r>
      <w:r>
        <w:t xml:space="preserve">estimates. Even if only 1-5% of the exposure could be attributed to toys, banning those substances</w:t>
      </w:r>
      <w:r>
        <w:t xml:space="preserve"> </w:t>
      </w:r>
      <w:r>
        <w:t xml:space="preserve">from toys would have considerable health benefits (EUR 240 million to EUR 1.2 billion per year)</w:t>
      </w:r>
      <w:r>
        <w:t xml:space="preserve"> </w:t>
      </w:r>
      <w:r>
        <w:t xml:space="preserve">153 in terms of avoided health damage. This is compared to limited benefits under the baseline in</w:t>
      </w:r>
      <w:r>
        <w:t xml:space="preserve"> </w:t>
      </w:r>
      <w:r>
        <w:t xml:space="preserve">terms of reduced exposure to specific substances in toys intended for children under 3 years or to be</w:t>
      </w:r>
      <w:r>
        <w:t xml:space="preserve"> </w:t>
      </w:r>
      <w:r>
        <w:t xml:space="preserve">put in the mouth and which will only happen after a certain time after the substance has been found</w:t>
      </w:r>
      <w:r>
        <w:t xml:space="preserve"> </w:t>
      </w:r>
      <w:r>
        <w:t xml:space="preserve">to pose a risk to the endocrine system and a limit value for it has been added to the Directive. It is</w:t>
      </w:r>
      <w:r>
        <w:t xml:space="preserve"> </w:t>
      </w:r>
      <w:r>
        <w:t xml:space="preserve">worth noting though that comparing them with the cost estimates is very difficult as the benefits</w:t>
      </w:r>
    </w:p>
    <w:p>
      <w:pPr>
        <w:pStyle w:val="BodyText"/>
      </w:pPr>
      <w:r>
        <w:t xml:space="preserve">150 See annex 14 for detailed explanations on the health benefits. The REACH study is not yet published.</w:t>
      </w:r>
      <w:r>
        <w:t xml:space="preserve"> </w:t>
      </w:r>
      <w:r>
        <w:t xml:space="preserve">151</w:t>
      </w:r>
      <w:r>
        <w:br/>
      </w:r>
      <w:r>
        <w:t xml:space="preserve">Opinion of the Scientific Committee on Toxicity, Ecotoxicity and the Environment (CSTEE) on “Assessment</w:t>
      </w:r>
      <w:r>
        <w:t xml:space="preserve"> </w:t>
      </w:r>
      <w:r>
        <w:t xml:space="preserve">of the bioavailability of certain elements in toys”, June 2004, Opinion on bioavailability of certain elements in toys,</w:t>
      </w:r>
      <w:r>
        <w:t xml:space="preserve"> </w:t>
      </w:r>
      <w:r>
        <w:t xml:space="preserve">CSTEE plenary, written procedure (europa.eu)</w:t>
      </w:r>
      <w:r>
        <w:t xml:space="preserve"> </w:t>
      </w:r>
      <w:r>
        <w:t xml:space="preserve">152</w:t>
      </w:r>
      <w:r>
        <w:br/>
      </w:r>
      <w:r>
        <w:t xml:space="preserve">SCHER (Scientific Committee on Health and Environmental Risks), Final Opinion on estimates of the amount</w:t>
      </w:r>
      <w:r>
        <w:t xml:space="preserve"> </w:t>
      </w:r>
      <w:r>
        <w:t xml:space="preserve">of toy materials ingested by children, 8 April 2016 Estimates of the amount of toy materials ingested by children</w:t>
      </w:r>
      <w:r>
        <w:t xml:space="preserve"> </w:t>
      </w:r>
      <w:r>
        <w:t xml:space="preserve">(europa.eu)</w:t>
      </w:r>
      <w:r>
        <w:t xml:space="preserve"> </w:t>
      </w:r>
      <w:r>
        <w:t xml:space="preserve">153 See Annex 14 for the calculations of human health benefits, based on the avoided health damage currently caused by</w:t>
      </w:r>
      <w:r>
        <w:t xml:space="preserve"> </w:t>
      </w:r>
      <w:r>
        <w:t xml:space="preserve">endocrine disruptors. Source: Study for the revision of the Toy Safety Directive. Calculations in the REACH study would</w:t>
      </w:r>
      <w:r>
        <w:t xml:space="preserve"> </w:t>
      </w:r>
      <w:r>
        <w:t xml:space="preserve">reflect overall health benefits from reducing exposure to endocrine disruptors in all products jointly considered.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43</w:t>
      </w:r>
      <w:r>
        <w:t xml:space="preserve"> </w:t>
      </w:r>
      <w:r>
        <w:t xml:space="preserve">EN</w:t>
      </w:r>
      <w:r>
        <w:t xml:space="preserve"> </w:t>
      </w:r>
      <w:r>
        <w:t xml:space="preserve">would accrue over the life time of a child exposed (or not exposed) to endocrine disruptors now which</w:t>
      </w:r>
      <w:r>
        <w:t xml:space="preserve"> </w:t>
      </w:r>
      <w:r>
        <w:t xml:space="preserve">means that the time span can be over several generations far exceeding standard appraisal periods of</w:t>
      </w:r>
      <w:r>
        <w:t xml:space="preserve"> </w:t>
      </w:r>
      <w:r>
        <w:t xml:space="preserve">20-30 years, while industry will face adaptation costs after the entry into force and start of application</w:t>
      </w:r>
      <w:r>
        <w:t xml:space="preserve"> </w:t>
      </w:r>
      <w:r>
        <w:t xml:space="preserve">of the TSD and thus in an earlier timeframe154. As derogations will be allowed only when it has been</w:t>
      </w:r>
      <w:r>
        <w:t xml:space="preserve"> </w:t>
      </w:r>
      <w:r>
        <w:t xml:space="preserve">considered that the use of that chemical in toys is safe, derogations to general bans should not</w:t>
      </w:r>
      <w:r>
        <w:t xml:space="preserve"> </w:t>
      </w:r>
      <w:r>
        <w:t xml:space="preserve">compromise the health benefits of this option. In addition, by removing the derogation that allows</w:t>
      </w:r>
      <w:r>
        <w:t xml:space="preserve"> </w:t>
      </w:r>
      <w:r>
        <w:t xml:space="preserve">substances subject to generic bans to be present in quantities below the concentration limits for</w:t>
      </w:r>
      <w:r>
        <w:t xml:space="preserve"> </w:t>
      </w:r>
      <w:r>
        <w:t xml:space="preserve">classification under the CLP Regulation, this minimum exposure will also be eliminated. Requiring</w:t>
      </w:r>
      <w:r>
        <w:t xml:space="preserve"> </w:t>
      </w:r>
      <w:r>
        <w:t xml:space="preserve">regular reviews of the derogations granted, it will ensure that any new scientific knowledge that may</w:t>
      </w:r>
      <w:r>
        <w:t xml:space="preserve"> </w:t>
      </w:r>
      <w:r>
        <w:t xml:space="preserve">have emerged is duly considered. In addition, as is required by the current derogation procedure,</w:t>
      </w:r>
      <w:r>
        <w:t xml:space="preserve"> </w:t>
      </w:r>
      <w:r>
        <w:t xml:space="preserve">derogations granted should be reassessed every five years to ensure that their use remains safe.</w:t>
      </w:r>
      <w:r>
        <w:t xml:space="preserve"> </w:t>
      </w:r>
      <w:r>
        <w:t xml:space="preserve">Product withdrawals estimated would result in corresponding reduction of exposure to the most</w:t>
      </w:r>
      <w:r>
        <w:t xml:space="preserve"> </w:t>
      </w:r>
      <w:r>
        <w:t xml:space="preserve">harmful substances. This should lead to direct health benefits, in particular as these substances may</w:t>
      </w:r>
      <w:r>
        <w:t xml:space="preserve"> </w:t>
      </w:r>
      <w:r>
        <w:t xml:space="preserve">cause harm at very low doses, and to a vulnerable population which is particularly sensitive to such</w:t>
      </w:r>
      <w:r>
        <w:t xml:space="preserve"> </w:t>
      </w:r>
      <w:r>
        <w:t xml:space="preserve">harmful effects.</w:t>
      </w:r>
      <w:r>
        <w:br/>
      </w:r>
      <w:r>
        <w:t xml:space="preserve">In terms of consumer welfare, this option may have certain impacts on the choice of products or</w:t>
      </w:r>
      <w:r>
        <w:t xml:space="preserve"> </w:t>
      </w:r>
      <w:r>
        <w:t xml:space="preserve">increased prices, though these should be moderate, as the possibility to have derogations should limit</w:t>
      </w:r>
      <w:r>
        <w:t xml:space="preserve"> </w:t>
      </w:r>
      <w:r>
        <w:t xml:space="preserve">the impacts on categories of products. Improvements in toy safety and trust could be expected, in line</w:t>
      </w:r>
      <w:r>
        <w:t xml:space="preserve"> </w:t>
      </w:r>
      <w:r>
        <w:t xml:space="preserve">with the significant benefits for human health that can be expected from this option.</w:t>
      </w:r>
      <w:r>
        <w:t xml:space="preserve"> </w:t>
      </w:r>
      <w:r>
        <w:t xml:space="preserve">Impacts on the environment</w:t>
      </w:r>
      <w:r>
        <w:t xml:space="preserve"> </w:t>
      </w:r>
      <w:r>
        <w:t xml:space="preserve">PO1b would address substances that are hazardous for human health. It would introduce generic bans</w:t>
      </w:r>
      <w:r>
        <w:t xml:space="preserve"> </w:t>
      </w:r>
      <w:r>
        <w:t xml:space="preserve">on substances classified as hazardous for human health under certain hazard classes in the CLP</w:t>
      </w:r>
      <w:r>
        <w:t xml:space="preserve"> </w:t>
      </w:r>
      <w:r>
        <w:t xml:space="preserve">Regulation, as well as additional limit values for other substances that may pose a risk to children</w:t>
      </w:r>
      <w:r>
        <w:t xml:space="preserve"> </w:t>
      </w:r>
      <w:r>
        <w:t xml:space="preserve">health. However, this option would have certain benefits for the environment too. The CLP</w:t>
      </w:r>
      <w:r>
        <w:t xml:space="preserve"> </w:t>
      </w:r>
      <w:r>
        <w:t xml:space="preserve">Regulation includes different hazard classes for hazards to human health or the environment.</w:t>
      </w:r>
      <w:r>
        <w:t xml:space="preserve"> </w:t>
      </w:r>
      <w:r>
        <w:t xml:space="preserve">However, harmful substances can be classified under several such hazard classes at the same time.</w:t>
      </w:r>
      <w:r>
        <w:t xml:space="preserve"> </w:t>
      </w:r>
      <w:r>
        <w:t xml:space="preserve">Substances which can be harmful both for human health and for the environment, such as EDs and</w:t>
      </w:r>
      <w:r>
        <w:t xml:space="preserve"> </w:t>
      </w:r>
      <w:r>
        <w:t xml:space="preserve">CMR would not be present in toys, as they would be subject to generic bans due to their hazardous</w:t>
      </w:r>
      <w:r>
        <w:t xml:space="preserve"> </w:t>
      </w:r>
      <w:r>
        <w:t xml:space="preserve">classification for human health. This would lead to certain benefits for the environment. If fewer</w:t>
      </w:r>
      <w:r>
        <w:t xml:space="preserve"> </w:t>
      </w:r>
      <w:r>
        <w:t xml:space="preserve">harmful chemicals are included in toys, there would be less harmful substances that would reach the</w:t>
      </w:r>
      <w:r>
        <w:t xml:space="preserve"> </w:t>
      </w:r>
      <w:r>
        <w:t xml:space="preserve">waste stream or recycling. Derogations to generic bans will still be possible under this option, limiting</w:t>
      </w:r>
      <w:r>
        <w:t xml:space="preserve"> </w:t>
      </w:r>
      <w:r>
        <w:t xml:space="preserve">these benefits on environmental protection.</w:t>
      </w:r>
      <w:r>
        <w:br/>
      </w:r>
      <w:r>
        <w:t xml:space="preserve">Stakeholders’ views</w:t>
      </w:r>
      <w:r>
        <w:t xml:space="preserve"> </w:t>
      </w:r>
      <w:r>
        <w:t xml:space="preserve">Over 85% (between 50 and 55 out of 61, depending on the specific harmful substance) of consumer</w:t>
      </w:r>
      <w:r>
        <w:t xml:space="preserve"> </w:t>
      </w:r>
      <w:r>
        <w:t xml:space="preserve">groups and environmental associations would like to see the most harmful substances banned</w:t>
      </w:r>
      <w:r>
        <w:t xml:space="preserve"> </w:t>
      </w:r>
      <w:r>
        <w:t xml:space="preserve">preventively. Also while 58% of public authorities (18 out of 31) would like to see certain of</w:t>
      </w:r>
      <w:r>
        <w:t xml:space="preserve"> </w:t>
      </w:r>
      <w:r>
        <w:t xml:space="preserve">endocrine disruptors preventively banned by the TSD, 40% (13 out of 31) considered that generic</w:t>
      </w:r>
      <w:r>
        <w:t xml:space="preserve"> </w:t>
      </w:r>
      <w:r>
        <w:t xml:space="preserve">bans should also cover other harmful substances such as substances affecting the immune or</w:t>
      </w:r>
      <w:r>
        <w:t xml:space="preserve"> </w:t>
      </w:r>
      <w:r>
        <w:t xml:space="preserve">neurologic systems. Only 10% (8 or 10 out of 89, depending on the substance) of industry supported</w:t>
      </w:r>
      <w:r>
        <w:t xml:space="preserve"> </w:t>
      </w:r>
      <w:r>
        <w:t xml:space="preserve">this option.</w:t>
      </w:r>
      <w:r>
        <w:t xml:space="preserve"> </w:t>
      </w:r>
      <w:r>
        <w:t xml:space="preserve">6.3.</w:t>
      </w:r>
      <w:r>
        <w:t xml:space="preserve"> </w:t>
      </w:r>
      <w:r>
        <w:t xml:space="preserve">Policy option 1c – Maximum protection: generic bans of the most harmful</w:t>
      </w:r>
      <w:r>
        <w:t xml:space="preserve"> </w:t>
      </w:r>
      <w:r>
        <w:t xml:space="preserve">substances without derogations</w:t>
      </w:r>
      <w:r>
        <w:t xml:space="preserve"> </w:t>
      </w:r>
      <w:r>
        <w:t xml:space="preserve">Economic impacts - Impacts on economic operators</w:t>
      </w:r>
    </w:p>
    <w:p>
      <w:pPr>
        <w:pStyle w:val="BodyText"/>
      </w:pPr>
      <w:r>
        <w:t xml:space="preserve">154 See annex 14 for the detailed estimates. Source: Study for the revision of the Toy Safety Directive.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44</w:t>
      </w:r>
      <w:r>
        <w:t xml:space="preserve"> </w:t>
      </w:r>
      <w:r>
        <w:t xml:space="preserve">EN</w:t>
      </w:r>
      <w:r>
        <w:t xml:space="preserve"> </w:t>
      </w:r>
      <w:r>
        <w:t xml:space="preserve">Concerning administrative burden, as for PO1a and PO1b, this option would not entail direct costs</w:t>
      </w:r>
      <w:r>
        <w:t xml:space="preserve"> </w:t>
      </w:r>
      <w:r>
        <w:t xml:space="preserve">because it does not affect information obligations, labelling or certification. In terms of adjustment</w:t>
      </w:r>
      <w:r>
        <w:t xml:space="preserve"> </w:t>
      </w:r>
      <w:r>
        <w:t xml:space="preserve">costs, the removal of all derogations under PO1c would implement further adjustment costs on</w:t>
      </w:r>
      <w:r>
        <w:t xml:space="preserve"> </w:t>
      </w:r>
      <w:r>
        <w:t xml:space="preserve">industry stakeholders. In particular, this option could lead to a significant number of toys that could</w:t>
      </w:r>
      <w:r>
        <w:t xml:space="preserve"> </w:t>
      </w:r>
      <w:r>
        <w:t xml:space="preserve">no longer be made available on the market. Indicative estimates of the potential adjustment costs</w:t>
      </w:r>
      <w:r>
        <w:t xml:space="preserve"> </w:t>
      </w:r>
      <w:r>
        <w:t xml:space="preserve">related to PO1c could lead to a total of 19.4-28.8% of toy models in addition to the baseline155 that</w:t>
      </w:r>
      <w:r>
        <w:t xml:space="preserve"> </w:t>
      </w:r>
      <w:r>
        <w:t xml:space="preserve">will be impacted under PO1c, with 9.6-14.2% subject to product adaptation efforts (including</w:t>
      </w:r>
      <w:r>
        <w:t xml:space="preserve"> </w:t>
      </w:r>
      <w:r>
        <w:t xml:space="preserve">chemical substitution) and 9.8-14.6% that could no longer be made available on the market.</w:t>
      </w:r>
      <w:r>
        <w:t xml:space="preserve"> </w:t>
      </w:r>
      <w:r>
        <w:t xml:space="preserve">Using the same data on cost estimates for product adaptation and redevelopment detailed above in</w:t>
      </w:r>
      <w:r>
        <w:t xml:space="preserve"> </w:t>
      </w:r>
      <w:r>
        <w:t xml:space="preserve">the baseline (from EUR 6,700 for large firms and EUR 7.700 for SMEs per toy model to over EUR</w:t>
      </w:r>
      <w:r>
        <w:t xml:space="preserve"> </w:t>
      </w:r>
      <w:r>
        <w:t xml:space="preserve">15,000 per toy model), the estimated impact on 9.6-14.2% of all EU toy products could result in total</w:t>
      </w:r>
      <w:r>
        <w:t xml:space="preserve"> </w:t>
      </w:r>
      <w:r>
        <w:t xml:space="preserve">incremental one-off adjustment costs associated with product redesign and redevelopment of EUR</w:t>
      </w:r>
      <w:r>
        <w:t xml:space="preserve"> </w:t>
      </w:r>
      <w:r>
        <w:t xml:space="preserve">49.1 – 782.3 million compared to the baseline156. As in PO1b, due to the need to carry out more</w:t>
      </w:r>
      <w:r>
        <w:t xml:space="preserve"> </w:t>
      </w:r>
      <w:r>
        <w:t xml:space="preserve">complex and sensitive testing, testing costs would increase from EUR 2,200 to around EUR 3,900</w:t>
      </w:r>
      <w:r>
        <w:t xml:space="preserve"> </w:t>
      </w:r>
      <w:r>
        <w:t xml:space="preserve">per new toy model. In view of products subject to adaptation efforts will be subject to these increased</w:t>
      </w:r>
      <w:r>
        <w:t xml:space="preserve"> </w:t>
      </w:r>
      <w:r>
        <w:t xml:space="preserve">testing costs, yearly testing costs are estimated to incrementally increase compared to the</w:t>
      </w:r>
      <w:r>
        <w:t xml:space="preserve"> </w:t>
      </w:r>
      <w:r>
        <w:t xml:space="preserve">baseline by around EUR 14.62-21.94 million157.</w:t>
      </w:r>
      <w:r>
        <w:t xml:space="preserve"> </w:t>
      </w:r>
      <w:r>
        <w:t xml:space="preserve">In terms of product withdrawals, although the ultimate impact would depend on the value of the toy</w:t>
      </w:r>
      <w:r>
        <w:t xml:space="preserve"> </w:t>
      </w:r>
      <w:r>
        <w:t xml:space="preserve">models impacted, an estimate based on turnover would imply that this option could affect EUR 642</w:t>
      </w:r>
      <w:r>
        <w:t xml:space="preserve"> </w:t>
      </w:r>
      <w:r>
        <w:t xml:space="preserve">to 957 million worth of products (based on provisional EU industry turnover of EUR 6.56 billion</w:t>
      </w:r>
      <w:r>
        <w:t xml:space="preserve"> </w:t>
      </w:r>
      <w:r>
        <w:t xml:space="preserve">for 2020). As mentioned throughout, this would not lead to a direct market contraction of that size,</w:t>
      </w:r>
      <w:r>
        <w:t xml:space="preserve"> </w:t>
      </w:r>
      <w:r>
        <w:t xml:space="preserve">given manufacturers will be provided with an appropriate transition period in which they will be able</w:t>
      </w:r>
      <w:r>
        <w:t xml:space="preserve"> </w:t>
      </w:r>
      <w:r>
        <w:t xml:space="preserve">to assess the viability of existing products and, if needed, shift resources to the production and sale</w:t>
      </w:r>
      <w:r>
        <w:t xml:space="preserve"> </w:t>
      </w:r>
      <w:r>
        <w:t xml:space="preserve">of alternative toy products. Moreover, consumers will in many cases simply purchase an alternative</w:t>
      </w:r>
      <w:r>
        <w:t xml:space="preserve"> </w:t>
      </w:r>
      <w:r>
        <w:t xml:space="preserve">toy product rather than not purchase anything. However, the lack of derogations will render it very</w:t>
      </w:r>
      <w:r>
        <w:t xml:space="preserve"> </w:t>
      </w:r>
      <w:r>
        <w:t xml:space="preserve">difficult to find alternatives for certain categories of products. Derogations under option 1b would set</w:t>
      </w:r>
      <w:r>
        <w:t xml:space="preserve"> </w:t>
      </w:r>
      <w:r>
        <w:t xml:space="preserve">out permitted uses in toys which have been considered safe for prohibited substances. As such, they</w:t>
      </w:r>
      <w:r>
        <w:t xml:space="preserve"> </w:t>
      </w:r>
      <w:r>
        <w:t xml:space="preserve">would be included in the legislation itself, benefitting the whole industry and not only the applicant.</w:t>
      </w:r>
      <w:r>
        <w:t xml:space="preserve"> </w:t>
      </w:r>
      <w:r>
        <w:t xml:space="preserve">Since the adoption of the Toy Safety Directive including a generic ban for CMR substances, only 3</w:t>
      </w:r>
      <w:r>
        <w:t xml:space="preserve"> </w:t>
      </w:r>
      <w:r>
        <w:t xml:space="preserve">derogations have been requested. Even if the number of derogations requested under PO1b is not</w:t>
      </w:r>
      <w:r>
        <w:t xml:space="preserve"> </w:t>
      </w:r>
      <w:r>
        <w:t xml:space="preserve">expected to be high, the absence of specific derogations for certain substances may mean that an</w:t>
      </w:r>
      <w:r>
        <w:t xml:space="preserve"> </w:t>
      </w:r>
      <w:r>
        <w:t xml:space="preserve">entire category of toys could no longer be available in the Union market. For example, nickel is</w:t>
      </w:r>
      <w:r>
        <w:t xml:space="preserve"> </w:t>
      </w:r>
      <w:r>
        <w:t xml:space="preserve">classified as a carcinogenic substance and as such is not allowed in toys in accordance with the</w:t>
      </w:r>
      <w:r>
        <w:t xml:space="preserve"> </w:t>
      </w:r>
      <w:r>
        <w:t xml:space="preserve">provisions for generic bans of CMRs of the current Toy Safety Directive. Nevertheless, it is allowed</w:t>
      </w:r>
      <w:r>
        <w:t xml:space="preserve"> </w:t>
      </w:r>
      <w:r>
        <w:t xml:space="preserve">in toys and toy components made of stainless steel or in those toy components which are intended to</w:t>
      </w:r>
      <w:r>
        <w:t xml:space="preserve"> </w:t>
      </w:r>
      <w:r>
        <w:t xml:space="preserve">conduct an electric current, and it actually prevents corrosion of metals. Nickel is allowed in toys</w:t>
      </w:r>
      <w:r>
        <w:t xml:space="preserve"> </w:t>
      </w:r>
      <w:r>
        <w:t xml:space="preserve">because it has been scientifically assessed in the past that nickel present in toys as set out above does</w:t>
      </w:r>
      <w:r>
        <w:t xml:space="preserve"> </w:t>
      </w:r>
      <w:r>
        <w:t xml:space="preserve">not pose a risk for children158. According to the scientific opinion of the predecesor of SCHEER,</w:t>
      </w:r>
      <w:r>
        <w:t xml:space="preserve"> </w:t>
      </w:r>
      <w:r>
        <w:t xml:space="preserve">nickel only causes tumours in the respiratory tract after inhalation exposures to nickel-containing</w:t>
      </w:r>
      <w:r>
        <w:t xml:space="preserve"> </w:t>
      </w:r>
      <w:r>
        <w:t xml:space="preserve">dusts and fumes, but not after oral intake. Since inhalation of nickel from toy materials intended to</w:t>
      </w:r>
      <w:r>
        <w:t xml:space="preserve"> </w:t>
      </w:r>
      <w:r>
        <w:t xml:space="preserve">transmit the electric current is extremely unlikely, SCHER concluded that a tumor risk due to nickel</w:t>
      </w:r>
    </w:p>
    <w:p>
      <w:pPr>
        <w:pStyle w:val="BodyText"/>
      </w:pPr>
      <w:r>
        <w:t xml:space="preserve">155 Based on the information provided by manufacturers in the interviews and SME survey.</w:t>
      </w:r>
      <w:r>
        <w:t xml:space="preserve"> </w:t>
      </w:r>
      <w:r>
        <w:t xml:space="preserve">156 Based on applying those percentages to 78,702 new toy models and also based on the range of costs that redesign</w:t>
      </w:r>
      <w:r>
        <w:t xml:space="preserve"> </w:t>
      </w:r>
      <w:r>
        <w:t xml:space="preserve">could represent.</w:t>
      </w:r>
      <w:r>
        <w:t xml:space="preserve"> </w:t>
      </w:r>
      <w:r>
        <w:t xml:space="preserve">157 Based on the percentage of tests per year (from the total 86,024 test per year) that would be more complex (9.6-14.2%)</w:t>
      </w:r>
      <w:r>
        <w:t xml:space="preserve"> </w:t>
      </w:r>
      <w:r>
        <w:t xml:space="preserve">and for which the cost will be higher.</w:t>
      </w:r>
      <w:r>
        <w:t xml:space="preserve"> </w:t>
      </w:r>
      <w:r>
        <w:t xml:space="preserve">158</w:t>
      </w:r>
      <w:r>
        <w:t xml:space="preserve"> </w:t>
      </w:r>
      <w:r>
        <w:t xml:space="preserve">https://health.ec.europa.eu/document/download/af3a05ea-2f9f-4939-89c6-</w:t>
      </w:r>
      <w:r>
        <w:t xml:space="preserve"> </w:t>
      </w:r>
      <w:r>
        <w:t xml:space="preserve">1637796d285b_en?filename=scher_o_163.pdf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45</w:t>
      </w:r>
      <w:r>
        <w:t xml:space="preserve"> </w:t>
      </w:r>
      <w:r>
        <w:t xml:space="preserve">EN</w:t>
      </w:r>
      <w:r>
        <w:t xml:space="preserve"> </w:t>
      </w:r>
      <w:r>
        <w:t xml:space="preserve">exposure when handling toys is not present159. Nickel in these uses has thus been considered to be</w:t>
      </w:r>
      <w:r>
        <w:t xml:space="preserve"> </w:t>
      </w:r>
      <w:r>
        <w:t xml:space="preserve">safe and that it does not expose children to the hazardous properties of the substance. Nevertheless,</w:t>
      </w:r>
      <w:r>
        <w:t xml:space="preserve"> </w:t>
      </w:r>
      <w:r>
        <w:t xml:space="preserve">without a derogation to allow for the presence of nickel in the materials described above, electric toys</w:t>
      </w:r>
      <w:r>
        <w:t xml:space="preserve"> </w:t>
      </w:r>
      <w:r>
        <w:t xml:space="preserve">would not be allowed on the Union market. This is why the adjustment costs and product withdrawals</w:t>
      </w:r>
      <w:r>
        <w:t xml:space="preserve"> </w:t>
      </w:r>
      <w:r>
        <w:t xml:space="preserve">in PO1c are significantly higher than in PO1b.</w:t>
      </w:r>
      <w:r>
        <w:br/>
      </w:r>
      <w:r>
        <w:t xml:space="preserve">As in PO1a and PO1b, the number of specific substances that will be covered by the generic bans, as</w:t>
      </w:r>
      <w:r>
        <w:t xml:space="preserve"> </w:t>
      </w:r>
      <w:r>
        <w:t xml:space="preserve">well as the precise number of products impacted and the availability of alternatives are not possible</w:t>
      </w:r>
      <w:r>
        <w:t xml:space="preserve"> </w:t>
      </w:r>
      <w:r>
        <w:t xml:space="preserve">to quantify with precision. Thus, data on the detailed impacts on the different sizes of company is not</w:t>
      </w:r>
      <w:r>
        <w:t xml:space="preserve"> </w:t>
      </w:r>
      <w:r>
        <w:t xml:space="preserve">available. However, as in PO1a and PO1b, SMEs are expected to have higher costs per new toy model</w:t>
      </w:r>
      <w:r>
        <w:t xml:space="preserve"> </w:t>
      </w:r>
      <w:r>
        <w:t xml:space="preserve">than larger firms, as they face higher unit costs and, as they account for a fourth of the turnover in</w:t>
      </w:r>
      <w:r>
        <w:t xml:space="preserve"> </w:t>
      </w:r>
      <w:r>
        <w:t xml:space="preserve">the EU market, they are expected to bear costs in that proportion.</w:t>
      </w:r>
      <w:r>
        <w:br/>
      </w:r>
      <w:r>
        <w:t xml:space="preserve">Impacts on public authorities</w:t>
      </w:r>
      <w:r>
        <w:t xml:space="preserve"> </w:t>
      </w:r>
      <w:r>
        <w:t xml:space="preserve">It is likely that there would not be any additional costs for national authorities. The budget available</w:t>
      </w:r>
      <w:r>
        <w:t xml:space="preserve"> </w:t>
      </w:r>
      <w:r>
        <w:t xml:space="preserve">is expected to remain the same, as well as the number of inspections. Even if the number of substances</w:t>
      </w:r>
      <w:r>
        <w:t xml:space="preserve"> </w:t>
      </w:r>
      <w:r>
        <w:t xml:space="preserve">subject to limit values would increase, market surveillance authorities are expected to conduct testing</w:t>
      </w:r>
      <w:r>
        <w:t xml:space="preserve"> </w:t>
      </w:r>
      <w:r>
        <w:t xml:space="preserve">only for certain types of toys inspected, as is currently the case.</w:t>
      </w:r>
      <w:r>
        <w:br/>
      </w:r>
      <w:r>
        <w:t xml:space="preserve">Impacts on innovation, competitiveness and the internal market</w:t>
      </w:r>
      <w:r>
        <w:t xml:space="preserve"> </w:t>
      </w:r>
      <w:r>
        <w:t xml:space="preserve">This option would have a negative impact on competitiveness due to the inability of manufacturers</w:t>
      </w:r>
      <w:r>
        <w:t xml:space="preserve"> </w:t>
      </w:r>
      <w:r>
        <w:t xml:space="preserve">to rely on derogations to generic bans. If there are no viable alternative substitutes, it has been</w:t>
      </w:r>
      <w:r>
        <w:t xml:space="preserve"> </w:t>
      </w:r>
      <w:r>
        <w:t xml:space="preserve">estimated that a number of products could no longer be made available on the market (9.8-14.6%).</w:t>
      </w:r>
      <w:r>
        <w:br/>
      </w:r>
      <w:r>
        <w:t xml:space="preserve">This would be unlikely to be fully mitigated as consumers would not be able to purchase alternative</w:t>
      </w:r>
      <w:r>
        <w:t xml:space="preserve"> </w:t>
      </w:r>
      <w:r>
        <w:t xml:space="preserve">products not containing these chemicals if they are necessary for production in the specific product</w:t>
      </w:r>
      <w:r>
        <w:t xml:space="preserve"> </w:t>
      </w:r>
      <w:r>
        <w:t xml:space="preserve">concerned across the whole product category. There could therefore be loss of revenue for the overall</w:t>
      </w:r>
      <w:r>
        <w:t xml:space="preserve"> </w:t>
      </w:r>
      <w:r>
        <w:t xml:space="preserve">toy sector. The removal of the derogations related to the use of nickel (which is a CMR substance) in</w:t>
      </w:r>
      <w:r>
        <w:t xml:space="preserve"> </w:t>
      </w:r>
      <w:r>
        <w:t xml:space="preserve">certain forms for example would lead to a significant withdrawal of toys across different product</w:t>
      </w:r>
      <w:r>
        <w:t xml:space="preserve"> </w:t>
      </w:r>
      <w:r>
        <w:t xml:space="preserve">lines, as its use is necessary in toys and toy components made of stainless steel and toy components</w:t>
      </w:r>
      <w:r>
        <w:t xml:space="preserve"> </w:t>
      </w:r>
      <w:r>
        <w:t xml:space="preserve">which are intended to conduct an electric current160. Therefore, the non-availability of a specific</w:t>
      </w:r>
      <w:r>
        <w:t xml:space="preserve"> </w:t>
      </w:r>
      <w:r>
        <w:t xml:space="preserve">derogation for this substance would have impacts on an entire category of toys.</w:t>
      </w:r>
      <w:r>
        <w:t xml:space="preserve"> </w:t>
      </w:r>
      <w:r>
        <w:t xml:space="preserve">The vast majority of SMEs responding to the public consultation disagreed with the option not to</w:t>
      </w:r>
      <w:r>
        <w:t xml:space="preserve"> </w:t>
      </w:r>
      <w:r>
        <w:t xml:space="preserve">have derogations to general bans (67.4 % - 31 out of 46). SMEs view this option as having significant</w:t>
      </w:r>
      <w:r>
        <w:t xml:space="preserve"> </w:t>
      </w:r>
      <w:r>
        <w:t xml:space="preserve">adverse impacts on firm and sectoral level competitiveness, as the impacts of the option on product</w:t>
      </w:r>
      <w:r>
        <w:t xml:space="preserve"> </w:t>
      </w:r>
      <w:r>
        <w:t xml:space="preserve">categories will be significant and SMEs would have less resources available to invest on research and</w:t>
      </w:r>
      <w:r>
        <w:t xml:space="preserve"> </w:t>
      </w:r>
      <w:r>
        <w:t xml:space="preserve">development of products which would not contain these chemicals. This option could have some</w:t>
      </w:r>
      <w:r>
        <w:t xml:space="preserve"> </w:t>
      </w:r>
      <w:r>
        <w:t xml:space="preserve">positive impacts on innovation. As with the other options, PO1c should be accompanied by measures</w:t>
      </w:r>
      <w:r>
        <w:t xml:space="preserve"> </w:t>
      </w:r>
      <w:r>
        <w:t xml:space="preserve">under PO2 to address the high number of non-compliant toys, and which would harm even more</w:t>
      </w:r>
      <w:r>
        <w:t xml:space="preserve"> </w:t>
      </w:r>
      <w:r>
        <w:t xml:space="preserve">competitiveness of compliant manufacturers which face these adaptation costs.</w:t>
      </w:r>
      <w:r>
        <w:t xml:space="preserve"> </w:t>
      </w:r>
      <w:r>
        <w:t xml:space="preserve">This option could lead to certain negative impacts on employment. Even if, as in the previous PO1a</w:t>
      </w:r>
      <w:r>
        <w:t xml:space="preserve"> </w:t>
      </w:r>
      <w:r>
        <w:t xml:space="preserve">and 1b, it is expected that companies will require more man hours dedicated to research of alternative</w:t>
      </w:r>
      <w:r>
        <w:t xml:space="preserve"> </w:t>
      </w:r>
      <w:r>
        <w:t xml:space="preserve">chemicals and product redesign, the extent of the restrictions could lead to loss of turnover for the</w:t>
      </w:r>
      <w:r>
        <w:t xml:space="preserve"> </w:t>
      </w:r>
      <w:r>
        <w:t xml:space="preserve">overall sector. In terms of working conditions, it would limit exposure of workers for toy</w:t>
      </w:r>
    </w:p>
    <w:p>
      <w:pPr>
        <w:pStyle w:val="BodyText"/>
      </w:pPr>
      <w:r>
        <w:t xml:space="preserve">159 Scientific Committee on Health and Environmental Risks SCHER Assessment of the Health Risks from the Use of</w:t>
      </w:r>
      <w:r>
        <w:t xml:space="preserve"> </w:t>
      </w:r>
      <w:r>
        <w:t xml:space="preserve">Metallic Nickel (CAS No 7440-02-0) in Toys, 25 September 2012, https://health.ec.europa.eu/system/files/2016-</w:t>
      </w:r>
      <w:r>
        <w:t xml:space="preserve"> </w:t>
      </w:r>
      <w:r>
        <w:t xml:space="preserve">11/scher_o_163_0.pdf</w:t>
      </w:r>
      <w:r>
        <w:t xml:space="preserve"> </w:t>
      </w:r>
      <w:r>
        <w:t xml:space="preserve">160 See annex 14 for the detailed explanation on these concerns on competitiveness. Source: targeted survey and</w:t>
      </w:r>
      <w:r>
        <w:t xml:space="preserve"> </w:t>
      </w:r>
      <w:r>
        <w:t xml:space="preserve">interviews.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46</w:t>
      </w:r>
      <w:r>
        <w:t xml:space="preserve"> </w:t>
      </w:r>
      <w:r>
        <w:t xml:space="preserve">EN</w:t>
      </w:r>
      <w:r>
        <w:t xml:space="preserve"> </w:t>
      </w:r>
      <w:r>
        <w:t xml:space="preserve">manufacturers to harmful chemicals, and this limitation would be higher than in PO1b in view of the</w:t>
      </w:r>
      <w:r>
        <w:t xml:space="preserve"> </w:t>
      </w:r>
      <w:r>
        <w:t xml:space="preserve">lack of derogations.</w:t>
      </w:r>
      <w:r>
        <w:t xml:space="preserve"> </w:t>
      </w:r>
      <w:r>
        <w:t xml:space="preserve">Social impacts - Impacts on human health</w:t>
      </w:r>
      <w:r>
        <w:t xml:space="preserve"> </w:t>
      </w:r>
      <w:r>
        <w:t xml:space="preserve">The extension of the GRA and the removal of derogations on CRM substances would have strong</w:t>
      </w:r>
      <w:r>
        <w:t xml:space="preserve"> </w:t>
      </w:r>
      <w:r>
        <w:t xml:space="preserve">benefits to human health. Exposure of children to such harmful substances would be significantly</w:t>
      </w:r>
      <w:r>
        <w:t xml:space="preserve"> </w:t>
      </w:r>
      <w:r>
        <w:t xml:space="preserve">reduced, similar to PO1b. The health benefits would be immediate for children, as substances would</w:t>
      </w:r>
      <w:r>
        <w:t xml:space="preserve"> </w:t>
      </w:r>
      <w:r>
        <w:t xml:space="preserve">be banned from toys as soon as they are classified in one of the relevant most harmful hazard classes</w:t>
      </w:r>
      <w:r>
        <w:t xml:space="preserve"> </w:t>
      </w:r>
      <w:r>
        <w:t xml:space="preserve">in the CLP Regulation. The product withdrawals estimated would be due to the presence of these</w:t>
      </w:r>
      <w:r>
        <w:t xml:space="preserve"> </w:t>
      </w:r>
      <w:r>
        <w:t xml:space="preserve">harmful chemicals in such toys. Their withdrawal will result in a corresponding reduction of exposure</w:t>
      </w:r>
      <w:r>
        <w:t xml:space="preserve"> </w:t>
      </w:r>
      <w:r>
        <w:t xml:space="preserve">of children to the most harmful substances (only toys containing these harmful substances will be</w:t>
      </w:r>
      <w:r>
        <w:t xml:space="preserve"> </w:t>
      </w:r>
      <w:r>
        <w:t xml:space="preserve">withdrawn from the market). The measures envisaged in this option to address chemical substances</w:t>
      </w:r>
      <w:r>
        <w:t xml:space="preserve"> </w:t>
      </w:r>
      <w:r>
        <w:t xml:space="preserve">will lead to direct health benefits, in particular as these are the most harmful substances that generally</w:t>
      </w:r>
      <w:r>
        <w:t xml:space="preserve"> </w:t>
      </w:r>
      <w:r>
        <w:t xml:space="preserve">cause harm at very low doses, and exposure will be reduced for a vulnerable population which is</w:t>
      </w:r>
      <w:r>
        <w:t xml:space="preserve"> </w:t>
      </w:r>
      <w:r>
        <w:t xml:space="preserve">particularly sensitive to such harmful effects. If the criteria for the derogations under PO1b are sound</w:t>
      </w:r>
      <w:r>
        <w:t xml:space="preserve"> </w:t>
      </w:r>
      <w:r>
        <w:t xml:space="preserve">and the risks can be clearly limited with the conditions to grant such derogations, PO1c would not</w:t>
      </w:r>
      <w:r>
        <w:t xml:space="preserve"> </w:t>
      </w:r>
      <w:r>
        <w:t xml:space="preserve">provide significant additional health impacts but similar health impacts as PO1b (EUR 240 million</w:t>
      </w:r>
      <w:r>
        <w:t xml:space="preserve"> </w:t>
      </w:r>
      <w:r>
        <w:t xml:space="preserve">to 1.2 billion EUR per year)161, based on the assumptions and estimates as explained under that</w:t>
      </w:r>
      <w:r>
        <w:t xml:space="preserve"> </w:t>
      </w:r>
      <w:r>
        <w:t xml:space="preserve">policy option. Derogations should only allow uses of substances subject to generic bans for which</w:t>
      </w:r>
      <w:r>
        <w:t xml:space="preserve"> </w:t>
      </w:r>
      <w:r>
        <w:t xml:space="preserve">safety can be scientifically concluded. Generic bans will cover hundreds of substances while</w:t>
      </w:r>
      <w:r>
        <w:t xml:space="preserve"> </w:t>
      </w:r>
      <w:r>
        <w:t xml:space="preserve">derogations are expected to cover only a limited number of them and for limited uses. Derogations</w:t>
      </w:r>
      <w:r>
        <w:t xml:space="preserve"> </w:t>
      </w:r>
      <w:r>
        <w:t xml:space="preserve">under PO1b would be of general application to allow certain uses of substances in toys, but only</w:t>
      </w:r>
      <w:r>
        <w:t xml:space="preserve"> </w:t>
      </w:r>
      <w:r>
        <w:t xml:space="preserve">where this has been considered to be safe for children in terms of exposure to the substances. In</w:t>
      </w:r>
      <w:r>
        <w:t xml:space="preserve"> </w:t>
      </w:r>
      <w:r>
        <w:t xml:space="preserve">addition, derogations should be reassessed every 5 years.</w:t>
      </w:r>
      <w:r>
        <w:br/>
      </w:r>
      <w:r>
        <w:t xml:space="preserve">The estimated health benefits stem from the introduction of generic bans for the most harmful</w:t>
      </w:r>
      <w:r>
        <w:t xml:space="preserve"> </w:t>
      </w:r>
      <w:r>
        <w:t xml:space="preserve">chemicals. Generic bans are proposed in both options 1b and 1c and will apply to a significant number</w:t>
      </w:r>
      <w:r>
        <w:t xml:space="preserve"> </w:t>
      </w:r>
      <w:r>
        <w:t xml:space="preserve">of substances and will protect children from exposure to these harmful chemicals. Based on the</w:t>
      </w:r>
      <w:r>
        <w:t xml:space="preserve"> </w:t>
      </w:r>
      <w:r>
        <w:t xml:space="preserve">explanations above, derogations should not allow for exposure to the harmful effects of these</w:t>
      </w:r>
      <w:r>
        <w:t xml:space="preserve"> </w:t>
      </w:r>
      <w:r>
        <w:t xml:space="preserve">chemicals and this is why the estimates for health benefits in both option 1b and 1c should be</w:t>
      </w:r>
      <w:r>
        <w:t xml:space="preserve"> </w:t>
      </w:r>
      <w:r>
        <w:t xml:space="preserve">quantitatively similar. If derogations are only granted for a use that has been evaluated as safe and</w:t>
      </w:r>
      <w:r>
        <w:t xml:space="preserve"> </w:t>
      </w:r>
      <w:r>
        <w:t xml:space="preserve">there are no alternatives, it should not diminish the overall estimated health benefits achieved by</w:t>
      </w:r>
      <w:r>
        <w:t xml:space="preserve"> </w:t>
      </w:r>
      <w:r>
        <w:t xml:space="preserve">reducing exposure of children to these substances. The overall health benefits in option 1c should not</w:t>
      </w:r>
      <w:r>
        <w:t xml:space="preserve"> </w:t>
      </w:r>
      <w:r>
        <w:t xml:space="preserve">be significantly higher than in PO1b. However, derogations could affect entire categories of products;</w:t>
      </w:r>
      <w:r>
        <w:t xml:space="preserve"> </w:t>
      </w:r>
      <w:r>
        <w:t xml:space="preserve">see the example of nickel explained above which could affect all electric toys on the Union market.</w:t>
      </w:r>
      <w:r>
        <w:t xml:space="preserve"> </w:t>
      </w:r>
      <w:r>
        <w:t xml:space="preserve">This is why, while the health benefits of PO1c are expected to be substantially the same as in PO1b,</w:t>
      </w:r>
      <w:r>
        <w:t xml:space="preserve"> </w:t>
      </w:r>
      <w:r>
        <w:t xml:space="preserve">the economic impacts in terms of adjustment costs in PO1c are expected to be much higher than in</w:t>
      </w:r>
      <w:r>
        <w:t xml:space="preserve"> </w:t>
      </w:r>
      <w:r>
        <w:t xml:space="preserve">PO1b.</w:t>
      </w:r>
      <w:r>
        <w:t xml:space="preserve"> </w:t>
      </w:r>
      <w:r>
        <w:t xml:space="preserve">In terms of consumer welfare, this lack of possibility for derogations is expected to limit significantly</w:t>
      </w:r>
      <w:r>
        <w:t xml:space="preserve"> </w:t>
      </w:r>
      <w:r>
        <w:t xml:space="preserve">the choice of products and possibly lead to higher prices. Improvements in toy safety and trust could</w:t>
      </w:r>
      <w:r>
        <w:t xml:space="preserve"> </w:t>
      </w:r>
      <w:r>
        <w:t xml:space="preserve">be expected, but comparable to those under PO1b.</w:t>
      </w:r>
      <w:r>
        <w:t xml:space="preserve"> </w:t>
      </w:r>
      <w:r>
        <w:t xml:space="preserve">Impacts on the environment</w:t>
      </w:r>
      <w:r>
        <w:t xml:space="preserve"> </w:t>
      </w:r>
      <w:r>
        <w:t xml:space="preserve">Similar to PO1b, PO1c would introduce generic bans on harmful substances classified as hazardous</w:t>
      </w:r>
      <w:r>
        <w:t xml:space="preserve"> </w:t>
      </w:r>
      <w:r>
        <w:t xml:space="preserve">for human health under certain hazard classes in the CLP Regulation, as well as additional limit</w:t>
      </w:r>
      <w:r>
        <w:t xml:space="preserve"> </w:t>
      </w:r>
      <w:r>
        <w:t xml:space="preserve">values for other substances that may pose a risk to children health, this option would have certain</w:t>
      </w:r>
      <w:r>
        <w:t xml:space="preserve"> </w:t>
      </w:r>
      <w:r>
        <w:t xml:space="preserve">benefits for the environment. The CLP Regulation includes classification of harmful substances as</w:t>
      </w:r>
      <w:r>
        <w:t xml:space="preserve"> </w:t>
      </w:r>
      <w:r>
        <w:t xml:space="preserve">hazardous for human health or the environment. Chemical substances can be classified under several</w:t>
      </w:r>
    </w:p>
    <w:p>
      <w:pPr>
        <w:pStyle w:val="BodyText"/>
      </w:pPr>
      <w:r>
        <w:t xml:space="preserve">161 See annex 14 for detailed calculations on health benefits. Source: Study on the revision of the Toy Safety Directive.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47</w:t>
      </w:r>
      <w:r>
        <w:t xml:space="preserve"> </w:t>
      </w:r>
      <w:r>
        <w:t xml:space="preserve">EN</w:t>
      </w:r>
      <w:r>
        <w:t xml:space="preserve"> </w:t>
      </w:r>
      <w:r>
        <w:t xml:space="preserve">such hazard classes at the same time. Where substances are considered as hazardous not only for</w:t>
      </w:r>
      <w:r>
        <w:t xml:space="preserve"> </w:t>
      </w:r>
      <w:r>
        <w:t xml:space="preserve">human health but also to the environment and are subject to generic bans in toys, this option will</w:t>
      </w:r>
      <w:r>
        <w:t xml:space="preserve"> </w:t>
      </w:r>
      <w:r>
        <w:t xml:space="preserve">have positive impacts on the environment. This option will bring more benefits to the environment</w:t>
      </w:r>
      <w:r>
        <w:t xml:space="preserve"> </w:t>
      </w:r>
      <w:r>
        <w:t xml:space="preserve">than the previous options, given that substances which can be harmful both for human health and for</w:t>
      </w:r>
      <w:r>
        <w:t xml:space="preserve"> </w:t>
      </w:r>
      <w:r>
        <w:t xml:space="preserve">the environment, such as EDs and CMRs, would not be present in toys at all. If there are no</w:t>
      </w:r>
      <w:r>
        <w:t xml:space="preserve"> </w:t>
      </w:r>
      <w:r>
        <w:t xml:space="preserve">derogations to the generic bans, this should mean that less harmful substances will be present in the</w:t>
      </w:r>
      <w:r>
        <w:t xml:space="preserve"> </w:t>
      </w:r>
      <w:r>
        <w:t xml:space="preserve">waste stream, which would thus have a positive impact on the environment. Less harmful substances</w:t>
      </w:r>
      <w:r>
        <w:t xml:space="preserve"> </w:t>
      </w:r>
      <w:r>
        <w:t xml:space="preserve">would be present in recycled materials from toys, which could then be used more safely. In addition,</w:t>
      </w:r>
      <w:r>
        <w:t xml:space="preserve"> </w:t>
      </w:r>
      <w:r>
        <w:t xml:space="preserve">this option may have other indirect positive impact on the environment; by leading to higher prices</w:t>
      </w:r>
      <w:r>
        <w:t xml:space="preserve"> </w:t>
      </w:r>
      <w:r>
        <w:t xml:space="preserve">of toys, there may be less consumption and waste.</w:t>
      </w:r>
      <w:r>
        <w:br/>
      </w:r>
      <w:r>
        <w:t xml:space="preserve">Stakeholders’ views</w:t>
      </w:r>
      <w:r>
        <w:t xml:space="preserve"> </w:t>
      </w:r>
      <w:r>
        <w:t xml:space="preserve">A number of respondents to the public consultation believed that there should be no derogations to</w:t>
      </w:r>
      <w:r>
        <w:t xml:space="preserve"> </w:t>
      </w:r>
      <w:r>
        <w:t xml:space="preserve">the general bans: most support came from consumer and environmental groups (50% - 31 out of 61-</w:t>
      </w:r>
      <w:r>
        <w:t xml:space="preserve"> </w:t>
      </w:r>
      <w:r>
        <w:t xml:space="preserve">of respondents) while only 35% (11 out of 31) of public authorities supported that there would be no</w:t>
      </w:r>
      <w:r>
        <w:t xml:space="preserve"> </w:t>
      </w:r>
      <w:r>
        <w:t xml:space="preserve">derogations. 73% (66 out of 89) of industry respondents disagreed with removing derogations from</w:t>
      </w:r>
      <w:r>
        <w:t xml:space="preserve"> </w:t>
      </w:r>
      <w:r>
        <w:t xml:space="preserve">general bans. Consumer and environmental groups believed that maximum protection should be</w:t>
      </w:r>
      <w:r>
        <w:t xml:space="preserve"> </w:t>
      </w:r>
      <w:r>
        <w:t xml:space="preserve">offered to children, while public authorities and industry were concerned about the impacts on</w:t>
      </w:r>
      <w:r>
        <w:t xml:space="preserve"> </w:t>
      </w:r>
      <w:r>
        <w:t xml:space="preserve">competitiveness and choice of toys that the lack of derogations would have.</w:t>
      </w:r>
      <w:r>
        <w:t xml:space="preserve"> </w:t>
      </w:r>
      <w:r>
        <w:t xml:space="preserve">6.4.</w:t>
      </w:r>
      <w:r>
        <w:t xml:space="preserve"> </w:t>
      </w:r>
      <w:r>
        <w:t xml:space="preserve">Policy option 2a: extending third-party conformity assessment</w:t>
      </w:r>
      <w:r>
        <w:t xml:space="preserve"> </w:t>
      </w:r>
      <w:r>
        <w:t xml:space="preserve">Economic impacts: Impacts on economic operators</w:t>
      </w:r>
      <w:r>
        <w:t xml:space="preserve"> </w:t>
      </w:r>
      <w:r>
        <w:t xml:space="preserve">This option would lead to additional costs in terms of administrative burden for companies. The</w:t>
      </w:r>
      <w:r>
        <w:t xml:space="preserve"> </w:t>
      </w:r>
      <w:r>
        <w:t xml:space="preserve">proportion of new toys undergoing third party conformity assessments would increase from currently</w:t>
      </w:r>
      <w:r>
        <w:t xml:space="preserve"> </w:t>
      </w:r>
      <w:r>
        <w:t xml:space="preserve">3% to about 20%162. The current administrative burden has been estimated at an average of EUR</w:t>
      </w:r>
      <w:r>
        <w:t xml:space="preserve"> </w:t>
      </w:r>
      <w:r>
        <w:t xml:space="preserve">4,000 per new toy model in case of self-certification and EUR 4,500 in case of third party conformity</w:t>
      </w:r>
      <w:r>
        <w:t xml:space="preserve"> </w:t>
      </w:r>
      <w:r>
        <w:t xml:space="preserve">assessment. Applying this extra cost to the percentage of additional toy models which would be</w:t>
      </w:r>
      <w:r>
        <w:t xml:space="preserve"> </w:t>
      </w:r>
      <w:r>
        <w:t xml:space="preserve">required to go through third party conformity assessment, it has been estimated the yearly increase</w:t>
      </w:r>
      <w:r>
        <w:t xml:space="preserve"> </w:t>
      </w:r>
      <w:r>
        <w:t xml:space="preserve">of the administrative burden for the EU market would amount approximately to EUR 7.8 million163.</w:t>
      </w:r>
      <w:r>
        <w:t xml:space="preserve"> </w:t>
      </w:r>
      <w:r>
        <w:t xml:space="preserve">No differences in the administrative burden were identified depending on the type of company, as</w:t>
      </w:r>
      <w:r>
        <w:t xml:space="preserve"> </w:t>
      </w:r>
      <w:r>
        <w:t xml:space="preserve">these costs are associated with the amounts that Notified Bodies charge for their services. There</w:t>
      </w:r>
      <w:r>
        <w:t xml:space="preserve"> </w:t>
      </w:r>
      <w:r>
        <w:t xml:space="preserve">would be no adjustment costs stemming from this option.</w:t>
      </w:r>
      <w:r>
        <w:br/>
      </w:r>
      <w:r>
        <w:t xml:space="preserve">For notified bodies, the number of EU-type examinations would be expected to increase, leading to</w:t>
      </w:r>
      <w:r>
        <w:t xml:space="preserve"> </w:t>
      </w:r>
      <w:r>
        <w:t xml:space="preserve">benefits. Notified bodies may incur costs relating to the increase in the testing capacity required to</w:t>
      </w:r>
      <w:r>
        <w:t xml:space="preserve"> </w:t>
      </w:r>
      <w:r>
        <w:t xml:space="preserve">undertake these additional tests, since only around 3% of the toys in the EU market are currently</w:t>
      </w:r>
      <w:r>
        <w:t xml:space="preserve"> </w:t>
      </w:r>
      <w:r>
        <w:t xml:space="preserve">subject to third-party testing.164 These costs are not expected to be borne by notified bodies but rather</w:t>
      </w:r>
      <w:r>
        <w:t xml:space="preserve"> </w:t>
      </w:r>
      <w:r>
        <w:t xml:space="preserve">to be passed on to manufacturers who will pay for the additional EU-type examinations.</w:t>
      </w:r>
      <w:r>
        <w:t xml:space="preserve"> </w:t>
      </w:r>
      <w:r>
        <w:t xml:space="preserve">Impacts on public authorities</w:t>
      </w:r>
      <w:r>
        <w:br/>
      </w:r>
      <w:r>
        <w:t xml:space="preserve">It can be estimated that this option will reduce the time necessary to collect information for market</w:t>
      </w:r>
      <w:r>
        <w:t xml:space="preserve"> </w:t>
      </w:r>
      <w:r>
        <w:t xml:space="preserve">surveillance authorities, as the time needed to collect information from a notified body is significantly</w:t>
      </w:r>
      <w:r>
        <w:t xml:space="preserve"> </w:t>
      </w:r>
      <w:r>
        <w:t xml:space="preserve">lower than economic operators. It can be estimated that PO2a would result in a 5% time saving for</w:t>
      </w:r>
      <w:r>
        <w:t xml:space="preserve"> </w:t>
      </w:r>
      <w:r>
        <w:t xml:space="preserve">the average inspection by market surveillance authorities which would translate into a 5% increase</w:t>
      </w:r>
      <w:r>
        <w:t xml:space="preserve"> </w:t>
      </w:r>
      <w:r>
        <w:t xml:space="preserve">in the number of inspections165, as it could be assumed that the budget allocated to market</w:t>
      </w:r>
    </w:p>
    <w:p>
      <w:pPr>
        <w:pStyle w:val="BodyText"/>
      </w:pPr>
      <w:r>
        <w:t xml:space="preserve">162 Estimates by businesses interviewed in the framework of the supporting study and on 78,702 new toy models per year.</w:t>
      </w:r>
      <w:r>
        <w:t xml:space="preserve"> </w:t>
      </w:r>
      <w:r>
        <w:t xml:space="preserve">163 Based on an estimation of 78,702 new toy models placed on the market every year. See annex 14 for detailed</w:t>
      </w:r>
      <w:r>
        <w:t xml:space="preserve"> </w:t>
      </w:r>
      <w:r>
        <w:t xml:space="preserve">calculations on the economic impacts.</w:t>
      </w:r>
      <w:r>
        <w:t xml:space="preserve"> </w:t>
      </w:r>
      <w:r>
        <w:t xml:space="preserve">164 Information from the Notified Bodies-Toys group.</w:t>
      </w:r>
      <w:r>
        <w:t xml:space="preserve"> </w:t>
      </w:r>
      <w:r>
        <w:t xml:space="preserve">165 Based on assumptions of experts consulted in the framework of the supporting study.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48</w:t>
      </w:r>
      <w:r>
        <w:t xml:space="preserve"> </w:t>
      </w:r>
      <w:r>
        <w:t xml:space="preserve">EN</w:t>
      </w:r>
      <w:r>
        <w:t xml:space="preserve"> </w:t>
      </w:r>
      <w:r>
        <w:t xml:space="preserve">surveillance activities in toys will remain the same and that the efficiency gains will be redirected to</w:t>
      </w:r>
      <w:r>
        <w:t xml:space="preserve"> </w:t>
      </w:r>
      <w:r>
        <w:t xml:space="preserve">additional toy inspections. The number of inspections in the EU is expected to rise to a maximum</w:t>
      </w:r>
      <w:r>
        <w:t xml:space="preserve"> </w:t>
      </w:r>
      <w:r>
        <w:t xml:space="preserve">of an additional 1000 per year (from 25,259 to 26,522) leading to a reduction of the cost per</w:t>
      </w:r>
      <w:r>
        <w:t xml:space="preserve"> </w:t>
      </w:r>
      <w:r>
        <w:t xml:space="preserve">inspection from EUR 738.52 to EUR 703.35166. There would also need to be more efforts, and costs,</w:t>
      </w:r>
      <w:r>
        <w:t xml:space="preserve"> </w:t>
      </w:r>
      <w:r>
        <w:t xml:space="preserve">to control conformity assessment bodies’ quality by public authorities.</w:t>
      </w:r>
      <w:r>
        <w:br/>
      </w:r>
      <w:r>
        <w:t xml:space="preserve">Impacts on innovation, competitiveness and single market</w:t>
      </w:r>
      <w:r>
        <w:t xml:space="preserve"> </w:t>
      </w:r>
      <w:r>
        <w:t xml:space="preserve">The main negative impacts on competitiveness were considered by industry to include: the higher</w:t>
      </w:r>
      <w:r>
        <w:t xml:space="preserve"> </w:t>
      </w:r>
      <w:r>
        <w:t xml:space="preserve">costs of mandatory third-party conformity assessment for toys, and increased lead times to market.</w:t>
      </w:r>
      <w:r>
        <w:t xml:space="preserve"> </w:t>
      </w:r>
      <w:r>
        <w:t xml:space="preserve">In particular, while the costs of lead times to market are difficult to quantify, mandatory third-party</w:t>
      </w:r>
      <w:r>
        <w:t xml:space="preserve"> </w:t>
      </w:r>
      <w:r>
        <w:t xml:space="preserve">conformity assessment could add an additional 4-6 months to the process of placing a product on the</w:t>
      </w:r>
      <w:r>
        <w:t xml:space="preserve"> </w:t>
      </w:r>
      <w:r>
        <w:t xml:space="preserve">European market, with an adverse impact on competitiveness. The reduction of non-compliant toys</w:t>
      </w:r>
      <w:r>
        <w:t xml:space="preserve"> </w:t>
      </w:r>
      <w:r>
        <w:t xml:space="preserve">on the single market would lead to positive effects on competitiveness for EU and other compliant</w:t>
      </w:r>
      <w:r>
        <w:t xml:space="preserve"> </w:t>
      </w:r>
      <w:r>
        <w:t xml:space="preserve">industry, as they will face less competition from rogue traders selling non-compliant products, often</w:t>
      </w:r>
      <w:r>
        <w:t xml:space="preserve"> </w:t>
      </w:r>
      <w:r>
        <w:t xml:space="preserve">at cheaper prices. However these positive effects on competitiveness will not be very significant, as</w:t>
      </w:r>
      <w:r>
        <w:t xml:space="preserve"> </w:t>
      </w:r>
      <w:r>
        <w:t xml:space="preserve">the improvements on the number of non-compliant toys are expected to be limited. This is because</w:t>
      </w:r>
      <w:r>
        <w:t xml:space="preserve"> </w:t>
      </w:r>
      <w:r>
        <w:t xml:space="preserve">this option will facilitate enforcement by market surveillance authorities to a limited extent, and</w:t>
      </w:r>
      <w:r>
        <w:t xml:space="preserve"> </w:t>
      </w:r>
      <w:r>
        <w:t xml:space="preserve">therefore it will not significantly increase the incentives to comply for rogue traders. It may be</w:t>
      </w:r>
      <w:r>
        <w:t xml:space="preserve"> </w:t>
      </w:r>
      <w:r>
        <w:t xml:space="preserve">expected that those manufacturers that already comply with the requirements of the TSD will also</w:t>
      </w:r>
      <w:r>
        <w:t xml:space="preserve"> </w:t>
      </w:r>
      <w:r>
        <w:t xml:space="preserve">comply with the obligation to perform third party examination, but those rogue traders which already</w:t>
      </w:r>
      <w:r>
        <w:t xml:space="preserve"> </w:t>
      </w:r>
      <w:r>
        <w:t xml:space="preserve">ignore the rules will continue to do so. Nonetheless, these limited positive effects will likely not offset</w:t>
      </w:r>
      <w:r>
        <w:t xml:space="preserve"> </w:t>
      </w:r>
      <w:r>
        <w:t xml:space="preserve">the costs for EU industry (in particular SMEs) who will continue to face unfair competition from</w:t>
      </w:r>
      <w:r>
        <w:t xml:space="preserve"> </w:t>
      </w:r>
      <w:r>
        <w:t xml:space="preserve">rogue traders to a significant extent. SMEs were particularly concerned by this option, as they were</w:t>
      </w:r>
      <w:r>
        <w:t xml:space="preserve"> </w:t>
      </w:r>
      <w:r>
        <w:t xml:space="preserve">of the opinion that this would adversely affect their competitiveness.</w:t>
      </w:r>
      <w:r>
        <w:br/>
      </w:r>
      <w:r>
        <w:t xml:space="preserve">This option is not expected to have impacts on employment by toy manufacturers, but a slight</w:t>
      </w:r>
      <w:r>
        <w:t xml:space="preserve"> </w:t>
      </w:r>
      <w:r>
        <w:t xml:space="preserve">increase in employment by Notified Bodies would be likely, as they would need to ensure additional</w:t>
      </w:r>
      <w:r>
        <w:t xml:space="preserve"> </w:t>
      </w:r>
      <w:r>
        <w:t xml:space="preserve">capacity to provide conformity assessment services.</w:t>
      </w:r>
      <w:r>
        <w:t xml:space="preserve"> </w:t>
      </w:r>
      <w:r>
        <w:t xml:space="preserve">Social impacts - Impacts on human health</w:t>
      </w:r>
      <w:r>
        <w:t xml:space="preserve"> </w:t>
      </w:r>
      <w:r>
        <w:t xml:space="preserve">The available evidence suggests that only a limited improvement in the number of illicit toys is to be</w:t>
      </w:r>
      <w:r>
        <w:t xml:space="preserve"> </w:t>
      </w:r>
      <w:r>
        <w:t xml:space="preserve">expected from this option, as explained in the previous sections on impacts on public authorities and</w:t>
      </w:r>
      <w:r>
        <w:t xml:space="preserve"> </w:t>
      </w:r>
      <w:r>
        <w:t xml:space="preserve">on competitiveness, innovation and the single market. Accordingly, the risks of illicit toys would</w:t>
      </w:r>
      <w:r>
        <w:t xml:space="preserve"> </w:t>
      </w:r>
      <w:r>
        <w:t xml:space="preserve">only decrease slightly and this option would only have limited benefits on children’s health.</w:t>
      </w:r>
      <w:r>
        <w:t xml:space="preserve"> </w:t>
      </w:r>
      <w:r>
        <w:t xml:space="preserve">Similarly, as the reduction of non-compliant toys is expected to be limited, this option is not expected</w:t>
      </w:r>
      <w:r>
        <w:t xml:space="preserve"> </w:t>
      </w:r>
      <w:r>
        <w:t xml:space="preserve">to have significant impacts on consumer welfare and trust.</w:t>
      </w:r>
      <w:r>
        <w:t xml:space="preserve"> </w:t>
      </w:r>
      <w:r>
        <w:t xml:space="preserve">Impacts on the environment</w:t>
      </w:r>
      <w:r>
        <w:t xml:space="preserve"> </w:t>
      </w:r>
      <w:r>
        <w:t xml:space="preserve">This option is not expected to have positive impacts on the environment. Illicit toys could be more</w:t>
      </w:r>
      <w:r>
        <w:t xml:space="preserve"> </w:t>
      </w:r>
      <w:r>
        <w:t xml:space="preserve">harmful to the environment as they could contain more dangerous substances, therefore, a reduction</w:t>
      </w:r>
      <w:r>
        <w:t xml:space="preserve"> </w:t>
      </w:r>
      <w:r>
        <w:t xml:space="preserve">of the number of such toys would mean less pollution. Less harmful substances would be present in</w:t>
      </w:r>
      <w:r>
        <w:t xml:space="preserve"> </w:t>
      </w:r>
      <w:r>
        <w:t xml:space="preserve">recycled materials from toys, which could then be used more safely. However, it is expected that this</w:t>
      </w:r>
      <w:r>
        <w:t xml:space="preserve"> </w:t>
      </w:r>
      <w:r>
        <w:t xml:space="preserve">option will only lead to minor reductions on the number of non-compliant toys, thereby yielding</w:t>
      </w:r>
      <w:r>
        <w:t xml:space="preserve"> </w:t>
      </w:r>
      <w:r>
        <w:t xml:space="preserve">limited benefits to the environment.</w:t>
      </w:r>
      <w:r>
        <w:t xml:space="preserve"> </w:t>
      </w:r>
      <w:r>
        <w:t xml:space="preserve">Stakeholders’ views</w:t>
      </w:r>
    </w:p>
    <w:p>
      <w:pPr>
        <w:pStyle w:val="BodyText"/>
      </w:pPr>
      <w:r>
        <w:t xml:space="preserve">166 The extent to which the efficiency gains will translate into a precise increase in the number of inspections may vary</w:t>
      </w:r>
      <w:r>
        <w:t xml:space="preserve"> </w:t>
      </w:r>
      <w:r>
        <w:t xml:space="preserve">in practice depending on the specific time and resources saved as well as the precise toys subject to inspection. As such,</w:t>
      </w:r>
      <w:r>
        <w:t xml:space="preserve"> </w:t>
      </w:r>
      <w:r>
        <w:t xml:space="preserve">this analysis presents certain estimates to illustrate the impact of the policy options in the increase of number of</w:t>
      </w:r>
      <w:r>
        <w:t xml:space="preserve"> </w:t>
      </w:r>
      <w:r>
        <w:t xml:space="preserve">inspections, but the precise increase in practice would probably be lower.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49</w:t>
      </w:r>
      <w:r>
        <w:t xml:space="preserve"> </w:t>
      </w:r>
      <w:r>
        <w:t xml:space="preserve">EN</w:t>
      </w:r>
      <w:r>
        <w:t xml:space="preserve"> </w:t>
      </w:r>
      <w:r>
        <w:t xml:space="preserve">In the public consultation, 83% (51 out of 61) of consumer/environment groups and 75% (23 out of</w:t>
      </w:r>
      <w:r>
        <w:t xml:space="preserve"> </w:t>
      </w:r>
      <w:r>
        <w:t xml:space="preserve">31) of authorities supported the extension of third-party conformity assessment while 75% of industry</w:t>
      </w:r>
      <w:r>
        <w:t xml:space="preserve"> </w:t>
      </w:r>
      <w:r>
        <w:t xml:space="preserve">was against it (67 out of 89). Industry believes that it will impose additional costs without bringing a</w:t>
      </w:r>
      <w:r>
        <w:t xml:space="preserve"> </w:t>
      </w:r>
      <w:r>
        <w:t xml:space="preserve">significant improvement to the problem of a high number of non-compliant toys.</w:t>
      </w:r>
      <w:r>
        <w:t xml:space="preserve"> </w:t>
      </w:r>
      <w:r>
        <w:t xml:space="preserve">6.5.</w:t>
      </w:r>
      <w:r>
        <w:t xml:space="preserve"> </w:t>
      </w:r>
      <w:r>
        <w:t xml:space="preserve">Policy option 2b: facilitation of market surveillance through digitalisation</w:t>
      </w:r>
      <w:r>
        <w:t xml:space="preserve"> </w:t>
      </w:r>
      <w:r>
        <w:t xml:space="preserve">Economic impacts - Impacts on economic operators</w:t>
      </w:r>
      <w:r>
        <w:t xml:space="preserve"> </w:t>
      </w:r>
      <w:r>
        <w:t xml:space="preserve">This option requires the introduction of a digital passport that would include the EU declaration of</w:t>
      </w:r>
      <w:r>
        <w:t xml:space="preserve"> </w:t>
      </w:r>
      <w:r>
        <w:t xml:space="preserve">conformity so that it is digitally accessible (via a machine-readable code) and the registration of the</w:t>
      </w:r>
      <w:r>
        <w:t xml:space="preserve"> </w:t>
      </w:r>
      <w:r>
        <w:t xml:space="preserve">reference in a central registry. This will be based on the Digital Product Passport proposed under the</w:t>
      </w:r>
      <w:r>
        <w:t xml:space="preserve"> </w:t>
      </w:r>
      <w:r>
        <w:t xml:space="preserve">ESPR. Toys may be covered in the longer term by one of the delegated acts setting sustainability</w:t>
      </w:r>
      <w:r>
        <w:t xml:space="preserve"> </w:t>
      </w:r>
      <w:r>
        <w:t xml:space="preserve">requirements, however they are currently not included in the list of high priority sectors identified in</w:t>
      </w:r>
      <w:r>
        <w:t xml:space="preserve"> </w:t>
      </w:r>
      <w:r>
        <w:t xml:space="preserve">the Circular Economy Action Plan (CEAP) adopted by the Commission in March 2020. This is why</w:t>
      </w:r>
      <w:r>
        <w:t xml:space="preserve"> </w:t>
      </w:r>
      <w:r>
        <w:t xml:space="preserve">the impacts for economic operators are considered under PO2b and not part of the baseline. In terms</w:t>
      </w:r>
      <w:r>
        <w:t xml:space="preserve"> </w:t>
      </w:r>
      <w:r>
        <w:t xml:space="preserve">of administrative burden, this option can lead to one-off costs (such as development of required IT</w:t>
      </w:r>
      <w:r>
        <w:t xml:space="preserve"> </w:t>
      </w:r>
      <w:r>
        <w:t xml:space="preserve">tools, new procedures for the preparation of the product documentation, and potentially additional IT</w:t>
      </w:r>
      <w:r>
        <w:t xml:space="preserve"> </w:t>
      </w:r>
      <w:r>
        <w:t xml:space="preserve">services) and recurrent costs (e.g. the FTE required to collect and provide electronically the required</w:t>
      </w:r>
      <w:r>
        <w:t xml:space="preserve"> </w:t>
      </w:r>
      <w:r>
        <w:t xml:space="preserve">documentation). For the calculation of the overall market costs, SMEs have been assumed to incur</w:t>
      </w:r>
      <w:r>
        <w:t xml:space="preserve"> </w:t>
      </w:r>
      <w:r>
        <w:t xml:space="preserve">in yearly costs of EUR 3,000 per company, while for larger companies, up to EUR 140,000167,</w:t>
      </w:r>
      <w:r>
        <w:t xml:space="preserve"> </w:t>
      </w:r>
      <w:r>
        <w:t xml:space="preserve">but the specific breakdown of these costs into one-off and recurring costs for the toy sector was not</w:t>
      </w:r>
      <w:r>
        <w:t xml:space="preserve"> </w:t>
      </w:r>
      <w:r>
        <w:t xml:space="preserve">available. Previous research in other markets has found a split of 80% one-off vs 20% annual costs</w:t>
      </w:r>
      <w:r>
        <w:t xml:space="preserve"> </w:t>
      </w:r>
      <w:r>
        <w:t xml:space="preserve">for large firms, and 62% one-off vs 38% annual costs for SMEs168. Applying this breakdown to the</w:t>
      </w:r>
      <w:r>
        <w:t xml:space="preserve"> </w:t>
      </w:r>
      <w:r>
        <w:t xml:space="preserve">estimates for toys169 would suggest a total one off cost of EUR 18 million in addition to an annual</w:t>
      </w:r>
      <w:r>
        <w:t xml:space="preserve"> </w:t>
      </w:r>
      <w:r>
        <w:t xml:space="preserve">recurring cost of EUR 10.5 million. It is therefore expected that companies will incur in significant</w:t>
      </w:r>
      <w:r>
        <w:t xml:space="preserve"> </w:t>
      </w:r>
      <w:r>
        <w:t xml:space="preserve">initial costs, but that these would be lower in subsequent years thanks to economies of scale and the</w:t>
      </w:r>
      <w:r>
        <w:t xml:space="preserve"> </w:t>
      </w:r>
      <w:r>
        <w:t xml:space="preserve">fact that after the systems are set up and most initial data entered, there are only expected to be</w:t>
      </w:r>
      <w:r>
        <w:t xml:space="preserve"> </w:t>
      </w:r>
      <w:r>
        <w:t xml:space="preserve">additional costs related to updating and maintenance costs.</w:t>
      </w:r>
      <w:r>
        <w:t xml:space="preserve"> </w:t>
      </w:r>
      <w:r>
        <w:t xml:space="preserve">The Digital Product Passport will contain the compliance documentation that economic operators</w:t>
      </w:r>
      <w:r>
        <w:t xml:space="preserve"> </w:t>
      </w:r>
      <w:r>
        <w:t xml:space="preserve">must possess and be able to present upon request in any case. This option is also expected to lead to</w:t>
      </w:r>
      <w:r>
        <w:t xml:space="preserve"> </w:t>
      </w:r>
      <w:r>
        <w:t xml:space="preserve">savings as compliance information that economic operators currently need to create will only be</w:t>
      </w:r>
      <w:r>
        <w:t xml:space="preserve"> </w:t>
      </w:r>
      <w:r>
        <w:t xml:space="preserve">provided digitally. The digital passport under option 2b will replace the EU declaration of conformity</w:t>
      </w:r>
      <w:r>
        <w:t xml:space="preserve"> </w:t>
      </w:r>
      <w:r>
        <w:t xml:space="preserve">that manufacturers have to produce currently for every toy. Previous studies have suggested a</w:t>
      </w:r>
      <w:r>
        <w:t xml:space="preserve"> </w:t>
      </w:r>
      <w:r>
        <w:t xml:space="preserve">benchmark of about 10-15% savings in administrative costs from the full digitalisation of product</w:t>
      </w:r>
      <w:r>
        <w:t xml:space="preserve"> </w:t>
      </w:r>
      <w:r>
        <w:t xml:space="preserve">information (not only compliance but also user-related information)170. These studies also estimate</w:t>
      </w:r>
      <w:r>
        <w:t xml:space="preserve"> </w:t>
      </w:r>
      <w:r>
        <w:t xml:space="preserve">the cost of the provision of compliance information at 0.4% of turnover of the sector.171 Accordingly,</w:t>
      </w:r>
    </w:p>
    <w:p>
      <w:pPr>
        <w:pStyle w:val="BodyText"/>
      </w:pPr>
      <w:r>
        <w:t xml:space="preserve">167 Estimations of respondents from different SME sizes participating in the SME survey.</w:t>
      </w:r>
      <w:r>
        <w:t xml:space="preserve"> </w:t>
      </w:r>
      <w:r>
        <w:t xml:space="preserve">168 Study to support the Impact Assessment on the use of digital labelling for EU fertilising products, European</w:t>
      </w:r>
      <w:r>
        <w:t xml:space="preserve"> </w:t>
      </w:r>
      <w:r>
        <w:t xml:space="preserve">Commission’s DG GROW, 2022</w:t>
      </w:r>
      <w:r>
        <w:br/>
      </w:r>
      <w:r>
        <w:t xml:space="preserve">169 The range 3000 – 140,000 per company reflects the range of prices per administrative action of producing non-</w:t>
      </w:r>
      <w:r>
        <w:t xml:space="preserve"> </w:t>
      </w:r>
      <w:r>
        <w:t xml:space="preserve">labelling information between EUR 300 and 1100 per toy model. Further calculations are based on a cautious estimation</w:t>
      </w:r>
      <w:r>
        <w:t xml:space="preserve"> </w:t>
      </w:r>
      <w:r>
        <w:t xml:space="preserve">of EUR 325 per action per toy.</w:t>
      </w:r>
      <w:r>
        <w:t xml:space="preserve"> </w:t>
      </w:r>
      <w:r>
        <w:t xml:space="preserve">170 European Commission, Directorate-General for Internal Market, Industry, Entrepreneurship and SMEs, Supporting</w:t>
      </w:r>
      <w:r>
        <w:t xml:space="preserve"> </w:t>
      </w:r>
      <w:r>
        <w:t xml:space="preserve">study for the evaluation of certain aspects of the New Legislative Framework (Decision No 768/2008/EC and Regulation</w:t>
      </w:r>
      <w:r>
        <w:t xml:space="preserve"> </w:t>
      </w:r>
      <w:r>
        <w:t xml:space="preserve">(EC) No 765/2008), Publications Office of the European Union, 2022, https://data.europa.eu/doi/10.2873/625443</w:t>
      </w:r>
      <w:r>
        <w:t xml:space="preserve"> </w:t>
      </w:r>
      <w:r>
        <w:t xml:space="preserve">171 0.4% of turnover of EU toy industry in 2020 was EUR 26.2 million. The share of 0.4% is the result of a multiplication</w:t>
      </w:r>
      <w:r>
        <w:t xml:space="preserve"> </w:t>
      </w:r>
      <w:r>
        <w:t xml:space="preserve">of the total cost of compliance (2% of annual turnover, based on previous literature) by the share of the total cost</w:t>
      </w:r>
      <w:r>
        <w:t xml:space="preserve"> </w:t>
      </w:r>
      <w:r>
        <w:t xml:space="preserve">compliance related only to the cost of indicating compliance with EU harmonisation legislation (20%, based on</w:t>
      </w:r>
      <w:r>
        <w:t xml:space="preserve"> </w:t>
      </w:r>
      <w:r>
        <w:t xml:space="preserve">stakeholder consultation in the study supporting the Evaluation of the New Legislative Framework).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50</w:t>
      </w:r>
      <w:r>
        <w:t xml:space="preserve"> </w:t>
      </w:r>
      <w:r>
        <w:t xml:space="preserve">EN</w:t>
      </w:r>
      <w:r>
        <w:t xml:space="preserve"> </w:t>
      </w:r>
      <w:r>
        <w:t xml:space="preserve">savings could be estimated at around EUR 2.62 to EUR 3.93 (EUR 3.275 on average) million per</w:t>
      </w:r>
      <w:r>
        <w:t xml:space="preserve"> </w:t>
      </w:r>
      <w:r>
        <w:t xml:space="preserve">year only from moving to the digital provision of compliance information.</w:t>
      </w:r>
      <w:r>
        <w:br/>
      </w:r>
      <w:r>
        <w:t xml:space="preserve">In addition, there would be savings from the immediate availability of information when dealing with</w:t>
      </w:r>
      <w:r>
        <w:t xml:space="preserve"> </w:t>
      </w:r>
      <w:r>
        <w:t xml:space="preserve">market surveillance authorities for specific inspections. These are independent from the savings on</w:t>
      </w:r>
      <w:r>
        <w:t xml:space="preserve"> </w:t>
      </w:r>
      <w:r>
        <w:t xml:space="preserve">the digitalisation of compliance information that are detailed above; these savings will happen when</w:t>
      </w:r>
      <w:r>
        <w:t xml:space="preserve"> </w:t>
      </w:r>
      <w:r>
        <w:t xml:space="preserve">toys are subject to inspections. The Evaluation provides an indication of the average cost – per new</w:t>
      </w:r>
      <w:r>
        <w:t xml:space="preserve"> </w:t>
      </w:r>
      <w:r>
        <w:t xml:space="preserve">toy for an average importer or distributor – to “ensure that the toy is accompanied by the required</w:t>
      </w:r>
      <w:r>
        <w:t xml:space="preserve"> </w:t>
      </w:r>
      <w:r>
        <w:t xml:space="preserve">documents”.172 The average cost of such activities per new toy model are estimated to be between</w:t>
      </w:r>
      <w:r>
        <w:t xml:space="preserve"> </w:t>
      </w:r>
      <w:r>
        <w:t xml:space="preserve">EUR 548 and EUR 651. This can serve as a basis to estimate the amount of time and relative cost a</w:t>
      </w:r>
      <w:r>
        <w:t xml:space="preserve"> </w:t>
      </w:r>
      <w:r>
        <w:t xml:space="preserve">company would incur in retrieving all the necessary information for a toy model and supplying it to</w:t>
      </w:r>
      <w:r>
        <w:t xml:space="preserve"> </w:t>
      </w:r>
      <w:r>
        <w:t xml:space="preserve">market surveillance authorities when inspections are conducted173. With the implementation of the</w:t>
      </w:r>
      <w:r>
        <w:t xml:space="preserve"> </w:t>
      </w:r>
      <w:r>
        <w:t xml:space="preserve">DPP, this cost would likely disappear for companies, since relevant documentation would be</w:t>
      </w:r>
      <w:r>
        <w:t xml:space="preserve"> </w:t>
      </w:r>
      <w:r>
        <w:t xml:space="preserve">available online for market surveillance authorities, as well as the supply chain information. Since</w:t>
      </w:r>
      <w:r>
        <w:t xml:space="preserve"> </w:t>
      </w:r>
      <w:r>
        <w:t xml:space="preserve">the annual number of inspections in Europe is calculated to be around 25,000 (and may rise to 30,000</w:t>
      </w:r>
      <w:r>
        <w:t xml:space="preserve"> </w:t>
      </w:r>
      <w:r>
        <w:t xml:space="preserve">in case of implementation of the DPP), and each inspection would concern a specified toy model, it</w:t>
      </w:r>
      <w:r>
        <w:t xml:space="preserve"> </w:t>
      </w:r>
      <w:r>
        <w:t xml:space="preserve">can be estimated that the average annual saving for EU companies could be between EUR 13</w:t>
      </w:r>
      <w:r>
        <w:t xml:space="preserve"> </w:t>
      </w:r>
      <w:r>
        <w:t xml:space="preserve">million and EUR 16 million in case inspections remain at the same levels or increase slightly,</w:t>
      </w:r>
      <w:r>
        <w:t xml:space="preserve"> </w:t>
      </w:r>
      <w:r>
        <w:t xml:space="preserve">or even up to EUR 20 million in case of increased number of inspections.</w:t>
      </w:r>
      <w:r>
        <w:t xml:space="preserve"> </w:t>
      </w:r>
      <w:r>
        <w:t xml:space="preserve">It is reasonable to assume that in the long term the internal costs for companies to implement the DPP</w:t>
      </w:r>
      <w:r>
        <w:t xml:space="preserve"> </w:t>
      </w:r>
      <w:r>
        <w:t xml:space="preserve">will diminish, and the benefit of less burdensome inspections for compliant companies will lead to a</w:t>
      </w:r>
      <w:r>
        <w:t xml:space="preserve"> </w:t>
      </w:r>
      <w:r>
        <w:t xml:space="preserve">visible economic benefit in terms of reduction of administrative burden. Efficiencies are expected</w:t>
      </w:r>
      <w:r>
        <w:t xml:space="preserve"> </w:t>
      </w:r>
      <w:r>
        <w:t xml:space="preserve">from having all the information about a given toy available via a single QR code or a similar machine</w:t>
      </w:r>
      <w:r>
        <w:t xml:space="preserve"> </w:t>
      </w:r>
      <w:r>
        <w:t xml:space="preserve">readable item, which is how the DPP will be implemented in practice.</w:t>
      </w:r>
      <w:r>
        <w:t xml:space="preserve"> </w:t>
      </w:r>
      <w:r>
        <w:t xml:space="preserve">Impacts on public authorities</w:t>
      </w:r>
      <w:r>
        <w:br/>
      </w:r>
      <w:r>
        <w:t xml:space="preserve">While it is difficult to assess the exact scale of the reduction by this option in the time needed to</w:t>
      </w:r>
      <w:r>
        <w:t xml:space="preserve"> </w:t>
      </w:r>
      <w:r>
        <w:t xml:space="preserve">undertake inspections, it is estimated that it could range between 10% to 20%, which could translate</w:t>
      </w:r>
      <w:r>
        <w:t xml:space="preserve"> </w:t>
      </w:r>
      <w:r>
        <w:t xml:space="preserve">into an equivalent percentage increase in the number of inspections which could be undertaken with</w:t>
      </w:r>
      <w:r>
        <w:t xml:space="preserve"> </w:t>
      </w:r>
      <w:r>
        <w:t xml:space="preserve">the resources available174. The number of inspections in the EU is expected to rise to a maximum</w:t>
      </w:r>
      <w:r>
        <w:t xml:space="preserve"> </w:t>
      </w:r>
      <w:r>
        <w:t xml:space="preserve">of an additional 2500 to 5000 per year (from 25,259 to between 27,785 and 30,311) assuming that</w:t>
      </w:r>
      <w:r>
        <w:t xml:space="preserve"> </w:t>
      </w:r>
      <w:r>
        <w:t xml:space="preserve">the overall budget for market surveillance authorities for toys will remain the same and that efficiency</w:t>
      </w:r>
      <w:r>
        <w:t xml:space="preserve"> </w:t>
      </w:r>
      <w:r>
        <w:t xml:space="preserve">gains will be reinvested in additional toy inspections, thus lowering the cost per inspection from</w:t>
      </w:r>
      <w:r>
        <w:t xml:space="preserve"> </w:t>
      </w:r>
      <w:r>
        <w:t xml:space="preserve">EUR 738.52 to between EUR 671.37 and EUR 615.42175. There would be one-off costs relating to</w:t>
      </w:r>
      <w:r>
        <w:t xml:space="preserve"> </w:t>
      </w:r>
      <w:r>
        <w:t xml:space="preserve">market surveillance authorities adapting their information systems and procedures to the digitalised</w:t>
      </w:r>
      <w:r>
        <w:t xml:space="preserve"> </w:t>
      </w:r>
      <w:r>
        <w:t xml:space="preserve">information but this would already be covered by the ESPR176; additional costs are not expected to</w:t>
      </w:r>
      <w:r>
        <w:t xml:space="preserve"> </w:t>
      </w:r>
      <w:r>
        <w:t xml:space="preserve">be attributed to the revision of the TSD. The ESPR also foresees that the reference to the DPP will</w:t>
      </w:r>
      <w:r>
        <w:t xml:space="preserve"> </w:t>
      </w:r>
      <w:r>
        <w:t xml:space="preserve">be included in a central registry, managed by the Commission, as well as the interconnection with</w:t>
      </w:r>
      <w:r>
        <w:t xml:space="preserve"> </w:t>
      </w:r>
      <w:r>
        <w:t xml:space="preserve">the underlying IT infrastructure for customs purposes, in order to allow for the automatic verification</w:t>
      </w:r>
      <w:r>
        <w:t xml:space="preserve"> </w:t>
      </w:r>
      <w:r>
        <w:t xml:space="preserve">of the existence of a DPP at the time of import. In terms of customs controls, this option would entail</w:t>
      </w:r>
      <w:r>
        <w:t xml:space="preserve"> </w:t>
      </w:r>
      <w:r>
        <w:t xml:space="preserve">the submission of the required documentation by the importer at a stage before the actual shipping of</w:t>
      </w:r>
    </w:p>
    <w:p>
      <w:pPr>
        <w:pStyle w:val="BodyText"/>
      </w:pPr>
      <w:r>
        <w:t xml:space="preserve">172 Evaluation of Toys safety Directive, p. 64</w:t>
      </w:r>
      <w:r>
        <w:t xml:space="preserve"> </w:t>
      </w:r>
      <w:r>
        <w:t xml:space="preserve">173 The Evaluation also estimated costs for “getting supply chain information” of EUR 700 per toy model.</w:t>
      </w:r>
      <w:r>
        <w:t xml:space="preserve"> </w:t>
      </w:r>
      <w:r>
        <w:t xml:space="preserve">174 Based on assumptions of experts consulted in the framework of the supporting study. See annex 14 for the detailed</w:t>
      </w:r>
      <w:r>
        <w:t xml:space="preserve"> </w:t>
      </w:r>
      <w:r>
        <w:t xml:space="preserve">explanations on these estimates.</w:t>
      </w:r>
      <w:r>
        <w:t xml:space="preserve"> </w:t>
      </w:r>
      <w:r>
        <w:t xml:space="preserve">175 The extent to which the efficiency gains will translate into a precise increase in the number of inspections may vary</w:t>
      </w:r>
      <w:r>
        <w:t xml:space="preserve"> </w:t>
      </w:r>
      <w:r>
        <w:t xml:space="preserve">in practice depending on the specific time and resources saved as well as the precise toys subject to inspection. As such,</w:t>
      </w:r>
      <w:r>
        <w:t xml:space="preserve"> </w:t>
      </w:r>
      <w:r>
        <w:t xml:space="preserve">this analysis presents certain estimates to illustrate the impact of the policy options in the increase of number of</w:t>
      </w:r>
      <w:r>
        <w:t xml:space="preserve"> </w:t>
      </w:r>
      <w:r>
        <w:t xml:space="preserve">inspections, but the precise increase in practice would probably be lower.</w:t>
      </w:r>
      <w:r>
        <w:br/>
      </w:r>
      <w:r>
        <w:t xml:space="preserve">176 Commission staff document SWD(2022) 82 final, p.61.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51</w:t>
      </w:r>
      <w:r>
        <w:t xml:space="preserve"> </w:t>
      </w:r>
      <w:r>
        <w:t xml:space="preserve">EN</w:t>
      </w:r>
      <w:r>
        <w:t xml:space="preserve"> </w:t>
      </w:r>
      <w:r>
        <w:t xml:space="preserve">the toy, which will apply to any toy entering the EU. This would lead to potential savings for customs</w:t>
      </w:r>
      <w:r>
        <w:t xml:space="preserve"> </w:t>
      </w:r>
      <w:r>
        <w:t xml:space="preserve">with less shipments on hold at the border177. Customs authorities would check through automated</w:t>
      </w:r>
      <w:r>
        <w:t xml:space="preserve"> </w:t>
      </w:r>
      <w:r>
        <w:t xml:space="preserve">systems the provision with the imported shipment of the DPP, thereby ensuring a minimum automatic</w:t>
      </w:r>
      <w:r>
        <w:t xml:space="preserve"> </w:t>
      </w:r>
      <w:r>
        <w:t xml:space="preserve">check of the existence of the DPP on any toy entering the EU, either in small consignments or in</w:t>
      </w:r>
      <w:r>
        <w:t xml:space="preserve"> </w:t>
      </w:r>
      <w:r>
        <w:t xml:space="preserve">higher volumes. The actual content of the DPP and the toy itself could still be subject to checks by</w:t>
      </w:r>
      <w:r>
        <w:t xml:space="preserve"> </w:t>
      </w:r>
      <w:r>
        <w:t xml:space="preserve">the relevant national market surveillance authorities. Carrying out automatic controls would allow</w:t>
      </w:r>
      <w:r>
        <w:t xml:space="preserve"> </w:t>
      </w:r>
      <w:r>
        <w:t xml:space="preserve">customs to reduce their costs and likely allow more effective and targeted controls.</w:t>
      </w:r>
      <w:r>
        <w:t xml:space="preserve"> </w:t>
      </w:r>
      <w:r>
        <w:t xml:space="preserve">Impacts on innovation, competitiveness and single market</w:t>
      </w:r>
      <w:r>
        <w:t xml:space="preserve"> </w:t>
      </w:r>
      <w:r>
        <w:t xml:space="preserve">This option is expected to lead to significant benefits for the competitiveness of companies. Firstly,</w:t>
      </w:r>
      <w:r>
        <w:t xml:space="preserve"> </w:t>
      </w:r>
      <w:r>
        <w:t xml:space="preserve">the digitalisation of product information (including regulatory compliance aspects) could lead to</w:t>
      </w:r>
      <w:r>
        <w:t xml:space="preserve"> </w:t>
      </w:r>
      <w:r>
        <w:t xml:space="preserve">greater efficiencies and cost savings. Once toys are subject to the ESPR, relying on the DPP already</w:t>
      </w:r>
      <w:r>
        <w:t xml:space="preserve"> </w:t>
      </w:r>
      <w:r>
        <w:t xml:space="preserve">for compliance under the toy safety rules will lead to important savings for the toy industry. In</w:t>
      </w:r>
      <w:r>
        <w:t xml:space="preserve"> </w:t>
      </w:r>
      <w:r>
        <w:t xml:space="preserve">addition, the information that could be mandatorily required under the ESPR in the DPP could bring</w:t>
      </w:r>
      <w:r>
        <w:t xml:space="preserve"> </w:t>
      </w:r>
      <w:r>
        <w:t xml:space="preserve">synergies if it helps contribute both towards meeting toy safety compliance requirements, for</w:t>
      </w:r>
      <w:r>
        <w:t xml:space="preserve"> </w:t>
      </w:r>
      <w:r>
        <w:t xml:space="preserve">example, and information on specific chemicals. Furthermore, this option is expected to lead to</w:t>
      </w:r>
      <w:r>
        <w:t xml:space="preserve"> </w:t>
      </w:r>
      <w:r>
        <w:t xml:space="preserve">important reductions in the number of non-compliant toys in the EU. This is because, first of all, it</w:t>
      </w:r>
      <w:r>
        <w:t xml:space="preserve"> </w:t>
      </w:r>
      <w:r>
        <w:t xml:space="preserve">will allow market surveillance authorities to be more efficient in their inspections and target products</w:t>
      </w:r>
      <w:r>
        <w:t xml:space="preserve"> </w:t>
      </w:r>
      <w:r>
        <w:t xml:space="preserve">without the DPP which may be more likely non-compliant. In addition, currently toys entering the</w:t>
      </w:r>
      <w:r>
        <w:t xml:space="preserve"> </w:t>
      </w:r>
      <w:r>
        <w:t xml:space="preserve">Union market from third countries are subject to controls at the border on a risk- based approach.</w:t>
      </w:r>
      <w:r>
        <w:t xml:space="preserve"> </w:t>
      </w:r>
      <w:r>
        <w:t xml:space="preserve">Under PO2b the presence of the DPP in toys will be automatically verified at customs when toys are</w:t>
      </w:r>
      <w:r>
        <w:t xml:space="preserve"> </w:t>
      </w:r>
      <w:r>
        <w:t xml:space="preserve">presented for release for free circulation. These will apply to any toy entering the Union market,</w:t>
      </w:r>
      <w:r>
        <w:t xml:space="preserve"> </w:t>
      </w:r>
      <w:r>
        <w:t xml:space="preserve">either bought online or through other distribution channels. Toys without the DPP will be prevented</w:t>
      </w:r>
      <w:r>
        <w:t xml:space="preserve"> </w:t>
      </w:r>
      <w:r>
        <w:t xml:space="preserve">from being released for free circulation in the Union market. These automatic controls at customs are</w:t>
      </w:r>
      <w:r>
        <w:t xml:space="preserve"> </w:t>
      </w:r>
      <w:r>
        <w:t xml:space="preserve">expected to have significant impacts in reducing the number of non-compliant toys entering the</w:t>
      </w:r>
      <w:r>
        <w:t xml:space="preserve"> </w:t>
      </w:r>
      <w:r>
        <w:t xml:space="preserve">Union market. This will prevent that toys not intended for the Union market reach EU customers. It</w:t>
      </w:r>
      <w:r>
        <w:t xml:space="preserve"> </w:t>
      </w:r>
      <w:r>
        <w:t xml:space="preserve">will only be possible to create the DPP if a valid EU declaration of conformity exists for the toy. All</w:t>
      </w:r>
      <w:r>
        <w:t xml:space="preserve"> </w:t>
      </w:r>
      <w:r>
        <w:t xml:space="preserve">toys imported into the Union market will have the EU declaration of conformity, and this will be</w:t>
      </w:r>
      <w:r>
        <w:t xml:space="preserve"> </w:t>
      </w:r>
      <w:r>
        <w:t xml:space="preserve">easier to verify when market surveillance authorities inspect them.</w:t>
      </w:r>
      <w:r>
        <w:t xml:space="preserve"> </w:t>
      </w:r>
      <w:r>
        <w:t xml:space="preserve">The overall reduction of the number of non-compliant toys will have a positive impact on the</w:t>
      </w:r>
      <w:r>
        <w:t xml:space="preserve"> </w:t>
      </w:r>
      <w:r>
        <w:t xml:space="preserve">competitiveness of compliant manufacturers by improving the level playing field and curtailing illicit</w:t>
      </w:r>
      <w:r>
        <w:t xml:space="preserve"> </w:t>
      </w:r>
      <w:r>
        <w:t xml:space="preserve">competition. A shift in demand to compliant products in the EU can also occur. SMEs were concerned</w:t>
      </w:r>
      <w:r>
        <w:t xml:space="preserve"> </w:t>
      </w:r>
      <w:r>
        <w:t xml:space="preserve">about the impacts of this option on their competitiveness as they are less able to invest in digitalisation</w:t>
      </w:r>
      <w:r>
        <w:t xml:space="preserve"> </w:t>
      </w:r>
      <w:r>
        <w:t xml:space="preserve">compared with large firms. Despite this, this option was still seen very positively by industry, both</w:t>
      </w:r>
      <w:r>
        <w:t xml:space="preserve"> </w:t>
      </w:r>
      <w:r>
        <w:t xml:space="preserve">by large firms and SMEs178. Digitalisation of product information was therefore welcomed by</w:t>
      </w:r>
      <w:r>
        <w:t xml:space="preserve"> </w:t>
      </w:r>
      <w:r>
        <w:t xml:space="preserve">industry as a means of modernising the provision of regulatory compliance and supply chain</w:t>
      </w:r>
      <w:r>
        <w:t xml:space="preserve"> </w:t>
      </w:r>
      <w:r>
        <w:t xml:space="preserve">information, despite certain concerns on costs by SMEs. This in turn could improve the functioning</w:t>
      </w:r>
      <w:r>
        <w:t xml:space="preserve"> </w:t>
      </w:r>
      <w:r>
        <w:t xml:space="preserve">of the single market as digitalisation of certain information is being actively considered and is close</w:t>
      </w:r>
      <w:r>
        <w:t xml:space="preserve"> </w:t>
      </w:r>
      <w:r>
        <w:t xml:space="preserve">to being introduced in other EU legislation (e.g. fertilisers, chemicals and detergents) and other global</w:t>
      </w:r>
      <w:r>
        <w:t xml:space="preserve"> </w:t>
      </w:r>
      <w:r>
        <w:t xml:space="preserve">jurisdictions that have also embraced digital labelling.</w:t>
      </w:r>
      <w:r>
        <w:br/>
      </w:r>
      <w:r>
        <w:t xml:space="preserve">This option could have certain positive impacts on employment, as toy manufacturers will need to</w:t>
      </w:r>
      <w:r>
        <w:t xml:space="preserve"> </w:t>
      </w:r>
      <w:r>
        <w:t xml:space="preserve">dedicate resources to ensure the digitalisation of information. There might be a shift in demand</w:t>
      </w:r>
      <w:r>
        <w:t xml:space="preserve"> </w:t>
      </w:r>
      <w:r>
        <w:t xml:space="preserve">towards IT skills and qualifications.</w:t>
      </w:r>
    </w:p>
    <w:p>
      <w:pPr>
        <w:pStyle w:val="BodyText"/>
      </w:pPr>
      <w:r>
        <w:t xml:space="preserve">177 See annex 14 for the detailed explanations on the impacts for authorities. Source: study for the revision of the Toy</w:t>
      </w:r>
      <w:r>
        <w:t xml:space="preserve"> </w:t>
      </w:r>
      <w:r>
        <w:t xml:space="preserve">Safety Directive.</w:t>
      </w:r>
      <w:r>
        <w:t xml:space="preserve"> </w:t>
      </w:r>
      <w:r>
        <w:t xml:space="preserve">178 Source: targeted survey and interviews, see annex 2 on the consultation activities and annex 14 on detailed impacts</w:t>
      </w:r>
      <w:r>
        <w:t xml:space="preserve"> </w:t>
      </w:r>
      <w:r>
        <w:t xml:space="preserve">on competitiveness.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52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Social impacts - Impacts on human health</w:t>
      </w:r>
      <w:r>
        <w:t xml:space="preserve"> </w:t>
      </w:r>
      <w:r>
        <w:t xml:space="preserve">The introduction of a DPP could have significant impacts on the number of illicit toys and in</w:t>
      </w:r>
      <w:r>
        <w:t xml:space="preserve"> </w:t>
      </w:r>
      <w:r>
        <w:t xml:space="preserve">protection from the health risks of those. Controls at customs of the presence of the DPP would be</w:t>
      </w:r>
      <w:r>
        <w:t xml:space="preserve"> </w:t>
      </w:r>
      <w:r>
        <w:t xml:space="preserve">rendered automatic in the first place, facilitating that a significant percentage of non-compliant toys</w:t>
      </w:r>
      <w:r>
        <w:t xml:space="preserve"> </w:t>
      </w:r>
      <w:r>
        <w:t xml:space="preserve">are prevented from being released for free circulation in the Union market. In terms of consumer</w:t>
      </w:r>
      <w:r>
        <w:t xml:space="preserve"> </w:t>
      </w:r>
      <w:r>
        <w:t xml:space="preserve">welfare, it will lead to positive impacts on product safety and consumer trust, and should not affect</w:t>
      </w:r>
      <w:r>
        <w:t xml:space="preserve"> </w:t>
      </w:r>
      <w:r>
        <w:t xml:space="preserve">the choice or price of toys.</w:t>
      </w:r>
      <w:r>
        <w:t xml:space="preserve"> </w:t>
      </w:r>
      <w:r>
        <w:t xml:space="preserve">Impacts on the environment</w:t>
      </w:r>
      <w:r>
        <w:t xml:space="preserve"> </w:t>
      </w:r>
      <w:r>
        <w:t xml:space="preserve">As explained in PO2a, non-compliant and dangerous toys are more harmful to the environment,</w:t>
      </w:r>
      <w:r>
        <w:t xml:space="preserve"> </w:t>
      </w:r>
      <w:r>
        <w:t xml:space="preserve">therefore, a reduction of the number of such toys would mean less pollution. As this option is likely</w:t>
      </w:r>
      <w:r>
        <w:t xml:space="preserve"> </w:t>
      </w:r>
      <w:r>
        <w:t xml:space="preserve">to significantly reduce the number of non-compliant toys, the benefits on the environment may also</w:t>
      </w:r>
      <w:r>
        <w:t xml:space="preserve"> </w:t>
      </w:r>
      <w:r>
        <w:t xml:space="preserve">be relevant. Less harmful substances would be present in recycled materials from toys, which could</w:t>
      </w:r>
      <w:r>
        <w:t xml:space="preserve"> </w:t>
      </w:r>
      <w:r>
        <w:t xml:space="preserve">then be used more safely. Additionally, the digital passport for toys could help reduce the number of</w:t>
      </w:r>
      <w:r>
        <w:t xml:space="preserve"> </w:t>
      </w:r>
      <w:r>
        <w:t xml:space="preserve">papers used by economic operators and national authorities; however this impact could not be</w:t>
      </w:r>
      <w:r>
        <w:t xml:space="preserve"> </w:t>
      </w:r>
      <w:r>
        <w:t xml:space="preserve">quantified.</w:t>
      </w:r>
      <w:r>
        <w:br/>
      </w:r>
      <w:r>
        <w:t xml:space="preserve">Stakeholders’ views</w:t>
      </w:r>
      <w:r>
        <w:t xml:space="preserve"> </w:t>
      </w:r>
      <w:r>
        <w:t xml:space="preserve">59% of consumer/environmental groups (36 out of 61), 96% of public authorities (30 out of 31) and</w:t>
      </w:r>
      <w:r>
        <w:t xml:space="preserve"> </w:t>
      </w:r>
      <w:r>
        <w:t xml:space="preserve">52 % of industry (47 out of 89) supported that toys should have a DPP with compliance information</w:t>
      </w:r>
      <w:r>
        <w:t xml:space="preserve"> </w:t>
      </w:r>
      <w:r>
        <w:t xml:space="preserve">to improve enforcement.</w:t>
      </w:r>
      <w:r>
        <w:t xml:space="preserve"> </w:t>
      </w:r>
      <w:r>
        <w:t xml:space="preserve">6.6.</w:t>
      </w:r>
      <w:r>
        <w:t xml:space="preserve"> </w:t>
      </w:r>
      <w:r>
        <w:t xml:space="preserve">Policy option 2c: Extending third party conformity assessment and facilitation of</w:t>
      </w:r>
      <w:r>
        <w:t xml:space="preserve"> </w:t>
      </w:r>
      <w:r>
        <w:t xml:space="preserve">market surveillance through digitalisation</w:t>
      </w:r>
      <w:r>
        <w:t xml:space="preserve"> </w:t>
      </w:r>
      <w:r>
        <w:t xml:space="preserve">Economic impacts - Impacts on economic operators</w:t>
      </w:r>
      <w:r>
        <w:t xml:space="preserve"> </w:t>
      </w:r>
      <w:r>
        <w:t xml:space="preserve">The costs and savings of this PO2c will be the sum of costs and savings estimated for PO2a and</w:t>
      </w:r>
      <w:r>
        <w:t xml:space="preserve"> </w:t>
      </w:r>
      <w:r>
        <w:t xml:space="preserve">PO2c. No additional adjustment costs are expected.</w:t>
      </w:r>
      <w:r>
        <w:t xml:space="preserve"> </w:t>
      </w:r>
      <w:r>
        <w:t xml:space="preserve">Impacts on public authorities</w:t>
      </w:r>
      <w:r>
        <w:br/>
      </w:r>
      <w:r>
        <w:t xml:space="preserve">While it is difficult to assess the exact scale of the reduction in the times needed to undertake</w:t>
      </w:r>
      <w:r>
        <w:t xml:space="preserve"> </w:t>
      </w:r>
      <w:r>
        <w:t xml:space="preserve">inspections under PO 2c, the effects of option 2a and 2b are expected to be aggregated. As such, the</w:t>
      </w:r>
      <w:r>
        <w:t xml:space="preserve"> </w:t>
      </w:r>
      <w:r>
        <w:t xml:space="preserve">time savings for inspections would be in the range of 15% 25%179. The average number of</w:t>
      </w:r>
      <w:r>
        <w:t xml:space="preserve"> </w:t>
      </w:r>
      <w:r>
        <w:t xml:space="preserve">inspections in the EU is expected to rise to a maximum by an additional 3500 to 6000 per year</w:t>
      </w:r>
      <w:r>
        <w:t xml:space="preserve"> </w:t>
      </w:r>
      <w:r>
        <w:t xml:space="preserve">(from 25,259 to between 29,048 and 31,573) assuming the budget allocated for market surveillance</w:t>
      </w:r>
      <w:r>
        <w:t xml:space="preserve"> </w:t>
      </w:r>
      <w:r>
        <w:t xml:space="preserve">in toys will remain the same and that the efficiency gains will be reinvested in additional toy</w:t>
      </w:r>
      <w:r>
        <w:t xml:space="preserve"> </w:t>
      </w:r>
      <w:r>
        <w:t xml:space="preserve">inspections thus lowering the cost per inspection from EUR 738.52 to between EUR 642.18 and</w:t>
      </w:r>
      <w:r>
        <w:t xml:space="preserve"> </w:t>
      </w:r>
      <w:r>
        <w:t xml:space="preserve">EUR 590.83180. Other impacts for market surveillance and customs were already highlighted in the</w:t>
      </w:r>
      <w:r>
        <w:t xml:space="preserve"> </w:t>
      </w:r>
      <w:r>
        <w:t xml:space="preserve">analysis of PO2b.</w:t>
      </w:r>
    </w:p>
    <w:p>
      <w:pPr>
        <w:pStyle w:val="BodyText"/>
      </w:pPr>
      <w:r>
        <w:t xml:space="preserve">179 See annex 14 for detailed explanations on these estimates. These calculations are based on interviews with market</w:t>
      </w:r>
      <w:r>
        <w:t xml:space="preserve"> </w:t>
      </w:r>
      <w:r>
        <w:t xml:space="preserve">surveillance authorities and the efficiency in conducting inspections they have declared if the DPP would be available.</w:t>
      </w:r>
      <w:r>
        <w:t xml:space="preserve"> </w:t>
      </w:r>
      <w:r>
        <w:t xml:space="preserve">180 The extent to which the efficiency gains will translate into a precise increase in the number of inspections may vary</w:t>
      </w:r>
      <w:r>
        <w:t xml:space="preserve"> </w:t>
      </w:r>
      <w:r>
        <w:t xml:space="preserve">in practice depending on the specific time and resources saved, the reallocation of those resources to toy inspections, as</w:t>
      </w:r>
      <w:r>
        <w:t xml:space="preserve"> </w:t>
      </w:r>
      <w:r>
        <w:t xml:space="preserve">well as the precise toys subject to inspection. As such, this analysis presents certain estimates to illustrate the impact of</w:t>
      </w:r>
      <w:r>
        <w:t xml:space="preserve"> </w:t>
      </w:r>
      <w:r>
        <w:t xml:space="preserve">the policy options in the increase of number of inspections, but the precise increase in practice would probably be lower.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53</w:t>
      </w:r>
      <w:r>
        <w:t xml:space="preserve"> </w:t>
      </w:r>
      <w:r>
        <w:t xml:space="preserve">EN</w:t>
      </w:r>
      <w:r>
        <w:t xml:space="preserve"> </w:t>
      </w:r>
      <w:r>
        <w:t xml:space="preserve">Impacts on innovation, competitiveness and single market</w:t>
      </w:r>
      <w:r>
        <w:t xml:space="preserve"> </w:t>
      </w:r>
      <w:r>
        <w:t xml:space="preserve">The impacts on innovation, competitiveness, the single market and employment were already</w:t>
      </w:r>
      <w:r>
        <w:t xml:space="preserve"> </w:t>
      </w:r>
      <w:r>
        <w:t xml:space="preserve">highlighted in the analysis of PO2a and PO2b. However this option will lead to a stronger reduction</w:t>
      </w:r>
      <w:r>
        <w:t xml:space="preserve"> </w:t>
      </w:r>
      <w:r>
        <w:t xml:space="preserve">of the number of non-compliant toys thereby strengthening the competitive position of compliant</w:t>
      </w:r>
      <w:r>
        <w:t xml:space="preserve"> </w:t>
      </w:r>
      <w:r>
        <w:t xml:space="preserve">manufacturers.</w:t>
      </w:r>
      <w:r>
        <w:br/>
      </w:r>
      <w:r>
        <w:t xml:space="preserve">Social impacts: Impacts on human health</w:t>
      </w:r>
      <w:r>
        <w:t xml:space="preserve"> </w:t>
      </w:r>
      <w:r>
        <w:t xml:space="preserve">This option will have strong impacts on improving human health, as it will lead to significant</w:t>
      </w:r>
      <w:r>
        <w:t xml:space="preserve"> </w:t>
      </w:r>
      <w:r>
        <w:t xml:space="preserve">reductions of the number of non-compliant toys. The two PO2a and 2b combined in PO 2c will</w:t>
      </w:r>
      <w:r>
        <w:t xml:space="preserve"> </w:t>
      </w:r>
      <w:r>
        <w:t xml:space="preserve">reinforce each other. A real improvement in market surveillance could be achieved with more</w:t>
      </w:r>
      <w:r>
        <w:t xml:space="preserve"> </w:t>
      </w:r>
      <w:r>
        <w:t xml:space="preserve">certainty on the assessments coming from third party conformity assessments and the information</w:t>
      </w:r>
      <w:r>
        <w:t xml:space="preserve"> </w:t>
      </w:r>
      <w:r>
        <w:t xml:space="preserve">more easily available with the DPP. The impacts on consumer welfare in terms of increased product</w:t>
      </w:r>
      <w:r>
        <w:t xml:space="preserve"> </w:t>
      </w:r>
      <w:r>
        <w:t xml:space="preserve">safety and trust will also be high.</w:t>
      </w:r>
      <w:r>
        <w:t xml:space="preserve"> </w:t>
      </w:r>
      <w:r>
        <w:t xml:space="preserve">Impacts on the environment</w:t>
      </w:r>
      <w:r>
        <w:t xml:space="preserve"> </w:t>
      </w:r>
      <w:r>
        <w:t xml:space="preserve">Both measures combined would lead to less non-compliant toys in the EU market, and thus more</w:t>
      </w:r>
      <w:r>
        <w:t xml:space="preserve"> </w:t>
      </w:r>
      <w:r>
        <w:t xml:space="preserve">benefits for the environment. Less harmful substances would be present in recycled materials from</w:t>
      </w:r>
      <w:r>
        <w:t xml:space="preserve"> </w:t>
      </w:r>
      <w:r>
        <w:t xml:space="preserve">toys, which could then be used more safely. Digitalisation should lead to less paper consumption.</w:t>
      </w:r>
      <w:r>
        <w:br/>
      </w:r>
      <w:r>
        <w:t xml:space="preserve">7.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7.1.</w:t>
      </w:r>
      <w:r>
        <w:t xml:space="preserve"> </w:t>
      </w:r>
      <w:r>
        <w:t xml:space="preserve">Effectiveness of the proposed policy options</w:t>
      </w:r>
      <w:r>
        <w:t xml:space="preserve"> </w:t>
      </w:r>
      <w:r>
        <w:t xml:space="preserve">The following table presents the effectiveness of the proposed options against the relevant specific</w:t>
      </w:r>
      <w:r>
        <w:t xml:space="preserve"> </w:t>
      </w:r>
      <w:r>
        <w:t xml:space="preserve">objectives.</w:t>
      </w:r>
    </w:p>
    <w:p>
      <w:pPr>
        <w:pStyle w:val="BodyText"/>
      </w:pPr>
      <w:r>
        <w:t xml:space="preserve">SO1:</w:t>
      </w:r>
      <w:r>
        <w:t xml:space="preserve"> </w:t>
      </w:r>
      <w:r>
        <w:t xml:space="preserve">Higher</w:t>
      </w:r>
      <w:r>
        <w:t xml:space="preserve"> </w:t>
      </w:r>
      <w:r>
        <w:t xml:space="preserve">protection</w:t>
      </w:r>
      <w:r>
        <w:t xml:space="preserve"> </w:t>
      </w:r>
      <w:r>
        <w:t xml:space="preserve">of</w:t>
      </w:r>
      <w:r>
        <w:t xml:space="preserve"> </w:t>
      </w:r>
      <w:r>
        <w:t xml:space="preserve">children</w:t>
      </w:r>
      <w:r>
        <w:t xml:space="preserve"> </w:t>
      </w:r>
      <w:r>
        <w:t xml:space="preserve">from</w:t>
      </w:r>
      <w:r>
        <w:t xml:space="preserve"> </w:t>
      </w:r>
      <w:r>
        <w:t xml:space="preserve">harmful chemicals</w:t>
      </w:r>
      <w:r>
        <w:t xml:space="preserve"> </w:t>
      </w:r>
      <w:r>
        <w:t xml:space="preserve">SO2:</w:t>
      </w:r>
      <w:r>
        <w:t xml:space="preserve"> </w:t>
      </w:r>
      <w:r>
        <w:t xml:space="preserve">Flexibility</w:t>
      </w:r>
      <w:r>
        <w:t xml:space="preserve"> </w:t>
      </w:r>
      <w:r>
        <w:t xml:space="preserve">to</w:t>
      </w:r>
      <w:r>
        <w:t xml:space="preserve"> </w:t>
      </w:r>
      <w:r>
        <w:t xml:space="preserve">adapt to new scientific</w:t>
      </w:r>
      <w:r>
        <w:t xml:space="preserve"> </w:t>
      </w:r>
      <w:r>
        <w:t xml:space="preserve">knowledge</w:t>
      </w:r>
      <w:r>
        <w:t xml:space="preserve"> </w:t>
      </w:r>
      <w:r>
        <w:t xml:space="preserve">SO3: Reduce the number</w:t>
      </w:r>
      <w:r>
        <w:t xml:space="preserve"> </w:t>
      </w:r>
      <w:r>
        <w:t xml:space="preserve">of</w:t>
      </w:r>
      <w:r>
        <w:t xml:space="preserve"> </w:t>
      </w:r>
      <w:r>
        <w:t xml:space="preserve">non-compliant</w:t>
      </w:r>
      <w:r>
        <w:t xml:space="preserve"> </w:t>
      </w:r>
      <w:r>
        <w:t xml:space="preserve">and</w:t>
      </w:r>
      <w:r>
        <w:t xml:space="preserve"> </w:t>
      </w:r>
      <w:r>
        <w:t xml:space="preserve">unsafe products</w:t>
      </w:r>
      <w:r>
        <w:t xml:space="preserve"> </w:t>
      </w:r>
      <w:r>
        <w:t xml:space="preserve">SO4:</w:t>
      </w:r>
      <w:r>
        <w:t xml:space="preserve"> </w:t>
      </w:r>
      <w:r>
        <w:t xml:space="preserve">facilitate</w:t>
      </w:r>
      <w:r>
        <w:t xml:space="preserve"> </w:t>
      </w:r>
      <w:r>
        <w:t xml:space="preserve">enforcement</w:t>
      </w:r>
      <w:r>
        <w:t xml:space="preserve"> </w:t>
      </w:r>
      <w:r>
        <w:t xml:space="preserve">Option 1a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+-</w:t>
      </w:r>
      <w:r>
        <w:t xml:space="preserve"> </w:t>
      </w:r>
      <w:r>
        <w:t xml:space="preserve">+-</w:t>
      </w:r>
      <w:r>
        <w:t xml:space="preserve"> </w:t>
      </w:r>
      <w:r>
        <w:t xml:space="preserve">Option 1b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+-</w:t>
      </w:r>
      <w:r>
        <w:t xml:space="preserve"> </w:t>
      </w:r>
      <w:r>
        <w:t xml:space="preserve">+-</w:t>
      </w:r>
      <w:r>
        <w:t xml:space="preserve"> </w:t>
      </w:r>
      <w:r>
        <w:t xml:space="preserve">Option 1c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+-</w:t>
      </w:r>
      <w:r>
        <w:t xml:space="preserve"> </w:t>
      </w:r>
      <w:r>
        <w:t xml:space="preserve">+-</w:t>
      </w:r>
      <w:r>
        <w:t xml:space="preserve"> </w:t>
      </w:r>
      <w:r>
        <w:t xml:space="preserve">Option 2a</w:t>
      </w:r>
      <w:r>
        <w:t xml:space="preserve"> </w:t>
      </w:r>
      <w:r>
        <w:t xml:space="preserve">+</w:t>
      </w:r>
      <w:r>
        <w:t xml:space="preserve"> </w:t>
      </w:r>
      <w:r>
        <w:t xml:space="preserve">+-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Option 2b</w:t>
      </w:r>
      <w:r>
        <w:t xml:space="preserve"> </w:t>
      </w:r>
      <w:r>
        <w:t xml:space="preserve">++</w:t>
      </w:r>
      <w:r>
        <w:t xml:space="preserve"> </w:t>
      </w:r>
      <w:r>
        <w:t xml:space="preserve">+-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Option 2c</w:t>
      </w:r>
      <w:r>
        <w:t xml:space="preserve"> </w:t>
      </w:r>
      <w:r>
        <w:t xml:space="preserve">++</w:t>
      </w:r>
      <w:r>
        <w:t xml:space="preserve"> </w:t>
      </w:r>
      <w:r>
        <w:t xml:space="preserve">+-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Legend: +- no relevance; + limited effectiveness; ++ effective; +++ very effective</w:t>
      </w:r>
      <w:r>
        <w:t xml:space="preserve"> </w:t>
      </w:r>
      <w:r>
        <w:t xml:space="preserve">Introducing generic bans for chemicals classified under the most harmful hazard classes181 as</w:t>
      </w:r>
      <w:r>
        <w:t xml:space="preserve"> </w:t>
      </w:r>
      <w:r>
        <w:t xml:space="preserve">proposed in options 1b and 1c is the most preventive approach for regulating chemical</w:t>
      </w:r>
      <w:r>
        <w:t xml:space="preserve"> </w:t>
      </w:r>
      <w:r>
        <w:t xml:space="preserve">substances. This is because substances are preventively banned in toys as soon as they are classified</w:t>
      </w:r>
      <w:r>
        <w:t xml:space="preserve"> </w:t>
      </w:r>
      <w:r>
        <w:t xml:space="preserve">without having to assess whether their use in toys poses a risk to children (as required in option 1a).</w:t>
      </w:r>
      <w:r>
        <w:t xml:space="preserve"> </w:t>
      </w:r>
      <w:r>
        <w:t xml:space="preserve">These specific risk assessments in toys have proven to be laborious and time consuming in the past,</w:t>
      </w:r>
      <w:r>
        <w:t xml:space="preserve"> </w:t>
      </w:r>
      <w:r>
        <w:t xml:space="preserve">although ensuring tailor-made protection. The time between the identification of a hazard for children</w:t>
      </w:r>
      <w:r>
        <w:t xml:space="preserve"> </w:t>
      </w:r>
      <w:r>
        <w:t xml:space="preserve">or from the classification of a chemical as hazardous under the CLP Regulation until it is banned in</w:t>
      </w:r>
      <w:r>
        <w:t xml:space="preserve"> </w:t>
      </w:r>
      <w:r>
        <w:t xml:space="preserve">toys is likely to be too long (around 2 years in past instances), leaving children unprotected for a</w:t>
      </w:r>
    </w:p>
    <w:p>
      <w:pPr>
        <w:pStyle w:val="BodyText"/>
      </w:pPr>
      <w:r>
        <w:t xml:space="preserve">181</w:t>
      </w:r>
      <w:r>
        <w:br/>
      </w:r>
      <w:r>
        <w:t xml:space="preserve">The so-called generic risk approach for chemicals (GRA).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54</w:t>
      </w:r>
      <w:r>
        <w:t xml:space="preserve"> </w:t>
      </w:r>
      <w:r>
        <w:t xml:space="preserve">EN</w:t>
      </w:r>
      <w:r>
        <w:t xml:space="preserve"> </w:t>
      </w:r>
      <w:r>
        <w:t xml:space="preserve">certain period of time and requiring prioritisation of substances to be tackled in toys. This is why</w:t>
      </w:r>
      <w:r>
        <w:t xml:space="preserve"> </w:t>
      </w:r>
      <w:r>
        <w:t xml:space="preserve">PO1a is not considered as effective in ensuring protection of children from harmful chemicals.</w:t>
      </w:r>
      <w:r>
        <w:t xml:space="preserve"> </w:t>
      </w:r>
      <w:r>
        <w:t xml:space="preserve">PO1a will ensure that the TSD can adapt to emerging scientific knowledge though in a less</w:t>
      </w:r>
      <w:r>
        <w:t xml:space="preserve"> </w:t>
      </w:r>
      <w:r>
        <w:t xml:space="preserve">streamlined manner than PO1b and PO1c. This is because under PO1b and PO1c, as soon as</w:t>
      </w:r>
      <w:r>
        <w:t xml:space="preserve"> </w:t>
      </w:r>
      <w:r>
        <w:t xml:space="preserve">substances are classified in one of the most harmful hazard classes under the CLP Regulation, they</w:t>
      </w:r>
      <w:r>
        <w:t xml:space="preserve"> </w:t>
      </w:r>
      <w:r>
        <w:t xml:space="preserve">will be banned in toys. PO1a will require the identification of specific substances that are found to</w:t>
      </w:r>
      <w:r>
        <w:t xml:space="preserve"> </w:t>
      </w:r>
      <w:r>
        <w:t xml:space="preserve">pose a specific risk in toys, substance per substance, and carry out a detailed risk assessment of their</w:t>
      </w:r>
      <w:r>
        <w:t xml:space="preserve"> </w:t>
      </w:r>
      <w:r>
        <w:t xml:space="preserve">use in toys, before they are actually regulated.</w:t>
      </w:r>
      <w:r>
        <w:br/>
      </w:r>
      <w:r>
        <w:t xml:space="preserve">PO 1b and PO1c will be similarly effective in ensuring SO1 and the protection of children from the</w:t>
      </w:r>
      <w:r>
        <w:t xml:space="preserve"> </w:t>
      </w:r>
      <w:r>
        <w:t xml:space="preserve">most harmful chemicals, as substances will be preventively banned in toys as soon as they are</w:t>
      </w:r>
      <w:r>
        <w:t xml:space="preserve"> </w:t>
      </w:r>
      <w:r>
        <w:t xml:space="preserve">classified under the most harmful hazard classes in the CLP Regulation, and derogations will only be</w:t>
      </w:r>
      <w:r>
        <w:t xml:space="preserve"> </w:t>
      </w:r>
      <w:r>
        <w:t xml:space="preserve">possible in PO1b if substances are safe for use in toys. The possibility for derogations proposed</w:t>
      </w:r>
      <w:r>
        <w:t xml:space="preserve"> </w:t>
      </w:r>
      <w:r>
        <w:t xml:space="preserve">under option 1b would constitute the main possibility for costs mitigation. If there would be an</w:t>
      </w:r>
      <w:r>
        <w:t xml:space="preserve"> </w:t>
      </w:r>
      <w:r>
        <w:t xml:space="preserve">absolute ban of the most harmful substances without the possibility to have any derogation, the</w:t>
      </w:r>
      <w:r>
        <w:t xml:space="preserve"> </w:t>
      </w:r>
      <w:r>
        <w:t xml:space="preserve">consequences for the toys industry and for entire categories of toys would be extremely severe,</w:t>
      </w:r>
      <w:r>
        <w:t xml:space="preserve"> </w:t>
      </w:r>
      <w:r>
        <w:t xml:space="preserve">without corresponding benefits in the protection of children. For example, as explained above, nickel</w:t>
      </w:r>
      <w:r>
        <w:t xml:space="preserve"> </w:t>
      </w:r>
      <w:r>
        <w:t xml:space="preserve">is classified as a carcinogenic substance. Nevertheless, it is allowed in toy and toy components made</w:t>
      </w:r>
      <w:r>
        <w:t xml:space="preserve"> </w:t>
      </w:r>
      <w:r>
        <w:t xml:space="preserve">of stainless steel or in those toy components which are intended to conduct an electric current, and it</w:t>
      </w:r>
      <w:r>
        <w:t xml:space="preserve"> </w:t>
      </w:r>
      <w:r>
        <w:t xml:space="preserve">actually prevents corrosion of metals. It has been scientifically assessed in the past that nickel present</w:t>
      </w:r>
      <w:r>
        <w:t xml:space="preserve"> </w:t>
      </w:r>
      <w:r>
        <w:t xml:space="preserve">in toys as set out above does not pose a risk for children182. Without a derogation to allow for the</w:t>
      </w:r>
      <w:r>
        <w:t xml:space="preserve"> </w:t>
      </w:r>
      <w:r>
        <w:t xml:space="preserve">presence of nickel, electric toys would not be allowed on the Union market.</w:t>
      </w:r>
      <w:r>
        <w:br/>
      </w:r>
      <w:r>
        <w:t xml:space="preserve">As regards the objectives to reduce the number of unsafe toys and facilitate compliance and</w:t>
      </w:r>
      <w:r>
        <w:t xml:space="preserve"> </w:t>
      </w:r>
      <w:r>
        <w:t xml:space="preserve">enforcement, PO2a will be less effective in reaching the objectives than PO2b, as PO2a is expected</w:t>
      </w:r>
      <w:r>
        <w:t xml:space="preserve"> </w:t>
      </w:r>
      <w:r>
        <w:t xml:space="preserve">to allow a moderate increase in the number of inspections, while option PO2b is expected to lead to</w:t>
      </w:r>
      <w:r>
        <w:t xml:space="preserve"> </w:t>
      </w:r>
      <w:r>
        <w:t xml:space="preserve">more significant efficiency gains and be more effective in increasing inspections. All commercial</w:t>
      </w:r>
      <w:r>
        <w:t xml:space="preserve"> </w:t>
      </w:r>
      <w:r>
        <w:t xml:space="preserve">goods imported into the EU require a customs declaration for release for free circulation. The main</w:t>
      </w:r>
      <w:r>
        <w:t xml:space="preserve"> </w:t>
      </w:r>
      <w:r>
        <w:t xml:space="preserve">benefit of the DPP as proposed in option 2b will be that a reference to it should be included in the</w:t>
      </w:r>
      <w:r>
        <w:t xml:space="preserve"> </w:t>
      </w:r>
      <w:r>
        <w:t xml:space="preserve">customs declaration for every toy, and this includes online purchases by individual EU customers</w:t>
      </w:r>
      <w:r>
        <w:t xml:space="preserve"> </w:t>
      </w:r>
      <w:r>
        <w:t xml:space="preserve">from third countries. The reference of the DPP, which for toys would include the product compliance</w:t>
      </w:r>
      <w:r>
        <w:t xml:space="preserve"> </w:t>
      </w:r>
      <w:r>
        <w:t xml:space="preserve">information, will also have to be included in a central registry managed by the Commission, which</w:t>
      </w:r>
      <w:r>
        <w:t xml:space="preserve"> </w:t>
      </w:r>
      <w:r>
        <w:t xml:space="preserve">will be interconnected with the IT customs environment to allow for its automatic verification. This</w:t>
      </w:r>
      <w:r>
        <w:t xml:space="preserve"> </w:t>
      </w:r>
      <w:r>
        <w:t xml:space="preserve">will allow that any toy which does not indicate a valid DPP reference in the customs declaration</w:t>
      </w:r>
      <w:r>
        <w:t xml:space="preserve"> </w:t>
      </w:r>
      <w:r>
        <w:t xml:space="preserve">is automatically stopped at EU customs and is not released for free circulation. Customs</w:t>
      </w:r>
      <w:r>
        <w:t xml:space="preserve"> </w:t>
      </w:r>
      <w:r>
        <w:t xml:space="preserve">authorities will be able to carry out this automated control on all toys entering the Union market,</w:t>
      </w:r>
      <w:r>
        <w:t xml:space="preserve"> </w:t>
      </w:r>
      <w:r>
        <w:t xml:space="preserve">rather than controls on a risk-based manner on a limited amount of toys as is the case today.</w:t>
      </w:r>
      <w:r>
        <w:t xml:space="preserve"> </w:t>
      </w:r>
      <w:r>
        <w:t xml:space="preserve">Automated controls should have a significant impact on the number of non-compliant toys reaching</w:t>
      </w:r>
      <w:r>
        <w:t xml:space="preserve"> </w:t>
      </w:r>
      <w:r>
        <w:t xml:space="preserve">the Union market. It will prevent that toys not intended for the Union market reach EU customers.</w:t>
      </w:r>
      <w:r>
        <w:t xml:space="preserve"> </w:t>
      </w:r>
      <w:r>
        <w:t xml:space="preserve">All toys imported into the Union market will have the compliance information, and this will be easier</w:t>
      </w:r>
      <w:r>
        <w:t xml:space="preserve"> </w:t>
      </w:r>
      <w:r>
        <w:t xml:space="preserve">to verify when market surveillance authorities inspect them.</w:t>
      </w:r>
      <w:r>
        <w:t xml:space="preserve"> </w:t>
      </w:r>
      <w:r>
        <w:t xml:space="preserve">Furthermore, PO2a will not be as effective in addressing rogue traders who deliberately ignore the</w:t>
      </w:r>
      <w:r>
        <w:t xml:space="preserve"> </w:t>
      </w:r>
      <w:r>
        <w:t xml:space="preserve">rules to gain a competitive advantage, as it will not increase the probability of getting caught and</w:t>
      </w:r>
      <w:r>
        <w:t xml:space="preserve"> </w:t>
      </w:r>
      <w:r>
        <w:t xml:space="preserve">these traders will probably not carry out the third-party conformity assessment. PO2c is however the</w:t>
      </w:r>
      <w:r>
        <w:t xml:space="preserve"> </w:t>
      </w:r>
      <w:r>
        <w:t xml:space="preserve">most effective as it will cumulate the impacts of PO2a and PO2b in achieving the objectives.</w:t>
      </w:r>
      <w:r>
        <w:t xml:space="preserve"> </w:t>
      </w:r>
      <w:r>
        <w:t xml:space="preserve">Nonetheless, most of the effectiveness in PO2c is attributable to PO2b.</w:t>
      </w:r>
    </w:p>
    <w:p>
      <w:pPr>
        <w:pStyle w:val="BodyText"/>
      </w:pPr>
      <w:r>
        <w:t xml:space="preserve">182 https://health.ec.europa.eu/document/download/af3a05ea-2f9f-4939-89c6-1637796d285b_en?filename=scher_o_163.pdf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55</w:t>
      </w:r>
      <w:r>
        <w:t xml:space="preserve"> </w:t>
      </w:r>
      <w:r>
        <w:t xml:space="preserve">EN</w:t>
      </w:r>
      <w:r>
        <w:t xml:space="preserve"> </w:t>
      </w:r>
      <w:r>
        <w:t xml:space="preserve">7.2.</w:t>
      </w:r>
      <w:r>
        <w:t xml:space="preserve"> </w:t>
      </w:r>
      <w:r>
        <w:t xml:space="preserve">Impacts of policy options</w:t>
      </w:r>
      <w:r>
        <w:t xml:space="preserve"> </w:t>
      </w:r>
      <w:r>
        <w:t xml:space="preserve">The following table summarises the costs and benefits, for each policy option, quantified and</w:t>
      </w:r>
      <w:r>
        <w:t xml:space="preserve"> </w:t>
      </w:r>
      <w:r>
        <w:t xml:space="preserve">presented in section 6.</w:t>
      </w:r>
      <w:r>
        <w:br/>
      </w:r>
      <w:r>
        <w:t xml:space="preserve">Costs &amp; Benefits summary table183</w:t>
      </w:r>
    </w:p>
    <w:p>
      <w:pPr>
        <w:pStyle w:val="BodyText"/>
      </w:pPr>
      <w:r>
        <w:t xml:space="preserve">Incremental benefits</w:t>
      </w:r>
      <w:r>
        <w:t xml:space="preserve"> </w:t>
      </w:r>
      <w:r>
        <w:t xml:space="preserve">compared to baseline</w:t>
      </w:r>
      <w:r>
        <w:t xml:space="preserve"> </w:t>
      </w:r>
      <w:r>
        <w:t xml:space="preserve">Incremental costs compared to baseline</w:t>
      </w:r>
      <w:r>
        <w:t xml:space="preserve"> </w:t>
      </w:r>
      <w:r>
        <w:t xml:space="preserve">Incremental</w:t>
      </w:r>
      <w:r>
        <w:t xml:space="preserve"> </w:t>
      </w:r>
      <w:r>
        <w:t xml:space="preserve">adjustment costs –</w:t>
      </w:r>
      <w:r>
        <w:t xml:space="preserve"> </w:t>
      </w:r>
      <w:r>
        <w:t xml:space="preserve">one-off</w:t>
      </w:r>
      <w:r>
        <w:br/>
      </w:r>
      <w:r>
        <w:t xml:space="preserve">Incremental</w:t>
      </w:r>
      <w:r>
        <w:t xml:space="preserve"> </w:t>
      </w:r>
      <w:r>
        <w:t xml:space="preserve">product</w:t>
      </w:r>
      <w:r>
        <w:t xml:space="preserve"> </w:t>
      </w:r>
      <w:r>
        <w:t xml:space="preserve">withdrawals one-</w:t>
      </w:r>
      <w:r>
        <w:t xml:space="preserve"> </w:t>
      </w:r>
      <w:r>
        <w:t xml:space="preserve">off</w:t>
      </w:r>
      <w:r>
        <w:br/>
      </w:r>
      <w:r>
        <w:t xml:space="preserve">Incremental testing</w:t>
      </w:r>
      <w:r>
        <w:t xml:space="preserve"> </w:t>
      </w:r>
      <w:r>
        <w:t xml:space="preserve">costs</w:t>
      </w:r>
      <w:r>
        <w:t xml:space="preserve"> </w:t>
      </w:r>
      <w:r>
        <w:t xml:space="preserve">(recurrent)</w:t>
      </w:r>
      <w:r>
        <w:t xml:space="preserve"> </w:t>
      </w:r>
      <w:r>
        <w:t xml:space="preserve">Incremental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</w:p>
    <w:p>
      <w:pPr>
        <w:pStyle w:val="BodyText"/>
      </w:pPr>
      <w:r>
        <w:t xml:space="preserve">Low end</w:t>
      </w:r>
      <w:r>
        <w:t xml:space="preserve"> </w:t>
      </w:r>
      <w:r>
        <w:t xml:space="preserve">High end</w:t>
      </w:r>
      <w:r>
        <w:t xml:space="preserve"> </w:t>
      </w:r>
      <w:r>
        <w:t xml:space="preserve">Low</w:t>
      </w:r>
      <w:r>
        <w:t xml:space="preserve"> </w:t>
      </w:r>
      <w:r>
        <w:t xml:space="preserve">end</w:t>
      </w:r>
      <w:r>
        <w:t xml:space="preserve"> </w:t>
      </w:r>
      <w:r>
        <w:t xml:space="preserve">High</w:t>
      </w:r>
      <w:r>
        <w:t xml:space="preserve"> </w:t>
      </w:r>
      <w:r>
        <w:t xml:space="preserve">end</w:t>
      </w:r>
      <w:r>
        <w:t xml:space="preserve"> </w:t>
      </w:r>
      <w:r>
        <w:t xml:space="preserve">Low</w:t>
      </w:r>
      <w:r>
        <w:t xml:space="preserve"> </w:t>
      </w:r>
      <w:r>
        <w:t xml:space="preserve">end</w:t>
      </w:r>
      <w:r>
        <w:t xml:space="preserve"> </w:t>
      </w:r>
      <w:r>
        <w:t xml:space="preserve">High</w:t>
      </w:r>
      <w:r>
        <w:t xml:space="preserve"> </w:t>
      </w:r>
      <w:r>
        <w:t xml:space="preserve">end</w:t>
      </w:r>
      <w:r>
        <w:t xml:space="preserve"> </w:t>
      </w:r>
      <w:r>
        <w:t xml:space="preserve">Low end</w:t>
      </w:r>
      <w:r>
        <w:t xml:space="preserve"> </w:t>
      </w:r>
      <w:r>
        <w:t xml:space="preserve">High end</w:t>
      </w:r>
      <w:r>
        <w:t xml:space="preserve"> </w:t>
      </w: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Recurren</w:t>
      </w:r>
      <w:r>
        <w:t xml:space="preserve"> </w:t>
      </w:r>
      <w:r>
        <w:t xml:space="preserve">t</w:t>
      </w:r>
      <w:r>
        <w:t xml:space="preserve"> </w:t>
      </w:r>
      <w:r>
        <w:t xml:space="preserve">PO1a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€8.18m</w:t>
      </w:r>
      <w:r>
        <w:t xml:space="preserve"> </w:t>
      </w:r>
      <w:r>
        <w:t xml:space="preserve">€176.3</w:t>
      </w:r>
      <w:r>
        <w:t xml:space="preserve"> </w:t>
      </w:r>
      <w:r>
        <w:t xml:space="preserve">m</w:t>
      </w:r>
      <w:r>
        <w:t xml:space="preserve"> </w:t>
      </w:r>
      <w:r>
        <w:t xml:space="preserve">€52.47</w:t>
      </w:r>
      <w:r>
        <w:t xml:space="preserve"> </w:t>
      </w:r>
      <w:r>
        <w:t xml:space="preserve">m</w:t>
      </w:r>
      <w:r>
        <w:t xml:space="preserve"> </w:t>
      </w:r>
      <w:r>
        <w:t xml:space="preserve">€104.9</w:t>
      </w:r>
      <w:r>
        <w:t xml:space="preserve"> </w:t>
      </w:r>
      <w:r>
        <w:t xml:space="preserve">m</w:t>
      </w:r>
      <w:r>
        <w:t xml:space="preserve"> </w:t>
      </w:r>
      <w:r>
        <w:t xml:space="preserve">€1.89m</w:t>
      </w:r>
      <w:r>
        <w:t xml:space="preserve"> </w:t>
      </w:r>
      <w:r>
        <w:t xml:space="preserve">per year</w:t>
      </w:r>
      <w:r>
        <w:t xml:space="preserve"> </w:t>
      </w:r>
      <w:r>
        <w:t xml:space="preserve">€3.79m</w:t>
      </w:r>
      <w:r>
        <w:t xml:space="preserve"> </w:t>
      </w:r>
      <w:r>
        <w:t xml:space="preserve">per year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PO1b</w:t>
      </w:r>
      <w:r>
        <w:t xml:space="preserve"> </w:t>
      </w:r>
      <w:r>
        <w:t xml:space="preserve">€240m</w:t>
      </w:r>
      <w:r>
        <w:t xml:space="preserve"> </w:t>
      </w:r>
      <w:r>
        <w:t xml:space="preserve">per year</w:t>
      </w:r>
      <w:r>
        <w:t xml:space="preserve"> </w:t>
      </w:r>
      <w:r>
        <w:t xml:space="preserve">€ 1.2b per</w:t>
      </w:r>
      <w:r>
        <w:t xml:space="preserve"> </w:t>
      </w:r>
      <w:r>
        <w:t xml:space="preserve">year</w:t>
      </w:r>
      <w:r>
        <w:t xml:space="preserve"> </w:t>
      </w:r>
      <w:r>
        <w:t xml:space="preserve">€23.5m</w:t>
      </w:r>
      <w:r>
        <w:t xml:space="preserve"> </w:t>
      </w:r>
      <w:r>
        <w:t xml:space="preserve">€396.66</w:t>
      </w:r>
      <w:r>
        <w:t xml:space="preserve"> </w:t>
      </w:r>
      <w:r>
        <w:t xml:space="preserve">m</w:t>
      </w:r>
      <w:r>
        <w:t xml:space="preserve"> </w:t>
      </w:r>
      <w:r>
        <w:t xml:space="preserve">€249.21</w:t>
      </w:r>
      <w:r>
        <w:t xml:space="preserve"> </w:t>
      </w:r>
      <w:r>
        <w:t xml:space="preserve">m</w:t>
      </w:r>
      <w:r>
        <w:t xml:space="preserve"> </w:t>
      </w:r>
      <w:r>
        <w:t xml:space="preserve">€367.25</w:t>
      </w:r>
      <w:r>
        <w:t xml:space="preserve"> </w:t>
      </w:r>
      <w:r>
        <w:t xml:space="preserve">m</w:t>
      </w:r>
      <w:r>
        <w:t xml:space="preserve"> </w:t>
      </w:r>
      <w:r>
        <w:t xml:space="preserve">€7.31m</w:t>
      </w:r>
      <w:r>
        <w:t xml:space="preserve"> </w:t>
      </w:r>
      <w:r>
        <w:t xml:space="preserve">per year</w:t>
      </w:r>
      <w:r>
        <w:t xml:space="preserve"> </w:t>
      </w:r>
      <w:r>
        <w:t xml:space="preserve">€11.7m</w:t>
      </w:r>
      <w:r>
        <w:t xml:space="preserve"> </w:t>
      </w:r>
      <w:r>
        <w:t xml:space="preserve">per year</w:t>
      </w:r>
    </w:p>
    <w:p>
      <w:pPr>
        <w:pStyle w:val="BodyText"/>
      </w:pPr>
      <w:r>
        <w:t xml:space="preserve">€</w:t>
      </w:r>
      <w:r>
        <w:t xml:space="preserve"> </w:t>
      </w:r>
      <w:r>
        <w:t xml:space="preserve">100.000</w:t>
      </w:r>
      <w:r>
        <w:t xml:space="preserve"> </w:t>
      </w:r>
      <w:r>
        <w:t xml:space="preserve">to</w:t>
      </w:r>
      <w:r>
        <w:t xml:space="preserve"> </w:t>
      </w:r>
      <w:r>
        <w:t xml:space="preserve">€300.000</w:t>
      </w:r>
      <w:r>
        <w:t xml:space="preserve"> </w:t>
      </w:r>
      <w:r>
        <w:t xml:space="preserve">per year</w:t>
      </w:r>
      <w:r>
        <w:br/>
      </w:r>
      <w:r>
        <w:t xml:space="preserve">PO1c</w:t>
      </w:r>
      <w:r>
        <w:t xml:space="preserve"> </w:t>
      </w:r>
      <w:r>
        <w:t xml:space="preserve">€ 240m</w:t>
      </w:r>
      <w:r>
        <w:t xml:space="preserve"> </w:t>
      </w:r>
      <w:r>
        <w:t xml:space="preserve">per year</w:t>
      </w:r>
      <w:r>
        <w:t xml:space="preserve"> </w:t>
      </w:r>
      <w:r>
        <w:t xml:space="preserve">€1.2b per</w:t>
      </w:r>
      <w:r>
        <w:t xml:space="preserve"> </w:t>
      </w:r>
      <w:r>
        <w:t xml:space="preserve">year</w:t>
      </w:r>
      <w:r>
        <w:t xml:space="preserve"> </w:t>
      </w:r>
      <w:r>
        <w:t xml:space="preserve">€49.11</w:t>
      </w:r>
      <w:r>
        <w:t xml:space="preserve"> </w:t>
      </w:r>
      <w:r>
        <w:t xml:space="preserve">m</w:t>
      </w:r>
      <w:r>
        <w:t xml:space="preserve"> </w:t>
      </w:r>
      <w:r>
        <w:t xml:space="preserve">€782.3</w:t>
      </w:r>
      <w:r>
        <w:t xml:space="preserve"> </w:t>
      </w:r>
      <w:r>
        <w:t xml:space="preserve">m</w:t>
      </w:r>
      <w:r>
        <w:t xml:space="preserve"> </w:t>
      </w:r>
      <w:r>
        <w:t xml:space="preserve">€642.69</w:t>
      </w:r>
      <w:r>
        <w:t xml:space="preserve"> </w:t>
      </w:r>
      <w:r>
        <w:t xml:space="preserve">m</w:t>
      </w:r>
      <w:r>
        <w:t xml:space="preserve"> </w:t>
      </w:r>
      <w:r>
        <w:t xml:space="preserve">€957.47</w:t>
      </w:r>
      <w:r>
        <w:t xml:space="preserve"> </w:t>
      </w:r>
      <w:r>
        <w:t xml:space="preserve">m</w:t>
      </w:r>
      <w:r>
        <w:t xml:space="preserve"> </w:t>
      </w:r>
      <w:r>
        <w:t xml:space="preserve">€14.62m</w:t>
      </w:r>
      <w:r>
        <w:t xml:space="preserve"> </w:t>
      </w:r>
      <w:r>
        <w:t xml:space="preserve">per year</w:t>
      </w:r>
      <w:r>
        <w:t xml:space="preserve"> </w:t>
      </w:r>
      <w:r>
        <w:t xml:space="preserve">€21.94m</w:t>
      </w:r>
      <w:r>
        <w:t xml:space="preserve"> </w:t>
      </w:r>
      <w:r>
        <w:t xml:space="preserve">per year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PO2a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€7.8m</w:t>
      </w:r>
      <w:r>
        <w:t xml:space="preserve"> </w:t>
      </w:r>
      <w:r>
        <w:t xml:space="preserve">per year</w:t>
      </w:r>
      <w:r>
        <w:t xml:space="preserve"> </w:t>
      </w:r>
      <w:r>
        <w:t xml:space="preserve">PO2b</w:t>
      </w:r>
      <w:r>
        <w:t xml:space="preserve"> </w:t>
      </w:r>
      <w:r>
        <w:t xml:space="preserve">€ 15.62 m</w:t>
      </w:r>
      <w:r>
        <w:t xml:space="preserve"> </w:t>
      </w:r>
      <w:r>
        <w:t xml:space="preserve">per year</w:t>
      </w:r>
      <w:r>
        <w:t xml:space="preserve"> </w:t>
      </w:r>
      <w:r>
        <w:t xml:space="preserve">€ 23.93 m</w:t>
      </w:r>
      <w:r>
        <w:t xml:space="preserve"> </w:t>
      </w:r>
      <w:r>
        <w:t xml:space="preserve">per year</w:t>
      </w:r>
    </w:p>
    <w:p>
      <w:pPr>
        <w:pStyle w:val="BodyText"/>
      </w:pP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€18m</w:t>
      </w:r>
      <w:r>
        <w:br/>
      </w:r>
      <w:r>
        <w:t xml:space="preserve">€10.5m</w:t>
      </w:r>
      <w:r>
        <w:t xml:space="preserve"> </w:t>
      </w:r>
      <w:r>
        <w:t xml:space="preserve">per year</w:t>
      </w:r>
      <w:r>
        <w:t xml:space="preserve"> </w:t>
      </w:r>
      <w:r>
        <w:t xml:space="preserve">PO2c</w:t>
      </w:r>
      <w:r>
        <w:t xml:space="preserve"> </w:t>
      </w:r>
      <w:r>
        <w:t xml:space="preserve">€ 15.62 m</w:t>
      </w:r>
      <w:r>
        <w:t xml:space="preserve"> </w:t>
      </w:r>
      <w:r>
        <w:t xml:space="preserve">per year</w:t>
      </w:r>
      <w:r>
        <w:t xml:space="preserve"> </w:t>
      </w:r>
      <w:r>
        <w:t xml:space="preserve">€ 23.93 m</w:t>
      </w:r>
      <w:r>
        <w:t xml:space="preserve"> </w:t>
      </w:r>
      <w:r>
        <w:t xml:space="preserve">per year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€18m</w:t>
      </w:r>
      <w:r>
        <w:t xml:space="preserve"> </w:t>
      </w:r>
      <w:r>
        <w:t xml:space="preserve">€18.3m</w:t>
      </w:r>
      <w:r>
        <w:t xml:space="preserve"> </w:t>
      </w:r>
      <w:r>
        <w:t xml:space="preserve">per year</w:t>
      </w:r>
      <w:r>
        <w:t xml:space="preserve"> </w:t>
      </w:r>
      <w:r>
        <w:t xml:space="preserve">Summary of incremental costs per policy options. See annex 14 for details.</w:t>
      </w:r>
      <w:r>
        <w:t xml:space="preserve"> </w:t>
      </w:r>
      <w:r>
        <w:t xml:space="preserve">The aim of the assessment is to provide ranges of the magnitude of potential impacts generated by</w:t>
      </w:r>
      <w:r>
        <w:t xml:space="preserve"> </w:t>
      </w:r>
      <w:r>
        <w:t xml:space="preserve">each policy option. While costs are borne by industry and the benefits of PO2b and 2c are also savings</w:t>
      </w:r>
      <w:r>
        <w:t xml:space="preserve"> </w:t>
      </w:r>
      <w:r>
        <w:t xml:space="preserve">for industry, PO1b and 1c present overall health benefits for citizens and society. The following table</w:t>
      </w:r>
      <w:r>
        <w:t xml:space="preserve"> </w:t>
      </w:r>
      <w:r>
        <w:t xml:space="preserve">summarises the quantitative and qualitative assessments, presented in section 6, on the potential</w:t>
      </w:r>
      <w:r>
        <w:t xml:space="preserve"> </w:t>
      </w:r>
      <w:r>
        <w:t xml:space="preserve">effects of policy options to industry, consumers, internal market, and competitiveness as well as on</w:t>
      </w:r>
      <w:r>
        <w:t xml:space="preserve"> </w:t>
      </w:r>
      <w:r>
        <w:t xml:space="preserve">the environment.</w:t>
      </w:r>
      <w:r>
        <w:br/>
      </w:r>
      <w:r>
        <w:t xml:space="preserve">Summary of Economic, social and environmental impacts</w:t>
      </w:r>
      <w:r>
        <w:t xml:space="preserve"> </w:t>
      </w:r>
      <w:r>
        <w:t xml:space="preserve">Policy option</w:t>
      </w:r>
      <w:r>
        <w:t xml:space="preserve"> </w:t>
      </w:r>
      <w:r>
        <w:t xml:space="preserve">Economic impact184</w:t>
      </w:r>
      <w:r>
        <w:t xml:space="preserve"> </w:t>
      </w:r>
      <w:r>
        <w:t xml:space="preserve">Social impact</w:t>
      </w:r>
      <w:r>
        <w:t xml:space="preserve"> </w:t>
      </w:r>
      <w:r>
        <w:t xml:space="preserve">Environmental impact</w:t>
      </w:r>
      <w:r>
        <w:t xml:space="preserve"> </w:t>
      </w:r>
      <w:r>
        <w:t xml:space="preserve">Option 1a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Option 1b</w:t>
      </w:r>
      <w:r>
        <w:t xml:space="preserve"> </w:t>
      </w:r>
      <w:r>
        <w:t xml:space="preserve">–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Option 1c</w:t>
      </w:r>
      <w:r>
        <w:t xml:space="preserve"> </w:t>
      </w:r>
      <w:r>
        <w:t xml:space="preserve">—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Option 2a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Option 2b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183 While the benefits of policy options 1a, 1b and 1c refer to benefits for human health, the benefits of policy options 2a,</w:t>
      </w:r>
      <w:r>
        <w:t xml:space="preserve"> </w:t>
      </w:r>
      <w:r>
        <w:t xml:space="preserve">2b and 2c refer to savings in administrative burden. Similarly, the costs in policy options 1a, 1b and 1c refer to adjustment</w:t>
      </w:r>
      <w:r>
        <w:t xml:space="preserve"> </w:t>
      </w:r>
      <w:r>
        <w:t xml:space="preserve">costs while the costs of options 2a, 2b and 2c refer to increase of administrative burden.</w:t>
      </w:r>
      <w:r>
        <w:t xml:space="preserve"> </w:t>
      </w:r>
      <w:r>
        <w:t xml:space="preserve">184 The scoring of the economic impacts takes account not only of the costs and savings of the different policy options</w:t>
      </w:r>
      <w:r>
        <w:t xml:space="preserve"> </w:t>
      </w:r>
      <w:r>
        <w:t xml:space="preserve">but also the impacts in terms of competitiveness of companies and the single market.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56</w:t>
      </w:r>
      <w:r>
        <w:t xml:space="preserve"> </w:t>
      </w:r>
      <w:r>
        <w:t xml:space="preserve">EN</w:t>
      </w:r>
      <w:r>
        <w:t xml:space="preserve"> </w:t>
      </w:r>
      <w:r>
        <w:t xml:space="preserve">Policy option</w:t>
      </w:r>
      <w:r>
        <w:t xml:space="preserve"> </w:t>
      </w:r>
      <w:r>
        <w:t xml:space="preserve">Economic impact184</w:t>
      </w:r>
      <w:r>
        <w:t xml:space="preserve"> </w:t>
      </w:r>
      <w:r>
        <w:t xml:space="preserve">Social impact</w:t>
      </w:r>
      <w:r>
        <w:t xml:space="preserve"> </w:t>
      </w:r>
      <w:r>
        <w:t xml:space="preserve">Environmental impact</w:t>
      </w:r>
      <w:r>
        <w:t xml:space="preserve"> </w:t>
      </w:r>
      <w:r>
        <w:t xml:space="preserve">Option 2c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Legend: +- no / neutral impact; + minor positive impact; ++ positive impact; +++ significant positive impact; - minor</w:t>
      </w:r>
      <w:r>
        <w:t xml:space="preserve"> </w:t>
      </w:r>
      <w:r>
        <w:t xml:space="preserve">negative impact; – negative impact; — significant negative impact</w:t>
      </w:r>
      <w:r>
        <w:br/>
      </w:r>
      <w:r>
        <w:t xml:space="preserve">The scale of the negative economic impacts will increase with the level of intervention. In contrast,</w:t>
      </w:r>
      <w:r>
        <w:t xml:space="preserve"> </w:t>
      </w:r>
      <w:r>
        <w:t xml:space="preserve">however, the policy options with high levels of intervention are anticipated to have potentially</w:t>
      </w:r>
      <w:r>
        <w:t xml:space="preserve"> </w:t>
      </w:r>
      <w:r>
        <w:t xml:space="preserve">significant positive social impacts on the protection of health of children.</w:t>
      </w:r>
      <w:r>
        <w:br/>
      </w:r>
      <w:r>
        <w:t xml:space="preserve">PO1a would have certain negative impacts for industry and competitiveness but slight positive</w:t>
      </w:r>
      <w:r>
        <w:t xml:space="preserve"> </w:t>
      </w:r>
      <w:r>
        <w:t xml:space="preserve">impacts on innovation the functioning of the internal market and the environment. It would also have</w:t>
      </w:r>
      <w:r>
        <w:t xml:space="preserve"> </w:t>
      </w:r>
      <w:r>
        <w:t xml:space="preserve">limited impacts on the protection of children. PO1b and 1c would have strong positive impacts on</w:t>
      </w:r>
      <w:r>
        <w:t xml:space="preserve"> </w:t>
      </w:r>
      <w:r>
        <w:t xml:space="preserve">the protection of children due to the more preventive approach towards the most harmful substances</w:t>
      </w:r>
      <w:r>
        <w:t xml:space="preserve"> </w:t>
      </w:r>
      <w:r>
        <w:t xml:space="preserve">in toys. These options would entail important costs for industry, higher in PO1c than in PO1b. While</w:t>
      </w:r>
      <w:r>
        <w:t xml:space="preserve"> </w:t>
      </w:r>
      <w:r>
        <w:t xml:space="preserve">PO1b would mitigate to a certain extent the negative consequences in costs and competitiveness for</w:t>
      </w:r>
      <w:r>
        <w:t xml:space="preserve"> </w:t>
      </w:r>
      <w:r>
        <w:t xml:space="preserve">companies by allowing derogations to the generic bans, PO1c would lead to very important number</w:t>
      </w:r>
      <w:r>
        <w:t xml:space="preserve"> </w:t>
      </w:r>
      <w:r>
        <w:t xml:space="preserve">of product withdrawals which will lead to high costs for industry and hinder innovation. If</w:t>
      </w:r>
      <w:r>
        <w:t xml:space="preserve"> </w:t>
      </w:r>
      <w:r>
        <w:t xml:space="preserve">derogations are granted only where safety and protection of children is not compromised, there will</w:t>
      </w:r>
      <w:r>
        <w:t xml:space="preserve"> </w:t>
      </w:r>
      <w:r>
        <w:t xml:space="preserve">not be substantial differences in terms of benefits for human health between PO1b and PO1c.</w:t>
      </w:r>
      <w:r>
        <w:t xml:space="preserve"> </w:t>
      </w:r>
      <w:r>
        <w:t xml:space="preserve">PO 2a would have some benefits for the internal market and minor impacts on competitiveness and</w:t>
      </w:r>
      <w:r>
        <w:t xml:space="preserve"> </w:t>
      </w:r>
      <w:r>
        <w:t xml:space="preserve">innovation. However, it would have important costs for the industry while not clearly yielding very</w:t>
      </w:r>
      <w:r>
        <w:t xml:space="preserve"> </w:t>
      </w:r>
      <w:r>
        <w:t xml:space="preserve">high impacts on reducing the number of non-compliant products in the EU. Under policy option 2b,</w:t>
      </w:r>
      <w:r>
        <w:t xml:space="preserve"> </w:t>
      </w:r>
      <w:r>
        <w:t xml:space="preserve">a certain economic impact is to be expected to adjust to digitalisation, with a potential for savings</w:t>
      </w:r>
      <w:r>
        <w:t xml:space="preserve"> </w:t>
      </w:r>
      <w:r>
        <w:t xml:space="preserve">over the longer run in producing compliance information as well as in simplifications of contacts</w:t>
      </w:r>
      <w:r>
        <w:t xml:space="preserve"> </w:t>
      </w:r>
      <w:r>
        <w:t xml:space="preserve">with the market surveillance authorities. The incremental benefits of option 2c in comparison with</w:t>
      </w:r>
      <w:r>
        <w:t xml:space="preserve"> </w:t>
      </w:r>
      <w:r>
        <w:t xml:space="preserve">2b alone are not evident, while this option represents higher costs for the reputable manufacturers</w:t>
      </w:r>
      <w:r>
        <w:t xml:space="preserve"> </w:t>
      </w:r>
      <w:r>
        <w:t xml:space="preserve">who are complying with the TSD. PO2a and 2c would be particularly burdensome for SMEs.</w:t>
      </w:r>
      <w:r>
        <w:t xml:space="preserve"> </w:t>
      </w:r>
      <w:r>
        <w:t xml:space="preserve">Policy options face greater opposition from the industry as the level of intervention increases, while</w:t>
      </w:r>
      <w:r>
        <w:t xml:space="preserve"> </w:t>
      </w:r>
      <w:r>
        <w:t xml:space="preserve">receiving greater support from consumers.</w:t>
      </w:r>
      <w:r>
        <w:t xml:space="preserve"> </w:t>
      </w:r>
      <w:r>
        <w:t xml:space="preserve">Stakeholder support</w:t>
      </w:r>
    </w:p>
    <w:p>
      <w:pPr>
        <w:pStyle w:val="BodyText"/>
      </w:pPr>
      <w:r>
        <w:t xml:space="preserve">Stakeholder support</w:t>
      </w:r>
      <w:r>
        <w:t xml:space="preserve"> </w:t>
      </w:r>
      <w:r>
        <w:t xml:space="preserve">MS</w:t>
      </w:r>
      <w:r>
        <w:t xml:space="preserve"> </w:t>
      </w:r>
      <w:r>
        <w:t xml:space="preserve">Industry</w:t>
      </w:r>
      <w:r>
        <w:t xml:space="preserve"> </w:t>
      </w:r>
      <w:r>
        <w:t xml:space="preserve">Consumers</w:t>
      </w:r>
      <w:r>
        <w:t xml:space="preserve"> </w:t>
      </w:r>
      <w:r>
        <w:t xml:space="preserve">Option 1a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Option 1b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Option 1c</w:t>
      </w:r>
      <w:r>
        <w:t xml:space="preserve"> </w:t>
      </w:r>
      <w:r>
        <w:t xml:space="preserve">+-</w:t>
      </w:r>
      <w:r>
        <w:t xml:space="preserve"> </w:t>
      </w:r>
      <w:r>
        <w:t xml:space="preserve">+-</w:t>
      </w:r>
      <w:r>
        <w:t xml:space="preserve"> </w:t>
      </w:r>
      <w:r>
        <w:t xml:space="preserve">+++</w:t>
      </w:r>
      <w:r>
        <w:t xml:space="preserve"> </w:t>
      </w:r>
      <w:r>
        <w:t xml:space="preserve">Option 2a</w:t>
      </w:r>
      <w:r>
        <w:t xml:space="preserve"> </w:t>
      </w:r>
      <w:r>
        <w:t xml:space="preserve">+</w:t>
      </w:r>
      <w:r>
        <w:t xml:space="preserve"> </w:t>
      </w:r>
      <w:r>
        <w:t xml:space="preserve">+-</w:t>
      </w:r>
      <w:r>
        <w:t xml:space="preserve"> </w:t>
      </w:r>
      <w:r>
        <w:t xml:space="preserve">++</w:t>
      </w:r>
      <w:r>
        <w:t xml:space="preserve"> </w:t>
      </w:r>
      <w:r>
        <w:t xml:space="preserve">Option 2b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Option 2c</w:t>
      </w:r>
      <w:r>
        <w:t xml:space="preserve"> </w:t>
      </w:r>
      <w:r>
        <w:t xml:space="preserve">++</w:t>
      </w:r>
      <w:r>
        <w:t xml:space="preserve"> </w:t>
      </w:r>
      <w:r>
        <w:t xml:space="preserve">+-</w:t>
      </w:r>
      <w:r>
        <w:t xml:space="preserve"> </w:t>
      </w:r>
      <w:r>
        <w:t xml:space="preserve">+++</w:t>
      </w:r>
      <w:r>
        <w:t xml:space="preserve"> </w:t>
      </w:r>
      <w:r>
        <w:t xml:space="preserve">Legend: +- no support; + limited support; ++ support; +++ strong support</w:t>
      </w:r>
      <w:r>
        <w:t xml:space="preserve"> </w:t>
      </w:r>
      <w:r>
        <w:t xml:space="preserve">In particular, industry stakeholders supported that new limit values could be added in the TSD for all</w:t>
      </w:r>
      <w:r>
        <w:t xml:space="preserve"> </w:t>
      </w:r>
      <w:r>
        <w:t xml:space="preserve">toys, but voiced strong opposition in particular to removing derogations to generic bans. The main</w:t>
      </w:r>
      <w:r>
        <w:t xml:space="preserve"> </w:t>
      </w:r>
      <w:r>
        <w:t xml:space="preserve">concern was that removing derogations completely would have strong consequences by requiring the</w:t>
      </w:r>
      <w:r>
        <w:t xml:space="preserve"> </w:t>
      </w:r>
      <w:r>
        <w:t xml:space="preserve">removal from the market of a significant number of toys (for example electric toys). Industry was</w:t>
      </w:r>
      <w:r>
        <w:t xml:space="preserve"> </w:t>
      </w:r>
      <w:r>
        <w:t xml:space="preserve">also opposed to extending third party conformity assessment in PO2a, but supported the digitalisation</w:t>
      </w:r>
      <w:r>
        <w:t xml:space="preserve"> </w:t>
      </w:r>
      <w:r>
        <w:t xml:space="preserve">of compliance information. Member States expressed clear support for revising the TSD and</w:t>
      </w:r>
      <w:r>
        <w:t xml:space="preserve"> </w:t>
      </w:r>
      <w:r>
        <w:t xml:space="preserve">strengthening the chemical requirements, both with specific limit values and with additional generic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57</w:t>
      </w:r>
      <w:r>
        <w:t xml:space="preserve"> </w:t>
      </w:r>
      <w:r>
        <w:t xml:space="preserve">EN</w:t>
      </w:r>
      <w:r>
        <w:t xml:space="preserve"> </w:t>
      </w:r>
      <w:r>
        <w:t xml:space="preserve">prohibitions for certain substances. There was also support to digitalising product information as well</w:t>
      </w:r>
      <w:r>
        <w:t xml:space="preserve"> </w:t>
      </w:r>
      <w:r>
        <w:t xml:space="preserve">as for extending third party conformity assessment but to a lesser extent. Consumers favoured the</w:t>
      </w:r>
      <w:r>
        <w:t xml:space="preserve"> </w:t>
      </w:r>
      <w:r>
        <w:t xml:space="preserve">options with stricter chemical requirements for products for children and the more limited</w:t>
      </w:r>
      <w:r>
        <w:t xml:space="preserve"> </w:t>
      </w:r>
      <w:r>
        <w:t xml:space="preserve">derogations.</w:t>
      </w:r>
      <w:r>
        <w:t xml:space="preserve"> </w:t>
      </w:r>
      <w:r>
        <w:t xml:space="preserve">7.3.</w:t>
      </w:r>
      <w:r>
        <w:t xml:space="preserve"> </w:t>
      </w:r>
      <w:r>
        <w:t xml:space="preserve">Summary of policy options assessment</w:t>
      </w:r>
      <w:r>
        <w:t xml:space="preserve"> </w:t>
      </w:r>
      <w:r>
        <w:t xml:space="preserve">The table below summarises the assessment presented so far, providing an overview of the</w:t>
      </w:r>
      <w:r>
        <w:t xml:space="preserve"> </w:t>
      </w:r>
      <w:r>
        <w:t xml:space="preserve">effectiveness, efficiency and coherence with the EU law for each of the policy option analysed.</w:t>
      </w:r>
      <w:r>
        <w:br/>
      </w:r>
      <w:r>
        <w:t xml:space="preserve">Summary table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 with EU law</w:t>
      </w:r>
      <w:r>
        <w:t xml:space="preserve"> </w:t>
      </w:r>
      <w:r>
        <w:t xml:space="preserve">Option 1a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Option 1b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Option 1c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Option 2a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Option 2b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Option 2c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Legend: +- no / neutral impact; + minor positive impact; ++ positive impact; +++ significant positive impact;</w:t>
      </w:r>
      <w:r>
        <w:br/>
      </w:r>
      <w:r>
        <w:t xml:space="preserve">For the first set of policy options, PO1b and PO1c will more effective in strengthening the protection</w:t>
      </w:r>
      <w:r>
        <w:t xml:space="preserve"> </w:t>
      </w:r>
      <w:r>
        <w:t xml:space="preserve">of children (SO1), as they will introduce generic bans to the most harmful chemicals. While all three</w:t>
      </w:r>
      <w:r>
        <w:t xml:space="preserve"> </w:t>
      </w:r>
      <w:r>
        <w:t xml:space="preserve">PO1 will allow for adaptations to new scientific knowledge (SO2), PO1b and PO1c will be more</w:t>
      </w:r>
      <w:r>
        <w:t xml:space="preserve"> </w:t>
      </w:r>
      <w:r>
        <w:t xml:space="preserve">effective as substances will be banned in toys immediately after they are classified under the most</w:t>
      </w:r>
      <w:r>
        <w:t xml:space="preserve"> </w:t>
      </w:r>
      <w:r>
        <w:t xml:space="preserve">harmful hazard classes in the CLP Regulation, while in PO1a a specific assessment for each substance</w:t>
      </w:r>
      <w:r>
        <w:t xml:space="preserve"> </w:t>
      </w:r>
      <w:r>
        <w:t xml:space="preserve">will be required. In achieving both objectives, PO1b will be the most efficient. PO1a will require</w:t>
      </w:r>
      <w:r>
        <w:t xml:space="preserve"> </w:t>
      </w:r>
      <w:r>
        <w:t xml:space="preserve">resources to analyse each substance that may pose a risk in toys, and this has proven in the past to be</w:t>
      </w:r>
      <w:r>
        <w:t xml:space="preserve"> </w:t>
      </w:r>
      <w:r>
        <w:t xml:space="preserve">a laborious process. By not allowing for derogations, PO1c will be less efficient as it will achieve the</w:t>
      </w:r>
      <w:r>
        <w:t xml:space="preserve"> </w:t>
      </w:r>
      <w:r>
        <w:t xml:space="preserve">same results as PO1b with higher costs for industry.</w:t>
      </w:r>
      <w:r>
        <w:br/>
      </w:r>
      <w:r>
        <w:t xml:space="preserve">For the second set of policy options, PO 2a will be the least effective and efficient in achieving the</w:t>
      </w:r>
      <w:r>
        <w:t xml:space="preserve"> </w:t>
      </w:r>
      <w:r>
        <w:t xml:space="preserve">related SO: it will lead to limited improvements in the number of non-compliant toys (SO3) and</w:t>
      </w:r>
      <w:r>
        <w:t xml:space="preserve"> </w:t>
      </w:r>
      <w:r>
        <w:t xml:space="preserve">limited facilitation of enforcement (SO4), but with significant costs for compliant industry. PO2b and</w:t>
      </w:r>
      <w:r>
        <w:t xml:space="preserve"> </w:t>
      </w:r>
      <w:r>
        <w:t xml:space="preserve">2c will be more effective in achieving the reduction of non-compliant toys in the Union market,</w:t>
      </w:r>
      <w:r>
        <w:t xml:space="preserve"> </w:t>
      </w:r>
      <w:r>
        <w:t xml:space="preserve">including for online sales, as they will prevent that any toy which is presented at customs and does</w:t>
      </w:r>
      <w:r>
        <w:t xml:space="preserve"> </w:t>
      </w:r>
      <w:r>
        <w:t xml:space="preserve">not have a DPP is placed on the Union market and lead to significant efficiency gains for market</w:t>
      </w:r>
      <w:r>
        <w:t xml:space="preserve"> </w:t>
      </w:r>
      <w:r>
        <w:t xml:space="preserve">surveillance authorities. PO2c will be more effective in facilitating enforcement and lead to higher</w:t>
      </w:r>
      <w:r>
        <w:t xml:space="preserve"> </w:t>
      </w:r>
      <w:r>
        <w:t xml:space="preserve">efficiency gains for market surveillance authorities, as it will cumulate the benefits of PO2a and</w:t>
      </w:r>
      <w:r>
        <w:t xml:space="preserve"> </w:t>
      </w:r>
      <w:r>
        <w:t xml:space="preserve">PO2b. However, it is not clear that PO2c would lead to significantly lower levels of non-compliance</w:t>
      </w:r>
      <w:r>
        <w:t xml:space="preserve"> </w:t>
      </w:r>
      <w:r>
        <w:t xml:space="preserve">than option 2b, while having higher costs for industry. PO2b is considered to be the most efficient,</w:t>
      </w:r>
      <w:r>
        <w:t xml:space="preserve"> </w:t>
      </w:r>
      <w:r>
        <w:t xml:space="preserve">as it will achieve the objectives in an effective manner without disproportionate costs on industry.</w:t>
      </w:r>
      <w:r>
        <w:br/>
      </w:r>
      <w:r>
        <w:t xml:space="preserve">PO1a and 1b are considered to generally be coherent with wider EU policy and regulatory</w:t>
      </w:r>
      <w:r>
        <w:t xml:space="preserve"> </w:t>
      </w:r>
      <w:r>
        <w:t xml:space="preserve">developments, in terms of future and ongoing regulatory actions following the Chemicals Strategy</w:t>
      </w:r>
      <w:r>
        <w:t xml:space="preserve"> </w:t>
      </w:r>
      <w:r>
        <w:t xml:space="preserve">for Sustainability. PO1b will introduce generic bans for the most harmful hazard classes, coherent</w:t>
      </w:r>
      <w:r>
        <w:t xml:space="preserve"> </w:t>
      </w:r>
      <w:r>
        <w:t xml:space="preserve">with other measures EU chemicals legislation and in particular those considered under the REACH</w:t>
      </w:r>
      <w:r>
        <w:t xml:space="preserve"> </w:t>
      </w:r>
      <w:r>
        <w:t xml:space="preserve">Revision. Option 1c would be the least coherent, though, as it would not allow for derogations to</w:t>
      </w:r>
      <w:r>
        <w:t xml:space="preserve"> </w:t>
      </w:r>
      <w:r>
        <w:t xml:space="preserve">generic bans which are currently possible in all chemicals legislation where generic bans are present.</w:t>
      </w:r>
      <w:r>
        <w:t xml:space="preserve"> </w:t>
      </w:r>
      <w:r>
        <w:t xml:space="preserve">Derogations to generic bans are expected to continue to be possible under EU chemicals legislation</w:t>
      </w:r>
      <w:r>
        <w:t xml:space="preserve"> </w:t>
      </w:r>
      <w:r>
        <w:t xml:space="preserve">in the future.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58</w:t>
      </w:r>
      <w:r>
        <w:t xml:space="preserve"> </w:t>
      </w:r>
      <w:r>
        <w:t xml:space="preserve">EN</w:t>
      </w:r>
      <w:r>
        <w:t xml:space="preserve"> </w:t>
      </w:r>
      <w:r>
        <w:t xml:space="preserve">PO2a is coherent with the New Legislative Framework and other EU product legislation which</w:t>
      </w:r>
      <w:r>
        <w:t xml:space="preserve"> </w:t>
      </w:r>
      <w:r>
        <w:t xml:space="preserve">requires the intervention of a notified body for assessing the compliance of certain products. PO2b is</w:t>
      </w:r>
      <w:r>
        <w:t xml:space="preserve"> </w:t>
      </w:r>
      <w:r>
        <w:t xml:space="preserve">also be coherent with priorities and current trends towards digitalisation by default, the conclusions</w:t>
      </w:r>
      <w:r>
        <w:t xml:space="preserve"> </w:t>
      </w:r>
      <w:r>
        <w:t xml:space="preserve">regarding digitalisation of product information in the Evaluation of the New Legislative Framework,</w:t>
      </w:r>
      <w:r>
        <w:t xml:space="preserve"> </w:t>
      </w:r>
      <w:r>
        <w:t xml:space="preserve">which also covers the TSD as well as the recent proposed ESPR. Considering that the digital passport</w:t>
      </w:r>
      <w:r>
        <w:t xml:space="preserve"> </w:t>
      </w:r>
      <w:r>
        <w:t xml:space="preserve">will contain the documentation that economic operators must possess and be able to present upon</w:t>
      </w:r>
      <w:r>
        <w:t xml:space="preserve"> </w:t>
      </w:r>
      <w:r>
        <w:t xml:space="preserve">request in any case, it will be coherent with the existing relevant obligations under EU product and</w:t>
      </w:r>
      <w:r>
        <w:t xml:space="preserve"> </w:t>
      </w:r>
      <w:r>
        <w:t xml:space="preserve">market surveillance legislation. As PO2b follows the current and future trends towards digitalization,</w:t>
      </w:r>
      <w:r>
        <w:t xml:space="preserve"> </w:t>
      </w:r>
      <w:r>
        <w:t xml:space="preserve">it is scored as more coherent than PO2a. For the same reasons, the coherence of PO2c is considered</w:t>
      </w:r>
      <w:r>
        <w:t xml:space="preserve"> </w:t>
      </w:r>
      <w:r>
        <w:t xml:space="preserve">to be high as it contains the measures included in both PO2a and PO2b.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Based on the comparative assessment of policy options above, the preferred combination of policy</w:t>
      </w:r>
      <w:r>
        <w:t xml:space="preserve"> </w:t>
      </w:r>
      <w:r>
        <w:t xml:space="preserve">options consists of PO1b and PO2b. They scored well across a range of criteria (positive social and</w:t>
      </w:r>
      <w:r>
        <w:t xml:space="preserve"> </w:t>
      </w:r>
      <w:r>
        <w:t xml:space="preserve">environmental impacts, with less important economic costs, effective, efficient and coherent). PO2b</w:t>
      </w:r>
      <w:r>
        <w:t xml:space="preserve"> </w:t>
      </w:r>
      <w:r>
        <w:t xml:space="preserve">also responds to the “digital-by-default” principle, by providing for a move towards the digital</w:t>
      </w:r>
      <w:r>
        <w:t xml:space="preserve"> </w:t>
      </w:r>
      <w:r>
        <w:t xml:space="preserve">provision of compliance information.</w:t>
      </w:r>
      <w:r>
        <w:br/>
      </w:r>
      <w:r>
        <w:t xml:space="preserve">Impacts of the combination of PO1b and PO2b</w:t>
      </w:r>
      <w:r>
        <w:t xml:space="preserve"> </w:t>
      </w:r>
      <w:r>
        <w:t xml:space="preserve">Economic impacts – Impacts on economic operators: The economic impacts will correspond to</w:t>
      </w:r>
      <w:r>
        <w:t xml:space="preserve"> </w:t>
      </w:r>
      <w:r>
        <w:t xml:space="preserve">the sum of PO1b in terms of product adaptations and withdrawals and relevant administrative costs</w:t>
      </w:r>
      <w:r>
        <w:t xml:space="preserve"> </w:t>
      </w:r>
      <w:r>
        <w:t xml:space="preserve">(in respect of applications for derogations), as described above, and PO2b in terms of administrative</w:t>
      </w:r>
      <w:r>
        <w:t xml:space="preserve"> </w:t>
      </w:r>
      <w:r>
        <w:t xml:space="preserve">burden and savings for the implementation of the DPP.</w:t>
      </w:r>
      <w:r>
        <w:br/>
      </w:r>
      <w:r>
        <w:t xml:space="preserve">The number of substances covered by generic bans under PO1b might increase by about 10-30%. A</w:t>
      </w:r>
      <w:r>
        <w:t xml:space="preserve"> </w:t>
      </w:r>
      <w:r>
        <w:t xml:space="preserve">total of 8.4-12.8% of products additional to the baseline may be impacted under PO1b and for which</w:t>
      </w:r>
      <w:r>
        <w:t xml:space="preserve"> </w:t>
      </w:r>
      <w:r>
        <w:t xml:space="preserve">a derogation may not be possible, with 4.6-7.2% subject to product adaptation efforts and 3.8-5.6%</w:t>
      </w:r>
      <w:r>
        <w:t xml:space="preserve"> </w:t>
      </w:r>
      <w:r>
        <w:t xml:space="preserve">could no longer be made available on the market if no alternatives to the restricted chemicals are</w:t>
      </w:r>
      <w:r>
        <w:t xml:space="preserve"> </w:t>
      </w:r>
      <w:r>
        <w:t xml:space="preserve">available. The estimated impact on 4.6-7.2% of all EU toy products could result in total incremental</w:t>
      </w:r>
      <w:r>
        <w:t xml:space="preserve"> </w:t>
      </w:r>
      <w:r>
        <w:t xml:space="preserve">one-off adjustment costs associated with product redesign and redevelopment of additional EUR</w:t>
      </w:r>
      <w:r>
        <w:t xml:space="preserve"> </w:t>
      </w:r>
      <w:r>
        <w:t xml:space="preserve">23.5 to 396.66 million. Yearly testing costs are estimated to incrementally increase compared to the</w:t>
      </w:r>
      <w:r>
        <w:t xml:space="preserve"> </w:t>
      </w:r>
      <w:r>
        <w:t xml:space="preserve">baseline by around EUR 7.31-11.70 million. In terms of product withdrawals, this option could</w:t>
      </w:r>
      <w:r>
        <w:t xml:space="preserve"> </w:t>
      </w:r>
      <w:r>
        <w:t xml:space="preserve">affect EUR 249 to 367 million worth of products185, which should be mitigated by an appropriate</w:t>
      </w:r>
      <w:r>
        <w:t xml:space="preserve"> </w:t>
      </w:r>
      <w:r>
        <w:t xml:space="preserve">transition period in which manufacturers will be able to assess the viability of existing products and,</w:t>
      </w:r>
      <w:r>
        <w:t xml:space="preserve"> </w:t>
      </w:r>
      <w:r>
        <w:t xml:space="preserve">if needed, shift resources to the production and sale of alternative toy products. Moreover, consumers</w:t>
      </w:r>
      <w:r>
        <w:t xml:space="preserve"> </w:t>
      </w:r>
      <w:r>
        <w:t xml:space="preserve">will in many cases simply purchase an alternative toy product rather than not purchase anything.</w:t>
      </w:r>
      <w:r>
        <w:t xml:space="preserve"> </w:t>
      </w:r>
      <w:r>
        <w:t xml:space="preserve">Administrative burden incurred if derogations are requested could amount to EUR 100.000 to EUR</w:t>
      </w:r>
      <w:r>
        <w:t xml:space="preserve"> </w:t>
      </w:r>
      <w:r>
        <w:t xml:space="preserve">300.000 per year. Derogations would be requested as a means to limit the adjustment costs that the</w:t>
      </w:r>
      <w:r>
        <w:t xml:space="preserve"> </w:t>
      </w:r>
      <w:r>
        <w:t xml:space="preserve">restrictions on chemical substances could lead to.</w:t>
      </w:r>
      <w:r>
        <w:br/>
      </w:r>
      <w:r>
        <w:t xml:space="preserve">For the introduction of the DPP under PO2b it is estimated that the cost for the EU manufacturers</w:t>
      </w:r>
      <w:r>
        <w:t xml:space="preserve"> </w:t>
      </w:r>
      <w:r>
        <w:t xml:space="preserve">could be around EUR 18 million of one –off costs and EUR 10.5 million per year due to the</w:t>
      </w:r>
      <w:r>
        <w:t xml:space="preserve"> </w:t>
      </w:r>
      <w:r>
        <w:t xml:space="preserve">incidence of initial costs, and decrease after the systems are set up and most initial data entered, there</w:t>
      </w:r>
      <w:r>
        <w:t xml:space="preserve"> </w:t>
      </w:r>
      <w:r>
        <w:t xml:space="preserve">are only expected to be additional costs related to updating and maintenance costs. PO2b could lead</w:t>
      </w:r>
      <w:r>
        <w:t xml:space="preserve"> </w:t>
      </w:r>
      <w:r>
        <w:t xml:space="preserve">to savings of around EUR 2.62 to EUR 3.93 million per year only from moving to the digital</w:t>
      </w:r>
      <w:r>
        <w:t xml:space="preserve"> </w:t>
      </w:r>
      <w:r>
        <w:t xml:space="preserve">provision of compliance information. In addition, savings from no need to prepare for dealing with</w:t>
      </w:r>
      <w:r>
        <w:t xml:space="preserve"> </w:t>
      </w:r>
      <w:r>
        <w:t xml:space="preserve">inspections by market surveillance authorities could range from EUR 13 million up to EUR 20</w:t>
      </w:r>
      <w:r>
        <w:t xml:space="preserve"> </w:t>
      </w:r>
      <w:r>
        <w:t xml:space="preserve">million per year.</w:t>
      </w:r>
    </w:p>
    <w:p>
      <w:pPr>
        <w:pStyle w:val="BodyText"/>
      </w:pPr>
      <w:r>
        <w:t xml:space="preserve">185 Based on provisional EU industry turnover of EUR 6.56 billion for 2020.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59</w:t>
      </w:r>
      <w:r>
        <w:t xml:space="preserve"> </w:t>
      </w:r>
      <w:r>
        <w:t xml:space="preserve">EN</w:t>
      </w:r>
      <w:r>
        <w:t xml:space="preserve"> </w:t>
      </w:r>
      <w:r>
        <w:t xml:space="preserve">Impacts on public authorities: PO2b will lead to significant efficiency gains for market surveillance</w:t>
      </w:r>
      <w:r>
        <w:t xml:space="preserve"> </w:t>
      </w:r>
      <w:r>
        <w:t xml:space="preserve">authorities (if reinvested in toy inspections, the number of inspections is expected to increase by a</w:t>
      </w:r>
      <w:r>
        <w:t xml:space="preserve"> </w:t>
      </w:r>
      <w:r>
        <w:t xml:space="preserve">maximum of 2,500 to 5,000), that are not expected to be lowered by the increased number of chemical</w:t>
      </w:r>
      <w:r>
        <w:t xml:space="preserve"> </w:t>
      </w:r>
      <w:r>
        <w:t xml:space="preserve">substances banned in toys under PO1b. This is because market surveillance authorities do not</w:t>
      </w:r>
      <w:r>
        <w:t xml:space="preserve"> </w:t>
      </w:r>
      <w:r>
        <w:t xml:space="preserve">necessarily test all toys inspected, nor for all substances concerned. In many cases they conduct</w:t>
      </w:r>
      <w:r>
        <w:t xml:space="preserve"> </w:t>
      </w:r>
      <w:r>
        <w:t xml:space="preserve">documentary checks only, in other cases they identify the toys that would need to be subject to testing,</w:t>
      </w:r>
      <w:r>
        <w:t xml:space="preserve"> </w:t>
      </w:r>
      <w:r>
        <w:t xml:space="preserve">as well as the chemical substances are most relevant for the specific toy at stake.</w:t>
      </w:r>
      <w:r>
        <w:t xml:space="preserve"> </w:t>
      </w:r>
      <w:r>
        <w:t xml:space="preserve">Impacts on innovation, competitiveness and single market: The impacts on innovation and the</w:t>
      </w:r>
      <w:r>
        <w:t xml:space="preserve"> </w:t>
      </w:r>
      <w:r>
        <w:t xml:space="preserve">single market for both 1b and 2b will cumulate. However, PO1b and 2b will have synergistic impacts</w:t>
      </w:r>
      <w:r>
        <w:t xml:space="preserve"> </w:t>
      </w:r>
      <w:r>
        <w:t xml:space="preserve">in improving competitiveness. While PO1b will impose costs on industry for the compliance with</w:t>
      </w:r>
      <w:r>
        <w:t xml:space="preserve"> </w:t>
      </w:r>
      <w:r>
        <w:t xml:space="preserve">new requirements on chemical substances, it will be accompanied by effective measures under 2b to</w:t>
      </w:r>
      <w:r>
        <w:t xml:space="preserve"> </w:t>
      </w:r>
      <w:r>
        <w:t xml:space="preserve">significantly reduce unfair competition from non-compliant toys. This will help preserving the</w:t>
      </w:r>
      <w:r>
        <w:t xml:space="preserve"> </w:t>
      </w:r>
      <w:r>
        <w:t xml:space="preserve">competitiveness of compliant industry. Without PO2b, PO1b may lead to more rogue traders</w:t>
      </w:r>
      <w:r>
        <w:t xml:space="preserve"> </w:t>
      </w:r>
      <w:r>
        <w:t xml:space="preserve">benefitting from selling non-compliant (and often cheaper) toys.</w:t>
      </w:r>
      <w:r>
        <w:t xml:space="preserve"> </w:t>
      </w:r>
      <w:r>
        <w:t xml:space="preserve">Social impacts – impacts on human health: Although PO1b and PO2b each address a distinct</w:t>
      </w:r>
      <w:r>
        <w:t xml:space="preserve"> </w:t>
      </w:r>
      <w:r>
        <w:t xml:space="preserve">problem, they will complement each other in terms of protection of human health. The human health</w:t>
      </w:r>
      <w:r>
        <w:t xml:space="preserve"> </w:t>
      </w:r>
      <w:r>
        <w:t xml:space="preserve">benefits estimated in PO1b (EUR 240 million to EUR 1.2 billion per year) will be reinforced by</w:t>
      </w:r>
      <w:r>
        <w:t xml:space="preserve"> </w:t>
      </w:r>
      <w:r>
        <w:t xml:space="preserve">ensuring under PO2b that non-compliance will be significantly reduced.</w:t>
      </w:r>
      <w:r>
        <w:t xml:space="preserve"> </w:t>
      </w:r>
      <w:r>
        <w:t xml:space="preserve">Environmental impacts : While the protection of the environment is not part of the SO pursued, the</w:t>
      </w:r>
      <w:r>
        <w:t xml:space="preserve"> </w:t>
      </w:r>
      <w:r>
        <w:t xml:space="preserve">preferred combination of options will lead to certain benefits for the environment, due to the reduction</w:t>
      </w:r>
      <w:r>
        <w:t xml:space="preserve"> </w:t>
      </w:r>
      <w:r>
        <w:t xml:space="preserve">of harmful substances in toys as well as the significant reduction of non-compliant toys. It is also</w:t>
      </w:r>
      <w:r>
        <w:t xml:space="preserve"> </w:t>
      </w:r>
      <w:r>
        <w:t xml:space="preserve">consistent with the objectives of the Climate Law186. This is detailed in the analysis of each of these</w:t>
      </w:r>
      <w:r>
        <w:t xml:space="preserve"> </w:t>
      </w:r>
      <w:r>
        <w:t xml:space="preserve">options.</w:t>
      </w:r>
      <w:r>
        <w:t xml:space="preserve"> </w:t>
      </w:r>
      <w:r>
        <w:t xml:space="preserve">Stakeholders’ views: Industry stakeholders supported that new limit values could be added in the</w:t>
      </w:r>
      <w:r>
        <w:t xml:space="preserve"> </w:t>
      </w:r>
      <w:r>
        <w:t xml:space="preserve">TSD for all toys in all policy options, but did not support the extension of generic bans to other</w:t>
      </w:r>
      <w:r>
        <w:t xml:space="preserve"> </w:t>
      </w:r>
      <w:r>
        <w:t xml:space="preserve">harmful substances (PO1b). Industry supported the digitalisation of compliance information in PO2b.</w:t>
      </w:r>
      <w:r>
        <w:t xml:space="preserve"> </w:t>
      </w:r>
      <w:r>
        <w:t xml:space="preserve">Member States expressed clear support for revising the TSD and strengthening the chemical</w:t>
      </w:r>
      <w:r>
        <w:t xml:space="preserve"> </w:t>
      </w:r>
      <w:r>
        <w:t xml:space="preserve">requirements, both with specific limit values and with additional generic prohibitions for certain</w:t>
      </w:r>
      <w:r>
        <w:t xml:space="preserve"> </w:t>
      </w:r>
      <w:r>
        <w:t xml:space="preserve">substances (PO1a and PO1b). There was also support to digitalising product information (PO2b) as</w:t>
      </w:r>
      <w:r>
        <w:t xml:space="preserve"> </w:t>
      </w:r>
      <w:r>
        <w:t xml:space="preserve">well as for extending third party conformity assessment (PO2a) but to a lesser extent. Consumers</w:t>
      </w:r>
      <w:r>
        <w:t xml:space="preserve"> </w:t>
      </w:r>
      <w:r>
        <w:t xml:space="preserve">favoured the options with stricter chemical requirements for products for children (PO1b) and the</w:t>
      </w:r>
      <w:r>
        <w:t xml:space="preserve"> </w:t>
      </w:r>
      <w:r>
        <w:t xml:space="preserve">more limited derogations (PO1c). Consumers also favoured the introduction of the DPP (PO2b) as</w:t>
      </w:r>
      <w:r>
        <w:t xml:space="preserve"> </w:t>
      </w:r>
      <w:r>
        <w:t xml:space="preserve">well as the extension of third party conformity assessment (PO2a and PO2c).</w:t>
      </w:r>
      <w:r>
        <w:t xml:space="preserve"> </w:t>
      </w:r>
      <w:r>
        <w:t xml:space="preserve">Conclusion on the preferred option: In terms of protection of children from harmful substances,</w:t>
      </w:r>
      <w:r>
        <w:t xml:space="preserve"> </w:t>
      </w:r>
      <w:r>
        <w:t xml:space="preserve">PO1b strikes a more appropriate balance between the negative impacts for industry which should be</w:t>
      </w:r>
      <w:r>
        <w:t xml:space="preserve"> </w:t>
      </w:r>
      <w:r>
        <w:t xml:space="preserve">limited by providing for appropriate derogations to generic bans, and significant reduction on</w:t>
      </w:r>
      <w:r>
        <w:t xml:space="preserve"> </w:t>
      </w:r>
      <w:r>
        <w:t xml:space="preserve">children exposure to these harmful substances. It will also ensure that the toy safety rules can continue</w:t>
      </w:r>
      <w:r>
        <w:t xml:space="preserve"> </w:t>
      </w:r>
      <w:r>
        <w:t xml:space="preserve">to adapt to new scientific knowledge. PO 2b will ensure that toys presented at customs without the</w:t>
      </w:r>
      <w:r>
        <w:t xml:space="preserve"> </w:t>
      </w:r>
      <w:r>
        <w:t xml:space="preserve">declaration of conformity included in the DPP would be automatically prevented from being released</w:t>
      </w:r>
      <w:r>
        <w:t xml:space="preserve"> </w:t>
      </w:r>
      <w:r>
        <w:t xml:space="preserve">for free circulation in the Union market. This, together with the efficiency gains for market</w:t>
      </w:r>
      <w:r>
        <w:t xml:space="preserve"> </w:t>
      </w:r>
      <w:r>
        <w:t xml:space="preserve">surveillance authorities will have a potential to reduce the number of non-compliant toys. In this</w:t>
      </w:r>
      <w:r>
        <w:t xml:space="preserve"> </w:t>
      </w:r>
      <w:r>
        <w:t xml:space="preserve">manner, PO2b better addresses the drivers of the problem.</w:t>
      </w:r>
    </w:p>
    <w:p>
      <w:pPr>
        <w:pStyle w:val="BodyText"/>
      </w:pPr>
      <w:r>
        <w:t xml:space="preserve">186 Regulation (EU) 2021/1119 of the European Parliament and of the Council of 30 June 2021 establishing the framework</w:t>
      </w:r>
      <w:r>
        <w:t xml:space="preserve"> </w:t>
      </w:r>
      <w:r>
        <w:t xml:space="preserve">for achieving climate neutrality and amending Regulations (EC) No 401/2009 and (EU) 2018/1999 (‘European Climate</w:t>
      </w:r>
      <w:r>
        <w:t xml:space="preserve"> </w:t>
      </w:r>
      <w:r>
        <w:t xml:space="preserve">Law’)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60</w:t>
      </w:r>
      <w:r>
        <w:t xml:space="preserve"> </w:t>
      </w:r>
      <w:r>
        <w:t xml:space="preserve">EN</w:t>
      </w:r>
      <w:r>
        <w:t xml:space="preserve"> </w:t>
      </w:r>
      <w:r>
        <w:t xml:space="preserve">The preferred option will contribute achieving Sustainable Development Goals: to SDG 3 due to its</w:t>
      </w:r>
      <w:r>
        <w:t xml:space="preserve"> </w:t>
      </w:r>
      <w:r>
        <w:t xml:space="preserve">positive impacts on children health and well-being, to SDG 6 by reducing harmful substances in toys</w:t>
      </w:r>
      <w:r>
        <w:t xml:space="preserve"> </w:t>
      </w:r>
      <w:r>
        <w:t xml:space="preserve">that may become waste, to SDG 9 by providing incentives for businesses to innovate in substitution</w:t>
      </w:r>
      <w:r>
        <w:t xml:space="preserve"> </w:t>
      </w:r>
      <w:r>
        <w:t xml:space="preserve">of harmful chemicals and digitalisation and to SDG 12 by enhancing that toys and children health are</w:t>
      </w:r>
      <w:r>
        <w:t xml:space="preserve"> </w:t>
      </w:r>
      <w:r>
        <w:t xml:space="preserve">protected in a more sustainable manner.</w:t>
      </w:r>
      <w:r>
        <w:br/>
      </w:r>
      <w:r>
        <w:t xml:space="preserve">8.1.</w:t>
      </w:r>
      <w:r>
        <w:t xml:space="preserve"> </w:t>
      </w:r>
      <w:r>
        <w:t xml:space="preserve">Legal instrument: converting the Directive into a Regulation</w:t>
      </w:r>
      <w:r>
        <w:t xml:space="preserve"> </w:t>
      </w:r>
      <w:r>
        <w:t xml:space="preserve">A directive leaves Member States to choose which means they will use to comply with the legislative</w:t>
      </w:r>
      <w:r>
        <w:t xml:space="preserve"> </w:t>
      </w:r>
      <w:r>
        <w:t xml:space="preserve">objectives. As the TSD is a ‘total harmonisation’ directive it does not allow the Member States to</w:t>
      </w:r>
      <w:r>
        <w:t xml:space="preserve"> </w:t>
      </w:r>
      <w:r>
        <w:t xml:space="preserve">impose more restrictive obligations. The existing legal instrument being a Directive means that every</w:t>
      </w:r>
      <w:r>
        <w:t xml:space="preserve"> </w:t>
      </w:r>
      <w:r>
        <w:t xml:space="preserve">amendment to the text (of which there has been 17 to date) must be transposed by all Member States.</w:t>
      </w:r>
      <w:r>
        <w:t xml:space="preserve"> </w:t>
      </w:r>
      <w:r>
        <w:t xml:space="preserve">Therefore, to increase efficiency, the legal text would fit better with a regulation approach rather than</w:t>
      </w:r>
      <w:r>
        <w:t xml:space="preserve"> </w:t>
      </w:r>
      <w:r>
        <w:t xml:space="preserve">with a directive approach187. There was a broad consensus across all stakeholder groups on the</w:t>
      </w:r>
      <w:r>
        <w:t xml:space="preserve"> </w:t>
      </w:r>
      <w:r>
        <w:t xml:space="preserve">benefits of this conversion. A large majority of public-consultation respondents (85% of all</w:t>
      </w:r>
      <w:r>
        <w:t xml:space="preserve"> </w:t>
      </w:r>
      <w:r>
        <w:t xml:space="preserve">respondents including 80 % of public authorities, 82% of businesses and business associations and</w:t>
      </w:r>
      <w:r>
        <w:t xml:space="preserve"> </w:t>
      </w:r>
      <w:r>
        <w:t xml:space="preserve">88% of consumers, consumer organisations and NGOs) expressed support for this change. Finally,</w:t>
      </w:r>
      <w:r>
        <w:t xml:space="preserve"> </w:t>
      </w:r>
      <w:r>
        <w:t xml:space="preserve">PO2b requires that the underlying legal instrument be a Regulation to ensure a harmonised</w:t>
      </w:r>
      <w:r>
        <w:t xml:space="preserve"> </w:t>
      </w:r>
      <w:r>
        <w:t xml:space="preserve">enforcement of the Regulation in the Union and, in particular, at the EU external borders.</w:t>
      </w:r>
      <w:r>
        <w:br/>
      </w:r>
      <w:r>
        <w:t xml:space="preserve">With a Regulation the costs of transposing any amendment to the Directive would disappear. The</w:t>
      </w:r>
      <w:r>
        <w:t xml:space="preserve"> </w:t>
      </w:r>
      <w:r>
        <w:t xml:space="preserve">transposition of each amendment to the Directive is estimated to be in the range of EUR 6,174 to</w:t>
      </w:r>
      <w:r>
        <w:t xml:space="preserve"> </w:t>
      </w:r>
      <w:r>
        <w:t xml:space="preserve">EUR 18,522 per Member State. The annual savings of the policy measure for public authorities in</w:t>
      </w:r>
      <w:r>
        <w:t xml:space="preserve"> </w:t>
      </w:r>
      <w:r>
        <w:t xml:space="preserve">the EU would therefore be EUR 435,979188. A Regulation will also lead to savings for the industry</w:t>
      </w:r>
      <w:r>
        <w:t xml:space="preserve"> </w:t>
      </w:r>
      <w:r>
        <w:t xml:space="preserve">and benefit the single market, as it will enter into force simultaneously across the EU, as well as any</w:t>
      </w:r>
      <w:r>
        <w:t xml:space="preserve"> </w:t>
      </w:r>
      <w:r>
        <w:t xml:space="preserve">subsequent amendment to it.</w:t>
      </w:r>
      <w:r>
        <w:br/>
      </w:r>
      <w:r>
        <w:t xml:space="preserve">8.2.</w:t>
      </w:r>
      <w:r>
        <w:t xml:space="preserve"> </w:t>
      </w:r>
      <w:r>
        <w:t xml:space="preserve">REFIT (simplification and improved efficiency)</w:t>
      </w:r>
      <w:r>
        <w:t xml:space="preserve"> </w:t>
      </w:r>
      <w:r>
        <w:t xml:space="preserve">The Evaluation assessed the potential for simplification of the TSD and concluded that there was no</w:t>
      </w:r>
      <w:r>
        <w:t xml:space="preserve"> </w:t>
      </w:r>
      <w:r>
        <w:t xml:space="preserve">potential for simplification on the substantial obligations and administrative burden of the TSD, as</w:t>
      </w:r>
      <w:r>
        <w:t xml:space="preserve"> </w:t>
      </w:r>
      <w:r>
        <w:t xml:space="preserve">simplification entailing fewer obligations for economic operators would risk losing protection of</w:t>
      </w:r>
      <w:r>
        <w:t xml:space="preserve"> </w:t>
      </w:r>
      <w:r>
        <w:t xml:space="preserve">children. Similarly, currently under the TSD there is no requirement to go through third-party</w:t>
      </w:r>
      <w:r>
        <w:t xml:space="preserve"> </w:t>
      </w:r>
      <w:r>
        <w:t xml:space="preserve">conformity if there are harmonised standards covering all aspects of toys; this could not be simplified</w:t>
      </w:r>
      <w:r>
        <w:t xml:space="preserve"> </w:t>
      </w:r>
      <w:r>
        <w:t xml:space="preserve">further.</w:t>
      </w:r>
      <w:r>
        <w:br/>
      </w:r>
      <w:r>
        <w:t xml:space="preserve">The option to move to digital in the compliance information will lead to simplification and improved</w:t>
      </w:r>
      <w:r>
        <w:t xml:space="preserve"> </w:t>
      </w:r>
      <w:r>
        <w:t xml:space="preserve">efficiency in the contacts between economic operators and market surveillance authorities. This is</w:t>
      </w:r>
      <w:r>
        <w:t xml:space="preserve"> </w:t>
      </w:r>
      <w:r>
        <w:t xml:space="preserve">supported by outcomes from the public consultation for the Evaluation of the New Legislative</w:t>
      </w:r>
      <w:r>
        <w:t xml:space="preserve"> </w:t>
      </w:r>
      <w:r>
        <w:t xml:space="preserve">Framework, 79.2% of the respondents (54.2% to a great extent and 25% to some extent) considered</w:t>
      </w:r>
      <w:r>
        <w:t xml:space="preserve"> </w:t>
      </w:r>
      <w:r>
        <w:t xml:space="preserve">that digitalisation of the declaration of conformity / technical product information / technical</w:t>
      </w:r>
      <w:r>
        <w:t xml:space="preserve"> </w:t>
      </w:r>
      <w:r>
        <w:t xml:space="preserve">file would improve the efficiency of the conformity assessment procedure, without hindering</w:t>
      </w:r>
      <w:r>
        <w:t xml:space="preserve"> </w:t>
      </w:r>
      <w:r>
        <w:t xml:space="preserve">market surveillance activities. Stakeholders from all groups in that consultation agreed that</w:t>
      </w:r>
      <w:r>
        <w:t xml:space="preserve"> </w:t>
      </w:r>
      <w:r>
        <w:t xml:space="preserve">digitalisation offers a potential solution for simplification of administrative obligation related to</w:t>
      </w:r>
      <w:r>
        <w:t xml:space="preserve"> </w:t>
      </w:r>
      <w:r>
        <w:t xml:space="preserve">product information requirements and CE marking, which is also applicable to toys.</w:t>
      </w:r>
      <w:r>
        <w:br/>
      </w:r>
      <w:r>
        <w:t xml:space="preserve">Finally, one aspect for simplification that was raised very frequently by stakeholders was the need</w:t>
      </w:r>
      <w:r>
        <w:t xml:space="preserve"> </w:t>
      </w:r>
      <w:r>
        <w:t xml:space="preserve">for the warnings required by the TSD to be preceded by the word “warning” which needed to be</w:t>
      </w:r>
    </w:p>
    <w:p>
      <w:pPr>
        <w:pStyle w:val="BodyText"/>
      </w:pPr>
      <w:r>
        <w:t xml:space="preserve">187 See also section 5.1.4 of the Evaluation</w:t>
      </w:r>
      <w:r>
        <w:t xml:space="preserve"> </w:t>
      </w:r>
      <w:r>
        <w:t xml:space="preserve">188 See annex 14 for the detailed calculations of these estimates, based on an estimate of the amount of person days needed</w:t>
      </w:r>
      <w:r>
        <w:t xml:space="preserve"> </w:t>
      </w:r>
      <w:r>
        <w:t xml:space="preserve">for transposition to be between 20 and 60. Using the Member State daily labour cost (i.e. EUR 309 - Data about labour</w:t>
      </w:r>
      <w:r>
        <w:t xml:space="preserve"> </w:t>
      </w:r>
      <w:r>
        <w:t xml:space="preserve">costs comes from Eurostat’s Labour Cost Survey, (2016), category ‘public administration and defence, compulsory social</w:t>
      </w:r>
      <w:r>
        <w:t xml:space="preserve"> </w:t>
      </w:r>
      <w:r>
        <w:t xml:space="preserve">security’ per employee FTE and adjusted for inflation.), the overall cost of transposition is estimated to be in the range</w:t>
      </w:r>
      <w:r>
        <w:t xml:space="preserve"> </w:t>
      </w:r>
      <w:r>
        <w:t xml:space="preserve">of EUR 6,174 to EUR 18,522 per Member State.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61</w:t>
      </w:r>
      <w:r>
        <w:t xml:space="preserve"> </w:t>
      </w:r>
      <w:r>
        <w:t xml:space="preserve">EN</w:t>
      </w:r>
      <w:r>
        <w:t xml:space="preserve"> </w:t>
      </w:r>
      <w:r>
        <w:t xml:space="preserve">translated into all languages required by the Member States in which the toy was going to be made</w:t>
      </w:r>
      <w:r>
        <w:t xml:space="preserve"> </w:t>
      </w:r>
      <w:r>
        <w:t xml:space="preserve">available. Replacing the word “warning” by a generic pictogram would lead to simplification for the</w:t>
      </w:r>
      <w:r>
        <w:t xml:space="preserve"> </w:t>
      </w:r>
      <w:r>
        <w:t xml:space="preserve">industry without compromising the protection of children. It will also lead to savings to the industry</w:t>
      </w:r>
      <w:r>
        <w:t xml:space="preserve"> </w:t>
      </w:r>
      <w:r>
        <w:t xml:space="preserve">when producing the labels but these cannot be quantified with precision.</w:t>
      </w:r>
      <w:r>
        <w:br/>
      </w:r>
      <w:r>
        <w:t xml:space="preserve">8.3.</w:t>
      </w:r>
      <w:r>
        <w:t xml:space="preserve"> </w:t>
      </w:r>
      <w:r>
        <w:t xml:space="preserve">Application of the ‘one in, one out’ approach</w:t>
      </w:r>
      <w:r>
        <w:br/>
      </w:r>
      <w:r>
        <w:t xml:space="preserve">As indicated in the previous sections, the first set of policy options is only expected to lead to an</w:t>
      </w:r>
      <w:r>
        <w:t xml:space="preserve"> </w:t>
      </w:r>
      <w:r>
        <w:t xml:space="preserve">increase in the administrative burden as compared with the business as usual costs of the baseline if</w:t>
      </w:r>
      <w:r>
        <w:t xml:space="preserve"> </w:t>
      </w:r>
      <w:r>
        <w:t xml:space="preserve">derogations are requested to continue using in toys substances which have been banned. It could be</w:t>
      </w:r>
      <w:r>
        <w:t xml:space="preserve"> </w:t>
      </w:r>
      <w:r>
        <w:t xml:space="preserve">estimated that the cost per derogation request could range between EUR 50.000 to a maximum of</w:t>
      </w:r>
      <w:r>
        <w:t xml:space="preserve"> </w:t>
      </w:r>
      <w:r>
        <w:t xml:space="preserve">EUR 150.000 per derogation request, and that there would be a maximum of two derogation requests</w:t>
      </w:r>
      <w:r>
        <w:t xml:space="preserve"> </w:t>
      </w:r>
      <w:r>
        <w:t xml:space="preserve">per year, which would lead to a recurrent cost of EUR 100.000 to a maximum of EUR 300.000 per</w:t>
      </w:r>
      <w:r>
        <w:t xml:space="preserve"> </w:t>
      </w:r>
      <w:r>
        <w:t xml:space="preserve">year (with an average of EUR 200.000 per year). Option 2b would entail administrative costs for</w:t>
      </w:r>
      <w:r>
        <w:t xml:space="preserve"> </w:t>
      </w:r>
      <w:r>
        <w:t xml:space="preserve">businesses and benefits. Based on current market structure and expected average production per</w:t>
      </w:r>
      <w:r>
        <w:t xml:space="preserve"> </w:t>
      </w:r>
      <w:r>
        <w:t xml:space="preserve">enterprise, the overall additional administrative burden has been estimated at approximately EUR</w:t>
      </w:r>
      <w:r>
        <w:t xml:space="preserve"> </w:t>
      </w:r>
      <w:r>
        <w:t xml:space="preserve">18 million one-off and EUR 10.5 million recurrent, per year.</w:t>
      </w:r>
      <w:r>
        <w:br/>
      </w:r>
      <w:r>
        <w:t xml:space="preserve">In terms of benefits, option 2b is likely to bring some reduction of the administrative burden on</w:t>
      </w:r>
      <w:r>
        <w:t xml:space="preserve"> </w:t>
      </w:r>
      <w:r>
        <w:t xml:space="preserve">companies and authorities: the introduction of the DPP, while it would lead to initial costs for</w:t>
      </w:r>
      <w:r>
        <w:t xml:space="preserve"> </w:t>
      </w:r>
      <w:r>
        <w:t xml:space="preserve">companies, it has the potential to reduce the administrative burden on public authorities, in particular</w:t>
      </w:r>
      <w:r>
        <w:t xml:space="preserve"> </w:t>
      </w:r>
      <w:r>
        <w:t xml:space="preserve">customs, when importing toys from third countries since the DPP would allow for more automatic</w:t>
      </w:r>
      <w:r>
        <w:t xml:space="preserve"> </w:t>
      </w:r>
      <w:r>
        <w:t xml:space="preserve">documentation checks and prevent the import of non-conform toys that would be held on border</w:t>
      </w:r>
      <w:r>
        <w:t xml:space="preserve"> </w:t>
      </w:r>
      <w:r>
        <w:t xml:space="preserve">premises and subject to physical controls. PO2b could lead to savings for companies from moving</w:t>
      </w:r>
      <w:r>
        <w:t xml:space="preserve"> </w:t>
      </w:r>
      <w:r>
        <w:t xml:space="preserve">to digitalised information of around EUR 2.62 to EUR 3.93 (EUR 3.275 on average) million per</w:t>
      </w:r>
      <w:r>
        <w:t xml:space="preserve"> </w:t>
      </w:r>
      <w:r>
        <w:t xml:space="preserve">year. In addition, a cost reduction would also incur for manufacturers during inspections by market</w:t>
      </w:r>
      <w:r>
        <w:t xml:space="preserve"> </w:t>
      </w:r>
      <w:r>
        <w:t xml:space="preserve">surveillance authorities but these are not savings that are accounted for offseetting under the ‘one in,</w:t>
      </w:r>
      <w:r>
        <w:t xml:space="preserve"> </w:t>
      </w:r>
      <w:r>
        <w:t xml:space="preserve">one out’ apporach.</w:t>
      </w:r>
      <w:r>
        <w:br/>
      </w:r>
      <w:r>
        <w:t xml:space="preserve">9.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The Commission will monitor the application of the future Toy Safety Regulation and its</w:t>
      </w:r>
      <w:r>
        <w:t xml:space="preserve"> </w:t>
      </w:r>
      <w:r>
        <w:t xml:space="preserve">implementation in the Member States, possibly 5 years after the start of application. It will monitor</w:t>
      </w:r>
      <w:r>
        <w:t xml:space="preserve"> </w:t>
      </w:r>
      <w:r>
        <w:t xml:space="preserve">that when new substances are classified under the most harmful hazard classes under the CLP and</w:t>
      </w:r>
      <w:r>
        <w:t xml:space="preserve"> </w:t>
      </w:r>
      <w:r>
        <w:t xml:space="preserve">covered by generic bans, all the relevant stakeholders are sufficiently informed and testing methods</w:t>
      </w:r>
      <w:r>
        <w:t xml:space="preserve"> </w:t>
      </w:r>
      <w:r>
        <w:t xml:space="preserve">are available in advance. The Commission will also monitor the requests for derogations to these</w:t>
      </w:r>
      <w:r>
        <w:t xml:space="preserve"> </w:t>
      </w:r>
      <w:r>
        <w:t xml:space="preserve">generic bans and their regular evaluation, and any derogation granted should be reassessed every 5</w:t>
      </w:r>
      <w:r>
        <w:t xml:space="preserve"> </w:t>
      </w:r>
      <w:r>
        <w:t xml:space="preserve">years, as is the case in the current TSD.</w:t>
      </w:r>
      <w:r>
        <w:br/>
      </w:r>
      <w:r>
        <w:t xml:space="preserve">The Commission will continue to follow with experts emerging scientific knowledge in the field of</w:t>
      </w:r>
      <w:r>
        <w:t xml:space="preserve"> </w:t>
      </w:r>
      <w:r>
        <w:t xml:space="preserve">chemical substances to determine whether additional or stricter limit values should be introduced in</w:t>
      </w:r>
      <w:r>
        <w:t xml:space="preserve"> </w:t>
      </w:r>
      <w:r>
        <w:t xml:space="preserve">the future Toy Safety Regulation. The Commission will continue to produce guidance documents in</w:t>
      </w:r>
      <w:r>
        <w:t xml:space="preserve"> </w:t>
      </w:r>
      <w:r>
        <w:t xml:space="preserve">cooperation with Experts in the Expert Group on Toy Safety, to ensure that stakeholders have the</w:t>
      </w:r>
      <w:r>
        <w:t xml:space="preserve"> </w:t>
      </w:r>
      <w:r>
        <w:t xml:space="preserve">best possible understanding of the obligations under the Toy Safety Regulation so that compliance is</w:t>
      </w:r>
      <w:r>
        <w:t xml:space="preserve"> </w:t>
      </w:r>
      <w:r>
        <w:t xml:space="preserve">facilitated.</w:t>
      </w:r>
      <w:r>
        <w:t xml:space="preserve"> </w:t>
      </w:r>
      <w:r>
        <w:t xml:space="preserve">The coordination of notified bodies in the relevant NB group for toys will inform of the types of toys</w:t>
      </w:r>
      <w:r>
        <w:t xml:space="preserve"> </w:t>
      </w:r>
      <w:r>
        <w:t xml:space="preserve">for which an EU type certificate is requested, and risks that may appear in novel toys.</w:t>
      </w:r>
      <w:r>
        <w:t xml:space="preserve"> </w:t>
      </w:r>
      <w:r>
        <w:t xml:space="preserve">As regards the evolution of the rates of non-compliance and possibly the number of toys stopped at</w:t>
      </w:r>
      <w:r>
        <w:t xml:space="preserve"> </w:t>
      </w:r>
      <w:r>
        <w:t xml:space="preserve">the border, the Commission will monitor the implementation by Member States of their obligation</w:t>
      </w:r>
      <w:r>
        <w:t xml:space="preserve"> </w:t>
      </w:r>
      <w:r>
        <w:t xml:space="preserve">under article 34 of Regulation 2019/1020 on market surveillance to notify under ICSMS information</w:t>
      </w:r>
      <w:r>
        <w:t xml:space="preserve"> </w:t>
      </w:r>
      <w:r>
        <w:t xml:space="preserve">on the inspections they conduct on toys, and on the results of those inspections. First of all, the</w:t>
      </w:r>
      <w:r>
        <w:t xml:space="preserve"> </w:t>
      </w:r>
      <w:r>
        <w:t xml:space="preserve">Commission will monitor the number of inspections carried out by market surveillance authorities,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62</w:t>
      </w:r>
      <w:r>
        <w:t xml:space="preserve"> </w:t>
      </w:r>
      <w:r>
        <w:t xml:space="preserve">EN</w:t>
      </w:r>
      <w:r>
        <w:t xml:space="preserve"> </w:t>
      </w:r>
      <w:r>
        <w:t xml:space="preserve">which is expected to grow. The information on the results of investigations should report as far as</w:t>
      </w:r>
      <w:r>
        <w:t xml:space="preserve"> </w:t>
      </w:r>
      <w:r>
        <w:t xml:space="preserve">possible if the toy is available online or not. This information, together with the notifications</w:t>
      </w:r>
      <w:r>
        <w:t xml:space="preserve"> </w:t>
      </w:r>
      <w:r>
        <w:t xml:space="preserve">performed under the RAPEX-Safety Gate on dangerous toys, should allow for a more complete</w:t>
      </w:r>
      <w:r>
        <w:t xml:space="preserve"> </w:t>
      </w:r>
      <w:r>
        <w:t xml:space="preserve">picture on the evolution of non-compliance for toys in the EU, and the percentage of toys inspected</w:t>
      </w:r>
      <w:r>
        <w:t xml:space="preserve"> </w:t>
      </w:r>
      <w:r>
        <w:t xml:space="preserve">which are compliant or not, and the extent of the non-compliance including online sales. It is expected</w:t>
      </w:r>
      <w:r>
        <w:t xml:space="preserve"> </w:t>
      </w:r>
      <w:r>
        <w:t xml:space="preserve">that the number and share of non-compliant toys will be reduced. Furthermore, information on the</w:t>
      </w:r>
      <w:r>
        <w:t xml:space="preserve"> </w:t>
      </w:r>
      <w:r>
        <w:t xml:space="preserve">number of toys which are not released for free circulation because the digital product passport</w:t>
      </w:r>
      <w:r>
        <w:t xml:space="preserve"> </w:t>
      </w:r>
      <w:r>
        <w:t xml:space="preserve">including the declaration of conformity was absent, will also allow for evaluating the success of that</w:t>
      </w:r>
      <w:r>
        <w:t xml:space="preserve"> </w:t>
      </w:r>
      <w:r>
        <w:t xml:space="preserve">measure in preventing that non-compliant toys are placed on the Union market.</w:t>
      </w:r>
      <w:r>
        <w:t xml:space="preserve"> </w:t>
      </w:r>
      <w:r>
        <w:t xml:space="preserve">Objective</w:t>
      </w:r>
      <w:r>
        <w:t xml:space="preserve"> </w:t>
      </w:r>
      <w:r>
        <w:t xml:space="preserve">Indicator</w:t>
      </w:r>
      <w:r>
        <w:t xml:space="preserve"> </w:t>
      </w:r>
      <w:r>
        <w:t xml:space="preserve">Strengthen the protection of children from harmful</w:t>
      </w:r>
      <w:r>
        <w:t xml:space="preserve"> </w:t>
      </w:r>
      <w:r>
        <w:t xml:space="preserve">chemicals</w:t>
      </w:r>
      <w:r>
        <w:t xml:space="preserve"> </w:t>
      </w:r>
      <w:r>
        <w:t xml:space="preserve">Number of derogations to generic bans requested</w:t>
      </w:r>
      <w:r>
        <w:t xml:space="preserve"> </w:t>
      </w:r>
      <w:r>
        <w:t xml:space="preserve">Notifications of measures taken againts toys containing</w:t>
      </w:r>
      <w:r>
        <w:t xml:space="preserve"> </w:t>
      </w:r>
      <w:r>
        <w:t xml:space="preserve">harmful substances</w:t>
      </w:r>
      <w:r>
        <w:t xml:space="preserve"> </w:t>
      </w:r>
      <w:r>
        <w:t xml:space="preserve">Flexibility to adapt to emerging scientific knowledge</w:t>
      </w:r>
      <w:r>
        <w:t xml:space="preserve"> </w:t>
      </w:r>
      <w:r>
        <w:t xml:space="preserve">Number of specific limit values introduced for other</w:t>
      </w:r>
      <w:r>
        <w:t xml:space="preserve"> </w:t>
      </w:r>
      <w:r>
        <w:t xml:space="preserve">harmful substances</w:t>
      </w:r>
      <w:r>
        <w:t xml:space="preserve"> </w:t>
      </w:r>
      <w:r>
        <w:t xml:space="preserve">Time taken for the adoption of such additional limit</w:t>
      </w:r>
      <w:r>
        <w:t xml:space="preserve"> </w:t>
      </w:r>
      <w:r>
        <w:t xml:space="preserve">values</w:t>
      </w:r>
      <w:r>
        <w:t xml:space="preserve"> </w:t>
      </w:r>
      <w:r>
        <w:t xml:space="preserve">Reduce the number of non-compliant toys</w:t>
      </w:r>
      <w:r>
        <w:br/>
      </w:r>
      <w:r>
        <w:t xml:space="preserve">Number of non-compliant toys found, if possible with</w:t>
      </w:r>
      <w:r>
        <w:t xml:space="preserve"> </w:t>
      </w:r>
      <w:r>
        <w:t xml:space="preserve">a breaking down as to the sales channels used and origin</w:t>
      </w:r>
      <w:r>
        <w:t xml:space="preserve"> </w:t>
      </w:r>
      <w:r>
        <w:t xml:space="preserve">of products</w:t>
      </w:r>
      <w:r>
        <w:t xml:space="preserve"> </w:t>
      </w:r>
      <w:r>
        <w:t xml:space="preserve">Number of non-compliant toys stopped at the border</w:t>
      </w:r>
      <w:r>
        <w:t xml:space="preserve"> </w:t>
      </w:r>
      <w:r>
        <w:t xml:space="preserve">without a DPP</w:t>
      </w:r>
      <w:r>
        <w:t xml:space="preserve"> </w:t>
      </w:r>
      <w:r>
        <w:t xml:space="preserve">Facilitate enforcement</w:t>
      </w:r>
      <w:r>
        <w:t xml:space="preserve"> </w:t>
      </w:r>
      <w:r>
        <w:t xml:space="preserve">Total number of inspections on toys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63</w:t>
      </w:r>
      <w:r>
        <w:t xml:space="preserve"> </w:t>
      </w:r>
      <w:r>
        <w:t xml:space="preserve">EN</w:t>
      </w:r>
      <w:r>
        <w:t xml:space="preserve"> </w:t>
      </w:r>
      <w:r>
        <w:t xml:space="preserve">ANNEXES</w:t>
      </w:r>
      <w:r>
        <w:t xml:space="preserve"> </w:t>
      </w:r>
      <w:r>
        <w:t xml:space="preserve">ANNEX 1: PROCEDURAL INFORMATION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Lead DG: DG Internal Market, Industry, Entrepreneurship and SMEs (DG GROW)</w:t>
      </w:r>
      <w:r>
        <w:t xml:space="preserve"> </w:t>
      </w:r>
      <w:r>
        <w:t xml:space="preserve">Directorate: Directorate F – Ecosystems I: Chemicals, Food, Retail</w:t>
      </w:r>
      <w:r>
        <w:t xml:space="preserve"> </w:t>
      </w:r>
      <w:r>
        <w:t xml:space="preserve">This impact assessment corresponds to the initiative with the Decide reference PLAN 2021/11623,</w:t>
      </w:r>
      <w:r>
        <w:t xml:space="preserve"> </w:t>
      </w:r>
      <w:r>
        <w:t xml:space="preserve">for the revision of the Toy Safety Directive.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The inception impact assessment feedback period ran from 5 October to 2 November 2021.</w:t>
      </w:r>
      <w:r>
        <w:t xml:space="preserve"> </w:t>
      </w:r>
      <w:r>
        <w:t xml:space="preserve">The public consultation period ran from 2 March 2022 to 25 May 2022.</w:t>
      </w:r>
      <w:r>
        <w:t xml:space="preserve"> </w:t>
      </w:r>
      <w:r>
        <w:t xml:space="preserve">An inter-service steering group was convened and chaired by DG GROW. The following</w:t>
      </w:r>
      <w:r>
        <w:t xml:space="preserve"> </w:t>
      </w:r>
      <w:r>
        <w:t xml:space="preserve">Directorates-General participated: SG, JUST, GROW, CNECT, SANTE, ENV, TAXUD. The ISSG</w:t>
      </w:r>
      <w:r>
        <w:t xml:space="preserve"> </w:t>
      </w:r>
      <w:r>
        <w:t xml:space="preserve">met 8 times. The last meeting on the final draft impact assessment report was held on 23 September</w:t>
      </w:r>
      <w:r>
        <w:t xml:space="preserve"> </w:t>
      </w:r>
      <w:r>
        <w:t xml:space="preserve">2022.</w:t>
      </w:r>
      <w:r>
        <w:br/>
      </w:r>
      <w:r>
        <w:t xml:space="preserve">3.</w:t>
      </w:r>
      <w:r>
        <w:t xml:space="preserve"> </w:t>
      </w:r>
      <w:r>
        <w:t xml:space="preserve">CONSULTATION OF THE RSB</w:t>
      </w:r>
      <w:r>
        <w:t xml:space="preserve"> </w:t>
      </w:r>
      <w:r>
        <w:t xml:space="preserve">The RSB was consulted in an informal upstream meeting on 22 February 2022. This impact</w:t>
      </w:r>
      <w:r>
        <w:t xml:space="preserve"> </w:t>
      </w:r>
      <w:r>
        <w:t xml:space="preserve">assessment was submitted to the RSB on 28 September 2022. The meeting with the RSB took place</w:t>
      </w:r>
      <w:r>
        <w:t xml:space="preserve"> </w:t>
      </w:r>
      <w:r>
        <w:t xml:space="preserve">on 26 October 2022.</w:t>
      </w:r>
      <w:r>
        <w:t xml:space="preserve"> </w:t>
      </w:r>
      <w:r>
        <w:t xml:space="preserve">Following the opinion of the RSB from 28 October 2022, changes were made to the IA in order to</w:t>
      </w:r>
      <w:r>
        <w:t xml:space="preserve"> </w:t>
      </w:r>
      <w:r>
        <w:t xml:space="preserve">reflect the recommendations of the Board. The table below presents an overview of the RSB’s</w:t>
      </w:r>
      <w:r>
        <w:t xml:space="preserve"> </w:t>
      </w:r>
      <w:r>
        <w:t xml:space="preserve">recommendations and how these have been addressed.</w:t>
      </w:r>
      <w:r>
        <w:t xml:space="preserve"> </w:t>
      </w:r>
      <w:r>
        <w:t xml:space="preserve">Opinion of the RSB</w:t>
      </w:r>
      <w:r>
        <w:t xml:space="preserve"> </w:t>
      </w:r>
      <w:r>
        <w:t xml:space="preserve">How the comments have been addressed</w:t>
      </w:r>
      <w:r>
        <w:t xml:space="preserve"> </w:t>
      </w:r>
      <w:r>
        <w:t xml:space="preserve">Summary of findings</w:t>
      </w:r>
      <w:r>
        <w:t xml:space="preserve"> </w:t>
      </w:r>
      <w:r>
        <w:t xml:space="preserve">(1) The report does not provide sufficient</w:t>
      </w:r>
      <w:r>
        <w:t xml:space="preserve"> </w:t>
      </w:r>
      <w:r>
        <w:t xml:space="preserve">information about the process to grant</w:t>
      </w:r>
      <w:r>
        <w:t xml:space="preserve"> </w:t>
      </w:r>
      <w:r>
        <w:t xml:space="preserve">derogations for the most harmful chemicals</w:t>
      </w:r>
      <w:r>
        <w:t xml:space="preserve"> </w:t>
      </w:r>
      <w:r>
        <w:t xml:space="preserve">under the preferred option. It does not explain</w:t>
      </w:r>
      <w:r>
        <w:t xml:space="preserve"> </w:t>
      </w:r>
      <w:r>
        <w:t xml:space="preserve">how this process will ensure that children’s</w:t>
      </w:r>
      <w:r>
        <w:t xml:space="preserve"> </w:t>
      </w:r>
      <w:r>
        <w:t xml:space="preserve">safety is not compromised.</w:t>
      </w:r>
      <w:r>
        <w:t xml:space="preserve"> </w:t>
      </w:r>
      <w:r>
        <w:t xml:space="preserve">A better description of the process to grant</w:t>
      </w:r>
      <w:r>
        <w:t xml:space="preserve"> </w:t>
      </w:r>
      <w:r>
        <w:t xml:space="preserve">derogations has been included in section 5.2.1.</w:t>
      </w:r>
      <w:r>
        <w:t xml:space="preserve"> </w:t>
      </w:r>
      <w:r>
        <w:t xml:space="preserve">The report also includes explanations on how</w:t>
      </w:r>
      <w:r>
        <w:t xml:space="preserve"> </w:t>
      </w:r>
      <w:r>
        <w:t xml:space="preserve">once a chemical has been classified in one of the</w:t>
      </w:r>
      <w:r>
        <w:t xml:space="preserve"> </w:t>
      </w:r>
      <w:r>
        <w:t xml:space="preserve">most harmful hazard classes the derogation</w:t>
      </w:r>
      <w:r>
        <w:t xml:space="preserve"> </w:t>
      </w:r>
      <w:r>
        <w:t xml:space="preserve">process should look into whether there is</w:t>
      </w:r>
      <w:r>
        <w:t xml:space="preserve"> </w:t>
      </w:r>
      <w:r>
        <w:t xml:space="preserve">children exposure to it and only uses which are</w:t>
      </w:r>
      <w:r>
        <w:t xml:space="preserve"> </w:t>
      </w:r>
      <w:r>
        <w:t xml:space="preserve">considered to be safe for children and pose no</w:t>
      </w:r>
      <w:r>
        <w:t xml:space="preserve"> </w:t>
      </w:r>
      <w:r>
        <w:t xml:space="preserve">risk should be allowed.</w:t>
      </w:r>
      <w:r>
        <w:t xml:space="preserve"> </w:t>
      </w:r>
      <w:r>
        <w:t xml:space="preserve">(2) The report is not sufficiently clear about the</w:t>
      </w:r>
      <w:r>
        <w:t xml:space="preserve"> </w:t>
      </w:r>
      <w:r>
        <w:t xml:space="preserve">robustness of the cost and benefit estimates. It</w:t>
      </w:r>
      <w:r>
        <w:t xml:space="preserve"> </w:t>
      </w:r>
      <w:r>
        <w:t xml:space="preserve">does not explain sufficiently why granting</w:t>
      </w:r>
      <w:r>
        <w:t xml:space="preserve"> </w:t>
      </w:r>
      <w:r>
        <w:t xml:space="preserve">The</w:t>
      </w:r>
      <w:r>
        <w:t xml:space="preserve"> </w:t>
      </w:r>
      <w:r>
        <w:t xml:space="preserve">report</w:t>
      </w:r>
      <w:r>
        <w:t xml:space="preserve"> </w:t>
      </w:r>
      <w:r>
        <w:t xml:space="preserve">now</w:t>
      </w:r>
      <w:r>
        <w:t xml:space="preserve"> </w:t>
      </w:r>
      <w:r>
        <w:t xml:space="preserve">includes</w:t>
      </w:r>
      <w:r>
        <w:t xml:space="preserve"> </w:t>
      </w:r>
      <w:r>
        <w:t xml:space="preserve">explanations</w:t>
      </w:r>
      <w:r>
        <w:t xml:space="preserve"> </w:t>
      </w:r>
      <w:r>
        <w:t xml:space="preserve">concerning how the costs and benefits have been</w:t>
      </w:r>
      <w:r>
        <w:t xml:space="preserve"> </w:t>
      </w:r>
      <w:r>
        <w:t xml:space="preserve">calculated and the limitations of this assessment,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64</w:t>
      </w:r>
      <w:r>
        <w:t xml:space="preserve"> </w:t>
      </w:r>
      <w:r>
        <w:t xml:space="preserve">EN</w:t>
      </w:r>
      <w:r>
        <w:t xml:space="preserve"> </w:t>
      </w:r>
      <w:r>
        <w:t xml:space="preserve">derogations does not have any impact on the</w:t>
      </w:r>
      <w:r>
        <w:t xml:space="preserve"> </w:t>
      </w:r>
      <w:r>
        <w:t xml:space="preserve">expected health benefits.</w:t>
      </w:r>
      <w:r>
        <w:t xml:space="preserve"> </w:t>
      </w:r>
      <w:r>
        <w:t xml:space="preserve">for the dynamic baseline as well as for all policy</w:t>
      </w:r>
      <w:r>
        <w:t xml:space="preserve"> </w:t>
      </w:r>
      <w:r>
        <w:t xml:space="preserve">options. A better description of the derogation</w:t>
      </w:r>
      <w:r>
        <w:t xml:space="preserve"> </w:t>
      </w:r>
      <w:r>
        <w:t xml:space="preserve">process has been included in 5.2.1. indicating</w:t>
      </w:r>
      <w:r>
        <w:t xml:space="preserve"> </w:t>
      </w:r>
      <w:r>
        <w:t xml:space="preserve">that derogations can only be granted where</w:t>
      </w:r>
      <w:r>
        <w:t xml:space="preserve"> </w:t>
      </w:r>
      <w:r>
        <w:t xml:space="preserve">children exposure to the harmful chemical and</w:t>
      </w:r>
      <w:r>
        <w:t xml:space="preserve"> </w:t>
      </w:r>
      <w:r>
        <w:t xml:space="preserve">the risk can be excluded. If derogations are only</w:t>
      </w:r>
      <w:r>
        <w:t xml:space="preserve"> </w:t>
      </w:r>
      <w:r>
        <w:t xml:space="preserve">granted for a use that has been evaluated as safe</w:t>
      </w:r>
      <w:r>
        <w:t xml:space="preserve"> </w:t>
      </w:r>
      <w:r>
        <w:t xml:space="preserve">and there are no alternatives, it should not</w:t>
      </w:r>
      <w:r>
        <w:t xml:space="preserve"> </w:t>
      </w:r>
      <w:r>
        <w:t xml:space="preserve">diminish the health benefits achieved by</w:t>
      </w:r>
      <w:r>
        <w:t xml:space="preserve"> </w:t>
      </w:r>
      <w:r>
        <w:t xml:space="preserve">reducing exposure of children to these</w:t>
      </w:r>
      <w:r>
        <w:t xml:space="preserve"> </w:t>
      </w:r>
      <w:r>
        <w:t xml:space="preserve">substances. Further explanations are provided in</w:t>
      </w:r>
      <w:r>
        <w:t xml:space="preserve"> </w:t>
      </w:r>
      <w:r>
        <w:t xml:space="preserve">section 6 as well.</w:t>
      </w:r>
      <w:r>
        <w:t xml:space="preserve"> </w:t>
      </w:r>
      <w:r>
        <w:t xml:space="preserve">What to improve</w:t>
      </w:r>
    </w:p>
    <w:p>
      <w:pPr>
        <w:pStyle w:val="Compact"/>
        <w:numPr>
          <w:ilvl w:val="0"/>
          <w:numId w:val="1001"/>
        </w:numPr>
      </w:pPr>
      <w:r>
        <w:t xml:space="preserve">The report should provide additional</w:t>
      </w:r>
      <w:r>
        <w:t xml:space="preserve"> </w:t>
      </w:r>
      <w:r>
        <w:t xml:space="preserve">information about the scientific assessment to</w:t>
      </w:r>
      <w:r>
        <w:t xml:space="preserve"> </w:t>
      </w:r>
      <w:r>
        <w:t xml:space="preserve">be carried out by the European Chemicals</w:t>
      </w:r>
      <w:r>
        <w:t xml:space="preserve"> </w:t>
      </w:r>
      <w:r>
        <w:t xml:space="preserve">Agency to grant derogations for harmful</w:t>
      </w:r>
      <w:r>
        <w:t xml:space="preserve"> </w:t>
      </w:r>
      <w:r>
        <w:t xml:space="preserve">substances. It should discuss to what extent this</w:t>
      </w:r>
      <w:r>
        <w:t xml:space="preserve"> </w:t>
      </w:r>
      <w:r>
        <w:t xml:space="preserve">approach is future-proof in view of the</w:t>
      </w:r>
      <w:r>
        <w:t xml:space="preserve"> </w:t>
      </w:r>
      <w:r>
        <w:t xml:space="preserve">experience with certain substances, which new</w:t>
      </w:r>
      <w:r>
        <w:t xml:space="preserve"> </w:t>
      </w:r>
      <w:r>
        <w:t xml:space="preserve">scientific knowledge found more toxic than</w:t>
      </w:r>
      <w:r>
        <w:t xml:space="preserve"> </w:t>
      </w:r>
      <w:r>
        <w:t xml:space="preserve">known before. The report should also consider</w:t>
      </w:r>
      <w:r>
        <w:t xml:space="preserve"> </w:t>
      </w:r>
      <w:r>
        <w:t xml:space="preserve">the expected costs of requesting and assessing</w:t>
      </w:r>
      <w:r>
        <w:t xml:space="preserve"> </w:t>
      </w:r>
      <w:r>
        <w:t xml:space="preserve">derogations under the preferred policy option.</w:t>
      </w:r>
      <w:r>
        <w:t xml:space="preserve"> </w:t>
      </w:r>
      <w:r>
        <w:t xml:space="preserve">A better description of the process to grant</w:t>
      </w:r>
      <w:r>
        <w:t xml:space="preserve"> </w:t>
      </w:r>
      <w:r>
        <w:t xml:space="preserve">derogations has been included in section 5.2.1.,</w:t>
      </w:r>
      <w:r>
        <w:t xml:space="preserve"> </w:t>
      </w:r>
      <w:r>
        <w:t xml:space="preserve">making reference to the scientific assessment to</w:t>
      </w:r>
      <w:r>
        <w:t xml:space="preserve"> </w:t>
      </w:r>
      <w:r>
        <w:t xml:space="preserve">be carried out by the European Chemicals</w:t>
      </w:r>
      <w:r>
        <w:t xml:space="preserve"> </w:t>
      </w:r>
      <w:r>
        <w:t xml:space="preserve">Agency. Section 6.2. considers in the analysis</w:t>
      </w:r>
      <w:r>
        <w:t xml:space="preserve"> </w:t>
      </w:r>
      <w:r>
        <w:t xml:space="preserve">that there are likely to be administrative costs</w:t>
      </w:r>
      <w:r>
        <w:t xml:space="preserve"> </w:t>
      </w:r>
      <w:r>
        <w:t xml:space="preserve">from</w:t>
      </w:r>
      <w:r>
        <w:t xml:space="preserve"> </w:t>
      </w:r>
      <w:r>
        <w:t xml:space="preserve">requesting</w:t>
      </w:r>
      <w:r>
        <w:t xml:space="preserve"> </w:t>
      </w:r>
      <w:r>
        <w:t xml:space="preserve">a</w:t>
      </w:r>
      <w:r>
        <w:t xml:space="preserve"> </w:t>
      </w:r>
      <w:r>
        <w:t xml:space="preserve">derogation,</w:t>
      </w:r>
      <w:r>
        <w:t xml:space="preserve"> </w:t>
      </w:r>
      <w:r>
        <w:t xml:space="preserve">with</w:t>
      </w:r>
      <w:r>
        <w:t xml:space="preserve"> </w:t>
      </w:r>
      <w:r>
        <w:t xml:space="preserve">an</w:t>
      </w:r>
      <w:r>
        <w:t xml:space="preserve"> </w:t>
      </w:r>
      <w:r>
        <w:t xml:space="preserve">approximate order of magnitude based on past</w:t>
      </w:r>
      <w:r>
        <w:t xml:space="preserve"> </w:t>
      </w:r>
      <w:r>
        <w:t xml:space="preserve">experience from this and other sectors. Section</w:t>
      </w:r>
      <w:r>
        <w:t xml:space="preserve"> </w:t>
      </w:r>
      <w:r>
        <w:t xml:space="preserve">6.2. also includes explanations on how the</w:t>
      </w:r>
      <w:r>
        <w:t xml:space="preserve"> </w:t>
      </w:r>
      <w:r>
        <w:t xml:space="preserve">approach in this option is expected to ensure</w:t>
      </w:r>
      <w:r>
        <w:t xml:space="preserve"> </w:t>
      </w:r>
      <w:r>
        <w:t xml:space="preserve">health benefits.</w:t>
      </w:r>
    </w:p>
    <w:p>
      <w:pPr>
        <w:pStyle w:val="Compact"/>
        <w:numPr>
          <w:ilvl w:val="0"/>
          <w:numId w:val="1001"/>
        </w:numPr>
      </w:pPr>
      <w:r>
        <w:t xml:space="preserve">The report should better explain the evidence</w:t>
      </w:r>
      <w:r>
        <w:t xml:space="preserve"> </w:t>
      </w:r>
      <w:r>
        <w:t xml:space="preserve">base, reliability and robustness of the estimates</w:t>
      </w:r>
      <w:r>
        <w:t xml:space="preserve"> </w:t>
      </w:r>
      <w:r>
        <w:t xml:space="preserve">of costs to businesses. In particular, it should</w:t>
      </w:r>
      <w:r>
        <w:t xml:space="preserve"> </w:t>
      </w:r>
      <w:r>
        <w:t xml:space="preserve">explain why the industry would bear high costs</w:t>
      </w:r>
      <w:r>
        <w:t xml:space="preserve"> </w:t>
      </w:r>
      <w:r>
        <w:t xml:space="preserve">in case derogations are not allowed, considering</w:t>
      </w:r>
      <w:r>
        <w:t xml:space="preserve"> </w:t>
      </w:r>
      <w:r>
        <w:t xml:space="preserve">the low number of derogations on Carcinogenic,</w:t>
      </w:r>
      <w:r>
        <w:t xml:space="preserve"> </w:t>
      </w:r>
      <w:r>
        <w:t xml:space="preserve">Mutagenic or toxic for Reproduction substances</w:t>
      </w:r>
      <w:r>
        <w:t xml:space="preserve"> </w:t>
      </w:r>
      <w:r>
        <w:t xml:space="preserve">having been requested and granted under the</w:t>
      </w:r>
      <w:r>
        <w:t xml:space="preserve"> </w:t>
      </w:r>
      <w:r>
        <w:t xml:space="preserve">current Directive. It should also clarify how the</w:t>
      </w:r>
      <w:r>
        <w:t xml:space="preserve"> </w:t>
      </w:r>
      <w:r>
        <w:t xml:space="preserve">business- as-usual costs are taken into account</w:t>
      </w:r>
      <w:r>
        <w:t xml:space="preserve"> </w:t>
      </w:r>
      <w:r>
        <w:t xml:space="preserve">in the estimates.</w:t>
      </w:r>
      <w:r>
        <w:t xml:space="preserve"> </w:t>
      </w:r>
      <w:r>
        <w:t xml:space="preserve">Section 5.1. has been modified to include a</w:t>
      </w:r>
      <w:r>
        <w:t xml:space="preserve"> </w:t>
      </w:r>
      <w:r>
        <w:t xml:space="preserve">better explanation of the business-as-usual costs</w:t>
      </w:r>
      <w:r>
        <w:t xml:space="preserve"> </w:t>
      </w:r>
      <w:r>
        <w:t xml:space="preserve">which are taken as the baseline against which</w:t>
      </w:r>
      <w:r>
        <w:t xml:space="preserve"> </w:t>
      </w:r>
      <w:r>
        <w:t xml:space="preserve">the other policy options are compared. In</w:t>
      </w:r>
      <w:r>
        <w:t xml:space="preserve"> </w:t>
      </w:r>
      <w:r>
        <w:t xml:space="preserve">addition, the introduction to section 6 now</w:t>
      </w:r>
      <w:r>
        <w:t xml:space="preserve"> </w:t>
      </w:r>
      <w:r>
        <w:t xml:space="preserve">includes more detailed explanations as to the</w:t>
      </w:r>
      <w:r>
        <w:t xml:space="preserve"> </w:t>
      </w:r>
      <w:r>
        <w:t xml:space="preserve">methodology of the cost estimates, the evidence</w:t>
      </w:r>
      <w:r>
        <w:t xml:space="preserve"> </w:t>
      </w:r>
      <w:r>
        <w:t xml:space="preserve">base and the limitations and uncertainties of the</w:t>
      </w:r>
      <w:r>
        <w:t xml:space="preserve"> </w:t>
      </w:r>
      <w:r>
        <w:t xml:space="preserve">assessment.</w:t>
      </w:r>
      <w:r>
        <w:t xml:space="preserve"> </w:t>
      </w:r>
      <w:r>
        <w:t xml:space="preserve">Section</w:t>
      </w:r>
      <w:r>
        <w:t xml:space="preserve"> </w:t>
      </w:r>
      <w:r>
        <w:t xml:space="preserve">6.3.</w:t>
      </w:r>
      <w:r>
        <w:t xml:space="preserve"> </w:t>
      </w:r>
      <w:r>
        <w:t xml:space="preserve">gives</w:t>
      </w:r>
      <w:r>
        <w:t xml:space="preserve"> </w:t>
      </w:r>
      <w:r>
        <w:t xml:space="preserve">further</w:t>
      </w:r>
      <w:r>
        <w:t xml:space="preserve"> </w:t>
      </w:r>
      <w:r>
        <w:t xml:space="preserve">information on the impact that not having</w:t>
      </w:r>
      <w:r>
        <w:t xml:space="preserve"> </w:t>
      </w:r>
      <w:r>
        <w:t xml:space="preserve">specific derogations could have on the market.</w:t>
      </w:r>
    </w:p>
    <w:p>
      <w:pPr>
        <w:pStyle w:val="Compact"/>
        <w:numPr>
          <w:ilvl w:val="0"/>
          <w:numId w:val="1001"/>
        </w:numPr>
      </w:pPr>
      <w:r>
        <w:t xml:space="preserve">The report should clarify the analysis of the</w:t>
      </w:r>
      <w:r>
        <w:t xml:space="preserve"> </w:t>
      </w:r>
      <w:r>
        <w:t xml:space="preserve">expected health benefits. It should better explain</w:t>
      </w:r>
      <w:r>
        <w:t xml:space="preserve"> </w:t>
      </w:r>
      <w:r>
        <w:t xml:space="preserve">the methodology used (in particular, whether the</w:t>
      </w:r>
      <w:r>
        <w:t xml:space="preserve"> </w:t>
      </w:r>
      <w:r>
        <w:t xml:space="preserve">estimates are only based on the value of the</w:t>
      </w:r>
      <w:r>
        <w:t xml:space="preserve"> </w:t>
      </w:r>
      <w:r>
        <w:t xml:space="preserve">avoided health damage from exposure to</w:t>
      </w:r>
      <w:r>
        <w:t xml:space="preserve"> </w:t>
      </w:r>
      <w:r>
        <w:t xml:space="preserve">endocrine disruptors) and what the limitations</w:t>
      </w:r>
      <w:r>
        <w:t xml:space="preserve"> </w:t>
      </w:r>
      <w:r>
        <w:t xml:space="preserve">of these estimates are. It should also explain</w:t>
      </w:r>
      <w:r>
        <w:t xml:space="preserve"> </w:t>
      </w:r>
      <w:r>
        <w:t xml:space="preserve">why the overall health benefits for the options</w:t>
      </w:r>
      <w:r>
        <w:t xml:space="preserve"> </w:t>
      </w:r>
      <w:r>
        <w:t xml:space="preserve">with derogations and without are quantitatively</w:t>
      </w:r>
      <w:r>
        <w:t xml:space="preserve"> </w:t>
      </w:r>
      <w:r>
        <w:t xml:space="preserve">the same given that a derogation could</w:t>
      </w:r>
      <w:r>
        <w:t xml:space="preserve"> </w:t>
      </w:r>
      <w:r>
        <w:t xml:space="preserve">Sections 6.2. and 6.3. have been amended to</w:t>
      </w:r>
      <w:r>
        <w:t xml:space="preserve"> </w:t>
      </w:r>
      <w:r>
        <w:t xml:space="preserve">include better explanations of the estimates for</w:t>
      </w:r>
      <w:r>
        <w:t xml:space="preserve"> </w:t>
      </w:r>
      <w:r>
        <w:t xml:space="preserve">the health benefit, the fact that they are based on</w:t>
      </w:r>
      <w:r>
        <w:t xml:space="preserve"> </w:t>
      </w:r>
      <w:r>
        <w:t xml:space="preserve">avoided health damage and why they are only</w:t>
      </w:r>
      <w:r>
        <w:t xml:space="preserve"> </w:t>
      </w:r>
      <w:r>
        <w:t xml:space="preserve">based on exposure to endocrine disruptors. The</w:t>
      </w:r>
      <w:r>
        <w:t xml:space="preserve"> </w:t>
      </w:r>
      <w:r>
        <w:t xml:space="preserve">limitations of this assessment are also explained</w:t>
      </w:r>
      <w:r>
        <w:t xml:space="preserve"> </w:t>
      </w:r>
      <w:r>
        <w:t xml:space="preserve">in those sections. These sections, as well as</w:t>
      </w:r>
      <w:r>
        <w:t xml:space="preserve"> </w:t>
      </w:r>
      <w:r>
        <w:t xml:space="preserve">section 7.1. explain the role of the derogations</w:t>
      </w:r>
    </w:p>
    <w:p>
      <w:pPr>
        <w:pStyle w:val="FirstParagraph"/>
      </w:pPr>
      <w:r>
        <w:t xml:space="preserve">EN</w:t>
      </w:r>
      <w:r>
        <w:t xml:space="preserve"> </w:t>
      </w:r>
      <w:r>
        <w:t xml:space="preserve">65</w:t>
      </w:r>
      <w:r>
        <w:t xml:space="preserve"> </w:t>
      </w:r>
      <w:r>
        <w:t xml:space="preserve">EN</w:t>
      </w:r>
      <w:r>
        <w:t xml:space="preserve"> </w:t>
      </w:r>
      <w:r>
        <w:t xml:space="preserve">potentially allow for minimum exposure to a</w:t>
      </w:r>
      <w:r>
        <w:t xml:space="preserve"> </w:t>
      </w:r>
      <w:r>
        <w:t xml:space="preserve">specific substance.</w:t>
      </w:r>
      <w:r>
        <w:t xml:space="preserve"> </w:t>
      </w:r>
      <w:r>
        <w:t xml:space="preserve">and why they would not compromise the health</w:t>
      </w:r>
      <w:r>
        <w:t xml:space="preserve"> </w:t>
      </w:r>
      <w:r>
        <w:t xml:space="preserve">benefits of that policy option.</w:t>
      </w:r>
      <w:r>
        <w:t xml:space="preserve"> </w:t>
      </w:r>
      <w:r>
        <w:t xml:space="preserve">(4) The report should further elaborate on the</w:t>
      </w:r>
      <w:r>
        <w:t xml:space="preserve"> </w:t>
      </w:r>
      <w:r>
        <w:t xml:space="preserve">articulation between this initiative and other</w:t>
      </w:r>
      <w:r>
        <w:t xml:space="preserve"> </w:t>
      </w:r>
      <w:r>
        <w:t xml:space="preserve">related proposals. It should clarify that this</w:t>
      </w:r>
      <w:r>
        <w:t xml:space="preserve"> </w:t>
      </w:r>
      <w:r>
        <w:t xml:space="preserve">initiative builds on the forthcoming inclusion of</w:t>
      </w:r>
      <w:r>
        <w:t xml:space="preserve"> </w:t>
      </w:r>
      <w:r>
        <w:t xml:space="preserve">new hazard classes in the Classification,</w:t>
      </w:r>
      <w:r>
        <w:t xml:space="preserve"> </w:t>
      </w:r>
      <w:r>
        <w:t xml:space="preserve">Labelling and Packaging Regulation but is</w:t>
      </w:r>
      <w:r>
        <w:t xml:space="preserve"> </w:t>
      </w:r>
      <w:r>
        <w:t xml:space="preserve">independent from the revision of the REACH</w:t>
      </w:r>
      <w:r>
        <w:t xml:space="preserve"> </w:t>
      </w:r>
      <w:r>
        <w:t xml:space="preserve">Regulation, the revision of the Union Customs</w:t>
      </w:r>
      <w:r>
        <w:t xml:space="preserve"> </w:t>
      </w:r>
      <w:r>
        <w:t xml:space="preserve">Code and the proposal for a Regulation on</w:t>
      </w:r>
      <w:r>
        <w:t xml:space="preserve"> </w:t>
      </w:r>
      <w:r>
        <w:t xml:space="preserve">Ecodesign for Sustainable Products. It should</w:t>
      </w:r>
      <w:r>
        <w:t xml:space="preserve"> </w:t>
      </w:r>
      <w:r>
        <w:t xml:space="preserve">also clarify the role of the existing CE label in</w:t>
      </w:r>
      <w:r>
        <w:t xml:space="preserve"> </w:t>
      </w:r>
      <w:r>
        <w:t xml:space="preserve">this initiative.</w:t>
      </w:r>
      <w:r>
        <w:t xml:space="preserve"> </w:t>
      </w:r>
      <w:r>
        <w:t xml:space="preserve">Section 1.2. and section 5 on the description of</w:t>
      </w:r>
      <w:r>
        <w:t xml:space="preserve"> </w:t>
      </w:r>
      <w:r>
        <w:t xml:space="preserve">the policy options has been amended to include</w:t>
      </w:r>
      <w:r>
        <w:t xml:space="preserve"> </w:t>
      </w:r>
      <w:r>
        <w:t xml:space="preserve">better explanations of the articulation with these</w:t>
      </w:r>
      <w:r>
        <w:t xml:space="preserve"> </w:t>
      </w:r>
      <w:r>
        <w:t xml:space="preserve">initiatives.</w:t>
      </w:r>
      <w:r>
        <w:t xml:space="preserve"> </w:t>
      </w:r>
      <w:r>
        <w:t xml:space="preserve">(5) The report should explain how a Digital</w:t>
      </w:r>
      <w:r>
        <w:t xml:space="preserve"> </w:t>
      </w:r>
      <w:r>
        <w:t xml:space="preserve">Product Passport under the preferred option</w:t>
      </w:r>
      <w:r>
        <w:t xml:space="preserve"> </w:t>
      </w:r>
      <w:r>
        <w:t xml:space="preserve">would address the problems related to an</w:t>
      </w:r>
      <w:r>
        <w:t xml:space="preserve"> </w:t>
      </w:r>
      <w:r>
        <w:t xml:space="preserve">exponential increase in small individual parcels</w:t>
      </w:r>
      <w:r>
        <w:t xml:space="preserve"> </w:t>
      </w:r>
      <w:r>
        <w:t xml:space="preserve">containing</w:t>
      </w:r>
      <w:r>
        <w:t xml:space="preserve"> </w:t>
      </w:r>
      <w:r>
        <w:t xml:space="preserve">toys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incorrect</w:t>
      </w:r>
      <w:r>
        <w:t xml:space="preserve"> </w:t>
      </w:r>
      <w:r>
        <w:t xml:space="preserve">and</w:t>
      </w:r>
      <w:r>
        <w:t xml:space="preserve"> </w:t>
      </w:r>
      <w:r>
        <w:t xml:space="preserve">questionable quality of the EC declaration of</w:t>
      </w:r>
      <w:r>
        <w:t xml:space="preserve"> </w:t>
      </w:r>
      <w:r>
        <w:t xml:space="preserve">conformity.</w:t>
      </w:r>
      <w:r>
        <w:t xml:space="preserve"> </w:t>
      </w:r>
      <w:r>
        <w:t xml:space="preserve">Section 5.2. and 6.5. have been amended to</w:t>
      </w:r>
      <w:r>
        <w:t xml:space="preserve"> </w:t>
      </w:r>
      <w:r>
        <w:t xml:space="preserve">provide a better explanation of this policy option</w:t>
      </w:r>
      <w:r>
        <w:t xml:space="preserve"> </w:t>
      </w:r>
      <w:r>
        <w:t xml:space="preserve">and how it would address the problem identified</w:t>
      </w:r>
      <w:r>
        <w:t xml:space="preserve"> </w:t>
      </w:r>
      <w:r>
        <w:t xml:space="preserve">including in relation to small individual parcels.</w:t>
      </w:r>
    </w:p>
    <w:p>
      <w:pPr>
        <w:pStyle w:val="Compact"/>
        <w:numPr>
          <w:ilvl w:val="0"/>
          <w:numId w:val="1002"/>
        </w:numPr>
      </w:pPr>
      <w:r>
        <w:t xml:space="preserve">EVIDENCE, SOURCES AND QUALITY</w:t>
      </w:r>
      <w:r>
        <w:t xml:space="preserve"> </w:t>
      </w:r>
      <w:r>
        <w:t xml:space="preserve">The Evaluation of the Toy Safety Directive189 identified the key areas for the revision. It was</w:t>
      </w:r>
      <w:r>
        <w:t xml:space="preserve"> </w:t>
      </w:r>
      <w:r>
        <w:t xml:space="preserve">supported by a study by an external contractor190 .</w:t>
      </w:r>
      <w:r>
        <w:br/>
      </w:r>
      <w:r>
        <w:t xml:space="preserve">This impact assessment is also supported by a study undertaken by another external contractor191,</w:t>
      </w:r>
      <w:r>
        <w:t xml:space="preserve"> </w:t>
      </w:r>
      <w:r>
        <w:t xml:space="preserve">who carried out dozens of interviews, analysed data from public and targeted consultations and</w:t>
      </w:r>
      <w:r>
        <w:t xml:space="preserve"> </w:t>
      </w:r>
      <w:r>
        <w:t xml:space="preserve">complemented this through desk research.</w:t>
      </w:r>
    </w:p>
    <w:p>
      <w:pPr>
        <w:pStyle w:val="FirstParagraph"/>
      </w:pPr>
      <w:r>
        <w:t xml:space="preserve">189 Commission Staff Working Document - Evaluation of Directive 2009/48/EC of the European Parliament and of the</w:t>
      </w:r>
      <w:r>
        <w:t xml:space="preserve"> </w:t>
      </w:r>
      <w:r>
        <w:t xml:space="preserve">Council on the safety of toys SWD(2020) 288 final</w:t>
      </w:r>
      <w:r>
        <w:t xml:space="preserve"> </w:t>
      </w:r>
      <w:r>
        <w:t xml:space="preserve">190 Technopolis, EY, VVA (December 2014) Evaluation of Directive 2009/48/EC on the Safety of Toys - Final Report</w:t>
      </w:r>
      <w:r>
        <w:t xml:space="preserve"> </w:t>
      </w:r>
      <w:r>
        <w:t xml:space="preserve">https://ec.europa.eu/docsroom/documents/23843/attachments/1/translations/en/renditions/native</w:t>
      </w:r>
      <w:r>
        <w:t xml:space="preserve"> </w:t>
      </w:r>
      <w:r>
        <w:t xml:space="preserve">191 VVA with CSES and Asterisk (2022) Impact Assessment study on the revision of the Toy Safety Directive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66</w:t>
      </w:r>
      <w:r>
        <w:t xml:space="preserve"> </w:t>
      </w:r>
      <w:r>
        <w:t xml:space="preserve">EN</w:t>
      </w:r>
      <w:r>
        <w:t xml:space="preserve"> </w:t>
      </w:r>
      <w:r>
        <w:t xml:space="preserve">ANNEX 2: STAKEHOLDER CONSULTATION (SYNOPSIS REPORT)</w:t>
      </w:r>
      <w:r>
        <w:t xml:space="preserve"> </w:t>
      </w:r>
      <w:r>
        <w:t xml:space="preserve">1.</w:t>
      </w:r>
      <w:r>
        <w:t xml:space="preserve"> </w:t>
      </w:r>
      <w:r>
        <w:t xml:space="preserve">CONSULTATION STRATEGY</w:t>
      </w:r>
      <w:r>
        <w:br/>
      </w:r>
      <w:r>
        <w:t xml:space="preserve">The objectives of the consultation were to collect evidence and views from a broad range of</w:t>
      </w:r>
      <w:r>
        <w:t xml:space="preserve"> </w:t>
      </w:r>
      <w:r>
        <w:t xml:space="preserve">stakeholders, on the identified problems and the potential solutions concerning the TSD. The</w:t>
      </w:r>
      <w:r>
        <w:t xml:space="preserve"> </w:t>
      </w:r>
      <w:r>
        <w:t xml:space="preserve">activities included a 12-week dedicated public consultation (PC) concluded in May 2022, a</w:t>
      </w:r>
      <w:r>
        <w:t xml:space="preserve"> </w:t>
      </w:r>
      <w:r>
        <w:t xml:space="preserve">Stakeholder Workshop held on 26 April 2022, discussions with Member States at the Administrative</w:t>
      </w:r>
      <w:r>
        <w:t xml:space="preserve"> </w:t>
      </w:r>
      <w:r>
        <w:t xml:space="preserve">Cooperation formation of the Expert Group on Toy Safety and feedback collected in response of the</w:t>
      </w:r>
      <w:r>
        <w:t xml:space="preserve"> </w:t>
      </w:r>
      <w:r>
        <w:t xml:space="preserve">Commission’s inception impact assessment. Also, as part of the impact assessment study, an external</w:t>
      </w:r>
      <w:r>
        <w:t xml:space="preserve"> </w:t>
      </w:r>
      <w:r>
        <w:t xml:space="preserve">contractor organised interviews with 41 relevant stakeholders and an online targeted consultation for</w:t>
      </w:r>
      <w:r>
        <w:t xml:space="preserve"> </w:t>
      </w:r>
      <w:r>
        <w:t xml:space="preserve">SMEs ran between 7 April 2022 and 15 May 2022. Consulted stakeholders included EU and national</w:t>
      </w:r>
      <w:r>
        <w:t xml:space="preserve"> </w:t>
      </w:r>
      <w:r>
        <w:t xml:space="preserve">consumer associations; industry associations; economic operators; citizens; and national authorities.</w:t>
      </w:r>
      <w:r>
        <w:br/>
      </w:r>
      <w:r>
        <w:t xml:space="preserve">Summary table on the numbers and type of activities</w:t>
      </w:r>
      <w:r>
        <w:br/>
      </w:r>
      <w:r>
        <w:t xml:space="preserve">Stakeholder group</w:t>
      </w:r>
      <w:r>
        <w:t xml:space="preserve"> </w:t>
      </w:r>
      <w:r>
        <w:t xml:space="preserve">Consultation methods</w:t>
      </w:r>
    </w:p>
    <w:p>
      <w:pPr>
        <w:pStyle w:val="BodyText"/>
      </w:pPr>
      <w:r>
        <w:t xml:space="preserve">Interviews</w:t>
      </w:r>
      <w:r>
        <w:t xml:space="preserve"> </w:t>
      </w:r>
      <w:r>
        <w:t xml:space="preserve">SME Survey</w:t>
      </w:r>
      <w:r>
        <w:t xml:space="preserve"> </w:t>
      </w:r>
      <w:r>
        <w:t xml:space="preserve">OPC</w:t>
      </w:r>
      <w:r>
        <w:t xml:space="preserve"> </w:t>
      </w:r>
      <w:r>
        <w:t xml:space="preserve">Companies and business associations</w:t>
      </w:r>
      <w:r>
        <w:t xml:space="preserve"> </w:t>
      </w:r>
      <w:r>
        <w:t xml:space="preserve">15</w:t>
      </w:r>
      <w:r>
        <w:t xml:space="preserve"> </w:t>
      </w:r>
      <w:r>
        <w:t xml:space="preserve">201</w:t>
      </w:r>
      <w:r>
        <w:t xml:space="preserve"> </w:t>
      </w:r>
      <w:r>
        <w:t xml:space="preserve">89</w:t>
      </w:r>
      <w:r>
        <w:t xml:space="preserve"> </w:t>
      </w:r>
      <w:r>
        <w:t xml:space="preserve">Authorities and notified bodies</w:t>
      </w:r>
      <w:r>
        <w:t xml:space="preserve"> </w:t>
      </w:r>
      <w:r>
        <w:t xml:space="preserve">23</w:t>
      </w:r>
      <w:r>
        <w:t xml:space="preserve"> </w:t>
      </w:r>
      <w:r>
        <w:t xml:space="preserve">-</w:t>
      </w:r>
      <w:r>
        <w:t xml:space="preserve"> </w:t>
      </w:r>
      <w:r>
        <w:t xml:space="preserve">31</w:t>
      </w:r>
      <w:r>
        <w:t xml:space="preserve"> </w:t>
      </w:r>
      <w:r>
        <w:t xml:space="preserve">Consumer associations</w:t>
      </w:r>
      <w:r>
        <w:t xml:space="preserve"> </w:t>
      </w:r>
      <w:r>
        <w:t xml:space="preserve">3</w:t>
      </w:r>
      <w:r>
        <w:t xml:space="preserve"> </w:t>
      </w:r>
      <w:r>
        <w:t xml:space="preserve">-</w:t>
      </w:r>
      <w:r>
        <w:t xml:space="preserve"> </w:t>
      </w:r>
      <w:r>
        <w:t xml:space="preserve">12</w:t>
      </w:r>
      <w:r>
        <w:t xml:space="preserve"> </w:t>
      </w:r>
      <w:r>
        <w:t xml:space="preserve">Other (NGOs, individuals etc.)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64</w:t>
      </w:r>
      <w:r>
        <w:t xml:space="preserve"> </w:t>
      </w:r>
      <w:r>
        <w:t xml:space="preserve">Total</w:t>
      </w:r>
      <w:r>
        <w:t xml:space="preserve"> </w:t>
      </w:r>
      <w:r>
        <w:t xml:space="preserve">41</w:t>
      </w:r>
      <w:r>
        <w:t xml:space="preserve"> </w:t>
      </w:r>
      <w:r>
        <w:t xml:space="preserve">201</w:t>
      </w:r>
      <w:r>
        <w:t xml:space="preserve"> </w:t>
      </w:r>
      <w:r>
        <w:t xml:space="preserve">196</w:t>
      </w:r>
    </w:p>
    <w:p>
      <w:pPr>
        <w:pStyle w:val="Compact"/>
        <w:numPr>
          <w:ilvl w:val="0"/>
          <w:numId w:val="1003"/>
        </w:numPr>
      </w:pPr>
      <w:r>
        <w:t xml:space="preserve">INCEPTION IMPACT ASSESSMENT (IIA)</w:t>
      </w:r>
      <w:r>
        <w:t xml:space="preserve"> </w:t>
      </w:r>
      <w:r>
        <w:t xml:space="preserve">The Inception Impact Assessment for this initiative was launched in 2021, with a feedback period</w:t>
      </w:r>
      <w:r>
        <w:t xml:space="preserve"> </w:t>
      </w:r>
      <w:r>
        <w:t xml:space="preserve">running from 5 October to 2 November 2021. There were a total of 34 responses, of which 12 from</w:t>
      </w:r>
      <w:r>
        <w:t xml:space="preserve"> </w:t>
      </w:r>
      <w:r>
        <w:t xml:space="preserve">business associations, 6 from companies/business organisations, 5 from non-governmental</w:t>
      </w:r>
      <w:r>
        <w:t xml:space="preserve"> </w:t>
      </w:r>
      <w:r>
        <w:t xml:space="preserve">organisations, 6 from public authorities, 3 from consumer organisations, 1 from an environmental</w:t>
      </w:r>
      <w:r>
        <w:t xml:space="preserve"> </w:t>
      </w:r>
      <w:r>
        <w:t xml:space="preserve">organisation and 1 from an EU citizen. Responses from industry argued that the TSD is currently</w:t>
      </w:r>
      <w:r>
        <w:t xml:space="preserve"> </w:t>
      </w:r>
      <w:r>
        <w:t xml:space="preserve">sufficiently protective and that there was no need to strengthen its requirements. Conversely, public</w:t>
      </w:r>
      <w:r>
        <w:t xml:space="preserve"> </w:t>
      </w:r>
      <w:r>
        <w:t xml:space="preserve">authorities, consumer and environmental organisations strongly advocated for a revision of the TSD</w:t>
      </w:r>
      <w:r>
        <w:t xml:space="preserve"> </w:t>
      </w:r>
      <w:r>
        <w:t xml:space="preserve">which would ensure that children are protected from the most harmful chemical substances.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STAKEHOLDER WORKSHOP</w:t>
      </w:r>
      <w:r>
        <w:t xml:space="preserve"> </w:t>
      </w:r>
      <w:r>
        <w:t xml:space="preserve">The Stakeholder Workshop on 26 April 2022 brought together approximately 120 representatives of</w:t>
      </w:r>
      <w:r>
        <w:t xml:space="preserve"> </w:t>
      </w:r>
      <w:r>
        <w:t xml:space="preserve">EU-level consumer, business and industry organisations, manufacturers, standardisation and notified</w:t>
      </w:r>
      <w:r>
        <w:t xml:space="preserve"> </w:t>
      </w:r>
      <w:r>
        <w:t xml:space="preserve">bodies, as well as Member State authorities. The objective of the workshop was to present the state</w:t>
      </w:r>
      <w:r>
        <w:t xml:space="preserve"> </w:t>
      </w:r>
      <w:r>
        <w:t xml:space="preserve">of play on the impact assessment work and to discuss ways to adapt the TSD to ensure a higher</w:t>
      </w:r>
      <w:r>
        <w:t xml:space="preserve"> </w:t>
      </w:r>
      <w:r>
        <w:t xml:space="preserve">protection of children from the most harmful chemicals, and to reduce the number of unsafe products</w:t>
      </w:r>
      <w:r>
        <w:t xml:space="preserve"> </w:t>
      </w:r>
      <w:r>
        <w:t xml:space="preserve">in the Union. Consumer groups and public authorities considered that the requirements for chemical</w:t>
      </w:r>
      <w:r>
        <w:t xml:space="preserve"> </w:t>
      </w:r>
      <w:r>
        <w:t xml:space="preserve">substances should be strengthened, while industry and business associations were more sceptical.</w:t>
      </w:r>
      <w:r>
        <w:t xml:space="preserve"> </w:t>
      </w:r>
      <w:r>
        <w:t xml:space="preserve">There was consensus among all participants that it should be possible to add new limit values for toys</w:t>
      </w:r>
      <w:r>
        <w:t xml:space="preserve"> </w:t>
      </w:r>
      <w:r>
        <w:t xml:space="preserve">for any children in the TSD, and not only for children under 36 months or to be put in the mouth, as</w:t>
      </w:r>
      <w:r>
        <w:t xml:space="preserve"> </w:t>
      </w:r>
      <w:r>
        <w:t xml:space="preserve">is the case today. On the other hand, all participants agreed that it was necessary to tackle the high</w:t>
      </w:r>
      <w:r>
        <w:t xml:space="preserve"> </w:t>
      </w:r>
      <w:r>
        <w:t xml:space="preserve">number of non-compliant toys on the Union market, in particular those sold online. While consumer</w:t>
      </w:r>
      <w:r>
        <w:t xml:space="preserve"> </w:t>
      </w:r>
      <w:r>
        <w:t xml:space="preserve">associations and notified bodies were in favour of extending the third party conformity assessment</w:t>
      </w:r>
    </w:p>
    <w:p>
      <w:pPr>
        <w:pStyle w:val="FirstParagraph"/>
      </w:pPr>
      <w:r>
        <w:t xml:space="preserve">EN</w:t>
      </w:r>
      <w:r>
        <w:t xml:space="preserve"> </w:t>
      </w:r>
      <w:r>
        <w:t xml:space="preserve">67</w:t>
      </w:r>
      <w:r>
        <w:t xml:space="preserve"> </w:t>
      </w:r>
      <w:r>
        <w:t xml:space="preserve">EN</w:t>
      </w:r>
      <w:r>
        <w:t xml:space="preserve"> </w:t>
      </w:r>
      <w:r>
        <w:t xml:space="preserve">under the TSD, the option to require the EU Declaration of conformity in digital form as part of a</w:t>
      </w:r>
      <w:r>
        <w:t xml:space="preserve"> </w:t>
      </w:r>
      <w:r>
        <w:t xml:space="preserve">Digital Product Passport, to be presented at customs too, gathered the most support.</w:t>
      </w:r>
      <w:r>
        <w:br/>
      </w:r>
      <w:r>
        <w:t xml:space="preserve">4.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The consultation was open during 12 weeks between 2 March and 25 May 2022, via the EU Survey</w:t>
      </w:r>
      <w:r>
        <w:t xml:space="preserve"> </w:t>
      </w:r>
      <w:r>
        <w:t xml:space="preserve">online system in 24 EU languages. A total of 17 position papers were attached by stakeholders to the</w:t>
      </w:r>
      <w:r>
        <w:t xml:space="preserve"> </w:t>
      </w:r>
      <w:r>
        <w:t xml:space="preserve">consultation.</w:t>
      </w:r>
      <w:r>
        <w:br/>
      </w:r>
      <w:r>
        <w:t xml:space="preserve">4.1.</w:t>
      </w:r>
      <w:r>
        <w:t xml:space="preserve"> </w:t>
      </w:r>
      <w:r>
        <w:t xml:space="preserve">Respondents by Stakeholder category</w:t>
      </w:r>
      <w:r>
        <w:t xml:space="preserve"> </w:t>
      </w:r>
      <w:r>
        <w:t xml:space="preserve">All in all, 196 responses were submitted, the biggest represented group (34%) was of companies and</w:t>
      </w:r>
      <w:r>
        <w:t xml:space="preserve"> </w:t>
      </w:r>
      <w:r>
        <w:t xml:space="preserve">business organisations, but EU citizens (22%), public authorities (16%) and business associations</w:t>
      </w:r>
      <w:r>
        <w:t xml:space="preserve"> </w:t>
      </w:r>
      <w:r>
        <w:t xml:space="preserve">(12%) were also represented. Albeit in smaller proportion, NGOs, environmental organisations and</w:t>
      </w:r>
      <w:r>
        <w:t xml:space="preserve"> </w:t>
      </w:r>
      <w:r>
        <w:t xml:space="preserve">academic, research institutions also shared their insights on the topic. Out of the 31 responding public</w:t>
      </w:r>
      <w:r>
        <w:t xml:space="preserve"> </w:t>
      </w:r>
      <w:r>
        <w:t xml:space="preserve">authorities 48% is national, 32% is regional, 13% is international and 7% is local.</w:t>
      </w:r>
      <w:r>
        <w:br/>
      </w:r>
      <w:r>
        <w:t xml:space="preserve">Figure 1: Respondents by category of their organisation</w:t>
      </w:r>
    </w:p>
    <w:p>
      <w:pPr>
        <w:pStyle w:val="BodyText"/>
      </w:pPr>
      <w:r>
        <w:t xml:space="preserve">4.2.</w:t>
      </w:r>
      <w:r>
        <w:t xml:space="preserve"> </w:t>
      </w:r>
      <w:r>
        <w:t xml:space="preserve">Respondents by country of origin</w:t>
      </w:r>
      <w:r>
        <w:t xml:space="preserve"> </w:t>
      </w:r>
      <w:r>
        <w:t xml:space="preserve">The 196 respondents are coming from 24 different countries, most from EU Member States, but there</w:t>
      </w:r>
      <w:r>
        <w:t xml:space="preserve"> </w:t>
      </w:r>
      <w:r>
        <w:t xml:space="preserve">are respondents from Mexico, Singapore and the United Kingdom too. From Germany, an</w:t>
      </w:r>
      <w:r>
        <w:t xml:space="preserve"> </w:t>
      </w:r>
      <w:r>
        <w:t xml:space="preserve">outstanding number of answers were received (59), but Spain (21), France (19) and Belgium (19) can</w:t>
      </w:r>
      <w:r>
        <w:t xml:space="preserve"> </w:t>
      </w:r>
      <w:r>
        <w:t xml:space="preserve">also be considered as well represented.</w:t>
      </w:r>
      <w:r>
        <w:br/>
      </w:r>
      <w:r>
        <w:t xml:space="preserve">4.3.</w:t>
      </w:r>
      <w:r>
        <w:t xml:space="preserve"> </w:t>
      </w:r>
      <w:r>
        <w:t xml:space="preserve">Setting stricter requirements for chemical substances</w:t>
      </w:r>
      <w:r>
        <w:t xml:space="preserve"> </w:t>
      </w:r>
      <w:r>
        <w:t xml:space="preserve">The participants of the consultation were asked whether they agree or disagree that the EU rules on</w:t>
      </w:r>
      <w:r>
        <w:t xml:space="preserve"> </w:t>
      </w:r>
      <w:r>
        <w:t xml:space="preserve">toy safety should set stricter requirements for chemicals in toys. The sample shows a support for</w:t>
      </w:r>
      <w:r>
        <w:t xml:space="preserve"> </w:t>
      </w:r>
      <w:r>
        <w:t xml:space="preserve">stricter rules with 43% strongly agreeing and an additional 16% agreeing with setting stricter rules.</w:t>
      </w:r>
      <w:r>
        <w:t xml:space="preserve"> </w:t>
      </w:r>
      <w:r>
        <w:t xml:space="preserve">The other end of the scale appears to be much less committed, as those who strongly disagree only</w:t>
      </w:r>
      <w:r>
        <w:t xml:space="preserve"> </w:t>
      </w:r>
      <w:r>
        <w:t xml:space="preserve">amount to 9%.</w:t>
      </w:r>
    </w:p>
    <w:p>
      <w:pPr>
        <w:pStyle w:val="BodyText"/>
      </w:pPr>
      <w:r>
        <w:t xml:space="preserve">Academic/research</w:t>
      </w:r>
      <w:r>
        <w:t xml:space="preserve"> </w:t>
      </w:r>
      <w:r>
        <w:t xml:space="preserve">institution; 2</w:t>
      </w:r>
      <w:r>
        <w:t xml:space="preserve"> </w:t>
      </w:r>
      <w:r>
        <w:t xml:space="preserve">Business association;</w:t>
      </w:r>
      <w:r>
        <w:t xml:space="preserve"> </w:t>
      </w:r>
      <w:r>
        <w:t xml:space="preserve">23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organisation; 66</w:t>
      </w:r>
      <w:r>
        <w:t xml:space="preserve"> </w:t>
      </w:r>
      <w:r>
        <w:t xml:space="preserve">Consumer</w:t>
      </w:r>
      <w:r>
        <w:t xml:space="preserve"> </w:t>
      </w:r>
      <w:r>
        <w:t xml:space="preserve">organisation; 12</w:t>
      </w:r>
      <w:r>
        <w:t xml:space="preserve"> </w:t>
      </w:r>
      <w:r>
        <w:t xml:space="preserve">Environmental</w:t>
      </w:r>
      <w:r>
        <w:t xml:space="preserve"> </w:t>
      </w:r>
      <w:r>
        <w:t xml:space="preserve">organisation; 3</w:t>
      </w:r>
      <w:r>
        <w:t xml:space="preserve"> </w:t>
      </w:r>
      <w:r>
        <w:t xml:space="preserve">EU citizen; 44</w:t>
      </w:r>
      <w:r>
        <w:t xml:space="preserve"> </w:t>
      </w:r>
      <w:r>
        <w:t xml:space="preserve">Non-governmental</w:t>
      </w:r>
      <w:r>
        <w:t xml:space="preserve"> </w:t>
      </w:r>
      <w:r>
        <w:t xml:space="preserve">organisation (NGO); 10</w:t>
      </w:r>
      <w:r>
        <w:t xml:space="preserve"> </w:t>
      </w:r>
      <w:r>
        <w:t xml:space="preserve">Other; 5</w:t>
      </w:r>
      <w:r>
        <w:t xml:space="preserve"> </w:t>
      </w:r>
      <w:r>
        <w:t xml:space="preserve">Public authority; 31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68</w:t>
      </w:r>
      <w:r>
        <w:t xml:space="preserve"> </w:t>
      </w:r>
      <w:r>
        <w:t xml:space="preserve">EN</w:t>
      </w:r>
      <w:r>
        <w:t xml:space="preserve"> </w:t>
      </w:r>
      <w:r>
        <w:t xml:space="preserve">Figure 2: Ratio of respondents supporting the stricter EU rules on toy safety</w:t>
      </w:r>
    </w:p>
    <w:p>
      <w:pPr>
        <w:pStyle w:val="BodyText"/>
      </w:pPr>
      <w:r>
        <w:t xml:space="preserve">If the type of organisation is also taken into consideration when analysing this question, it becomes</w:t>
      </w:r>
      <w:r>
        <w:t xml:space="preserve"> </w:t>
      </w:r>
      <w:r>
        <w:t xml:space="preserve">evident that those who (strongly) disagree are representatives of business associations and companies</w:t>
      </w:r>
      <w:r>
        <w:t xml:space="preserve"> </w:t>
      </w:r>
      <w:r>
        <w:t xml:space="preserve">(47%), while all the environmental and consumer organisations agree to some degree with the</w:t>
      </w:r>
      <w:r>
        <w:t xml:space="preserve"> </w:t>
      </w:r>
      <w:r>
        <w:t xml:space="preserve">statement (over 90%). Similarly, 90 % of public authorities agreed or strongly agreed with the</w:t>
      </w:r>
      <w:r>
        <w:t xml:space="preserve"> </w:t>
      </w:r>
      <w:r>
        <w:t xml:space="preserve">statement.</w:t>
      </w:r>
      <w:r>
        <w:t xml:space="preserve"> </w:t>
      </w:r>
      <w:r>
        <w:t xml:space="preserve"> Specific chemical substances and regulatory approach</w:t>
      </w:r>
      <w:r>
        <w:t xml:space="preserve"> </w:t>
      </w:r>
      <w:r>
        <w:t xml:space="preserve">The respondents were asked how the TSD should handle the different substances that pose health</w:t>
      </w:r>
      <w:r>
        <w:t xml:space="preserve"> </w:t>
      </w:r>
      <w:r>
        <w:t xml:space="preserve">risks. The answers show that the option of the TSD not regulating the harmful chemicals presented</w:t>
      </w:r>
      <w:r>
        <w:t xml:space="preserve"> </w:t>
      </w:r>
      <w:r>
        <w:t xml:space="preserve">was preferred to a much lesser degree. From the sample, it seems that the respondents were most</w:t>
      </w:r>
      <w:r>
        <w:t xml:space="preserve"> </w:t>
      </w:r>
      <w:r>
        <w:t xml:space="preserve">worried about the substances that are endocrine disruptors or immune system disruptors and they</w:t>
      </w:r>
      <w:r>
        <w:t xml:space="preserve"> </w:t>
      </w:r>
      <w:r>
        <w:t xml:space="preserve">would like to see these substances banned. Over 85% of consumer groups and environmental</w:t>
      </w:r>
      <w:r>
        <w:t xml:space="preserve"> </w:t>
      </w:r>
      <w:r>
        <w:t xml:space="preserve">associations would like to see them banned preventively. Also over 85% of public authorities would</w:t>
      </w:r>
      <w:r>
        <w:t xml:space="preserve"> </w:t>
      </w:r>
      <w:r>
        <w:t xml:space="preserve">like to see these substances addressed by the TSD, but the specific approach to address them (specific</w:t>
      </w:r>
      <w:r>
        <w:t xml:space="preserve"> </w:t>
      </w:r>
      <w:r>
        <w:t xml:space="preserve">risk assessment or generic risk assessment) is balanced. Over 70 % of industry believed that they</w:t>
      </w:r>
      <w:r>
        <w:t xml:space="preserve"> </w:t>
      </w:r>
      <w:r>
        <w:t xml:space="preserve">should only be banned after they have been scientifically assessed as unsafe in toys.</w:t>
      </w:r>
      <w:r>
        <w:t xml:space="preserve"> </w:t>
      </w:r>
      <w:r>
        <w:t xml:space="preserve">The respondents also had the possibility to give further comments on the subject. Several of them</w:t>
      </w:r>
      <w:r>
        <w:t xml:space="preserve"> </w:t>
      </w:r>
      <w:r>
        <w:t xml:space="preserve">underlined the importance for the revised Toy Safety Directive to ban certain categories of chemicals</w:t>
      </w:r>
      <w:r>
        <w:t xml:space="preserve"> </w:t>
      </w:r>
      <w:r>
        <w:t xml:space="preserve">(rather than individual substances), in line with the</w:t>
      </w:r>
      <w:r>
        <w:t xml:space="preserve"> </w:t>
      </w:r>
      <w:r>
        <w:t xml:space="preserve">“Chemicals Strategy for Sustainability - Towards</w:t>
      </w:r>
      <w:r>
        <w:t xml:space="preserve"> </w:t>
      </w:r>
      <w:r>
        <w:t xml:space="preserve">a Toxic-Free Environment”</w:t>
      </w:r>
      <w:r>
        <w:t xml:space="preserve"> </w:t>
      </w:r>
      <w:r>
        <w:t xml:space="preserve">of the Commission published in October 2020, which foresees to use</w:t>
      </w:r>
      <w:r>
        <w:t xml:space="preserve"> </w:t>
      </w:r>
      <w:r>
        <w:t xml:space="preserve">generic bans (</w:t>
      </w:r>
      <w:r>
        <w:t xml:space="preserve">“generic approach to risk management”</w:t>
      </w:r>
      <w:r>
        <w:t xml:space="preserve">) not just for endocrine disruptors but also for</w:t>
      </w:r>
      <w:r>
        <w:t xml:space="preserve"> </w:t>
      </w:r>
      <w:r>
        <w:t xml:space="preserve">CMRs, substances of very high concern (SVHCs) or sensitizing substances as default approach.</w:t>
      </w:r>
      <w:r>
        <w:t xml:space="preserve"> </w:t>
      </w:r>
      <w:r>
        <w:t xml:space="preserve">Industry argued that harmful substances could be regulated through REACH restrictions and that the</w:t>
      </w:r>
      <w:r>
        <w:t xml:space="preserve"> </w:t>
      </w:r>
      <w:r>
        <w:t xml:space="preserve">form or specific route in which the substance has been classified (for example, causing cancer by</w:t>
      </w:r>
      <w:r>
        <w:t xml:space="preserve"> </w:t>
      </w:r>
      <w:r>
        <w:t xml:space="preserve">inhalation) should be taken into account.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90</w:t>
      </w:r>
      <w:r>
        <w:t xml:space="preserve"> </w:t>
      </w:r>
      <w:r>
        <w:t xml:space="preserve">Strongly disagree</w:t>
      </w:r>
      <w:r>
        <w:t xml:space="preserve"> </w:t>
      </w:r>
      <w:r>
        <w:t xml:space="preserve">Disagree</w:t>
      </w:r>
      <w:r>
        <w:t xml:space="preserve"> </w:t>
      </w:r>
      <w:r>
        <w:t xml:space="preserve">Neutral</w:t>
      </w:r>
      <w:r>
        <w:t xml:space="preserve"> </w:t>
      </w:r>
      <w:r>
        <w:t xml:space="preserve">Agree</w:t>
      </w:r>
      <w:r>
        <w:t xml:space="preserve"> </w:t>
      </w:r>
      <w:r>
        <w:t xml:space="preserve">Strongly agree</w:t>
      </w:r>
      <w:r>
        <w:t xml:space="preserve"> </w:t>
      </w:r>
      <w:r>
        <w:t xml:space="preserve">No opinion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69</w:t>
      </w:r>
      <w:r>
        <w:t xml:space="preserve"> </w:t>
      </w:r>
      <w:r>
        <w:t xml:space="preserve">EN</w:t>
      </w:r>
      <w:r>
        <w:t xml:space="preserve"> </w:t>
      </w:r>
      <w:r>
        <w:t xml:space="preserve">Figure 3: Ratio of the preferred action for the substances posing different health risks</w:t>
      </w:r>
    </w:p>
    <w:p>
      <w:pPr>
        <w:pStyle w:val="BodyText"/>
      </w:pPr>
      <w:r>
        <w:t xml:space="preserve"> Use of derogations</w:t>
      </w:r>
      <w:r>
        <w:t xml:space="preserve"> </w:t>
      </w:r>
      <w:r>
        <w:t xml:space="preserve">The participants were asked whether they agree or disagree that the Toy Safety Directive should, by</w:t>
      </w:r>
      <w:r>
        <w:t xml:space="preserve"> </w:t>
      </w:r>
      <w:r>
        <w:t xml:space="preserve">way of exception, allow the presence of chemicals which are subject to current and new general bans.</w:t>
      </w:r>
      <w:r>
        <w:t xml:space="preserve"> </w:t>
      </w:r>
      <w:r>
        <w:t xml:space="preserve">While a number of respondent think that there should be no derogations to the general bans (35%</w:t>
      </w:r>
      <w:r>
        <w:t xml:space="preserve"> </w:t>
      </w:r>
      <w:r>
        <w:t xml:space="preserve">public authorities and 50% of consumer and environmental groups), 73% of industry respondents</w:t>
      </w:r>
      <w:r>
        <w:t xml:space="preserve"> </w:t>
      </w:r>
      <w:r>
        <w:t xml:space="preserve">disagreed with this statement.</w:t>
      </w:r>
      <w:r>
        <w:br/>
      </w:r>
      <w:r>
        <w:t xml:space="preserve">The use of derogations is perceived differently by the participants of the PC depending on the reason</w:t>
      </w:r>
      <w:r>
        <w:t xml:space="preserve"> </w:t>
      </w:r>
      <w:r>
        <w:t xml:space="preserve">behind the given derogation. The biggest support is visible in those cases when the used chemicals</w:t>
      </w:r>
      <w:r>
        <w:t xml:space="preserve"> </w:t>
      </w:r>
      <w:r>
        <w:t xml:space="preserve">are found to be safe for human health for that particular use in toys and there are no alternatives or</w:t>
      </w:r>
      <w:r>
        <w:t xml:space="preserve"> </w:t>
      </w:r>
      <w:r>
        <w:t xml:space="preserve">when the used chemicals are found to be safe for human health (as evaluated by a scientific</w:t>
      </w:r>
      <w:r>
        <w:t xml:space="preserve"> </w:t>
      </w:r>
      <w:r>
        <w:t xml:space="preserve">committee) for that particular use in toys (91% of industry, 68% public authorities and 39% of</w:t>
      </w:r>
      <w:r>
        <w:t xml:space="preserve"> </w:t>
      </w:r>
      <w:r>
        <w:t xml:space="preserve">consumer and environmental groups).</w:t>
      </w:r>
      <w:r>
        <w:br/>
      </w:r>
      <w:r>
        <w:t xml:space="preserve">The participants of the PC were asked about their opinion on the likely overall impact of introducing</w:t>
      </w:r>
      <w:r>
        <w:t xml:space="preserve"> </w:t>
      </w:r>
      <w:r>
        <w:t xml:space="preserve">general bans for the most harmful chemicals with some limited derogations if necessary. The answers</w:t>
      </w:r>
      <w:r>
        <w:t xml:space="preserve"> </w:t>
      </w:r>
      <w:r>
        <w:t xml:space="preserve">were collected in 5 different categories (in addition to “no opinion” or “I don’t know” answers),</w:t>
      </w:r>
      <w:r>
        <w:t xml:space="preserve"> </w:t>
      </w:r>
      <w:r>
        <w:t xml:space="preserve">where the higher numbers represent an expected very positive impact and a lower number means</w:t>
      </w:r>
      <w:r>
        <w:t xml:space="preserve"> </w:t>
      </w:r>
      <w:r>
        <w:t xml:space="preserve">very negative impact.</w:t>
      </w:r>
      <w:r>
        <w:br/>
      </w:r>
      <w:r>
        <w:t xml:space="preserve">From the diagram below, it is visible that the respondents expect that the general bans will have a</w:t>
      </w:r>
      <w:r>
        <w:t xml:space="preserve"> </w:t>
      </w:r>
      <w:r>
        <w:t xml:space="preserve">different impact on different aspects. While industry respondents indicate that it will affect very</w:t>
      </w:r>
      <w:r>
        <w:t xml:space="preserve"> </w:t>
      </w:r>
      <w:r>
        <w:t xml:space="preserve">negatively (42%) or negatively (26% answers) the costs of companies which have to adapt to the new</w:t>
      </w:r>
      <w:r>
        <w:t xml:space="preserve"> </w:t>
      </w:r>
      <w:r>
        <w:t xml:space="preserve">requirements and it will also have a predominantly negative impact (in the same percentages) on the</w:t>
      </w:r>
      <w:r>
        <w:t xml:space="preserve"> </w:t>
      </w:r>
      <w:r>
        <w:t xml:space="preserve">administrative burden for businesses, it is expected to have a very good impact on the protection of</w:t>
      </w:r>
      <w:r>
        <w:t xml:space="preserve"> </w:t>
      </w:r>
      <w:r>
        <w:t xml:space="preserve">children (84% of public authorities, 80% consumer and environmental groups, and 30% of industry).</w:t>
      </w:r>
      <w:r>
        <w:br/>
      </w:r>
      <w:r>
        <w:t xml:space="preserve">Out of the different aspects, most respondents thought that the most positive impact will be on the</w:t>
      </w:r>
      <w:r>
        <w:t xml:space="preserve"> </w:t>
      </w:r>
      <w:r>
        <w:t xml:space="preserve">protection of children and on the appearance of innovative products on the market. Positive impact</w:t>
      </w:r>
      <w:r>
        <w:t xml:space="preserve"> </w:t>
      </w:r>
      <w:r>
        <w:t xml:space="preserve">is expected mainly on free movement of toys within the EU single market and on consumer demand.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Known or presumed endocrine disruptors</w:t>
      </w:r>
      <w:r>
        <w:t xml:space="preserve"> </w:t>
      </w:r>
      <w:r>
        <w:t xml:space="preserve">Suspected endocrine disruptor</w:t>
      </w:r>
      <w:r>
        <w:t xml:space="preserve"> </w:t>
      </w:r>
      <w:r>
        <w:t xml:space="preserve">Immune system distruptor</w:t>
      </w:r>
      <w:r>
        <w:t xml:space="preserve"> </w:t>
      </w:r>
      <w:r>
        <w:t xml:space="preserve">Neurological system distruptor</w:t>
      </w:r>
      <w:r>
        <w:t xml:space="preserve"> </w:t>
      </w:r>
      <w:r>
        <w:t xml:space="preserve">Respiratory system distruptor</w:t>
      </w:r>
      <w:r>
        <w:t xml:space="preserve"> </w:t>
      </w:r>
      <w:r>
        <w:t xml:space="preserve">Toxin to a specific organ</w:t>
      </w:r>
      <w:r>
        <w:t xml:space="preserve"> </w:t>
      </w:r>
      <w:r>
        <w:t xml:space="preserve">Skin sensitizer</w:t>
      </w:r>
      <w:r>
        <w:t xml:space="preserve"> </w:t>
      </w:r>
      <w:r>
        <w:t xml:space="preserve">Banned only after specific risk assessment</w:t>
      </w:r>
      <w:r>
        <w:t xml:space="preserve"> </w:t>
      </w:r>
      <w:r>
        <w:t xml:space="preserve">Banned after generic risk assessment</w:t>
      </w:r>
      <w:r>
        <w:t xml:space="preserve"> </w:t>
      </w:r>
      <w:r>
        <w:t xml:space="preserve">Not regulated in the TSD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70</w:t>
      </w:r>
      <w:r>
        <w:t xml:space="preserve"> </w:t>
      </w:r>
      <w:r>
        <w:t xml:space="preserve">EN</w:t>
      </w:r>
      <w:r>
        <w:t xml:space="preserve"> </w:t>
      </w:r>
      <w:r>
        <w:t xml:space="preserve">At the same time, industry and in particular SMEs were concerned about costs, administrative</w:t>
      </w:r>
      <w:r>
        <w:t xml:space="preserve"> </w:t>
      </w:r>
      <w:r>
        <w:t xml:space="preserve">burdens and loss of competitiveness for SMEs.</w:t>
      </w:r>
      <w:r>
        <w:t xml:space="preserve"> </w:t>
      </w:r>
      <w:r>
        <w:t xml:space="preserve">Figure 4: The ratio of the respondents expecting different impacts for the different aspects</w:t>
      </w:r>
    </w:p>
    <w:p>
      <w:pPr>
        <w:pStyle w:val="BodyText"/>
      </w:pPr>
      <w:r>
        <w:t xml:space="preserve">When prompted to explain their opinions, industry feared that the result will be more non-compliant</w:t>
      </w:r>
      <w:r>
        <w:t xml:space="preserve"> </w:t>
      </w:r>
      <w:r>
        <w:t xml:space="preserve">toys in the market and less compliant toys offering for consumers.</w:t>
      </w:r>
      <w:r>
        <w:br/>
      </w:r>
      <w:r>
        <w:t xml:space="preserve"> Requirements for toys intended for children under 36 months or to be put in the</w:t>
      </w:r>
      <w:r>
        <w:t xml:space="preserve"> </w:t>
      </w:r>
      <w:r>
        <w:t xml:space="preserve">mouth</w:t>
      </w:r>
      <w:r>
        <w:t xml:space="preserve"> </w:t>
      </w:r>
      <w:r>
        <w:t xml:space="preserve">Firstly, stakeholders were asked whether the toy safety rules should continue to allow different</w:t>
      </w:r>
      <w:r>
        <w:t xml:space="preserve"> </w:t>
      </w:r>
      <w:r>
        <w:t xml:space="preserve">requirements to be set for chemicals in toys for younger children (under 3 years) compared to older</w:t>
      </w:r>
      <w:r>
        <w:t xml:space="preserve"> </w:t>
      </w:r>
      <w:r>
        <w:t xml:space="preserve">children. Almost half of the respondents (90% industry, 50% public authorities and 48% of</w:t>
      </w:r>
      <w:r>
        <w:t xml:space="preserve"> </w:t>
      </w:r>
      <w:r>
        <w:t xml:space="preserve">consumer/environmental groups) (strongly) agree with the statement. The same trends in the</w:t>
      </w:r>
      <w:r>
        <w:t xml:space="preserve"> </w:t>
      </w:r>
      <w:r>
        <w:t xml:space="preserve">responses per different group appear when asked if the TSD should continue to allow for different</w:t>
      </w:r>
      <w:r>
        <w:t xml:space="preserve"> </w:t>
      </w:r>
      <w:r>
        <w:t xml:space="preserve">requirements to be set for chemicals in toys intended to be put in the mouth.</w:t>
      </w:r>
      <w:r>
        <w:br/>
      </w:r>
      <w:r>
        <w:t xml:space="preserve">When asked whether the toy safety rules should allow new requirements to be set for chemicals in</w:t>
      </w:r>
      <w:r>
        <w:t xml:space="preserve"> </w:t>
      </w:r>
      <w:r>
        <w:t xml:space="preserve">any toy should new scientific knowledge emerge, 92% of consumers/environmental groups, 94% of</w:t>
      </w:r>
      <w:r>
        <w:t xml:space="preserve"> </w:t>
      </w:r>
      <w:r>
        <w:t xml:space="preserve">public authorities and 68% of industry agreed or strongly agreed.</w:t>
      </w:r>
      <w:r>
        <w:br/>
      </w:r>
      <w:r>
        <w:t xml:space="preserve"> Requirements on nitrosamines</w:t>
      </w:r>
      <w:r>
        <w:t xml:space="preserve"> </w:t>
      </w:r>
      <w:r>
        <w:t xml:space="preserve">32% of industry, 77% of public authorities and 73% of consumer/environmental groups agree to</w:t>
      </w:r>
      <w:r>
        <w:t xml:space="preserve"> </w:t>
      </w:r>
      <w:r>
        <w:t xml:space="preserve">some degree that limit values in the Directive for nitrosamines and nitrosatable substances should be</w:t>
      </w:r>
      <w:r>
        <w:t xml:space="preserve"> </w:t>
      </w:r>
      <w:r>
        <w:t xml:space="preserve">lowered.</w:t>
      </w:r>
      <w:r>
        <w:br/>
      </w:r>
      <w:r>
        <w:t xml:space="preserve"> Labelling of chemicals in toys</w:t>
      </w:r>
      <w:r>
        <w:t xml:space="preserve"> </w:t>
      </w:r>
      <w:r>
        <w:t xml:space="preserve">When asked whether the toys should be labelled with their chemical composition or not, the answers</w:t>
      </w:r>
      <w:r>
        <w:t xml:space="preserve"> </w:t>
      </w:r>
      <w:r>
        <w:t xml:space="preserve">are painting a quite divided picture where 53% thought it would be a good idea and 39% does not</w:t>
      </w:r>
      <w:r>
        <w:t xml:space="preserve"> </w:t>
      </w:r>
      <w:r>
        <w:t xml:space="preserve">support it. Companies (50 answers) and business associations (18 answers) are those who</w:t>
      </w:r>
      <w:r>
        <w:t xml:space="preserve"> </w:t>
      </w:r>
      <w:r>
        <w:t xml:space="preserve">predominantly oppose labelling the products. The vast majority of answering EU citizens (86%)</w:t>
      </w:r>
      <w:r>
        <w:t xml:space="preserve"> </w:t>
      </w:r>
      <w:r>
        <w:t xml:space="preserve">however would like to see the chemical composition on the label.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71</w:t>
      </w:r>
      <w:r>
        <w:t xml:space="preserve"> </w:t>
      </w:r>
      <w:r>
        <w:t xml:space="preserve">EN</w:t>
      </w:r>
      <w:r>
        <w:t xml:space="preserve"> </w:t>
      </w:r>
      <w:r>
        <w:t xml:space="preserve">4.4.</w:t>
      </w:r>
      <w:r>
        <w:t xml:space="preserve"> </w:t>
      </w:r>
      <w:r>
        <w:t xml:space="preserve">Protecting children from other risks in toys</w:t>
      </w:r>
      <w:r>
        <w:t xml:space="preserve"> </w:t>
      </w:r>
      <w:r>
        <w:t xml:space="preserve">Consumer and environmental organisation were supporting that the TSD addresses privacy breaches</w:t>
      </w:r>
      <w:r>
        <w:t xml:space="preserve"> </w:t>
      </w:r>
      <w:r>
        <w:t xml:space="preserve">(88%), cyber security (90%) and protection from psychological harm (83%). Public authorities were</w:t>
      </w:r>
      <w:r>
        <w:t xml:space="preserve"> </w:t>
      </w:r>
      <w:r>
        <w:t xml:space="preserve">slightly less supportive of the TSD handling these aspects (54% privacy breaches, 58% cybersecurity</w:t>
      </w:r>
      <w:r>
        <w:t xml:space="preserve"> </w:t>
      </w:r>
      <w:r>
        <w:t xml:space="preserve">and 54% for protection from psychological harm). Least of support came from industry respondents</w:t>
      </w:r>
      <w:r>
        <w:t xml:space="preserve"> </w:t>
      </w:r>
      <w:r>
        <w:t xml:space="preserve">(28% for privacy, 27% for cybersecurity and 29% for protection from psychological harm).</w:t>
      </w:r>
      <w:r>
        <w:t xml:space="preserve"> </w:t>
      </w:r>
      <w:r>
        <w:t xml:space="preserve">Among the additional comments, it was mentioned by industry that as children usually have access</w:t>
      </w:r>
      <w:r>
        <w:t xml:space="preserve"> </w:t>
      </w:r>
      <w:r>
        <w:t xml:space="preserve">to</w:t>
      </w:r>
      <w:r>
        <w:t xml:space="preserve"> </w:t>
      </w:r>
      <w:r>
        <w:t xml:space="preserve">“other”</w:t>
      </w:r>
      <w:r>
        <w:t xml:space="preserve"> </w:t>
      </w:r>
      <w:r>
        <w:t xml:space="preserve">(non-toy) digital equipment like mobile phones, tablet computers, video consoles etc.</w:t>
      </w:r>
      <w:r>
        <w:t xml:space="preserve"> </w:t>
      </w:r>
      <w:r>
        <w:t xml:space="preserve">which potentially pose comparable risks for children. Therefore, cybersecurity and data protection</w:t>
      </w:r>
      <w:r>
        <w:t xml:space="preserve"> </w:t>
      </w:r>
      <w:r>
        <w:t xml:space="preserve">need to be regulated horizontally and not be treated differently than other products used by children</w:t>
      </w:r>
      <w:r>
        <w:t xml:space="preserve"> </w:t>
      </w:r>
      <w:r>
        <w:t xml:space="preserve">and already covered by GDPR, GPSR, RED, Cyber Resilience Act, AI etc (52% indicated this as</w:t>
      </w:r>
      <w:r>
        <w:t xml:space="preserve"> </w:t>
      </w:r>
      <w:r>
        <w:t xml:space="preserve">their preferred option). In contrast, 51% of public authorities and 52% of consumer/environmental</w:t>
      </w:r>
      <w:r>
        <w:t xml:space="preserve"> </w:t>
      </w:r>
      <w:r>
        <w:t xml:space="preserve">groups chose as their preferred option to ensure that the TSD would protect not only the physical but</w:t>
      </w:r>
      <w:r>
        <w:t xml:space="preserve"> </w:t>
      </w:r>
      <w:r>
        <w:t xml:space="preserve">also the psychological wellbeing of children.</w:t>
      </w:r>
      <w:r>
        <w:t xml:space="preserve"> </w:t>
      </w:r>
      <w:r>
        <w:t xml:space="preserve">4.5.</w:t>
      </w:r>
      <w:r>
        <w:t xml:space="preserve"> </w:t>
      </w:r>
      <w:r>
        <w:t xml:space="preserve">Single Market</w:t>
      </w:r>
      <w:r>
        <w:t xml:space="preserve"> </w:t>
      </w:r>
      <w:r>
        <w:t xml:space="preserve"> Factors hampering the application of the TSD</w:t>
      </w:r>
    </w:p>
    <w:p>
      <w:pPr>
        <w:pStyle w:val="BodyText"/>
      </w:pPr>
      <w:r>
        <w:t xml:space="preserve">The participants of the public consultation were also asked to what extent five different issues hamper</w:t>
      </w:r>
      <w:r>
        <w:t xml:space="preserve"> </w:t>
      </w:r>
      <w:r>
        <w:t xml:space="preserve">the application of the directive. The most problematic issue identified by all different respondent</w:t>
      </w:r>
      <w:r>
        <w:t xml:space="preserve"> </w:t>
      </w:r>
      <w:r>
        <w:t xml:space="preserve">groups was the lack of specific requirements for online sales (70% consumers/environmental groups,</w:t>
      </w:r>
      <w:r>
        <w:t xml:space="preserve"> </w:t>
      </w:r>
      <w:r>
        <w:t xml:space="preserve">80% of public authorities and 67% of industry). Industry considered to a much smaller extent that</w:t>
      </w:r>
      <w:r>
        <w:t xml:space="preserve"> </w:t>
      </w:r>
      <w:r>
        <w:t xml:space="preserve">the need to transpose the adaptations of the Directive into national law could hamper the effectiveness</w:t>
      </w:r>
      <w:r>
        <w:t xml:space="preserve"> </w:t>
      </w:r>
      <w:r>
        <w:t xml:space="preserve">of the Directive (37% to a (very) large extent and 27% to a moderate extent, or chemical values being</w:t>
      </w:r>
      <w:r>
        <w:t xml:space="preserve"> </w:t>
      </w:r>
      <w:r>
        <w:t xml:space="preserve">set in different pieces of legislation (31% to a (very) large extent and 24% to a moderate extent).</w:t>
      </w:r>
      <w:r>
        <w:t xml:space="preserve"> </w:t>
      </w:r>
      <w:r>
        <w:t xml:space="preserve">Public authorities and consumer/environmental groups rather referred to other factors such as the</w:t>
      </w:r>
      <w:r>
        <w:t xml:space="preserve"> </w:t>
      </w:r>
      <w:r>
        <w:t xml:space="preserve">fact that conformity assessment is carried out without the intervention of a NB (58% of authorities</w:t>
      </w:r>
      <w:r>
        <w:t xml:space="preserve"> </w:t>
      </w:r>
      <w:r>
        <w:t xml:space="preserve">and 70% of consumer/environmental groups considered this affected the effectiveness of the TSD to</w:t>
      </w:r>
      <w:r>
        <w:t xml:space="preserve"> </w:t>
      </w:r>
      <w:r>
        <w:t xml:space="preserve">a (very) large or to a moderate (20% for authorities) extent). Similarly, the fact that documentation</w:t>
      </w:r>
      <w:r>
        <w:t xml:space="preserve"> </w:t>
      </w:r>
      <w:r>
        <w:t xml:space="preserve">is provided only upon request affected to a (very) large extent for 58% of public authorities and 65%</w:t>
      </w:r>
      <w:r>
        <w:t xml:space="preserve"> </w:t>
      </w:r>
      <w:r>
        <w:t xml:space="preserve">of consumer/environment groups and to a moderate extent for an additional 19% of authorities and</w:t>
      </w:r>
      <w:r>
        <w:t xml:space="preserve"> </w:t>
      </w:r>
      <w:r>
        <w:t xml:space="preserve">13 % of consumer/environmental groups.</w:t>
      </w:r>
    </w:p>
    <w:p>
      <w:pPr>
        <w:pStyle w:val="BodyText"/>
      </w:pPr>
      <w:r>
        <w:t xml:space="preserve"> Third-party conformity assessment</w:t>
      </w:r>
      <w:r>
        <w:t xml:space="preserve"> </w:t>
      </w:r>
      <w:r>
        <w:t xml:space="preserve">When asked whether the participants think the toy safety rules should extend the obligation of third-</w:t>
      </w:r>
      <w:r>
        <w:t xml:space="preserve"> </w:t>
      </w:r>
      <w:r>
        <w:t xml:space="preserve">party conformity assessment to more toys (EU-type examination) the results are quite balanced</w:t>
      </w:r>
      <w:r>
        <w:t xml:space="preserve"> </w:t>
      </w:r>
      <w:r>
        <w:t xml:space="preserve">depending on the interest group. 83% of consumer/environment groups and 75% of authorities</w:t>
      </w:r>
      <w:r>
        <w:t xml:space="preserve"> </w:t>
      </w:r>
      <w:r>
        <w:t xml:space="preserve">support it while 75% of industry is against. Out of those who were in favour of extending this</w:t>
      </w:r>
      <w:r>
        <w:t xml:space="preserve"> </w:t>
      </w:r>
      <w:r>
        <w:t xml:space="preserve">obligation, 44% of consumer/environment associations and 32% of authorities thought it should</w:t>
      </w:r>
      <w:r>
        <w:t xml:space="preserve"> </w:t>
      </w:r>
      <w:r>
        <w:t xml:space="preserve">apply to all toys, while close to 40% of authorities and consumer/environment groups supported that</w:t>
      </w:r>
      <w:r>
        <w:t xml:space="preserve"> </w:t>
      </w:r>
      <w:r>
        <w:t xml:space="preserve">it covers chemical mixtures and an additional 25% of public authorities and 37% of</w:t>
      </w:r>
      <w:r>
        <w:t xml:space="preserve"> </w:t>
      </w:r>
      <w:r>
        <w:t xml:space="preserve">consumer/environment groups believed it should cover toys intended for children under 36 months.</w:t>
      </w:r>
      <w:r>
        <w:br/>
      </w:r>
      <w:r>
        <w:t xml:space="preserve">In terms of impacts of the measures, consumer groups rather believed that it would have a very</w:t>
      </w:r>
      <w:r>
        <w:t xml:space="preserve"> </w:t>
      </w:r>
      <w:r>
        <w:t xml:space="preserve">positive impact in the protection of children (63%) and in compliance of toys (50%). Similarly, public</w:t>
      </w:r>
      <w:r>
        <w:t xml:space="preserve"> </w:t>
      </w:r>
      <w:r>
        <w:t xml:space="preserve">authorities considered it could improve the protection of children (54%) and the compliance of toys</w:t>
      </w:r>
      <w:r>
        <w:t xml:space="preserve"> </w:t>
      </w:r>
      <w:r>
        <w:t xml:space="preserve">to a high or moderate extent (80%). Conversely, industry was concerned about the negative impacts</w:t>
      </w:r>
      <w:r>
        <w:t xml:space="preserve"> </w:t>
      </w:r>
      <w:r>
        <w:t xml:space="preserve">on their costs and administrative burden (over 60%) and on price of toys (52%). Negative impacts on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72</w:t>
      </w:r>
      <w:r>
        <w:t xml:space="preserve"> </w:t>
      </w:r>
      <w:r>
        <w:t xml:space="preserve">EN</w:t>
      </w:r>
      <w:r>
        <w:t xml:space="preserve"> </w:t>
      </w:r>
      <w:r>
        <w:t xml:space="preserve">the competitiveness of SMEs was also raised as a strong concern (55%). In general, industry did not</w:t>
      </w:r>
      <w:r>
        <w:t xml:space="preserve"> </w:t>
      </w:r>
      <w:r>
        <w:t xml:space="preserve">believe this option would have a strong positive impact on the protection of children or on</w:t>
      </w:r>
      <w:r>
        <w:t xml:space="preserve"> </w:t>
      </w:r>
      <w:r>
        <w:t xml:space="preserve">compliance.</w:t>
      </w:r>
    </w:p>
    <w:p>
      <w:pPr>
        <w:pStyle w:val="BodyText"/>
      </w:pPr>
      <w:r>
        <w:t xml:space="preserve"> Digital tools</w:t>
      </w:r>
      <w:r>
        <w:t xml:space="preserve"> </w:t>
      </w:r>
      <w:r>
        <w:t xml:space="preserve">The participants to the open consultation seem to agree that it would be a mistake to have certain</w:t>
      </w:r>
      <w:r>
        <w:t xml:space="preserve"> </w:t>
      </w:r>
      <w:r>
        <w:t xml:space="preserve">information available only digitally in the case of name and address of the manufacturer, instruction</w:t>
      </w:r>
      <w:r>
        <w:t xml:space="preserve"> </w:t>
      </w:r>
      <w:r>
        <w:t xml:space="preserve">for use, safety information and information on chemical substances; there are no significant</w:t>
      </w:r>
      <w:r>
        <w:t xml:space="preserve"> </w:t>
      </w:r>
      <w:r>
        <w:t xml:space="preserve">differences in the different responding groups. Industry supports that the EU declaration of</w:t>
      </w:r>
      <w:r>
        <w:t xml:space="preserve"> </w:t>
      </w:r>
      <w:r>
        <w:t xml:space="preserve">conformity (56%) and EU-type examination certificates (54%) are enough if published digitally. For</w:t>
      </w:r>
      <w:r>
        <w:t xml:space="preserve"> </w:t>
      </w:r>
      <w:r>
        <w:t xml:space="preserve">the EU declaration of conformity, public authorities agree that it can be provided digitally (35%) or</w:t>
      </w:r>
      <w:r>
        <w:t xml:space="preserve"> </w:t>
      </w:r>
      <w:r>
        <w:t xml:space="preserve">which basic information on paper (61%). Consumer groups rather support that this documents are</w:t>
      </w:r>
      <w:r>
        <w:t xml:space="preserve"> </w:t>
      </w:r>
      <w:r>
        <w:t xml:space="preserve">either made available on paper (EU declaration of conformity 44% and EU type certificates 31%) or</w:t>
      </w:r>
      <w:r>
        <w:t xml:space="preserve"> </w:t>
      </w:r>
      <w:r>
        <w:t xml:space="preserve">with basic information on paper and more details provided digitally (EU DoC 47% and EU type</w:t>
      </w:r>
      <w:r>
        <w:t xml:space="preserve"> </w:t>
      </w:r>
      <w:r>
        <w:t xml:space="preserve">certificates 49%).</w:t>
      </w:r>
      <w:r>
        <w:br/>
      </w:r>
      <w:r>
        <w:t xml:space="preserve">Public authorities and consumer/environmental groups considered that this measure would have the</w:t>
      </w:r>
      <w:r>
        <w:t xml:space="preserve"> </w:t>
      </w:r>
      <w:r>
        <w:t xml:space="preserve">most important impacts in terms of protection of children, compliance of toys with the TSD and</w:t>
      </w:r>
      <w:r>
        <w:t xml:space="preserve"> </w:t>
      </w:r>
      <w:r>
        <w:t xml:space="preserve">efficiency of market surveillance. Similarly, industry respondents also considered that the measure</w:t>
      </w:r>
      <w:r>
        <w:t xml:space="preserve"> </w:t>
      </w:r>
      <w:r>
        <w:t xml:space="preserve">could have benefits for the protection of children (40%) for the compliance of toys (47%) and for the</w:t>
      </w:r>
      <w:r>
        <w:t xml:space="preserve"> </w:t>
      </w:r>
      <w:r>
        <w:t xml:space="preserve">efficiency of market surveillance (59%). However, they were also concerned to a certain extent about</w:t>
      </w:r>
      <w:r>
        <w:t xml:space="preserve"> </w:t>
      </w:r>
      <w:r>
        <w:t xml:space="preserve">possible costs (43%) and administrative burden (45%). SMEs were concerned to a certain extent of</w:t>
      </w:r>
      <w:r>
        <w:t xml:space="preserve"> </w:t>
      </w:r>
      <w:r>
        <w:t xml:space="preserve">the possible negative impacts on their competitiveness (43%).</w:t>
      </w:r>
    </w:p>
    <w:p>
      <w:pPr>
        <w:pStyle w:val="BodyText"/>
      </w:pPr>
      <w:r>
        <w:t xml:space="preserve"> Compliance and enforcement</w:t>
      </w:r>
      <w:r>
        <w:t xml:space="preserve"> </w:t>
      </w:r>
      <w:r>
        <w:t xml:space="preserve">The respondents were asked whether they would like to see the Toy Safety Directive converted into</w:t>
      </w:r>
      <w:r>
        <w:t xml:space="preserve"> </w:t>
      </w:r>
      <w:r>
        <w:t xml:space="preserve">a Regulation. 85% agrees with the conversion without significant differences across respondent</w:t>
      </w:r>
      <w:r>
        <w:t xml:space="preserve"> </w:t>
      </w:r>
      <w:r>
        <w:t xml:space="preserve">groups (82% industry, 80% of public authorities and 87% of consumer/environment groups.</w:t>
      </w:r>
      <w:r>
        <w:br/>
      </w:r>
      <w:r>
        <w:t xml:space="preserve">From the additional comments, it turns out that some of the respondents from industry think that the</w:t>
      </w:r>
      <w:r>
        <w:t xml:space="preserve"> </w:t>
      </w:r>
      <w:r>
        <w:t xml:space="preserve">conversion of the Directive into a Regulation should only be carried out with a view to clarifying a</w:t>
      </w:r>
      <w:r>
        <w:t xml:space="preserve"> </w:t>
      </w:r>
      <w:r>
        <w:t xml:space="preserve">number of provisions in the current framework, and not to increase in any way the burden on</w:t>
      </w:r>
      <w:r>
        <w:t xml:space="preserve"> </w:t>
      </w:r>
      <w:r>
        <w:t xml:space="preserve">manufacturers. It was also pointed out that the same rules must apply everywhere. Either way, a</w:t>
      </w:r>
      <w:r>
        <w:t xml:space="preserve"> </w:t>
      </w:r>
      <w:r>
        <w:t xml:space="preserve">Regulation would allow for stronger enforcement of the provision and guarantee a harmonized</w:t>
      </w:r>
      <w:r>
        <w:t xml:space="preserve"> </w:t>
      </w:r>
      <w:r>
        <w:t xml:space="preserve">implementation of the provisions across the EU, guaranteeing the same level of protection for all</w:t>
      </w:r>
      <w:r>
        <w:t xml:space="preserve"> </w:t>
      </w:r>
      <w:r>
        <w:t xml:space="preserve">children.</w:t>
      </w:r>
      <w:r>
        <w:t xml:space="preserve"> </w:t>
      </w:r>
      <w:r>
        <w:t xml:space="preserve">When asked about their preferred measures to be included in the Directive to improve compliance</w:t>
      </w:r>
      <w:r>
        <w:t xml:space="preserve"> </w:t>
      </w:r>
      <w:r>
        <w:t xml:space="preserve">and enforcement, the respondents could select multiple replies simultaneously. Public authorities</w:t>
      </w:r>
      <w:r>
        <w:t xml:space="preserve"> </w:t>
      </w:r>
      <w:r>
        <w:t xml:space="preserve">were strongly in favour of a digital passport (96%) of converting the Directive into a Regulation</w:t>
      </w:r>
      <w:r>
        <w:t xml:space="preserve"> </w:t>
      </w:r>
      <w:r>
        <w:t xml:space="preserve">(74%) and of extending third party conformity assessment (67%). Consumer/environmental groups</w:t>
      </w:r>
      <w:r>
        <w:t xml:space="preserve"> </w:t>
      </w:r>
      <w:r>
        <w:t xml:space="preserve">were strongly in favour of converting the Directive into a Regulation and extending third-party</w:t>
      </w:r>
      <w:r>
        <w:t xml:space="preserve"> </w:t>
      </w:r>
      <w:r>
        <w:t xml:space="preserve">conformity assessment (78% for each response) and also to have a digital passport (59%). Industry</w:t>
      </w:r>
      <w:r>
        <w:t xml:space="preserve"> </w:t>
      </w:r>
      <w:r>
        <w:t xml:space="preserve">was also quite in favour of converting the Directive into a Regulation (67%) and of the digital</w:t>
      </w:r>
      <w:r>
        <w:t xml:space="preserve"> </w:t>
      </w:r>
      <w:r>
        <w:t xml:space="preserve">passport (52%) but in a much smaller percentage of extending third party conformity assessment</w:t>
      </w:r>
      <w:r>
        <w:t xml:space="preserve"> </w:t>
      </w:r>
      <w:r>
        <w:t xml:space="preserve">(19%).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73</w:t>
      </w:r>
      <w:r>
        <w:t xml:space="preserve"> </w:t>
      </w:r>
      <w:r>
        <w:t xml:space="preserve">EN</w:t>
      </w:r>
      <w:r>
        <w:t xml:space="preserve"> </w:t>
      </w:r>
      <w:r>
        <w:t xml:space="preserve">5.</w:t>
      </w:r>
      <w:r>
        <w:t xml:space="preserve"> </w:t>
      </w:r>
      <w:r>
        <w:t xml:space="preserve">TARGETED SURVEY FOR SMES</w:t>
      </w:r>
      <w:r>
        <w:t xml:space="preserve"> </w:t>
      </w:r>
      <w:r>
        <w:t xml:space="preserve">5.1.</w:t>
      </w:r>
      <w:r>
        <w:t xml:space="preserve"> </w:t>
      </w:r>
      <w:r>
        <w:t xml:space="preserve">Number and basic characteristics of the respondents</w:t>
      </w:r>
      <w:r>
        <w:t xml:space="preserve"> </w:t>
      </w:r>
      <w:r>
        <w:t xml:space="preserve">A targeted online survey was carried out to collect as many views from the representatives of SMEs</w:t>
      </w:r>
      <w:r>
        <w:t xml:space="preserve"> </w:t>
      </w:r>
      <w:r>
        <w:t xml:space="preserve">as possible. In total, 201 completed responses were received.</w:t>
      </w:r>
      <w:r>
        <w:br/>
      </w:r>
      <w:r>
        <w:t xml:space="preserve">Most of the answers were received from the United States (65), the United Kingdom (21), Germany</w:t>
      </w:r>
      <w:r>
        <w:t xml:space="preserve"> </w:t>
      </w:r>
      <w:r>
        <w:t xml:space="preserve">(15), Spain (14) and Italy (13). Out of the 32 represented countries, 19 were based in one the European</w:t>
      </w:r>
      <w:r>
        <w:t xml:space="preserve"> </w:t>
      </w:r>
      <w:r>
        <w:t xml:space="preserve">Union Member State with 40% of the companies in the sample.</w:t>
      </w:r>
      <w:r>
        <w:br/>
      </w:r>
      <w:r>
        <w:t xml:space="preserve">Figure 5: Ratio of the respondents’ States where they are based192</w:t>
      </w:r>
    </w:p>
    <w:p>
      <w:pPr>
        <w:pStyle w:val="BodyText"/>
      </w:pPr>
      <w:r>
        <w:t xml:space="preserve">In terms of the size of the organisations, most of the respondents (73.6%) were categorised as micro-</w:t>
      </w:r>
      <w:r>
        <w:t xml:space="preserve"> </w:t>
      </w:r>
      <w:r>
        <w:t xml:space="preserve">organisations employing 1 to 9 employees. Small enterprises employing 10 to 49 employees and</w:t>
      </w:r>
      <w:r>
        <w:t xml:space="preserve"> </w:t>
      </w:r>
      <w:r>
        <w:t xml:space="preserve">medium ones employing 50 to 249 employees were represented in a more balanced way, having</w:t>
      </w:r>
      <w:r>
        <w:t xml:space="preserve"> </w:t>
      </w:r>
      <w:r>
        <w:t xml:space="preserve">11.9% and 14.4% respectively.</w:t>
      </w:r>
      <w:r>
        <w:br/>
      </w:r>
      <w:r>
        <w:t xml:space="preserve">5.2.</w:t>
      </w:r>
      <w:r>
        <w:t xml:space="preserve"> </w:t>
      </w:r>
      <w:r>
        <w:t xml:space="preserve">Costs related to the revision of the TSD</w:t>
      </w:r>
      <w:r>
        <w:t xml:space="preserve"> </w:t>
      </w:r>
      <w:r>
        <w:t xml:space="preserve"> Administrative burden</w:t>
      </w:r>
    </w:p>
    <w:p>
      <w:pPr>
        <w:pStyle w:val="BodyText"/>
      </w:pPr>
      <w:r>
        <w:t xml:space="preserve">In connection with bureaucracy and extent of requirements, the respondents stated that the biggest</w:t>
      </w:r>
      <w:r>
        <w:t xml:space="preserve"> </w:t>
      </w:r>
      <w:r>
        <w:t xml:space="preserve">burdens are rooted in the testing obligations. Also, it is quite burdensome that companies have to</w:t>
      </w:r>
      <w:r>
        <w:t xml:space="preserve"> </w:t>
      </w:r>
      <w:r>
        <w:t xml:space="preserve">continuously update the documents, especially the Declaration of Compliance. Others referred to</w:t>
      </w:r>
      <w:r>
        <w:t xml:space="preserve"> </w:t>
      </w:r>
      <w:r>
        <w:t xml:space="preserve">costs in relation to keeping the technical documentation up to date as all data from purchased parts</w:t>
      </w:r>
      <w:r>
        <w:t xml:space="preserve"> </w:t>
      </w:r>
      <w:r>
        <w:t xml:space="preserve">and raw materials (for each batch), all test reports (from both raw-materials as finished products), all</w:t>
      </w:r>
      <w:r>
        <w:t xml:space="preserve"> </w:t>
      </w:r>
      <w:r>
        <w:t xml:space="preserve">the updating of DOC’s and every additional document are required to have a complete and complying</w:t>
      </w:r>
    </w:p>
    <w:p>
      <w:pPr>
        <w:pStyle w:val="BodyText"/>
      </w:pPr>
      <w:r>
        <w:t xml:space="preserve">192 Under the category “other” those countries are aggregated from where less than 3 responses were collected (such as</w:t>
      </w:r>
      <w:r>
        <w:t xml:space="preserve"> </w:t>
      </w:r>
      <w:r>
        <w:t xml:space="preserve">Austria, Bulgaria, Czech Republic, Denmark, Estonia, Finland, Hungary, India, Romania, Sweden, The Netherlands) and</w:t>
      </w:r>
      <w:r>
        <w:t xml:space="preserve"> </w:t>
      </w:r>
      <w:r>
        <w:t xml:space="preserve">those responses who selected originally the option “other” wishing not to specify the country they are based in.</w:t>
      </w:r>
      <w:r>
        <w:t xml:space="preserve"> </w:t>
      </w:r>
      <w:r>
        <w:t xml:space="preserve">United States</w:t>
      </w:r>
      <w:r>
        <w:t xml:space="preserve"> </w:t>
      </w:r>
      <w:r>
        <w:t xml:space="preserve">38%</w:t>
      </w:r>
      <w:r>
        <w:t xml:space="preserve"> </w:t>
      </w:r>
      <w:r>
        <w:t xml:space="preserve">Other</w:t>
      </w:r>
      <w:r>
        <w:t xml:space="preserve"> </w:t>
      </w:r>
      <w:r>
        <w:t xml:space="preserve">15%</w:t>
      </w:r>
      <w:r>
        <w:t xml:space="preserve"> </w:t>
      </w:r>
      <w:r>
        <w:t xml:space="preserve">United Kingdom</w:t>
      </w:r>
      <w:r>
        <w:t xml:space="preserve"> </w:t>
      </w:r>
      <w:r>
        <w:t xml:space="preserve">10%</w:t>
      </w:r>
      <w:r>
        <w:t xml:space="preserve"> </w:t>
      </w:r>
      <w:r>
        <w:t xml:space="preserve">Germany</w:t>
      </w:r>
      <w:r>
        <w:t xml:space="preserve"> </w:t>
      </w:r>
      <w:r>
        <w:t xml:space="preserve">7%</w:t>
      </w:r>
      <w:r>
        <w:t xml:space="preserve"> </w:t>
      </w:r>
      <w:r>
        <w:t xml:space="preserve">Spain</w:t>
      </w:r>
      <w:r>
        <w:t xml:space="preserve"> </w:t>
      </w:r>
      <w:r>
        <w:t xml:space="preserve">7%</w:t>
      </w:r>
      <w:r>
        <w:t xml:space="preserve"> </w:t>
      </w:r>
      <w:r>
        <w:t xml:space="preserve">Italy</w:t>
      </w:r>
      <w:r>
        <w:t xml:space="preserve"> </w:t>
      </w:r>
      <w:r>
        <w:t xml:space="preserve">6%</w:t>
      </w:r>
      <w:r>
        <w:t xml:space="preserve"> </w:t>
      </w:r>
      <w:r>
        <w:t xml:space="preserve">Poland</w:t>
      </w:r>
      <w:r>
        <w:t xml:space="preserve"> </w:t>
      </w:r>
      <w:r>
        <w:t xml:space="preserve">4%</w:t>
      </w:r>
      <w:r>
        <w:t xml:space="preserve"> </w:t>
      </w:r>
      <w:r>
        <w:t xml:space="preserve">China</w:t>
      </w:r>
      <w:r>
        <w:t xml:space="preserve"> </w:t>
      </w:r>
      <w:r>
        <w:t xml:space="preserve">3%</w:t>
      </w:r>
      <w:r>
        <w:t xml:space="preserve"> </w:t>
      </w:r>
      <w:r>
        <w:t xml:space="preserve">France</w:t>
      </w:r>
      <w:r>
        <w:t xml:space="preserve"> </w:t>
      </w:r>
      <w:r>
        <w:t xml:space="preserve">3%</w:t>
      </w:r>
      <w:r>
        <w:t xml:space="preserve"> </w:t>
      </w:r>
      <w:r>
        <w:t xml:space="preserve">Belgium</w:t>
      </w:r>
      <w:r>
        <w:t xml:space="preserve"> </w:t>
      </w:r>
      <w:r>
        <w:t xml:space="preserve">2%</w:t>
      </w:r>
      <w:r>
        <w:t xml:space="preserve"> </w:t>
      </w:r>
      <w:r>
        <w:t xml:space="preserve">Greece</w:t>
      </w:r>
      <w:r>
        <w:t xml:space="preserve"> </w:t>
      </w:r>
      <w:r>
        <w:t xml:space="preserve">2%</w:t>
      </w:r>
      <w:r>
        <w:t xml:space="preserve"> </w:t>
      </w:r>
      <w:r>
        <w:t xml:space="preserve">Latvia</w:t>
      </w:r>
      <w:r>
        <w:t xml:space="preserve"> </w:t>
      </w:r>
      <w:r>
        <w:t xml:space="preserve">2%</w:t>
      </w:r>
      <w:r>
        <w:t xml:space="preserve"> </w:t>
      </w:r>
      <w:r>
        <w:t xml:space="preserve">Lithuania</w:t>
      </w:r>
      <w:r>
        <w:t xml:space="preserve"> </w:t>
      </w:r>
      <w:r>
        <w:t xml:space="preserve">1%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74</w:t>
      </w:r>
      <w:r>
        <w:t xml:space="preserve"> </w:t>
      </w:r>
      <w:r>
        <w:t xml:space="preserve">EN</w:t>
      </w:r>
      <w:r>
        <w:t xml:space="preserve"> </w:t>
      </w:r>
      <w:r>
        <w:t xml:space="preserve">dossier. Furthermore, there are specific challenges such as the length of the custom process in certain</w:t>
      </w:r>
      <w:r>
        <w:t xml:space="preserve"> </w:t>
      </w:r>
      <w:r>
        <w:t xml:space="preserve">countries; the strict fire safety testing requirements; or storing the documentation for 10 years.</w:t>
      </w:r>
      <w:r>
        <w:br/>
      </w:r>
      <w:r>
        <w:t xml:space="preserve">Another administrative burden stems from the need for specific knowledge, skills and extensive</w:t>
      </w:r>
      <w:r>
        <w:t xml:space="preserve"> </w:t>
      </w:r>
      <w:r>
        <w:t xml:space="preserve">human resources for following the changing requirements.</w:t>
      </w:r>
      <w:r>
        <w:br/>
      </w:r>
      <w:r>
        <w:t xml:space="preserve">In terms of staff costs expressed in number of working days per new SKU, for the costs of making</w:t>
      </w:r>
      <w:r>
        <w:t xml:space="preserve"> </w:t>
      </w:r>
      <w:r>
        <w:t xml:space="preserve">available the declaration of conformity on the website 59 companies assigned a greater number of</w:t>
      </w:r>
      <w:r>
        <w:t xml:space="preserve"> </w:t>
      </w:r>
      <w:r>
        <w:t xml:space="preserve">working days than zero, the majority estimating it to be between 1 and 10. To adapt the labels</w:t>
      </w:r>
      <w:r>
        <w:t xml:space="preserve"> </w:t>
      </w:r>
      <w:r>
        <w:t xml:space="preserve">indicating the chemical content of a product 56 estimations greater than 0 were received. The least</w:t>
      </w:r>
      <w:r>
        <w:t xml:space="preserve"> </w:t>
      </w:r>
      <w:r>
        <w:t xml:space="preserve">resource intensive intervention would be to register the link to the DoC on the website, this only</w:t>
      </w:r>
      <w:r>
        <w:t xml:space="preserve"> </w:t>
      </w:r>
      <w:r>
        <w:t xml:space="preserve">receiving 39 votes. The vast majority of respondents estimated that all of the interventions could be</w:t>
      </w:r>
      <w:r>
        <w:t xml:space="preserve"> </w:t>
      </w:r>
      <w:r>
        <w:t xml:space="preserve">carried out in 1-10 working days per new SKU.</w:t>
      </w:r>
    </w:p>
    <w:p>
      <w:pPr>
        <w:pStyle w:val="BodyText"/>
      </w:pPr>
      <w:r>
        <w:t xml:space="preserve">Table 1: The number of companies that estimated that each intervention would require the given</w:t>
      </w:r>
      <w:r>
        <w:t xml:space="preserve"> </w:t>
      </w:r>
      <w:r>
        <w:t xml:space="preserve">number of working days</w:t>
      </w:r>
      <w:r>
        <w:t xml:space="preserve"> </w:t>
      </w:r>
      <w:r>
        <w:t xml:space="preserve">Number of working days per new SKU /</w:t>
      </w:r>
      <w:r>
        <w:t xml:space="preserve"> </w:t>
      </w:r>
      <w:r>
        <w:t xml:space="preserve">Interventions</w:t>
      </w:r>
      <w:r>
        <w:br/>
      </w:r>
      <w:r>
        <w:t xml:space="preserve">0</w:t>
      </w:r>
      <w:r>
        <w:t xml:space="preserve"> </w:t>
      </w:r>
      <w:r>
        <w:t xml:space="preserve">1-10 11-20 21-45 46-200 &gt;200</w:t>
      </w:r>
      <w:r>
        <w:t xml:space="preserve"> </w:t>
      </w:r>
      <w:r>
        <w:t xml:space="preserve">Costs of an EU type examination before</w:t>
      </w:r>
      <w:r>
        <w:t xml:space="preserve"> </w:t>
      </w:r>
      <w:r>
        <w:t xml:space="preserve">introducing a new product</w:t>
      </w:r>
      <w:r>
        <w:br/>
      </w:r>
      <w:r>
        <w:t xml:space="preserve">7</w:t>
      </w:r>
      <w:r>
        <w:t xml:space="preserve"> </w:t>
      </w:r>
      <w:r>
        <w:t xml:space="preserve">38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Costs of testing the products in general</w:t>
      </w:r>
      <w:r>
        <w:t xml:space="preserve"> </w:t>
      </w:r>
      <w:r>
        <w:t xml:space="preserve">8</w:t>
      </w:r>
      <w:r>
        <w:t xml:space="preserve"> </w:t>
      </w:r>
      <w:r>
        <w:t xml:space="preserve">35</w:t>
      </w:r>
      <w:r>
        <w:t xml:space="preserve"> </w:t>
      </w:r>
      <w:r>
        <w:t xml:space="preserve">6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Costs of replacing / redesigning a new product</w:t>
      </w:r>
      <w:r>
        <w:t xml:space="preserve"> </w:t>
      </w:r>
      <w:r>
        <w:t xml:space="preserve">if the product is found to be not compliant</w:t>
      </w:r>
      <w:r>
        <w:br/>
      </w:r>
      <w:r>
        <w:t xml:space="preserve">9</w:t>
      </w:r>
      <w:r>
        <w:t xml:space="preserve"> </w:t>
      </w:r>
      <w:r>
        <w:t xml:space="preserve">22</w:t>
      </w:r>
      <w:r>
        <w:t xml:space="preserve"> </w:t>
      </w:r>
      <w:r>
        <w:t xml:space="preserve">11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6</w:t>
      </w:r>
      <w:r>
        <w:t xml:space="preserve"> </w:t>
      </w:r>
      <w:r>
        <w:t xml:space="preserve">Costs of adapting the labels indicating the</w:t>
      </w:r>
      <w:r>
        <w:t xml:space="preserve"> </w:t>
      </w:r>
      <w:r>
        <w:t xml:space="preserve">chemical content of a product</w:t>
      </w:r>
      <w:r>
        <w:t xml:space="preserve"> </w:t>
      </w:r>
      <w:r>
        <w:t xml:space="preserve">9</w:t>
      </w:r>
      <w:r>
        <w:t xml:space="preserve"> </w:t>
      </w:r>
      <w:r>
        <w:t xml:space="preserve">39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4</w:t>
      </w:r>
      <w:r>
        <w:t xml:space="preserve"> </w:t>
      </w:r>
      <w:r>
        <w:t xml:space="preserve">Costs of making available the declaration of</w:t>
      </w:r>
      <w:r>
        <w:t xml:space="preserve"> </w:t>
      </w:r>
      <w:r>
        <w:t xml:space="preserve">conformity on the website</w:t>
      </w:r>
      <w:r>
        <w:br/>
      </w:r>
      <w:r>
        <w:t xml:space="preserve">5</w:t>
      </w:r>
      <w:r>
        <w:t xml:space="preserve"> </w:t>
      </w:r>
      <w:r>
        <w:t xml:space="preserve">42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Costs of registering the link to the website in a</w:t>
      </w:r>
      <w:r>
        <w:t xml:space="preserve"> </w:t>
      </w:r>
      <w:r>
        <w:t xml:space="preserve">database</w:t>
      </w:r>
      <w:r>
        <w:t xml:space="preserve"> </w:t>
      </w:r>
      <w:r>
        <w:t xml:space="preserve">11</w:t>
      </w:r>
      <w:r>
        <w:t xml:space="preserve"> </w:t>
      </w:r>
      <w:r>
        <w:t xml:space="preserve">29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The outsourcing costs and equipment costs were also assessed by the respondents193. According</w:t>
      </w:r>
      <w:r>
        <w:t xml:space="preserve"> </w:t>
      </w:r>
      <w:r>
        <w:t xml:space="preserve">to the answers, from the point of view of outsourcing, the costs of an EU type examination before</w:t>
      </w:r>
      <w:r>
        <w:t xml:space="preserve"> </w:t>
      </w:r>
      <w:r>
        <w:t xml:space="preserve">introducing a new product would be the highest (most of the companies estimating that it would cost</w:t>
      </w:r>
      <w:r>
        <w:t xml:space="preserve"> </w:t>
      </w:r>
      <w:r>
        <w:t xml:space="preserve">between 201 and 1 000 EUR per new toy model, while the lowest would be the costs of registering</w:t>
      </w:r>
      <w:r>
        <w:t xml:space="preserve"> </w:t>
      </w:r>
      <w:r>
        <w:t xml:space="preserve">the link to the website in a database (around 30 000 EUR in total). From the point of view of the</w:t>
      </w:r>
      <w:r>
        <w:t xml:space="preserve"> </w:t>
      </w:r>
      <w:r>
        <w:t xml:space="preserve">equipment costs, the picture is quite different as the costs of registering the link to the website in a</w:t>
      </w:r>
      <w:r>
        <w:t xml:space="preserve"> </w:t>
      </w:r>
      <w:r>
        <w:t xml:space="preserve">database would require the largest sum (around 420 000 EUR) in total, together with the costs of</w:t>
      </w:r>
      <w:r>
        <w:t xml:space="preserve"> </w:t>
      </w:r>
      <w:r>
        <w:t xml:space="preserve">replacing / redesigning a new product if the product is found to be not compliant (around 145 000</w:t>
      </w:r>
      <w:r>
        <w:t xml:space="preserve"> </w:t>
      </w:r>
      <w:r>
        <w:t xml:space="preserve">EUR in total) and the cheapest would be to make available the declaration of conformity on the</w:t>
      </w:r>
      <w:r>
        <w:t xml:space="preserve"> </w:t>
      </w:r>
      <w:r>
        <w:t xml:space="preserve">website (around 13 000 EUR) in total.</w:t>
      </w:r>
    </w:p>
    <w:p>
      <w:pPr>
        <w:pStyle w:val="BodyText"/>
      </w:pPr>
      <w:r>
        <w:t xml:space="preserve">193 Even though a data cleaning process was completed, the data analysed here primarily relies on the responses of the SMEs who</w:t>
      </w:r>
      <w:r>
        <w:t xml:space="preserve"> </w:t>
      </w:r>
      <w:r>
        <w:t xml:space="preserve">filled out the survey, consequently any distortion is a result of their indications, which in turn can result from not having the proper</w:t>
      </w:r>
      <w:r>
        <w:t xml:space="preserve"> </w:t>
      </w:r>
      <w:r>
        <w:t xml:space="preserve">sources of information.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75</w:t>
      </w:r>
      <w:r>
        <w:t xml:space="preserve"> </w:t>
      </w:r>
      <w:r>
        <w:t xml:space="preserve">EN</w:t>
      </w:r>
      <w:r>
        <w:t xml:space="preserve"> </w:t>
      </w:r>
      <w:r>
        <w:t xml:space="preserve">Figure 6: The outsourcing and equipment costs according to the respondents</w:t>
      </w:r>
    </w:p>
    <w:p>
      <w:pPr>
        <w:pStyle w:val="BodyText"/>
      </w:pPr>
      <w:r>
        <w:t xml:space="preserve">The respondents were also asked to assess the total costs of process in relation to the total expected</w:t>
      </w:r>
      <w:r>
        <w:t xml:space="preserve"> </w:t>
      </w:r>
      <w:r>
        <w:t xml:space="preserve">revenues. In connection with the EU type examination, 16 companies claimed that they would lose</w:t>
      </w:r>
      <w:r>
        <w:t xml:space="preserve"> </w:t>
      </w:r>
      <w:r>
        <w:t xml:space="preserve">anywhere between 11-50% of their expected revenues, with an additional 8 saying they would lose</w:t>
      </w:r>
      <w:r>
        <w:t xml:space="preserve"> </w:t>
      </w:r>
      <w:r>
        <w:t xml:space="preserve">between 51-100% and another 8 claiming that it would seriously question the sustainability of their</w:t>
      </w:r>
      <w:r>
        <w:t xml:space="preserve"> </w:t>
      </w:r>
      <w:r>
        <w:t xml:space="preserve">respective companies. The interventions connected to the websites are considered to cause the least</w:t>
      </w:r>
      <w:r>
        <w:t xml:space="preserve"> </w:t>
      </w:r>
      <w:r>
        <w:t xml:space="preserve">loss from the expected revenues.</w:t>
      </w:r>
      <w:r>
        <w:br/>
      </w:r>
      <w:r>
        <w:t xml:space="preserve"> Impacts of potential policy measures</w:t>
      </w:r>
      <w:r>
        <w:br/>
      </w:r>
      <w:r>
        <w:t xml:space="preserve">The first policy measure envisions to introduce new limit values for toys or lowering the limit values</w:t>
      </w:r>
      <w:r>
        <w:t xml:space="preserve"> </w:t>
      </w:r>
      <w:r>
        <w:t xml:space="preserve">following the newest scientific evidence. The responding SMEs were asked to assess this policy</w:t>
      </w:r>
      <w:r>
        <w:t xml:space="preserve"> </w:t>
      </w:r>
      <w:r>
        <w:t xml:space="preserve">measure’s impact on their competitiveness. The responses show that almost half (41,8%) claimed</w:t>
      </w:r>
      <w:r>
        <w:t xml:space="preserve"> </w:t>
      </w:r>
      <w:r>
        <w:t xml:space="preserve">that the competitiveness will decrease as a result and only a mere 8% expected that as a result of this</w:t>
      </w:r>
      <w:r>
        <w:t xml:space="preserve"> </w:t>
      </w:r>
      <w:r>
        <w:t xml:space="preserve">measure the competitiveness of their company will increase to some degree.</w:t>
      </w:r>
      <w:r>
        <w:br/>
      </w:r>
      <w:r>
        <w:t xml:space="preserve">The second policy measure is the ban on specific substances. Based on the newest scientific evidence</w:t>
      </w:r>
      <w:r>
        <w:t xml:space="preserve"> </w:t>
      </w:r>
      <w:r>
        <w:t xml:space="preserve">on chemical risks, some substances might be banned from toys altogether or only allowed using</w:t>
      </w:r>
      <w:r>
        <w:t xml:space="preserve"> </w:t>
      </w:r>
      <w:r>
        <w:t xml:space="preserve">derogations. The ban on specific substances would have an adverse effect on their competitiveness.</w:t>
      </w:r>
      <w:r>
        <w:t xml:space="preserve"> </w:t>
      </w:r>
      <w:r>
        <w:t xml:space="preserve">44,8% considers that their competitiveness would deteriorate. The number of those who are unsure</w:t>
      </w:r>
      <w:r>
        <w:t xml:space="preserve"> </w:t>
      </w:r>
      <w:r>
        <w:t xml:space="preserve">or do not want to share their opinion was relatively high, however, the ratio of those who consider</w:t>
      </w:r>
      <w:r>
        <w:t xml:space="preserve"> </w:t>
      </w:r>
      <w:r>
        <w:t xml:space="preserve">that this measure will help their competitiveness is quite low (7,5 and 4% respectively). Each</w:t>
      </w:r>
      <w:r>
        <w:t xml:space="preserve"> </w:t>
      </w:r>
      <w:r>
        <w:t xml:space="preserve">tightening of chemical requirements causes a significant increase in costs (tests, searching for</w:t>
      </w:r>
      <w:r>
        <w:t xml:space="preserve"> </w:t>
      </w:r>
      <w:r>
        <w:t xml:space="preserve">materials, documentation etc.) and this is why they feel that they are losing competitiveness with</w:t>
      </w:r>
      <w:r>
        <w:t xml:space="preserve"> </w:t>
      </w:r>
      <w:r>
        <w:t xml:space="preserve">companies that do not comply with these requirements, if enforcement of the TSD is not improved.</w:t>
      </w:r>
      <w:r>
        <w:br/>
      </w:r>
      <w:r>
        <w:t xml:space="preserve">Another proposed policy option is to extend third-party conformity assessment for certain toys. Only</w:t>
      </w:r>
      <w:r>
        <w:t xml:space="preserve"> </w:t>
      </w:r>
      <w:r>
        <w:t xml:space="preserve">7,5% of respondents considers that their competitiveness compared to imports outside of the EU will</w:t>
      </w:r>
      <w:r>
        <w:t xml:space="preserve"> </w:t>
      </w:r>
      <w:r>
        <w:t xml:space="preserve">increase and 5,5% thinks similarly optimistically in connection with large manufacturers, in</w:t>
      </w:r>
      <w:r>
        <w:t xml:space="preserve"> </w:t>
      </w:r>
      <w:r>
        <w:t xml:space="preserve">particular if nothing is improved in relation to the enforcement of the Directive.</w:t>
      </w:r>
      <w:r>
        <w:br/>
      </w:r>
      <w:r>
        <w:t xml:space="preserve">0 EUR</w:t>
      </w:r>
      <w:r>
        <w:t xml:space="preserve"> </w:t>
      </w:r>
      <w:r>
        <w:t xml:space="preserve">200 000 EUR</w:t>
      </w:r>
      <w:r>
        <w:t xml:space="preserve"> </w:t>
      </w:r>
      <w:r>
        <w:t xml:space="preserve">400 000 EUR</w:t>
      </w:r>
      <w:r>
        <w:t xml:space="preserve"> </w:t>
      </w:r>
      <w:r>
        <w:t xml:space="preserve">600 000 EUR</w:t>
      </w:r>
      <w:r>
        <w:t xml:space="preserve"> </w:t>
      </w:r>
      <w:r>
        <w:t xml:space="preserve">800 000 EUR</w:t>
      </w:r>
      <w:r>
        <w:t xml:space="preserve"> </w:t>
      </w:r>
      <w:r>
        <w:t xml:space="preserve">1000 000 EUR</w:t>
      </w:r>
      <w:r>
        <w:t xml:space="preserve"> </w:t>
      </w:r>
      <w:r>
        <w:t xml:space="preserve">1200 000 EUR</w:t>
      </w:r>
      <w:r>
        <w:t xml:space="preserve"> </w:t>
      </w:r>
      <w:r>
        <w:t xml:space="preserve">Costs of an EU</w:t>
      </w:r>
      <w:r>
        <w:t xml:space="preserve"> </w:t>
      </w:r>
      <w:r>
        <w:t xml:space="preserve">type examination</w:t>
      </w:r>
      <w:r>
        <w:t xml:space="preserve"> </w:t>
      </w:r>
      <w:r>
        <w:t xml:space="preserve">before</w:t>
      </w:r>
      <w:r>
        <w:t xml:space="preserve"> </w:t>
      </w:r>
      <w:r>
        <w:t xml:space="preserve">introducing a new</w:t>
      </w:r>
      <w:r>
        <w:t xml:space="preserve"> </w:t>
      </w:r>
      <w:r>
        <w:t xml:space="preserve">product</w:t>
      </w:r>
      <w:r>
        <w:t xml:space="preserve"> </w:t>
      </w:r>
      <w:r>
        <w:t xml:space="preserve">Costs of testing</w:t>
      </w:r>
      <w:r>
        <w:t xml:space="preserve"> </w:t>
      </w:r>
      <w:r>
        <w:t xml:space="preserve">the products in</w:t>
      </w:r>
      <w:r>
        <w:t xml:space="preserve"> </w:t>
      </w:r>
      <w:r>
        <w:t xml:space="preserve">general</w:t>
      </w:r>
      <w:r>
        <w:t xml:space="preserve"> </w:t>
      </w:r>
      <w:r>
        <w:t xml:space="preserve">Costs of replacing</w:t>
      </w:r>
      <w:r>
        <w:t xml:space="preserve"> </w:t>
      </w:r>
      <w:r>
        <w:t xml:space="preserve">/ redesigning a</w:t>
      </w:r>
      <w:r>
        <w:t xml:space="preserve"> </w:t>
      </w:r>
      <w:r>
        <w:t xml:space="preserve">new product if</w:t>
      </w:r>
      <w:r>
        <w:t xml:space="preserve"> </w:t>
      </w:r>
      <w:r>
        <w:t xml:space="preserve">the product is</w:t>
      </w:r>
      <w:r>
        <w:t xml:space="preserve"> </w:t>
      </w:r>
      <w:r>
        <w:t xml:space="preserve">found to be not</w:t>
      </w:r>
      <w:r>
        <w:t xml:space="preserve"> </w:t>
      </w:r>
      <w:r>
        <w:t xml:space="preserve">compliant</w:t>
      </w:r>
      <w:r>
        <w:t xml:space="preserve"> </w:t>
      </w:r>
      <w:r>
        <w:t xml:space="preserve">Costs of adapting</w:t>
      </w:r>
      <w:r>
        <w:t xml:space="preserve"> </w:t>
      </w:r>
      <w:r>
        <w:t xml:space="preserve">the labels</w:t>
      </w:r>
      <w:r>
        <w:t xml:space="preserve"> </w:t>
      </w:r>
      <w:r>
        <w:t xml:space="preserve">indicating the</w:t>
      </w:r>
      <w:r>
        <w:t xml:space="preserve"> </w:t>
      </w:r>
      <w:r>
        <w:t xml:space="preserve">chemical content</w:t>
      </w:r>
      <w:r>
        <w:t xml:space="preserve"> </w:t>
      </w:r>
      <w:r>
        <w:t xml:space="preserve">of a product</w:t>
      </w:r>
      <w:r>
        <w:t xml:space="preserve"> </w:t>
      </w:r>
      <w:r>
        <w:t xml:space="preserve">Costs of making</w:t>
      </w:r>
      <w:r>
        <w:t xml:space="preserve"> </w:t>
      </w:r>
      <w:r>
        <w:t xml:space="preserve">available the</w:t>
      </w:r>
      <w:r>
        <w:t xml:space="preserve"> </w:t>
      </w:r>
      <w:r>
        <w:t xml:space="preserve">declaration of</w:t>
      </w:r>
      <w:r>
        <w:t xml:space="preserve"> </w:t>
      </w:r>
      <w:r>
        <w:t xml:space="preserve">conformity on the</w:t>
      </w:r>
      <w:r>
        <w:t xml:space="preserve"> </w:t>
      </w:r>
      <w:r>
        <w:t xml:space="preserve">website</w:t>
      </w:r>
      <w:r>
        <w:t xml:space="preserve"> </w:t>
      </w:r>
      <w:r>
        <w:t xml:space="preserve">Costs of</w:t>
      </w:r>
      <w:r>
        <w:t xml:space="preserve"> </w:t>
      </w:r>
      <w:r>
        <w:t xml:space="preserve">registering the</w:t>
      </w:r>
      <w:r>
        <w:t xml:space="preserve"> </w:t>
      </w:r>
      <w:r>
        <w:t xml:space="preserve">link to the</w:t>
      </w:r>
      <w:r>
        <w:t xml:space="preserve"> </w:t>
      </w:r>
      <w:r>
        <w:t xml:space="preserve">website in a</w:t>
      </w:r>
      <w:r>
        <w:t xml:space="preserve"> </w:t>
      </w:r>
      <w:r>
        <w:t xml:space="preserve">database</w:t>
      </w:r>
      <w:r>
        <w:t xml:space="preserve"> </w:t>
      </w:r>
      <w:r>
        <w:t xml:space="preserve">Outsourcing</w:t>
      </w:r>
      <w:r>
        <w:t xml:space="preserve"> </w:t>
      </w:r>
      <w:r>
        <w:t xml:space="preserve">Equipment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76</w:t>
      </w:r>
      <w:r>
        <w:t xml:space="preserve"> </w:t>
      </w:r>
      <w:r>
        <w:t xml:space="preserve">EN</w:t>
      </w:r>
      <w:r>
        <w:t xml:space="preserve"> </w:t>
      </w:r>
      <w:r>
        <w:t xml:space="preserve">The last proposed policy option is the introduction of a digital product passport containing the EU</w:t>
      </w:r>
      <w:r>
        <w:t xml:space="preserve"> </w:t>
      </w:r>
      <w:r>
        <w:t xml:space="preserve">declaration of conformity which can be presented at customs and used by market surveillance</w:t>
      </w:r>
      <w:r>
        <w:t xml:space="preserve"> </w:t>
      </w:r>
      <w:r>
        <w:t xml:space="preserve">authorities could be based on the Digital Product Passport under the ESPR. This option is the most</w:t>
      </w:r>
      <w:r>
        <w:t xml:space="preserve"> </w:t>
      </w:r>
      <w:r>
        <w:t xml:space="preserve">supported, as 10% and 5% of the respondents think that their competitiveness would increase thanks</w:t>
      </w:r>
      <w:r>
        <w:t xml:space="preserve"> </w:t>
      </w:r>
      <w:r>
        <w:t xml:space="preserve">to this. Nonetheless, SME companies fear they will be less competitive compared to larger</w:t>
      </w:r>
      <w:r>
        <w:t xml:space="preserve"> </w:t>
      </w:r>
      <w:r>
        <w:t xml:space="preserve">companies, since the administrative and economic burdens will be bigger for them.</w:t>
      </w:r>
      <w:r>
        <w:br/>
      </w:r>
      <w:r>
        <w:t xml:space="preserve">6.</w:t>
      </w:r>
      <w:r>
        <w:t xml:space="preserve"> </w:t>
      </w:r>
      <w:r>
        <w:t xml:space="preserve">INTERVIEWS</w:t>
      </w:r>
      <w:r>
        <w:t xml:space="preserve"> </w:t>
      </w:r>
      <w:r>
        <w:t xml:space="preserve">All in all 41 interviews were carried out with authorities, notified bodies, companies and business</w:t>
      </w:r>
      <w:r>
        <w:t xml:space="preserve"> </w:t>
      </w:r>
      <w:r>
        <w:t xml:space="preserve">associations as well as consumer associations.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77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The preferred policy package would lead to policy objectives related to strengthening the protection</w:t>
      </w:r>
      <w:r>
        <w:t xml:space="preserve"> </w:t>
      </w:r>
      <w:r>
        <w:t xml:space="preserve">of children from harmful substances and ensuring that the toy safety rules are flexible to adapt to</w:t>
      </w:r>
      <w:r>
        <w:t xml:space="preserve"> </w:t>
      </w:r>
      <w:r>
        <w:t xml:space="preserve">updated scientific knowledge. Furthermore, it would achieve a significant reduction of non-compliant</w:t>
      </w:r>
      <w:r>
        <w:t xml:space="preserve"> </w:t>
      </w:r>
      <w:r>
        <w:t xml:space="preserve">toys in the EU and facilitate enforcement of the rules. The TSD’s legislative revision would</w:t>
      </w:r>
      <w:r>
        <w:t xml:space="preserve"> </w:t>
      </w:r>
      <w:r>
        <w:t xml:space="preserve">contribute towards the achievement of EU policy objectives in strategic areas for the future of the EU</w:t>
      </w:r>
      <w:r>
        <w:t xml:space="preserve"> </w:t>
      </w:r>
      <w:r>
        <w:t xml:space="preserve">economy such as green and digital economy.</w:t>
      </w:r>
      <w:r>
        <w:t xml:space="preserve"> </w:t>
      </w:r>
      <w:r>
        <w:t xml:space="preserve">Impacts on businesses</w:t>
      </w:r>
      <w:r>
        <w:t xml:space="preserve"> </w:t>
      </w:r>
      <w:r>
        <w:t xml:space="preserve">The preferred PO will lead to adaptation costs of product redesign and product adaptations to</w:t>
      </w:r>
      <w:r>
        <w:t xml:space="preserve"> </w:t>
      </w:r>
      <w:r>
        <w:t xml:space="preserve">substitute the harmful chemicals which will be subject to generic bans. There will be product</w:t>
      </w:r>
      <w:r>
        <w:t xml:space="preserve"> </w:t>
      </w:r>
      <w:r>
        <w:t xml:space="preserve">withdrawals of products in which the chemical substances cannot be substituted but this should be</w:t>
      </w:r>
      <w:r>
        <w:t xml:space="preserve"> </w:t>
      </w:r>
      <w:r>
        <w:t xml:space="preserve">mitigated to a certain extent by a shift in demand to other products that will remain on the market.</w:t>
      </w:r>
      <w:r>
        <w:t xml:space="preserve"> </w:t>
      </w:r>
      <w:r>
        <w:t xml:space="preserve">With the preferred PO, businesses will be required to include a Digital Product Passport on their</w:t>
      </w:r>
      <w:r>
        <w:t xml:space="preserve"> </w:t>
      </w:r>
      <w:r>
        <w:t xml:space="preserve">products containing the EU declaration of conformity. The reference of this Digital Product Passport</w:t>
      </w:r>
      <w:r>
        <w:t xml:space="preserve"> </w:t>
      </w:r>
      <w:r>
        <w:t xml:space="preserve">will be included in a central registry and indicated at the time of import into the Union. While this</w:t>
      </w:r>
      <w:r>
        <w:t xml:space="preserve"> </w:t>
      </w:r>
      <w:r>
        <w:t xml:space="preserve">will lead to costs for businesses, it will also lead to benefits in streamlining the provision of</w:t>
      </w:r>
      <w:r>
        <w:t xml:space="preserve"> </w:t>
      </w:r>
      <w:r>
        <w:t xml:space="preserve">compliance information, updating such information and replying to requests from authorities.</w:t>
      </w:r>
      <w:r>
        <w:t xml:space="preserve"> </w:t>
      </w:r>
      <w:r>
        <w:t xml:space="preserve">Furthermore, it will yield significant benefits in terms of competitiveness of reputable companies</w:t>
      </w:r>
      <w:r>
        <w:t xml:space="preserve"> </w:t>
      </w:r>
      <w:r>
        <w:t xml:space="preserve">which now face unfair competition by rogue traders.</w:t>
      </w:r>
      <w:r>
        <w:br/>
      </w:r>
      <w:r>
        <w:t xml:space="preserve">Impacts on consumers</w:t>
      </w:r>
      <w:r>
        <w:t xml:space="preserve"> </w:t>
      </w:r>
      <w:r>
        <w:t xml:space="preserve">The preferred PO will lead to significant health benefits in terms of strengthen protection of children</w:t>
      </w:r>
      <w:r>
        <w:t xml:space="preserve"> </w:t>
      </w:r>
      <w:r>
        <w:t xml:space="preserve">from the most harmful substances. These are substances such as CMRs, endocrine disruptors or</w:t>
      </w:r>
      <w:r>
        <w:t xml:space="preserve"> </w:t>
      </w:r>
      <w:r>
        <w:t xml:space="preserve">substances which are toxic for the immune, neurological and respiratory systems. These substances</w:t>
      </w:r>
      <w:r>
        <w:t xml:space="preserve"> </w:t>
      </w:r>
      <w:r>
        <w:t xml:space="preserve">are particularly harmful for children who are a vulnerable population group, and can produce adverse</w:t>
      </w:r>
      <w:r>
        <w:t xml:space="preserve"> </w:t>
      </w:r>
      <w:r>
        <w:t xml:space="preserve">effects sometimes at very low doses. In addition, a significant reduction of non-compliant toys on the</w:t>
      </w:r>
      <w:r>
        <w:t xml:space="preserve"> </w:t>
      </w:r>
      <w:r>
        <w:t xml:space="preserve">Union market can be expected from relying on the Digital Product Passport, thus reducing also the</w:t>
      </w:r>
      <w:r>
        <w:t xml:space="preserve"> </w:t>
      </w:r>
      <w:r>
        <w:t xml:space="preserve">possible risks that children face from non-compliant toys.</w:t>
      </w:r>
      <w:r>
        <w:t xml:space="preserve"> </w:t>
      </w:r>
      <w:r>
        <w:t xml:space="preserve">Impacts on public authorities</w:t>
      </w:r>
      <w:r>
        <w:t xml:space="preserve"> </w:t>
      </w:r>
      <w:r>
        <w:t xml:space="preserve">The preferred PO will lead to significant efficiency gains for public authorities in tackling non-</w:t>
      </w:r>
      <w:r>
        <w:t xml:space="preserve"> </w:t>
      </w:r>
      <w:r>
        <w:t xml:space="preserve">compliant toys in the Union. Non-compliant toys come particularly from non-EU countries. Customs</w:t>
      </w:r>
      <w:r>
        <w:t xml:space="preserve"> </w:t>
      </w:r>
      <w:r>
        <w:t xml:space="preserve">controls of the existence of the Digital Product Passport can be rendered automatic on all toys coming</w:t>
      </w:r>
      <w:r>
        <w:t xml:space="preserve"> </w:t>
      </w:r>
      <w:r>
        <w:t xml:space="preserve">into the Union market, rather than risk-based, which will stop a significant number of non-compliant</w:t>
      </w:r>
      <w:r>
        <w:t xml:space="preserve"> </w:t>
      </w:r>
      <w:r>
        <w:t xml:space="preserve">toys which do not have this Digital Product Passport from being placed on the Union market. In</w:t>
      </w:r>
      <w:r>
        <w:t xml:space="preserve"> </w:t>
      </w:r>
      <w:r>
        <w:t xml:space="preserve">addition, checks by market surveillance authorities will be rendered more efficient by allowing</w:t>
      </w:r>
      <w:r>
        <w:t xml:space="preserve"> </w:t>
      </w:r>
      <w:r>
        <w:t xml:space="preserve">immediate access to the compliance information of the toy via a machine readable code on the toy.</w:t>
      </w:r>
      <w:r>
        <w:t xml:space="preserve"> </w:t>
      </w:r>
      <w:r>
        <w:t xml:space="preserve">This will allow for an increase in the number of inspections between 10 to 20%.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78</w:t>
      </w:r>
      <w:r>
        <w:t xml:space="preserve"> </w:t>
      </w:r>
      <w:r>
        <w:t xml:space="preserve">EN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</w:t>
      </w:r>
    </w:p>
    <w:p>
      <w:pPr>
        <w:pStyle w:val="BodyText"/>
      </w:pP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Improved well-being and</w:t>
      </w:r>
      <w:r>
        <w:t xml:space="preserve"> </w:t>
      </w:r>
      <w:r>
        <w:t xml:space="preserve">health</w:t>
      </w:r>
      <w:r>
        <w:t xml:space="preserve"> </w:t>
      </w:r>
      <w:r>
        <w:t xml:space="preserve">Total amount not quantifiable with precision but</w:t>
      </w:r>
      <w:r>
        <w:t xml:space="preserve"> </w:t>
      </w:r>
      <w:r>
        <w:t xml:space="preserve">generated from the improved protection from</w:t>
      </w:r>
      <w:r>
        <w:t xml:space="preserve"> </w:t>
      </w:r>
      <w:r>
        <w:t xml:space="preserve">harmful chemicals and the reduction of non-</w:t>
      </w:r>
      <w:r>
        <w:t xml:space="preserve"> </w:t>
      </w:r>
      <w:r>
        <w:t xml:space="preserve">compliant toys on the market.</w:t>
      </w:r>
      <w:r>
        <w:br/>
      </w:r>
      <w:r>
        <w:t xml:space="preserve">Estimates €240 million to €1.2 billion per year</w:t>
      </w:r>
      <w:r>
        <w:t xml:space="preserve"> </w:t>
      </w:r>
      <w:r>
        <w:t xml:space="preserve">materialising within 30 years at least</w:t>
      </w:r>
      <w:r>
        <w:t xml:space="preserve"> </w:t>
      </w:r>
      <w:r>
        <w:t xml:space="preserve">Consumers and in particular children</w:t>
      </w:r>
      <w:r>
        <w:t xml:space="preserve"> </w:t>
      </w:r>
      <w:r>
        <w:t xml:space="preserve">Efficiency gains in market</w:t>
      </w:r>
      <w:r>
        <w:t xml:space="preserve"> </w:t>
      </w:r>
      <w:r>
        <w:t xml:space="preserve">surveillance and customs</w:t>
      </w:r>
      <w:r>
        <w:t xml:space="preserve"> </w:t>
      </w:r>
      <w:r>
        <w:t xml:space="preserve">controls</w:t>
      </w:r>
      <w:r>
        <w:t xml:space="preserve"> </w:t>
      </w:r>
      <w:r>
        <w:t xml:space="preserve">Facilitation of checks for market surveillance</w:t>
      </w:r>
      <w:r>
        <w:t xml:space="preserve"> </w:t>
      </w:r>
      <w:r>
        <w:t xml:space="preserve">authorities leading to lower costs per inspection,</w:t>
      </w:r>
      <w:r>
        <w:t xml:space="preserve"> </w:t>
      </w:r>
      <w:r>
        <w:t xml:space="preserve">generated by the DPP, as the information will be</w:t>
      </w:r>
      <w:r>
        <w:t xml:space="preserve"> </w:t>
      </w:r>
      <w:r>
        <w:t xml:space="preserve">readily available. Automated customs controls</w:t>
      </w:r>
      <w:r>
        <w:t xml:space="preserve"> </w:t>
      </w:r>
      <w:r>
        <w:t xml:space="preserve">will ensure more efficient checks at the border of</w:t>
      </w:r>
      <w:r>
        <w:t xml:space="preserve"> </w:t>
      </w:r>
      <w:r>
        <w:t xml:space="preserve">toys.</w:t>
      </w:r>
      <w:r>
        <w:t xml:space="preserve"> </w:t>
      </w:r>
      <w:r>
        <w:t xml:space="preserve">Estimated increase of inspections by a maximum</w:t>
      </w:r>
      <w:r>
        <w:t xml:space="preserve"> </w:t>
      </w:r>
      <w:r>
        <w:t xml:space="preserve">of 2500- 5000 per year.</w:t>
      </w:r>
      <w:r>
        <w:t xml:space="preserve"> </w:t>
      </w:r>
      <w:r>
        <w:t xml:space="preserve">Market surveillance authorities</w:t>
      </w:r>
      <w:r>
        <w:t xml:space="preserve"> </w:t>
      </w:r>
      <w:r>
        <w:t xml:space="preserve">Customs authorities</w:t>
      </w:r>
      <w:r>
        <w:t xml:space="preserve"> </w:t>
      </w:r>
      <w:r>
        <w:t xml:space="preserve">Efficiency</w:t>
      </w:r>
      <w:r>
        <w:t xml:space="preserve"> </w:t>
      </w:r>
      <w:r>
        <w:t xml:space="preserve">gains</w:t>
      </w:r>
      <w:r>
        <w:t xml:space="preserve"> </w:t>
      </w:r>
      <w:r>
        <w:t xml:space="preserve">in</w:t>
      </w:r>
      <w:r>
        <w:t xml:space="preserve"> </w:t>
      </w:r>
      <w:r>
        <w:t xml:space="preserve">providing</w:t>
      </w:r>
      <w:r>
        <w:t xml:space="preserve"> </w:t>
      </w:r>
      <w:r>
        <w:t xml:space="preserve">compliance</w:t>
      </w:r>
      <w:r>
        <w:t xml:space="preserve"> </w:t>
      </w:r>
      <w:r>
        <w:t xml:space="preserve">information</w:t>
      </w:r>
      <w:r>
        <w:t xml:space="preserve"> </w:t>
      </w:r>
      <w:r>
        <w:t xml:space="preserve">Savings generated from digitalisation of the</w:t>
      </w:r>
      <w:r>
        <w:t xml:space="preserve"> </w:t>
      </w:r>
      <w:r>
        <w:t xml:space="preserve">compliance information and the possibility to</w:t>
      </w:r>
      <w:r>
        <w:t xml:space="preserve"> </w:t>
      </w:r>
      <w:r>
        <w:t xml:space="preserve">quickly update it, which could range from € 2.62</w:t>
      </w:r>
      <w:r>
        <w:t xml:space="preserve"> </w:t>
      </w:r>
      <w:r>
        <w:t xml:space="preserve">million to € 3.93 (€3.275 on average) million per</w:t>
      </w:r>
      <w:r>
        <w:t xml:space="preserve"> </w:t>
      </w:r>
      <w:r>
        <w:t xml:space="preserve">year.</w:t>
      </w:r>
      <w:r>
        <w:br/>
      </w:r>
      <w:r>
        <w:t xml:space="preserve">There will also be savings from dealing with</w:t>
      </w:r>
      <w:r>
        <w:t xml:space="preserve"> </w:t>
      </w:r>
      <w:r>
        <w:t xml:space="preserve">inspections on products by market surveillance</w:t>
      </w:r>
      <w:r>
        <w:t xml:space="preserve"> </w:t>
      </w:r>
      <w:r>
        <w:t xml:space="preserve">authorities; estimates range from € 13 million to</w:t>
      </w:r>
      <w:r>
        <w:t xml:space="preserve"> </w:t>
      </w:r>
      <w:r>
        <w:t xml:space="preserve">€ 20 million</w:t>
      </w:r>
      <w:r>
        <w:t xml:space="preserve"> </w:t>
      </w:r>
      <w:r>
        <w:t xml:space="preserve">Businesses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Single Market</w:t>
      </w:r>
      <w:r>
        <w:t xml:space="preserve"> </w:t>
      </w:r>
      <w:r>
        <w:t xml:space="preserve">Total amount not quantifiable but generated by</w:t>
      </w:r>
      <w:r>
        <w:t xml:space="preserve"> </w:t>
      </w:r>
      <w:r>
        <w:t xml:space="preserve">the introduction of the DPP with compliance</w:t>
      </w:r>
      <w:r>
        <w:t xml:space="preserve"> </w:t>
      </w:r>
      <w:r>
        <w:t xml:space="preserve">information and its verification at customs.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Administrative cost savings related to the ‘one in, one out’ approach</w:t>
      </w:r>
      <w:r>
        <w:t xml:space="preserve"> </w:t>
      </w:r>
      <w:r>
        <w:t xml:space="preserve">direct</w:t>
      </w:r>
      <w:r>
        <w:t xml:space="preserve"> </w:t>
      </w:r>
      <w:r>
        <w:t xml:space="preserve">Savings in producing information digitally only,</w:t>
      </w:r>
      <w:r>
        <w:t xml:space="preserve"> </w:t>
      </w:r>
      <w:r>
        <w:t xml:space="preserve">which could range from € 2.62 million to € 3.93</w:t>
      </w:r>
      <w:r>
        <w:t xml:space="preserve"> </w:t>
      </w:r>
      <w:r>
        <w:t xml:space="preserve">million (€3.275 million on average) per year.</w:t>
      </w:r>
    </w:p>
    <w:p>
      <w:pPr>
        <w:pStyle w:val="BodyText"/>
      </w:pPr>
      <w:r>
        <w:t xml:space="preserve">Businesses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79</w:t>
      </w:r>
      <w:r>
        <w:t xml:space="preserve"> </w:t>
      </w:r>
      <w:r>
        <w:t xml:space="preserve">EN</w:t>
      </w:r>
      <w:r>
        <w:t xml:space="preserve"> </w:t>
      </w:r>
      <w:r>
        <w:t xml:space="preserve">II. Overview of costs – Preferred option</w:t>
      </w:r>
    </w:p>
    <w:p>
      <w:pPr>
        <w:pStyle w:val="BodyText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Action (a)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€23.5m</w:t>
      </w:r>
      <w:r>
        <w:t xml:space="preserve"> </w:t>
      </w:r>
      <w:r>
        <w:t xml:space="preserve">to</w:t>
      </w:r>
      <w:r>
        <w:t xml:space="preserve"> </w:t>
      </w:r>
      <w:r>
        <w:t xml:space="preserve">€396.66m</w:t>
      </w:r>
      <w:r>
        <w:t xml:space="preserve"> </w:t>
      </w:r>
      <w:r>
        <w:t xml:space="preserve">in</w:t>
      </w:r>
      <w:r>
        <w:t xml:space="preserve"> </w:t>
      </w:r>
      <w:r>
        <w:t xml:space="preserve">product</w:t>
      </w:r>
      <w:r>
        <w:t xml:space="preserve"> </w:t>
      </w:r>
      <w:r>
        <w:t xml:space="preserve">adaptations</w:t>
      </w:r>
      <w:r>
        <w:t xml:space="preserve"> </w:t>
      </w:r>
      <w:r>
        <w:t xml:space="preserve">€7.31m</w:t>
      </w:r>
      <w:r>
        <w:t xml:space="preserve"> </w:t>
      </w:r>
      <w:r>
        <w:t xml:space="preserve">to</w:t>
      </w:r>
      <w:r>
        <w:t xml:space="preserve"> </w:t>
      </w:r>
      <w:r>
        <w:t xml:space="preserve">€11.70m</w:t>
      </w:r>
      <w:r>
        <w:t xml:space="preserve"> </w:t>
      </w:r>
      <w:r>
        <w:t xml:space="preserve">per</w:t>
      </w:r>
      <w:r>
        <w:t xml:space="preserve"> </w:t>
      </w:r>
      <w:r>
        <w:t xml:space="preserve">year</w:t>
      </w:r>
      <w:r>
        <w:t xml:space="preserve"> </w:t>
      </w:r>
      <w:r>
        <w:t xml:space="preserve">in</w:t>
      </w:r>
      <w:r>
        <w:t xml:space="preserve"> </w:t>
      </w:r>
      <w:r>
        <w:t xml:space="preserve">increased</w:t>
      </w:r>
      <w:r>
        <w:t xml:space="preserve"> </w:t>
      </w:r>
      <w:r>
        <w:t xml:space="preserve">testing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€18m on setting</w:t>
      </w:r>
      <w:r>
        <w:t xml:space="preserve"> </w:t>
      </w:r>
      <w:r>
        <w:t xml:space="preserve">up the DPP</w:t>
      </w:r>
      <w:r>
        <w:t xml:space="preserve"> </w:t>
      </w:r>
      <w:r>
        <w:t xml:space="preserve">€100.000</w:t>
      </w:r>
      <w:r>
        <w:t xml:space="preserve"> </w:t>
      </w:r>
      <w:r>
        <w:t xml:space="preserve">to</w:t>
      </w:r>
      <w:r>
        <w:t xml:space="preserve"> </w:t>
      </w:r>
      <w:r>
        <w:t xml:space="preserve">€300.000</w:t>
      </w:r>
      <w:r>
        <w:t xml:space="preserve"> </w:t>
      </w:r>
      <w:r>
        <w:t xml:space="preserve">yearly</w:t>
      </w:r>
      <w:r>
        <w:t xml:space="preserve"> </w:t>
      </w:r>
      <w:r>
        <w:t xml:space="preserve">if</w:t>
      </w:r>
      <w:r>
        <w:t xml:space="preserve"> </w:t>
      </w:r>
      <w:r>
        <w:t xml:space="preserve">derogations are</w:t>
      </w:r>
      <w:r>
        <w:t xml:space="preserve"> </w:t>
      </w:r>
      <w:r>
        <w:t xml:space="preserve">requested</w:t>
      </w:r>
      <w:r>
        <w:t xml:space="preserve"> </w:t>
      </w:r>
      <w:r>
        <w:t xml:space="preserve">€10.5m yearly</w:t>
      </w:r>
      <w:r>
        <w:t xml:space="preserve"> </w:t>
      </w:r>
      <w:r>
        <w:t xml:space="preserve">costs for DPP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 costs 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€249.21m</w:t>
      </w:r>
      <w:r>
        <w:t xml:space="preserve"> </w:t>
      </w:r>
      <w:r>
        <w:t xml:space="preserve">to</w:t>
      </w:r>
      <w:r>
        <w:t xml:space="preserve"> </w:t>
      </w:r>
      <w:r>
        <w:t xml:space="preserve">€367.25m</w:t>
      </w:r>
      <w:r>
        <w:t xml:space="preserve"> </w:t>
      </w:r>
      <w:r>
        <w:t xml:space="preserve">worth of toys</w:t>
      </w:r>
      <w:r>
        <w:t xml:space="preserve"> </w:t>
      </w:r>
      <w:r>
        <w:t xml:space="preserve">that could no</w:t>
      </w:r>
      <w:r>
        <w:t xml:space="preserve"> </w:t>
      </w:r>
      <w:r>
        <w:t xml:space="preserve">longer be made</w:t>
      </w:r>
      <w:r>
        <w:t xml:space="preserve"> </w:t>
      </w:r>
      <w:r>
        <w:t xml:space="preserve">available on the</w:t>
      </w:r>
      <w:r>
        <w:t xml:space="preserve"> </w:t>
      </w:r>
      <w:r>
        <w:t xml:space="preserve">market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€</w:t>
      </w:r>
      <w:r>
        <w:t xml:space="preserve"> </w:t>
      </w:r>
      <w:r>
        <w:t xml:space="preserve">23.5m</w:t>
      </w:r>
      <w:r>
        <w:t xml:space="preserve"> </w:t>
      </w:r>
      <w:r>
        <w:t xml:space="preserve">to</w:t>
      </w:r>
      <w:r>
        <w:t xml:space="preserve"> </w:t>
      </w:r>
      <w:r>
        <w:t xml:space="preserve">€396.66m</w:t>
      </w:r>
      <w:r>
        <w:br/>
      </w:r>
      <w:r>
        <w:t xml:space="preserve">€7.31m</w:t>
      </w:r>
      <w:r>
        <w:t xml:space="preserve"> </w:t>
      </w:r>
      <w:r>
        <w:t xml:space="preserve">to</w:t>
      </w:r>
      <w:r>
        <w:t xml:space="preserve"> </w:t>
      </w:r>
      <w:r>
        <w:t xml:space="preserve">€11.70m</w:t>
      </w:r>
      <w:r>
        <w:t xml:space="preserve"> </w:t>
      </w:r>
      <w:r>
        <w:t xml:space="preserve">per</w:t>
      </w:r>
      <w:r>
        <w:t xml:space="preserve"> </w:t>
      </w:r>
      <w:r>
        <w:t xml:space="preserve">year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€249.21m</w:t>
      </w:r>
      <w:r>
        <w:t xml:space="preserve"> </w:t>
      </w:r>
      <w:r>
        <w:t xml:space="preserve">to</w:t>
      </w:r>
      <w:r>
        <w:t xml:space="preserve"> </w:t>
      </w:r>
      <w:r>
        <w:t xml:space="preserve">€367.25m</w:t>
      </w:r>
      <w:r>
        <w:t xml:space="preserve"> </w:t>
      </w:r>
      <w:r>
        <w:t xml:space="preserve">worth of toys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(for</w:t>
      </w:r>
      <w:r>
        <w:t xml:space="preserve"> </w:t>
      </w:r>
      <w:r>
        <w:t xml:space="preserve">offsetting)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€18m</w:t>
      </w:r>
    </w:p>
    <w:p>
      <w:pPr>
        <w:pStyle w:val="BodyText"/>
      </w:pPr>
      <w:r>
        <w:t xml:space="preserve">€10.5m</w:t>
      </w:r>
      <w:r>
        <w:t xml:space="preserve"> </w:t>
      </w:r>
      <w:r>
        <w:t xml:space="preserve">per</w:t>
      </w:r>
      <w:r>
        <w:t xml:space="preserve"> </w:t>
      </w:r>
      <w:r>
        <w:t xml:space="preserve">year</w:t>
      </w:r>
      <w:r>
        <w:t xml:space="preserve"> </w:t>
      </w:r>
      <w:r>
        <w:t xml:space="preserve">€100 000 to</w:t>
      </w:r>
      <w:r>
        <w:t xml:space="preserve"> </w:t>
      </w:r>
      <w:r>
        <w:t xml:space="preserve">€300 000 per</w:t>
      </w:r>
      <w:r>
        <w:t xml:space="preserve"> </w:t>
      </w:r>
      <w:r>
        <w:t xml:space="preserve">year</w:t>
      </w:r>
      <w:r>
        <w:t xml:space="preserve"> </w:t>
      </w:r>
      <w:r>
        <w:t xml:space="preserve">if</w:t>
      </w:r>
      <w:r>
        <w:t xml:space="preserve"> </w:t>
      </w:r>
      <w:r>
        <w:t xml:space="preserve">derogations are</w:t>
      </w:r>
      <w:r>
        <w:t xml:space="preserve"> </w:t>
      </w:r>
      <w:r>
        <w:t xml:space="preserve">requested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80</w:t>
      </w:r>
      <w:r>
        <w:t xml:space="preserve"> </w:t>
      </w:r>
      <w:r>
        <w:t xml:space="preserve">EN</w:t>
      </w:r>
      <w:r>
        <w:t xml:space="preserve"> </w:t>
      </w:r>
      <w:r>
        <w:t xml:space="preserve">3.</w:t>
      </w:r>
      <w:r>
        <w:t xml:space="preserve"> </w:t>
      </w:r>
      <w:r>
        <w:t xml:space="preserve">RELEVANT SUSTAINABLE DEVELOPMENT GOALS</w:t>
      </w:r>
      <w:r>
        <w:t xml:space="preserve"> </w:t>
      </w:r>
      <w:r>
        <w:t xml:space="preserve">III. 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#3 Good health</w:t>
      </w:r>
      <w:r>
        <w:t xml:space="preserve"> </w:t>
      </w:r>
      <w:r>
        <w:t xml:space="preserve">and well-being</w:t>
      </w:r>
      <w:r>
        <w:t xml:space="preserve"> </w:t>
      </w:r>
      <w:r>
        <w:t xml:space="preserve">Reduction of exposure of children in toys</w:t>
      </w:r>
      <w:r>
        <w:t xml:space="preserve"> </w:t>
      </w:r>
      <w:r>
        <w:t xml:space="preserve">to the most harmful substances as meeting</w:t>
      </w:r>
      <w:r>
        <w:t xml:space="preserve"> </w:t>
      </w:r>
      <w:r>
        <w:t xml:space="preserve">one of the relevant hazard classes under</w:t>
      </w:r>
      <w:r>
        <w:t xml:space="preserve"> </w:t>
      </w:r>
      <w:r>
        <w:t xml:space="preserve">the CLP Regulation should lead to a</w:t>
      </w:r>
      <w:r>
        <w:t xml:space="preserve"> </w:t>
      </w:r>
      <w:r>
        <w:t xml:space="preserve">reduction of the mortality rate attributed</w:t>
      </w:r>
      <w:r>
        <w:t xml:space="preserve"> </w:t>
      </w:r>
      <w:r>
        <w:t xml:space="preserve">to cardiovascular disease, cancer, diabetes</w:t>
      </w:r>
      <w:r>
        <w:t xml:space="preserve"> </w:t>
      </w:r>
      <w:r>
        <w:t xml:space="preserve">or chronic respiratory disease.</w:t>
      </w:r>
      <w:r>
        <w:t xml:space="preserve"> </w:t>
      </w:r>
      <w:r>
        <w:t xml:space="preserve">Specific Target 3.4 ‘By 2030, reduce</w:t>
      </w:r>
      <w:r>
        <w:t xml:space="preserve"> </w:t>
      </w:r>
      <w:r>
        <w:t xml:space="preserve">by one third premature mortality</w:t>
      </w:r>
      <w:r>
        <w:t xml:space="preserve"> </w:t>
      </w:r>
      <w:r>
        <w:t xml:space="preserve">from non- communicable diseases</w:t>
      </w:r>
      <w:r>
        <w:t xml:space="preserve"> </w:t>
      </w:r>
      <w:r>
        <w:t xml:space="preserve">through prevention and treatment and</w:t>
      </w:r>
      <w:r>
        <w:t xml:space="preserve"> </w:t>
      </w:r>
      <w:r>
        <w:t xml:space="preserve">promote mental health and well-</w:t>
      </w:r>
      <w:r>
        <w:t xml:space="preserve"> </w:t>
      </w:r>
      <w:r>
        <w:t xml:space="preserve">being’ and</w:t>
      </w:r>
      <w:r>
        <w:t xml:space="preserve"> </w:t>
      </w:r>
      <w:r>
        <w:t xml:space="preserve">Specific Target 3.9 ‘By 2030,</w:t>
      </w:r>
      <w:r>
        <w:t xml:space="preserve"> </w:t>
      </w:r>
      <w:r>
        <w:t xml:space="preserve">substantially reduce the number of</w:t>
      </w:r>
      <w:r>
        <w:t xml:space="preserve"> </w:t>
      </w:r>
      <w:r>
        <w:t xml:space="preserve">deaths and illnesses from hazardous</w:t>
      </w:r>
      <w:r>
        <w:t xml:space="preserve"> </w:t>
      </w:r>
      <w:r>
        <w:t xml:space="preserve">chemicals and air, water and soil</w:t>
      </w:r>
      <w:r>
        <w:t xml:space="preserve"> </w:t>
      </w:r>
      <w:r>
        <w:t xml:space="preserve">pollution and contamination’</w:t>
      </w:r>
    </w:p>
    <w:p>
      <w:pPr>
        <w:pStyle w:val="BodyText"/>
      </w:pPr>
      <w:r>
        <w:t xml:space="preserve">SDG #6 Clean water</w:t>
      </w:r>
      <w:r>
        <w:t xml:space="preserve"> </w:t>
      </w:r>
      <w:r>
        <w:t xml:space="preserve">and sanitation</w:t>
      </w:r>
      <w:r>
        <w:t xml:space="preserve"> </w:t>
      </w:r>
      <w:r>
        <w:t xml:space="preserve">The reduction in toys of the most harmful</w:t>
      </w:r>
      <w:r>
        <w:t xml:space="preserve"> </w:t>
      </w:r>
      <w:r>
        <w:t xml:space="preserve">substances will lead to less amounts of</w:t>
      </w:r>
      <w:r>
        <w:t xml:space="preserve"> </w:t>
      </w:r>
      <w:r>
        <w:t xml:space="preserve">these substances ending up as waste.</w:t>
      </w:r>
      <w:r>
        <w:br/>
      </w:r>
      <w:r>
        <w:t xml:space="preserve">Specific Target 6.3 ‘By 2030,</w:t>
      </w:r>
      <w:r>
        <w:t xml:space="preserve"> </w:t>
      </w:r>
      <w:r>
        <w:t xml:space="preserve">improve water quality by reducing</w:t>
      </w:r>
      <w:r>
        <w:t xml:space="preserve"> </w:t>
      </w:r>
      <w:r>
        <w:t xml:space="preserve">pollution, eliminating dumping and</w:t>
      </w:r>
      <w:r>
        <w:t xml:space="preserve"> </w:t>
      </w:r>
      <w:r>
        <w:t xml:space="preserve">minimising release of hazardous</w:t>
      </w:r>
      <w:r>
        <w:t xml:space="preserve"> </w:t>
      </w:r>
      <w:r>
        <w:t xml:space="preserve">chemicals and materials, halving the</w:t>
      </w:r>
      <w:r>
        <w:t xml:space="preserve"> </w:t>
      </w:r>
      <w:r>
        <w:t xml:space="preserve">proportion of untreated wastewater</w:t>
      </w:r>
      <w:r>
        <w:t xml:space="preserve"> </w:t>
      </w:r>
      <w:r>
        <w:t xml:space="preserve">and</w:t>
      </w:r>
      <w:r>
        <w:t xml:space="preserve"> </w:t>
      </w:r>
      <w:r>
        <w:t xml:space="preserve">substantially</w:t>
      </w:r>
      <w:r>
        <w:t xml:space="preserve"> </w:t>
      </w:r>
      <w:r>
        <w:t xml:space="preserve">increasing</w:t>
      </w:r>
      <w:r>
        <w:t xml:space="preserve"> </w:t>
      </w:r>
      <w:r>
        <w:t xml:space="preserve">recycling and safe reuse globally’</w:t>
      </w:r>
      <w:r>
        <w:t xml:space="preserve"> </w:t>
      </w:r>
      <w:r>
        <w:t xml:space="preserve">SDG</w:t>
      </w:r>
      <w:r>
        <w:t xml:space="preserve"> </w:t>
      </w:r>
      <w:r>
        <w:t xml:space="preserve">#9</w:t>
      </w:r>
      <w:r>
        <w:t xml:space="preserve"> </w:t>
      </w:r>
      <w:r>
        <w:t xml:space="preserve">Industry,</w:t>
      </w:r>
      <w:r>
        <w:t xml:space="preserve"> </w:t>
      </w:r>
      <w:r>
        <w:t xml:space="preserve">innovation</w:t>
      </w:r>
      <w:r>
        <w:t xml:space="preserve"> </w:t>
      </w:r>
      <w:r>
        <w:t xml:space="preserve">and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The introduction of a digital passport for</w:t>
      </w:r>
      <w:r>
        <w:t xml:space="preserve"> </w:t>
      </w:r>
      <w:r>
        <w:t xml:space="preserve">the compliance information will foster</w:t>
      </w:r>
      <w:r>
        <w:t xml:space="preserve"> </w:t>
      </w:r>
      <w:r>
        <w:t xml:space="preserve">digitalisation</w:t>
      </w:r>
      <w:r>
        <w:t xml:space="preserve"> </w:t>
      </w:r>
      <w:r>
        <w:t xml:space="preserve">of</w:t>
      </w:r>
      <w:r>
        <w:t xml:space="preserve"> </w:t>
      </w:r>
      <w:r>
        <w:t xml:space="preserve">companies</w:t>
      </w:r>
      <w:r>
        <w:t xml:space="preserve"> </w:t>
      </w:r>
      <w:r>
        <w:t xml:space="preserve">and</w:t>
      </w:r>
      <w:r>
        <w:t xml:space="preserve"> </w:t>
      </w:r>
      <w:r>
        <w:t xml:space="preserve">innovation. A more stringent regulation of</w:t>
      </w:r>
      <w:r>
        <w:t xml:space="preserve"> </w:t>
      </w:r>
      <w:r>
        <w:t xml:space="preserve">chemical</w:t>
      </w:r>
      <w:r>
        <w:t xml:space="preserve"> </w:t>
      </w:r>
      <w:r>
        <w:t xml:space="preserve">substances</w:t>
      </w:r>
      <w:r>
        <w:t xml:space="preserve"> </w:t>
      </w:r>
      <w:r>
        <w:t xml:space="preserve">will</w:t>
      </w:r>
      <w:r>
        <w:t xml:space="preserve"> </w:t>
      </w:r>
      <w:r>
        <w:t xml:space="preserve">enhance</w:t>
      </w:r>
      <w:r>
        <w:t xml:space="preserve"> </w:t>
      </w:r>
      <w:r>
        <w:t xml:space="preserve">innovation and substitution of the most</w:t>
      </w:r>
      <w:r>
        <w:t xml:space="preserve"> </w:t>
      </w:r>
      <w:r>
        <w:t xml:space="preserve">harmful chemical substances.</w:t>
      </w:r>
      <w:r>
        <w:t xml:space="preserve"> </w:t>
      </w:r>
      <w:r>
        <w:t xml:space="preserve">Specific Target 9.4 ‘By 2030,</w:t>
      </w:r>
      <w:r>
        <w:t xml:space="preserve"> </w:t>
      </w:r>
      <w:r>
        <w:t xml:space="preserve">upgrade infrastructure and retrofit</w:t>
      </w:r>
      <w:r>
        <w:t xml:space="preserve"> </w:t>
      </w:r>
      <w:r>
        <w:t xml:space="preserve">industries to make them sustainable,</w:t>
      </w:r>
      <w:r>
        <w:t xml:space="preserve"> </w:t>
      </w:r>
      <w:r>
        <w:t xml:space="preserve">with</w:t>
      </w:r>
      <w:r>
        <w:t xml:space="preserve"> </w:t>
      </w:r>
      <w:r>
        <w:t xml:space="preserve">increased</w:t>
      </w:r>
      <w:r>
        <w:t xml:space="preserve"> </w:t>
      </w:r>
      <w:r>
        <w:t xml:space="preserve">resource-use</w:t>
      </w:r>
      <w:r>
        <w:t xml:space="preserve"> </w:t>
      </w:r>
      <w:r>
        <w:t xml:space="preserve">efficiency and greater adoption of</w:t>
      </w:r>
      <w:r>
        <w:t xml:space="preserve"> </w:t>
      </w:r>
      <w:r>
        <w:t xml:space="preserve">clean and environmentally sound</w:t>
      </w:r>
      <w:r>
        <w:t xml:space="preserve"> </w:t>
      </w:r>
      <w:r>
        <w:t xml:space="preserve">technologies</w:t>
      </w:r>
      <w:r>
        <w:t xml:space="preserve"> </w:t>
      </w:r>
      <w:r>
        <w:t xml:space="preserve">and</w:t>
      </w:r>
      <w:r>
        <w:t xml:space="preserve"> </w:t>
      </w:r>
      <w:r>
        <w:t xml:space="preserve">industrial</w:t>
      </w:r>
      <w:r>
        <w:t xml:space="preserve"> </w:t>
      </w:r>
      <w:r>
        <w:t xml:space="preserve">processes, with all countries taking</w:t>
      </w:r>
      <w:r>
        <w:t xml:space="preserve"> </w:t>
      </w:r>
      <w:r>
        <w:t xml:space="preserve">action in accordance with their</w:t>
      </w:r>
      <w:r>
        <w:t xml:space="preserve"> </w:t>
      </w:r>
      <w:r>
        <w:t xml:space="preserve">respective capabilities’</w:t>
      </w:r>
      <w:r>
        <w:t xml:space="preserve"> </w:t>
      </w:r>
      <w:r>
        <w:t xml:space="preserve">SDG</w:t>
      </w:r>
      <w:r>
        <w:t xml:space="preserve"> </w:t>
      </w:r>
      <w:r>
        <w:t xml:space="preserve">#12</w:t>
      </w:r>
      <w:r>
        <w:t xml:space="preserve"> </w:t>
      </w:r>
      <w:r>
        <w:t xml:space="preserve">Ensure</w:t>
      </w:r>
      <w:r>
        <w:t xml:space="preserve"> </w:t>
      </w:r>
      <w:r>
        <w:t xml:space="preserve">sustainable</w:t>
      </w:r>
      <w:r>
        <w:t xml:space="preserve"> </w:t>
      </w:r>
      <w:r>
        <w:t xml:space="preserve">consumption</w:t>
      </w:r>
      <w:r>
        <w:t xml:space="preserve"> </w:t>
      </w:r>
      <w:r>
        <w:t xml:space="preserve">and</w:t>
      </w:r>
      <w:r>
        <w:t xml:space="preserve"> </w:t>
      </w:r>
      <w:r>
        <w:t xml:space="preserve">production patterns</w:t>
      </w:r>
      <w:r>
        <w:t xml:space="preserve"> </w:t>
      </w:r>
      <w:r>
        <w:t xml:space="preserve">A higher protection of children in toys</w:t>
      </w:r>
      <w:r>
        <w:t xml:space="preserve"> </w:t>
      </w:r>
      <w:r>
        <w:t xml:space="preserve">through more stringent requirements for</w:t>
      </w:r>
      <w:r>
        <w:t xml:space="preserve"> </w:t>
      </w:r>
      <w:r>
        <w:t xml:space="preserve">the most harmful chemicals will reduce</w:t>
      </w:r>
      <w:r>
        <w:t xml:space="preserve"> </w:t>
      </w:r>
      <w:r>
        <w:t xml:space="preserve">significantly exposure of children in toys</w:t>
      </w:r>
      <w:r>
        <w:t xml:space="preserve"> </w:t>
      </w:r>
      <w:r>
        <w:t xml:space="preserve">and will also ensure that less harmful</w:t>
      </w:r>
      <w:r>
        <w:t xml:space="preserve"> </w:t>
      </w:r>
      <w:r>
        <w:t xml:space="preserve">substances end up as waste.</w:t>
      </w:r>
      <w:r>
        <w:br/>
      </w:r>
      <w:r>
        <w:t xml:space="preserve">Specific Target 12.4 ‘By 2020,</w:t>
      </w:r>
      <w:r>
        <w:t xml:space="preserve"> </w:t>
      </w:r>
      <w:r>
        <w:t xml:space="preserve">achieve the environmentally sound</w:t>
      </w:r>
      <w:r>
        <w:t xml:space="preserve"> </w:t>
      </w:r>
      <w:r>
        <w:t xml:space="preserve">management of chemicals and all</w:t>
      </w:r>
      <w:r>
        <w:t xml:space="preserve"> </w:t>
      </w:r>
      <w:r>
        <w:t xml:space="preserve">wastes throughout their life cycle, in</w:t>
      </w:r>
      <w:r>
        <w:t xml:space="preserve"> </w:t>
      </w:r>
      <w:r>
        <w:t xml:space="preserve">accordance with agreed international</w:t>
      </w:r>
      <w:r>
        <w:t xml:space="preserve"> </w:t>
      </w:r>
      <w:r>
        <w:t xml:space="preserve">frameworks, and significantly reduce</w:t>
      </w:r>
      <w:r>
        <w:t xml:space="preserve"> </w:t>
      </w:r>
      <w:r>
        <w:t xml:space="preserve">their release to air, water and soil in</w:t>
      </w:r>
      <w:r>
        <w:t xml:space="preserve"> </w:t>
      </w:r>
      <w:r>
        <w:t xml:space="preserve">order to minimise their adverse</w:t>
      </w:r>
      <w:r>
        <w:t xml:space="preserve"> </w:t>
      </w:r>
      <w:r>
        <w:t xml:space="preserve">impacts on human health and the</w:t>
      </w:r>
      <w:r>
        <w:t xml:space="preserve"> </w:t>
      </w:r>
      <w:r>
        <w:t xml:space="preserve">environment’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81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ANNEX 4: ANALYTICAL METHODS</w:t>
      </w:r>
      <w:r>
        <w:t xml:space="preserve"> </w:t>
      </w:r>
      <w:r>
        <w:t xml:space="preserve">In order to support the Impact Assessment, a study was carried out using a set of dedicated data</w:t>
      </w:r>
      <w:r>
        <w:t xml:space="preserve"> </w:t>
      </w:r>
      <w:r>
        <w:t xml:space="preserve">collection and analytical tools to maximise relevance of the results and minimise the limitations of</w:t>
      </w:r>
      <w:r>
        <w:t xml:space="preserve"> </w:t>
      </w:r>
      <w:r>
        <w:t xml:space="preserve">the study.</w:t>
      </w:r>
      <w:r>
        <w:br/>
      </w:r>
      <w:r>
        <w:t xml:space="preserve">See annex 11 for further details on the methodology for calculation of number of non-compliant toys</w:t>
      </w:r>
      <w:r>
        <w:t xml:space="preserve"> </w:t>
      </w:r>
      <w:r>
        <w:t xml:space="preserve">in the Union, and annex 14 for details on the methodology for the assessment of the different impacts</w:t>
      </w:r>
      <w:r>
        <w:t xml:space="preserve"> </w:t>
      </w:r>
      <w:r>
        <w:t xml:space="preserve">of the policy measures.</w:t>
      </w:r>
      <w:r>
        <w:t xml:space="preserve"> </w:t>
      </w:r>
      <w:r>
        <w:t xml:space="preserve">1.</w:t>
      </w:r>
      <w:r>
        <w:t xml:space="preserve"> </w:t>
      </w:r>
      <w:r>
        <w:t xml:space="preserve">OVERVIEW OF THE METHOD</w:t>
      </w:r>
      <w:r>
        <w:t xml:space="preserve"> </w:t>
      </w:r>
      <w:r>
        <w:t xml:space="preserve">The study was carried out between January 2022 and October 2022. The work was structured around</w:t>
      </w:r>
      <w:r>
        <w:t xml:space="preserve"> </w:t>
      </w:r>
      <w:r>
        <w:t xml:space="preserve">three phases, each of them with various sub-tasks. This section summarizes the work under the key</w:t>
      </w:r>
      <w:r>
        <w:t xml:space="preserve"> </w:t>
      </w:r>
      <w:r>
        <w:t xml:space="preserve">evidence-gathering and analysis activities.</w:t>
      </w:r>
      <w:r>
        <w:br/>
      </w:r>
      <w:r>
        <w:t xml:space="preserve">Intervention logic and identification of the key problems</w:t>
      </w:r>
      <w:r>
        <w:br/>
      </w:r>
      <w:r>
        <w:t xml:space="preserve">To prepare the work for the development of the policy options, the study first established the</w:t>
      </w:r>
      <w:r>
        <w:t xml:space="preserve"> </w:t>
      </w:r>
      <w:r>
        <w:t xml:space="preserve">intervention logic and mapped and assessed the 1) key drivers, 2) problems and sub-problems, and</w:t>
      </w:r>
      <w:r>
        <w:t xml:space="preserve"> </w:t>
      </w:r>
      <w:r>
        <w:t xml:space="preserve">3) consequences of these problems to consumers, national regulatory authorities, the internal market</w:t>
      </w:r>
      <w:r>
        <w:t xml:space="preserve"> </w:t>
      </w:r>
      <w:r>
        <w:t xml:space="preserve">and businesses. The intervention logic was regularly updated based on evidence gathered from the</w:t>
      </w:r>
      <w:r>
        <w:t xml:space="preserve"> </w:t>
      </w:r>
      <w:r>
        <w:t xml:space="preserve">various data collection tasks.</w:t>
      </w:r>
      <w:r>
        <w:t xml:space="preserve"> </w:t>
      </w:r>
      <w:r>
        <w:t xml:space="preserve">1) Literature review</w:t>
      </w:r>
      <w:r>
        <w:t xml:space="preserve"> </w:t>
      </w:r>
      <w:r>
        <w:t xml:space="preserve">The study included a review of relevant documentation and literature. The review covered a broad</w:t>
      </w:r>
      <w:r>
        <w:t xml:space="preserve"> </w:t>
      </w:r>
      <w:r>
        <w:t xml:space="preserve">catalogue from a variety of EU and Member State sources, including legal and policy documents,</w:t>
      </w:r>
      <w:r>
        <w:t xml:space="preserve"> </w:t>
      </w:r>
      <w:r>
        <w:t xml:space="preserve">statistical data, studies and academic papers, position papers and other publications from relevant</w:t>
      </w:r>
      <w:r>
        <w:t xml:space="preserve"> </w:t>
      </w:r>
      <w:r>
        <w:t xml:space="preserve">stakeholders.</w:t>
      </w:r>
      <w:r>
        <w:t xml:space="preserve"> </w:t>
      </w:r>
      <w:r>
        <w:t xml:space="preserve">2) Development and appraisal of the policy options</w:t>
      </w:r>
      <w:r>
        <w:t xml:space="preserve"> </w:t>
      </w:r>
      <w:r>
        <w:t xml:space="preserve">Based on the analysis carried out in the legal gap analysis, literature review and analysis of the</w:t>
      </w:r>
      <w:r>
        <w:t xml:space="preserve"> </w:t>
      </w:r>
      <w:r>
        <w:t xml:space="preserve">consumer journey and on the feedback collected from stakeholders, 6 different policy options for the</w:t>
      </w:r>
      <w:r>
        <w:t xml:space="preserve"> </w:t>
      </w:r>
      <w:r>
        <w:t xml:space="preserve">future of the TSD were identified:</w:t>
      </w:r>
      <w:r>
        <w:t xml:space="preserve"> </w:t>
      </w:r>
      <w:r>
        <w:t xml:space="preserve">Policy option 0: no change (baseline)</w:t>
      </w:r>
      <w:r>
        <w:t xml:space="preserve"> </w:t>
      </w:r>
      <w:r>
        <w:t xml:space="preserve">Policy option 1a: minimum changes</w:t>
      </w:r>
      <w:r>
        <w:t xml:space="preserve"> </w:t>
      </w:r>
      <w:r>
        <w:t xml:space="preserve">Policy option 1b: improved protection</w:t>
      </w:r>
      <w:r>
        <w:t xml:space="preserve"> </w:t>
      </w:r>
      <w:r>
        <w:t xml:space="preserve">Policy option 1c: maximum changes</w:t>
      </w:r>
      <w:r>
        <w:t xml:space="preserve"> </w:t>
      </w:r>
      <w:r>
        <w:t xml:space="preserve">Policy option 2a: extending the conformity assessment</w:t>
      </w:r>
      <w:r>
        <w:t xml:space="preserve"> </w:t>
      </w:r>
      <w:r>
        <w:t xml:space="preserve">Policy option 2b: facilitation of control through digitalisation</w:t>
      </w:r>
      <w:r>
        <w:t xml:space="preserve"> </w:t>
      </w:r>
      <w:r>
        <w:t xml:space="preserve">Policy option 2c: extending the conformity assessment and facilitation of control (combination of</w:t>
      </w:r>
      <w:r>
        <w:t xml:space="preserve"> </w:t>
      </w:r>
      <w:r>
        <w:t xml:space="preserve">options 2a and 2b)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82</w:t>
      </w:r>
      <w:r>
        <w:t xml:space="preserve"> </w:t>
      </w:r>
      <w:r>
        <w:t xml:space="preserve">EN</w:t>
      </w:r>
    </w:p>
    <w:p>
      <w:pPr>
        <w:pStyle w:val="Compact"/>
        <w:numPr>
          <w:ilvl w:val="0"/>
          <w:numId w:val="1004"/>
        </w:numPr>
      </w:pPr>
      <w:r>
        <w:t xml:space="preserve">Consultation with EU and national-level stakeholders</w:t>
      </w:r>
      <w:r>
        <w:t xml:space="preserve"> </w:t>
      </w:r>
      <w:r>
        <w:t xml:space="preserve">The stakeholder consultation aimed to collect information and feedback for the assessment of impacts</w:t>
      </w:r>
      <w:r>
        <w:t xml:space="preserve"> </w:t>
      </w:r>
      <w:r>
        <w:t xml:space="preserve">and on the different policy options. The stakeholder activities included:</w:t>
      </w:r>
      <w:r>
        <w:t xml:space="preserve"> </w:t>
      </w:r>
      <w:r>
        <w:t xml:space="preserve"> Scoping interviews with notified bodies, business associations and consumer associations to</w:t>
      </w:r>
      <w:r>
        <w:t xml:space="preserve"> </w:t>
      </w:r>
      <w:r>
        <w:t xml:space="preserve">gather preliminary information on the topic and assess key issues and challenges;</w:t>
      </w:r>
      <w:r>
        <w:t xml:space="preserve"> </w:t>
      </w:r>
      <w:r>
        <w:t xml:space="preserve"> SME survey: the survey was shared with SMEs, SME associations and business associations</w:t>
      </w:r>
      <w:r>
        <w:t xml:space="preserve"> </w:t>
      </w:r>
      <w:r>
        <w:t xml:space="preserve">to ensure that specific input from SMEs was gathered, especially on impacts;</w:t>
      </w:r>
      <w:r>
        <w:t xml:space="preserve"> </w:t>
      </w:r>
      <w:r>
        <w:t xml:space="preserve"> Semi-structured interviews with EU-level and national stakeholders, particularly from the</w:t>
      </w:r>
      <w:r>
        <w:t xml:space="preserve"> </w:t>
      </w:r>
      <w:r>
        <w:t xml:space="preserve">following stakeholder groups: businesses and business associations, national regulatory</w:t>
      </w:r>
      <w:r>
        <w:t xml:space="preserve"> </w:t>
      </w:r>
      <w:r>
        <w:t xml:space="preserve">authorities and notified bodies, and consumer associations. The key aim of the semi-</w:t>
      </w:r>
      <w:r>
        <w:t xml:space="preserve"> </w:t>
      </w:r>
      <w:r>
        <w:t xml:space="preserve">structured interviews was to receive feedback from the stakeholders on potential</w:t>
      </w:r>
      <w:r>
        <w:t xml:space="preserve"> </w:t>
      </w:r>
      <w:r>
        <w:t xml:space="preserve">improvements of the Toy Safety Directive, and insight to feed into the assessment of impacts</w:t>
      </w:r>
      <w:r>
        <w:t xml:space="preserve"> </w:t>
      </w:r>
      <w:r>
        <w:t xml:space="preserve">and comparison of policy options;</w:t>
      </w:r>
      <w:r>
        <w:t xml:space="preserve"> </w:t>
      </w:r>
      <w:r>
        <w:t xml:space="preserve"> Open public consultation questionnaire: the PC ran for 12 weeks from the end of March 2022</w:t>
      </w:r>
      <w:r>
        <w:t xml:space="preserve"> </w:t>
      </w:r>
      <w:r>
        <w:t xml:space="preserve">to May 2022 and gathered information and views on how the Toy Safety Directive can better</w:t>
      </w:r>
      <w:r>
        <w:t xml:space="preserve"> </w:t>
      </w:r>
      <w:r>
        <w:t xml:space="preserve">protect children, and to collect information on how to improve the Directive.</w:t>
      </w:r>
      <w:r>
        <w:t xml:space="preserve"> </w:t>
      </w:r>
      <w:r>
        <w:t xml:space="preserve">Table 2: Summary table on the number and type of consultation activities</w:t>
      </w:r>
      <w:r>
        <w:t xml:space="preserve"> </w:t>
      </w:r>
      <w:r>
        <w:t xml:space="preserve">Stakeholder group</w:t>
      </w:r>
      <w:r>
        <w:t xml:space="preserve"> </w:t>
      </w:r>
      <w:r>
        <w:t xml:space="preserve">Consultation methods</w:t>
      </w:r>
    </w:p>
    <w:p>
      <w:pPr>
        <w:pStyle w:val="FirstParagraph"/>
      </w:pPr>
      <w:r>
        <w:t xml:space="preserve">Scoping</w:t>
      </w:r>
      <w:r>
        <w:t xml:space="preserve"> </w:t>
      </w:r>
      <w:r>
        <w:t xml:space="preserve">SME survey</w:t>
      </w:r>
      <w:r>
        <w:t xml:space="preserve"> </w:t>
      </w:r>
      <w:r>
        <w:t xml:space="preserve">Interviews</w:t>
      </w:r>
      <w:r>
        <w:t xml:space="preserve"> </w:t>
      </w:r>
      <w:r>
        <w:t xml:space="preserve">OPC</w:t>
      </w:r>
      <w:r>
        <w:t xml:space="preserve"> </w:t>
      </w:r>
      <w:r>
        <w:t xml:space="preserve">Businesses</w:t>
      </w:r>
      <w:r>
        <w:t xml:space="preserve"> </w:t>
      </w:r>
      <w:r>
        <w:t xml:space="preserve">and</w:t>
      </w:r>
      <w:r>
        <w:t xml:space="preserve"> </w:t>
      </w:r>
      <w:r>
        <w:t xml:space="preserve">business</w:t>
      </w:r>
      <w:r>
        <w:t xml:space="preserve"> </w:t>
      </w:r>
      <w:r>
        <w:t xml:space="preserve">associations</w:t>
      </w:r>
      <w:r>
        <w:t xml:space="preserve"> </w:t>
      </w:r>
      <w:r>
        <w:t xml:space="preserve">2</w:t>
      </w:r>
      <w:r>
        <w:t xml:space="preserve"> </w:t>
      </w:r>
      <w:r>
        <w:t xml:space="preserve">201</w:t>
      </w:r>
      <w:r>
        <w:t xml:space="preserve"> </w:t>
      </w:r>
      <w:r>
        <w:t xml:space="preserve">15</w:t>
      </w:r>
      <w:r>
        <w:t xml:space="preserve"> </w:t>
      </w:r>
      <w:r>
        <w:t xml:space="preserve">89</w:t>
      </w:r>
      <w:r>
        <w:t xml:space="preserve"> </w:t>
      </w:r>
      <w:r>
        <w:t xml:space="preserve">National Regulatory</w:t>
      </w:r>
      <w:r>
        <w:t xml:space="preserve"> </w:t>
      </w:r>
      <w:r>
        <w:t xml:space="preserve">Authorities</w:t>
      </w:r>
      <w:r>
        <w:t xml:space="preserve"> </w:t>
      </w:r>
      <w:r>
        <w:t xml:space="preserve">and</w:t>
      </w:r>
      <w:r>
        <w:t xml:space="preserve"> </w:t>
      </w:r>
      <w:r>
        <w:t xml:space="preserve">notified bodies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31</w:t>
      </w:r>
      <w:r>
        <w:t xml:space="preserve"> </w:t>
      </w:r>
      <w:r>
        <w:t xml:space="preserve">Consumer</w:t>
      </w:r>
      <w:r>
        <w:t xml:space="preserve"> </w:t>
      </w:r>
      <w:r>
        <w:t xml:space="preserve">associations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12</w:t>
      </w:r>
      <w:r>
        <w:t xml:space="preserve"> </w:t>
      </w:r>
      <w:r>
        <w:t xml:space="preserve">Academic</w:t>
      </w:r>
      <w:r>
        <w:t xml:space="preserve"> </w:t>
      </w:r>
      <w:r>
        <w:t xml:space="preserve">institutions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Environmental</w:t>
      </w:r>
      <w:r>
        <w:t xml:space="preserve"> </w:t>
      </w:r>
      <w:r>
        <w:t xml:space="preserve">organisations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Other</w:t>
      </w:r>
      <w:r>
        <w:t xml:space="preserve"> </w:t>
      </w:r>
      <w:r>
        <w:t xml:space="preserve">(NGOs,</w:t>
      </w:r>
      <w:r>
        <w:t xml:space="preserve"> </w:t>
      </w:r>
      <w:r>
        <w:t xml:space="preserve">individuals etc.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Total</w:t>
      </w:r>
      <w:r>
        <w:t xml:space="preserve"> </w:t>
      </w:r>
      <w:r>
        <w:t xml:space="preserve">6</w:t>
      </w:r>
      <w:r>
        <w:t xml:space="preserve"> </w:t>
      </w:r>
      <w:r>
        <w:t xml:space="preserve">201</w:t>
      </w:r>
      <w:r>
        <w:t xml:space="preserve"> </w:t>
      </w:r>
      <w:r>
        <w:t xml:space="preserve">41</w:t>
      </w:r>
      <w:r>
        <w:t xml:space="preserve"> </w:t>
      </w:r>
      <w:r>
        <w:t xml:space="preserve">196</w:t>
      </w:r>
      <w:r>
        <w:t xml:space="preserve"> </w:t>
      </w:r>
      <w:r>
        <w:t xml:space="preserve">2.</w:t>
      </w:r>
      <w:r>
        <w:t xml:space="preserve"> </w:t>
      </w:r>
      <w:r>
        <w:t xml:space="preserve">LIMITATIONS ENCOUNTERED AND MITIGATION MEASURES</w:t>
      </w:r>
      <w:r>
        <w:t xml:space="preserve"> </w:t>
      </w:r>
      <w:r>
        <w:t xml:space="preserve">The key limitation of the study was the shortened timeline of the data collection which made the</w:t>
      </w:r>
      <w:r>
        <w:t xml:space="preserve"> </w:t>
      </w:r>
      <w:r>
        <w:t xml:space="preserve">setup of the data collection tools extremely challenging and left no time for further probing into the</w:t>
      </w:r>
      <w:r>
        <w:t xml:space="preserve"> </w:t>
      </w:r>
      <w:r>
        <w:t xml:space="preserve">evidence and reconnecting with stakeholders after the data collection had been done. Some limitation</w:t>
      </w:r>
      <w:r>
        <w:t xml:space="preserve"> </w:t>
      </w:r>
      <w:r>
        <w:t xml:space="preserve">in the assembled evidence was therefore unavoidable and will be addressed as soon as possible: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83</w:t>
      </w:r>
      <w:r>
        <w:t xml:space="preserve"> </w:t>
      </w:r>
      <w:r>
        <w:t xml:space="preserve">EN</w:t>
      </w:r>
      <w:r>
        <w:t xml:space="preserve"> </w:t>
      </w:r>
      <w:r>
        <w:t xml:space="preserve"> The overall number of third-party conformity assessments both in the baseline option and in</w:t>
      </w:r>
      <w:r>
        <w:t xml:space="preserve"> </w:t>
      </w:r>
      <w:r>
        <w:t xml:space="preserve">option 2a was not available to stakeholders. Further discussions with stakeholders on this</w:t>
      </w:r>
      <w:r>
        <w:t xml:space="preserve"> </w:t>
      </w:r>
      <w:r>
        <w:t xml:space="preserve">specific topic will continue to revise the estimate as appropriate.</w:t>
      </w:r>
      <w:r>
        <w:br/>
      </w:r>
      <w:r>
        <w:t xml:space="preserve"> Cost estimates for all of the options under 1 but especially 1a were very uncertain as the</w:t>
      </w:r>
      <w:r>
        <w:t xml:space="preserve"> </w:t>
      </w:r>
      <w:r>
        <w:t xml:space="preserve">details of the chemical substances may only be determined later on. It is not clear which limit</w:t>
      </w:r>
      <w:r>
        <w:t xml:space="preserve"> </w:t>
      </w:r>
      <w:r>
        <w:t xml:space="preserve">values would be introduced or how many toy relevant substances would be affected by an</w:t>
      </w:r>
      <w:r>
        <w:t xml:space="preserve"> </w:t>
      </w:r>
      <w:r>
        <w:t xml:space="preserve">extension of the GRA.</w:t>
      </w:r>
      <w:r>
        <w:br/>
      </w:r>
      <w:r>
        <w:t xml:space="preserve"> Information on toy specific health risks were also scarce. On the one hand, information on</w:t>
      </w:r>
      <w:r>
        <w:t xml:space="preserve"> </w:t>
      </w:r>
      <w:r>
        <w:t xml:space="preserve">illnesses or accidents with toys is patchy at best while, on the other hand, there is ample</w:t>
      </w:r>
      <w:r>
        <w:t xml:space="preserve"> </w:t>
      </w:r>
      <w:r>
        <w:t xml:space="preserve">evidence of dangerous substances still present in toys on the EU market. The study could not</w:t>
      </w:r>
      <w:r>
        <w:t xml:space="preserve"> </w:t>
      </w:r>
      <w:r>
        <w:t xml:space="preserve">fully resolve that gap in the data.</w:t>
      </w:r>
      <w:r>
        <w:br/>
      </w:r>
      <w:r>
        <w:t xml:space="preserve">To mitigate these deficiencies, the study triangulated the information from the SME survey, the</w:t>
      </w:r>
      <w:r>
        <w:t xml:space="preserve"> </w:t>
      </w:r>
      <w:r>
        <w:t xml:space="preserve">interviews and the literature to develop robust estimates for each of the options. For some topics</w:t>
      </w:r>
      <w:r>
        <w:t xml:space="preserve"> </w:t>
      </w:r>
      <w:r>
        <w:t xml:space="preserve">knowledgeable stakeholders were asked for further input to fill the gaps.</w:t>
      </w:r>
      <w:r>
        <w:br/>
      </w:r>
      <w:r>
        <w:t xml:space="preserve">3.</w:t>
      </w:r>
      <w:r>
        <w:t xml:space="preserve"> </w:t>
      </w:r>
      <w:r>
        <w:t xml:space="preserve">STRUCTURE OF THE ANALYSIS</w:t>
      </w:r>
      <w:r>
        <w:t xml:space="preserve"> </w:t>
      </w:r>
      <w:r>
        <w:t xml:space="preserve">The analysis followed a step-by-step approach, where each step built on the outcome of the previous</w:t>
      </w:r>
      <w:r>
        <w:t xml:space="preserve"> </w:t>
      </w:r>
      <w:r>
        <w:t xml:space="preserve">step. The steps mirrored the different elements mapped in the intervention logic, from the drivers to</w:t>
      </w:r>
      <w:r>
        <w:t xml:space="preserve"> </w:t>
      </w:r>
      <w:r>
        <w:t xml:space="preserve">the problems and consequences and then to policy objectives and policy options. In terms of the</w:t>
      </w:r>
      <w:r>
        <w:t xml:space="preserve"> </w:t>
      </w:r>
      <w:r>
        <w:t xml:space="preserve">impact assessment of the options, first a baseline assessment of the toys market was carried out. The</w:t>
      </w:r>
      <w:r>
        <w:t xml:space="preserve"> </w:t>
      </w:r>
      <w:r>
        <w:t xml:space="preserve">policy options were then assessed with regard to their impacts and compared, based on feedback</w:t>
      </w:r>
      <w:r>
        <w:t xml:space="preserve"> </w:t>
      </w:r>
      <w:r>
        <w:t xml:space="preserve">collected from stakeholders through the online survey. The following impacts were assessed:</w:t>
      </w:r>
      <w:r>
        <w:t xml:space="preserve"> </w:t>
      </w:r>
      <w:r>
        <w:t xml:space="preserve"> Administrative burden</w:t>
      </w:r>
      <w:r>
        <w:br/>
      </w:r>
      <w:r>
        <w:t xml:space="preserve"> Cost for companies</w:t>
      </w:r>
      <w:r>
        <w:t xml:space="preserve"> </w:t>
      </w:r>
      <w:r>
        <w:t xml:space="preserve"> Impacts on competitiveness and the single market</w:t>
      </w:r>
      <w:r>
        <w:t xml:space="preserve"> </w:t>
      </w:r>
      <w:r>
        <w:t xml:space="preserve"> Costs for authorities and notified bodies</w:t>
      </w:r>
      <w:r>
        <w:br/>
      </w:r>
      <w:r>
        <w:t xml:space="preserve"> Human health impacts</w:t>
      </w:r>
      <w:r>
        <w:t xml:space="preserve"> </w:t>
      </w:r>
      <w:r>
        <w:t xml:space="preserve"> Environmental impacts</w:t>
      </w:r>
      <w:r>
        <w:br/>
      </w:r>
      <w:r>
        <w:t xml:space="preserve">4.</w:t>
      </w:r>
      <w:r>
        <w:t xml:space="preserve"> </w:t>
      </w:r>
      <w:r>
        <w:t xml:space="preserve">LEGAL ANALYSIS - METHODOLOGY</w:t>
      </w:r>
      <w:r>
        <w:t xml:space="preserve"> </w:t>
      </w:r>
      <w:r>
        <w:t xml:space="preserve">A legal comparative analysis was conducted to see possible overlaps, duplications and gaps between</w:t>
      </w:r>
      <w:r>
        <w:t xml:space="preserve"> </w:t>
      </w:r>
      <w:r>
        <w:t xml:space="preserve">the TSD and other relevant EU legislation (both legislation in force and proposed). The legal analysis</w:t>
      </w:r>
      <w:r>
        <w:t xml:space="preserve"> </w:t>
      </w:r>
      <w:r>
        <w:t xml:space="preserve">did not intend to repeat the comprehensive legal analysis performed for the 2020 evaluation of the</w:t>
      </w:r>
      <w:r>
        <w:t xml:space="preserve"> </w:t>
      </w:r>
      <w:r>
        <w:t xml:space="preserve">TSD, therefore it was focused on the legislation adopted or proposed since then. Nonetheless, to</w:t>
      </w:r>
      <w:r>
        <w:t xml:space="preserve"> </w:t>
      </w:r>
      <w:r>
        <w:t xml:space="preserve">understand the overall approach to product safety, including toy safety, many of the older legal acts</w:t>
      </w:r>
      <w:r>
        <w:t xml:space="preserve"> </w:t>
      </w:r>
      <w:r>
        <w:t xml:space="preserve">were reviewed as well. All legal acts were reviewed in the latest consolidated version.</w:t>
      </w:r>
      <w:r>
        <w:t xml:space="preserve"> </w:t>
      </w:r>
      <w:r>
        <w:t xml:space="preserve">The following legislation (in chronological order) was reviewed: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84</w:t>
      </w:r>
      <w:r>
        <w:t xml:space="preserve"> </w:t>
      </w:r>
      <w:r>
        <w:t xml:space="preserve">EN</w:t>
      </w:r>
      <w:r>
        <w:t xml:space="preserve"> </w:t>
      </w:r>
      <w:r>
        <w:t xml:space="preserve">•</w:t>
      </w:r>
      <w:r>
        <w:t xml:space="preserve"> </w:t>
      </w:r>
      <w:r>
        <w:t xml:space="preserve">Directive 2001/95/EC of the European Parliament and of the Council of 3 December 2001 on</w:t>
      </w:r>
      <w:r>
        <w:t xml:space="preserve"> </w:t>
      </w:r>
      <w:r>
        <w:t xml:space="preserve">general product safety, OJ L 11 of 15.01.2002</w:t>
      </w:r>
      <w:r>
        <w:t xml:space="preserve"> </w:t>
      </w:r>
      <w:r>
        <w:t xml:space="preserve">•</w:t>
      </w:r>
      <w:r>
        <w:t xml:space="preserve"> </w:t>
      </w:r>
      <w:r>
        <w:t xml:space="preserve">Regulation (EC) No 1935/2004 of the European Parliament and of the Council of 27 October</w:t>
      </w:r>
      <w:r>
        <w:t xml:space="preserve"> </w:t>
      </w:r>
      <w:r>
        <w:t xml:space="preserve">2004 on materials and articles intended to come into contact with food and repealing Directives</w:t>
      </w:r>
      <w:r>
        <w:t xml:space="preserve"> </w:t>
      </w:r>
      <w:r>
        <w:t xml:space="preserve">80/590/EEC and 89/109/EEC</w:t>
      </w:r>
      <w:r>
        <w:t xml:space="preserve"> </w:t>
      </w:r>
      <w:r>
        <w:t xml:space="preserve">•</w:t>
      </w:r>
      <w:r>
        <w:t xml:space="preserve"> </w:t>
      </w:r>
      <w:r>
        <w:t xml:space="preserve">Regulation 1907/2006, concerning the Registration, Evaluation, Authorisation and</w:t>
      </w:r>
      <w:r>
        <w:t xml:space="preserve"> </w:t>
      </w:r>
      <w:r>
        <w:t xml:space="preserve">Restriction of Chemicals (REACH), establishing a European Chemicals Agency, amending Directive</w:t>
      </w:r>
      <w:r>
        <w:t xml:space="preserve"> </w:t>
      </w:r>
      <w:r>
        <w:t xml:space="preserve">1999/45/EC and repealing Council Regulation (EEC) No 793/93 and Commission Regulation (EC)</w:t>
      </w:r>
      <w:r>
        <w:t xml:space="preserve"> </w:t>
      </w:r>
      <w:r>
        <w:t xml:space="preserve">No 1488/94 as well as Council Directive 76/769/EEC and Commission Directives 91/155/EEC,</w:t>
      </w:r>
      <w:r>
        <w:t xml:space="preserve"> </w:t>
      </w:r>
      <w:r>
        <w:t xml:space="preserve">93/67/EEC, 93/105/EC and 2000/21/EC</w:t>
      </w:r>
      <w:r>
        <w:t xml:space="preserve"> </w:t>
      </w:r>
      <w:r>
        <w:t xml:space="preserve">•</w:t>
      </w:r>
      <w:r>
        <w:t xml:space="preserve"> </w:t>
      </w:r>
      <w:r>
        <w:t xml:space="preserve">Regulation (EC) No 765/2008 of the European Parliament and of the Council of 9 July 2008</w:t>
      </w:r>
      <w:r>
        <w:t xml:space="preserve"> </w:t>
      </w:r>
      <w:r>
        <w:t xml:space="preserve">setting out the requirements for accreditation and market surveillance relating to the marketing of</w:t>
      </w:r>
      <w:r>
        <w:t xml:space="preserve"> </w:t>
      </w:r>
      <w:r>
        <w:t xml:space="preserve">products and repealing Regulation (EEC) No 339/93</w:t>
      </w:r>
      <w:r>
        <w:t xml:space="preserve"> </w:t>
      </w:r>
      <w:r>
        <w:t xml:space="preserve">•</w:t>
      </w:r>
      <w:r>
        <w:t xml:space="preserve"> </w:t>
      </w:r>
      <w:r>
        <w:t xml:space="preserve">Decision No 768/2008/EC of the European Parliament and of the Council of 9 July 2008 on</w:t>
      </w:r>
      <w:r>
        <w:t xml:space="preserve"> </w:t>
      </w:r>
      <w:r>
        <w:t xml:space="preserve">a common framework for the marketing of products, and repealing Council Decision 93/465/EEC</w:t>
      </w:r>
      <w:r>
        <w:t xml:space="preserve"> </w:t>
      </w:r>
      <w:r>
        <w:t xml:space="preserve">•</w:t>
      </w:r>
      <w:r>
        <w:t xml:space="preserve"> </w:t>
      </w:r>
      <w:r>
        <w:t xml:space="preserve">Regulation (EC) No 1272/2008 on classification, labelling and packaging of substances and</w:t>
      </w:r>
      <w:r>
        <w:t xml:space="preserve"> </w:t>
      </w:r>
      <w:r>
        <w:t xml:space="preserve">mixtures (CLP), amending and repealing Directives 67/548/EEC and 1999/45/EC, and amending</w:t>
      </w:r>
      <w:r>
        <w:t xml:space="preserve"> </w:t>
      </w:r>
      <w:r>
        <w:t xml:space="preserve">Regulation (EC) No 1907/2006Directive 2011/65/EU, on the restriction of the use of certain</w:t>
      </w:r>
      <w:r>
        <w:t xml:space="preserve"> </w:t>
      </w:r>
      <w:r>
        <w:t xml:space="preserve">hazardous substances in electrical and electronic equipment (RoHS)</w:t>
      </w:r>
      <w:r>
        <w:t xml:space="preserve"> </w:t>
      </w:r>
      <w:r>
        <w:t xml:space="preserve">•</w:t>
      </w:r>
      <w:r>
        <w:t xml:space="preserve"> </w:t>
      </w:r>
      <w:r>
        <w:t xml:space="preserve">Directive 2009/48/EC of the European Parliament and of the Council of 18 June 2009 on the</w:t>
      </w:r>
      <w:r>
        <w:t xml:space="preserve"> </w:t>
      </w:r>
      <w:r>
        <w:t xml:space="preserve">safety of toys</w:t>
      </w:r>
      <w:r>
        <w:t xml:space="preserve"> </w:t>
      </w:r>
      <w:r>
        <w:t xml:space="preserve">•</w:t>
      </w:r>
      <w:r>
        <w:t xml:space="preserve"> </w:t>
      </w:r>
      <w:r>
        <w:t xml:space="preserve">Regulation No 1223/2009 on cosmetic products</w:t>
      </w:r>
      <w:r>
        <w:t xml:space="preserve"> </w:t>
      </w:r>
      <w:r>
        <w:t xml:space="preserve">•</w:t>
      </w:r>
      <w:r>
        <w:t xml:space="preserve"> </w:t>
      </w:r>
      <w:r>
        <w:t xml:space="preserve">Directive 2011/65/EU of the European Parliament and of the Council of 8 June 2011 on the</w:t>
      </w:r>
      <w:r>
        <w:t xml:space="preserve"> </w:t>
      </w:r>
      <w:r>
        <w:t xml:space="preserve">restriction of the use of certain hazardous substances in electrical and electronic equipment</w:t>
      </w:r>
      <w:r>
        <w:t xml:space="preserve"> </w:t>
      </w:r>
      <w:r>
        <w:t xml:space="preserve">•</w:t>
      </w:r>
      <w:r>
        <w:t xml:space="preserve"> </w:t>
      </w:r>
      <w:r>
        <w:t xml:space="preserve">Directive 2014/53/EU of the European Parliament and of the Council of 16 April 2014 on the</w:t>
      </w:r>
      <w:r>
        <w:t xml:space="preserve"> </w:t>
      </w:r>
      <w:r>
        <w:t xml:space="preserve">harmonisation of the laws of the Member States relating to the making available on the market of</w:t>
      </w:r>
      <w:r>
        <w:t xml:space="preserve"> </w:t>
      </w:r>
      <w:r>
        <w:t xml:space="preserve">radio equipment and repealing Directive 1999/5/EC</w:t>
      </w:r>
      <w:r>
        <w:t xml:space="preserve"> </w:t>
      </w:r>
      <w:r>
        <w:t xml:space="preserve">•</w:t>
      </w:r>
      <w:r>
        <w:t xml:space="preserve"> </w:t>
      </w:r>
      <w:r>
        <w:t xml:space="preserve">Regulation (EU) 2016/679 of the European Parliament and of the Council of 27 April 2016</w:t>
      </w:r>
      <w:r>
        <w:t xml:space="preserve"> </w:t>
      </w:r>
      <w:r>
        <w:t xml:space="preserve">on the protection of natural persons with regard to the processing of personal data and on the free</w:t>
      </w:r>
      <w:r>
        <w:t xml:space="preserve"> </w:t>
      </w:r>
      <w:r>
        <w:t xml:space="preserve">movement of such data, and repealing Directive 95/46/EC</w:t>
      </w:r>
      <w:r>
        <w:t xml:space="preserve"> </w:t>
      </w:r>
      <w:r>
        <w:t xml:space="preserve">•</w:t>
      </w:r>
      <w:r>
        <w:t xml:space="preserve"> </w:t>
      </w:r>
      <w:r>
        <w:t xml:space="preserve">Regulation (EU) 2019/881 of the European Parliament and of the Council of 17 April 2019</w:t>
      </w:r>
      <w:r>
        <w:t xml:space="preserve"> </w:t>
      </w:r>
      <w:r>
        <w:t xml:space="preserve">on ENISA (the European Union Agency for Cybersecurity) and on information and communications</w:t>
      </w:r>
      <w:r>
        <w:t xml:space="preserve"> </w:t>
      </w:r>
      <w:r>
        <w:t xml:space="preserve">technology cybersecurity certification and repealing Regulation (EU) No 526/2013</w:t>
      </w:r>
      <w:r>
        <w:t xml:space="preserve"> </w:t>
      </w:r>
      <w:r>
        <w:t xml:space="preserve">•</w:t>
      </w:r>
      <w:r>
        <w:t xml:space="preserve"> </w:t>
      </w:r>
      <w:r>
        <w:t xml:space="preserve">Regulation (EU) 2019/1020 of the European Parliament and of the Council of 20 June 2019</w:t>
      </w:r>
      <w:r>
        <w:t xml:space="preserve"> </w:t>
      </w:r>
      <w:r>
        <w:t xml:space="preserve">on market surveillance and compliance of products and amending Directive 2004/42/EC and</w:t>
      </w:r>
      <w:r>
        <w:t xml:space="preserve"> </w:t>
      </w:r>
      <w:r>
        <w:t xml:space="preserve">Regulations (EC) No 765/2008 and (EU) No 305/2011</w:t>
      </w:r>
      <w:r>
        <w:t xml:space="preserve"> </w:t>
      </w:r>
      <w:r>
        <w:t xml:space="preserve">The following proposals for legal acts (in chronological order) were reviewed: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85</w:t>
      </w:r>
      <w:r>
        <w:t xml:space="preserve"> </w:t>
      </w:r>
      <w:r>
        <w:t xml:space="preserve">EN</w:t>
      </w:r>
      <w:r>
        <w:t xml:space="preserve"> </w:t>
      </w:r>
      <w:r>
        <w:t xml:space="preserve">•</w:t>
      </w:r>
      <w:r>
        <w:t xml:space="preserve"> </w:t>
      </w:r>
      <w:r>
        <w:t xml:space="preserve">Proposal for a Regulation of the European Parliament and of the Council on a Single Market</w:t>
      </w:r>
      <w:r>
        <w:t xml:space="preserve"> </w:t>
      </w:r>
      <w:r>
        <w:t xml:space="preserve">for Digital Services (Digital Services Act) and amending Directive 2000/31/EC, COM(2020) 825</w:t>
      </w:r>
      <w:r>
        <w:t xml:space="preserve"> </w:t>
      </w:r>
      <w:r>
        <w:t xml:space="preserve">•</w:t>
      </w:r>
      <w:r>
        <w:t xml:space="preserve"> </w:t>
      </w:r>
      <w:r>
        <w:t xml:space="preserve">Proposal for a Regulation of the European Parliament and of the Council laying down</w:t>
      </w:r>
      <w:r>
        <w:t xml:space="preserve"> </w:t>
      </w:r>
      <w:r>
        <w:t xml:space="preserve">harmonised rules on artificial intelligence (Artificial Intelligence Act) and amending certain union</w:t>
      </w:r>
      <w:r>
        <w:t xml:space="preserve"> </w:t>
      </w:r>
      <w:r>
        <w:t xml:space="preserve">legislative acts, COM(2021) 206</w:t>
      </w:r>
      <w:r>
        <w:t xml:space="preserve"> </w:t>
      </w:r>
      <w:r>
        <w:t xml:space="preserve">•</w:t>
      </w:r>
      <w:r>
        <w:t xml:space="preserve"> </w:t>
      </w:r>
      <w:r>
        <w:t xml:space="preserve">Proposal for a Regulation of the European Parliament and of the Council on general product</w:t>
      </w:r>
      <w:r>
        <w:t xml:space="preserve"> </w:t>
      </w:r>
      <w:r>
        <w:t xml:space="preserve">safety, amending Regulation (EU) No 1025/2012 of the European Parliament and of the Council, and</w:t>
      </w:r>
      <w:r>
        <w:t xml:space="preserve"> </w:t>
      </w:r>
      <w:r>
        <w:t xml:space="preserve">repealing Council Directive 87/357/EEC and Directive 2001/95/EC of the European Parliament and</w:t>
      </w:r>
      <w:r>
        <w:t xml:space="preserve"> </w:t>
      </w:r>
      <w:r>
        <w:t xml:space="preserve">of the Council, COM(2021) 346</w:t>
      </w:r>
      <w:r>
        <w:br/>
      </w:r>
      <w:r>
        <w:t xml:space="preserve">•</w:t>
      </w:r>
      <w:r>
        <w:t xml:space="preserve"> </w:t>
      </w:r>
      <w:r>
        <w:t xml:space="preserve">Commission Delegated Regulation (EU) …/… of 29.10.2021 supplementing Directive</w:t>
      </w:r>
      <w:r>
        <w:t xml:space="preserve"> </w:t>
      </w:r>
      <w:r>
        <w:t xml:space="preserve">2014/53/EU of the European Parliament and of the Council with regard to the application of the</w:t>
      </w:r>
      <w:r>
        <w:t xml:space="preserve"> </w:t>
      </w:r>
      <w:r>
        <w:t xml:space="preserve">essential requirements referred to in Article 3(3), points (d), (e) and (f), of that directive, C(2021)</w:t>
      </w:r>
      <w:r>
        <w:t xml:space="preserve"> </w:t>
      </w:r>
      <w:r>
        <w:t xml:space="preserve">7672</w:t>
      </w:r>
      <w:r>
        <w:t xml:space="preserve"> </w:t>
      </w:r>
      <w:r>
        <w:t xml:space="preserve">•</w:t>
      </w:r>
      <w:r>
        <w:t xml:space="preserve"> </w:t>
      </w:r>
      <w:r>
        <w:t xml:space="preserve">Proposal for a Regulation of the European Parliament and of the Council establishing a</w:t>
      </w:r>
      <w:r>
        <w:t xml:space="preserve"> </w:t>
      </w:r>
      <w:r>
        <w:t xml:space="preserve">framework for setting ecodesign requirements for sustainable products and repealing Directive</w:t>
      </w:r>
      <w:r>
        <w:t xml:space="preserve"> </w:t>
      </w:r>
      <w:r>
        <w:t xml:space="preserve">2009/125/EC, COM(2022) 142</w:t>
      </w:r>
      <w:r>
        <w:t xml:space="preserve"> </w:t>
      </w:r>
      <w:r>
        <w:t xml:space="preserve">To put legal developments in context, several policy documents were analysed:</w:t>
      </w:r>
      <w:r>
        <w:t xml:space="preserve"> </w:t>
      </w:r>
      <w:r>
        <w:t xml:space="preserve">•</w:t>
      </w:r>
      <w:r>
        <w:t xml:space="preserve"> </w:t>
      </w:r>
      <w:r>
        <w:t xml:space="preserve">Chemicals Strategy for Sustainability: Towards a Toxic-Free Environment, COM(2020) 667</w:t>
      </w:r>
      <w:r>
        <w:br/>
      </w:r>
      <w:r>
        <w:t xml:space="preserve">•</w:t>
      </w:r>
      <w:r>
        <w:t xml:space="preserve"> </w:t>
      </w:r>
      <w:r>
        <w:t xml:space="preserve">New Consumer Agenda, COM(2020) 696</w:t>
      </w:r>
      <w:r>
        <w:t xml:space="preserve"> </w:t>
      </w:r>
      <w:r>
        <w:t xml:space="preserve">•</w:t>
      </w:r>
      <w:r>
        <w:t xml:space="preserve"> </w:t>
      </w:r>
      <w:r>
        <w:t xml:space="preserve">Cyber Resilience Act, Call for evidence for an impact assessment (2021)</w:t>
      </w:r>
      <w:r>
        <w:t xml:space="preserve"> </w:t>
      </w:r>
      <w:r>
        <w:t xml:space="preserve">•</w:t>
      </w:r>
      <w:r>
        <w:t xml:space="preserve"> </w:t>
      </w:r>
      <w:r>
        <w:t xml:space="preserve">European Parliament resolution of 16 February 2022 on the implementation of Directive</w:t>
      </w:r>
      <w:r>
        <w:t xml:space="preserve"> </w:t>
      </w:r>
      <w:r>
        <w:t xml:space="preserve">2009/48/EC of the European Parliament and of the Council on the safety of toys (Toy Safety</w:t>
      </w:r>
      <w:r>
        <w:t xml:space="preserve"> </w:t>
      </w:r>
      <w:r>
        <w:t xml:space="preserve">Directive), 2021/2040(INI)</w:t>
      </w:r>
      <w:r>
        <w:t xml:space="preserve"> </w:t>
      </w:r>
      <w:r>
        <w:t xml:space="preserve">The analysis of the legal documents was supported by the literature review of the relevant scholarship</w:t>
      </w:r>
      <w:r>
        <w:t xml:space="preserve"> </w:t>
      </w:r>
      <w:r>
        <w:t xml:space="preserve">and other studies. All publications are referenced in the text of the report.</w:t>
      </w:r>
      <w:r>
        <w:t xml:space="preserve"> </w:t>
      </w:r>
      <w:r>
        <w:t xml:space="preserve">5.</w:t>
      </w:r>
      <w:r>
        <w:t xml:space="preserve"> </w:t>
      </w:r>
      <w:r>
        <w:t xml:space="preserve">GLOBAL AND EUROPEAN TOYS MARKET</w:t>
      </w:r>
      <w:r>
        <w:t xml:space="preserve"> </w:t>
      </w:r>
      <w:r>
        <w:t xml:space="preserve">Descriptive statistics on the European toys industry draw mainly on Eurostat Structural Business</w:t>
      </w:r>
      <w:r>
        <w:t xml:space="preserve"> </w:t>
      </w:r>
      <w:r>
        <w:t xml:space="preserve">Statistics (SBS), C32.4 – Manufacture of games and toys (NACE Rev 2). The analysis focuses on</w:t>
      </w:r>
      <w:r>
        <w:t xml:space="preserve"> </w:t>
      </w:r>
      <w:r>
        <w:t xml:space="preserve">data covering the EU-27 and EFTA countries, while highlighting the respective shares of leading</w:t>
      </w:r>
      <w:r>
        <w:t xml:space="preserve"> </w:t>
      </w:r>
      <w:r>
        <w:t xml:space="preserve">countries in the European toys industry. Detailed data tables presenting disaggregation for all</w:t>
      </w:r>
      <w:r>
        <w:t xml:space="preserve"> </w:t>
      </w:r>
      <w:r>
        <w:t xml:space="preserve">Member States and EEA / EFTA countries where Eurostat SBS data is available are provided below.</w:t>
      </w:r>
      <w:r>
        <w:t xml:space="preserve"> </w:t>
      </w:r>
      <w:r>
        <w:t xml:space="preserve">It is important to highlight data gaps and shortcomings in the quality of data. The statistical analysis</w:t>
      </w:r>
      <w:r>
        <w:t xml:space="preserve"> </w:t>
      </w:r>
      <w:r>
        <w:t xml:space="preserve">was partly hampered by data gaps in Eurostat SBS data in some Member States and EEA / EFTA</w:t>
      </w:r>
      <w:r>
        <w:t xml:space="preserve"> </w:t>
      </w:r>
      <w:r>
        <w:t xml:space="preserve">countries, especially for some variables, such as turnover and the number of people employed. In</w:t>
      </w:r>
      <w:r>
        <w:t xml:space="preserve"> </w:t>
      </w:r>
      <w:r>
        <w:t xml:space="preserve">some cases, there were insufficient data for Eurostat to estimate the total for the EU-27, while those</w:t>
      </w:r>
      <w:r>
        <w:t xml:space="preserve"> </w:t>
      </w:r>
      <w:r>
        <w:t xml:space="preserve">estimates that are available are marked as low reliability by Eurostat. The most recent year for which</w:t>
      </w:r>
      <w:r>
        <w:t xml:space="preserve"> </w:t>
      </w:r>
      <w:r>
        <w:t xml:space="preserve">data was available was 2020 for some variables, but there were provisional estimates only and</w:t>
      </w:r>
      <w:r>
        <w:t xml:space="preserve"> </w:t>
      </w:r>
      <w:r>
        <w:t xml:space="preserve">remained gaps.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86</w:t>
      </w:r>
      <w:r>
        <w:t xml:space="preserve"> </w:t>
      </w:r>
      <w:r>
        <w:t xml:space="preserve">EN</w:t>
      </w:r>
      <w:r>
        <w:t xml:space="preserve"> </w:t>
      </w:r>
      <w:r>
        <w:t xml:space="preserve">Regarding mitigation measures, the methodology focuses on reporting the sum of the available data</w:t>
      </w:r>
      <w:r>
        <w:t xml:space="preserve"> </w:t>
      </w:r>
      <w:r>
        <w:t xml:space="preserve">across the EU-27 and EEA/EFTA countries, rather than the overarching Eurostat EU-27 estimates.</w:t>
      </w:r>
      <w:r>
        <w:t xml:space="preserve"> </w:t>
      </w:r>
      <w:r>
        <w:t xml:space="preserve">This allows increased traceability and analysis between the overarching figures and the country data.</w:t>
      </w:r>
      <w:r>
        <w:t xml:space="preserve"> </w:t>
      </w:r>
      <w:r>
        <w:t xml:space="preserve">To ensure this is transparent, it is clearly stated in each case the number of countries whose data is</w:t>
      </w:r>
      <w:r>
        <w:t xml:space="preserve"> </w:t>
      </w:r>
      <w:r>
        <w:t xml:space="preserve">included in the estimate. Furthermore, where appropriate, data imputations have been calculated for</w:t>
      </w:r>
      <w:r>
        <w:t xml:space="preserve"> </w:t>
      </w:r>
      <w:r>
        <w:t xml:space="preserve">certain missing data points based on average market changes year on year. More detail on the data</w:t>
      </w:r>
      <w:r>
        <w:t xml:space="preserve"> </w:t>
      </w:r>
      <w:r>
        <w:t xml:space="preserve">gaps and the approach to mitigating these challenges is provided throughout the analysis of the</w:t>
      </w:r>
      <w:r>
        <w:t xml:space="preserve"> </w:t>
      </w:r>
      <w:r>
        <w:t xml:space="preserve">different elements.</w:t>
      </w:r>
      <w:r>
        <w:t xml:space="preserve"> </w:t>
      </w:r>
      <w:r>
        <w:t xml:space="preserve">Supporting data tables with full disaggregation</w:t>
      </w:r>
      <w:r>
        <w:t xml:space="preserve"> </w:t>
      </w:r>
      <w:r>
        <w:t xml:space="preserve">This section contains supporting data with full disaggregation by country and year. It should be noted</w:t>
      </w:r>
      <w:r>
        <w:t xml:space="preserve"> </w:t>
      </w:r>
      <w:r>
        <w:t xml:space="preserve">that in Eurostat SBS, the majority of 2020 data is provisional only – marked by a (p) below.</w:t>
      </w:r>
      <w:r>
        <w:t xml:space="preserve"> </w:t>
      </w:r>
      <w:r>
        <w:t xml:space="preserve">Furthermore, the data does not cover all countries across all years and all variables; for instance, no</w:t>
      </w:r>
      <w:r>
        <w:t xml:space="preserve"> </w:t>
      </w:r>
      <w:r>
        <w:t xml:space="preserve">data on the number of toy industry enterprises is provided in Ireland, Malta and Liechtenstein for the</w:t>
      </w:r>
      <w:r>
        <w:t xml:space="preserve"> </w:t>
      </w:r>
      <w:r>
        <w:t xml:space="preserve">entire period 2016-2020, while no data on this indicator exists for Cyprus in 2016-2017. To mitigate</w:t>
      </w:r>
      <w:r>
        <w:t xml:space="preserve"> </w:t>
      </w:r>
      <w:r>
        <w:t xml:space="preserve">this challenge, data imputations have been developed for certain countries and years, but only where</w:t>
      </w:r>
      <w:r>
        <w:t xml:space="preserve"> </w:t>
      </w:r>
      <w:r>
        <w:t xml:space="preserve">they can be based on robust assumptions. The methodology for developing the imputations is detailed</w:t>
      </w:r>
      <w:r>
        <w:t xml:space="preserve"> </w:t>
      </w:r>
      <w:r>
        <w:t xml:space="preserve">in the box below.</w:t>
      </w:r>
    </w:p>
    <w:p>
      <w:pPr>
        <w:pStyle w:val="BodyText"/>
      </w:pPr>
      <w:r>
        <w:t xml:space="preserve">Each table first presents, where available, the Eurostat composite figures for the EU-27 and former</w:t>
      </w:r>
      <w:r>
        <w:t xml:space="preserve"> </w:t>
      </w:r>
      <w:r>
        <w:t xml:space="preserve">EU-28. However, in most cases, these figures are marked by Eurostat as low reliability due primarily</w:t>
      </w:r>
      <w:r>
        <w:t xml:space="preserve"> </w:t>
      </w:r>
      <w:r>
        <w:t xml:space="preserve">to the use of different definitions in some countries. As such, each table also provides the sum of the</w:t>
      </w:r>
      <w:r>
        <w:t xml:space="preserve"> </w:t>
      </w:r>
      <w:r>
        <w:t xml:space="preserve">available data for the EU-27 and the EU-27 + EEA/EFTA countries. However, as data is missing for</w:t>
      </w:r>
      <w:r>
        <w:t xml:space="preserve"> </w:t>
      </w:r>
      <w:r>
        <w:t xml:space="preserve">certain countries and years, these overarching figures are accompanied by notes detailing the number</w:t>
      </w:r>
      <w:r>
        <w:t xml:space="preserve"> </w:t>
      </w:r>
      <w:r>
        <w:t xml:space="preserve">of countries for which data is available.</w:t>
      </w:r>
      <w:r>
        <w:br/>
      </w:r>
      <w:r>
        <w:t xml:space="preserve">Method for developing data imputations</w:t>
      </w:r>
      <w:r>
        <w:t xml:space="preserve"> </w:t>
      </w:r>
      <w:r>
        <w:t xml:space="preserve">In the absence of relevant supporting data, the methodology for developing data imputations was</w:t>
      </w:r>
      <w:r>
        <w:t xml:space="preserve"> </w:t>
      </w:r>
      <w:r>
        <w:t xml:space="preserve">based on the assumption that the changes in a particular country for a particular variable will</w:t>
      </w:r>
      <w:r>
        <w:t xml:space="preserve"> </w:t>
      </w:r>
      <w:r>
        <w:t xml:space="preserve">follow average market changes year-on-year; i.e. that missing 2020 data for a particular variable</w:t>
      </w:r>
      <w:r>
        <w:t xml:space="preserve"> </w:t>
      </w:r>
      <w:r>
        <w:t xml:space="preserve">can be estimated based on overall market changes in that variable from 2019-2020. This is</w:t>
      </w:r>
      <w:r>
        <w:t xml:space="preserve"> </w:t>
      </w:r>
      <w:r>
        <w:t xml:space="preserve">particularly relevant given the unique and challenging nature of the market in 2020, which resulted</w:t>
      </w:r>
      <w:r>
        <w:t xml:space="preserve"> </w:t>
      </w:r>
      <w:r>
        <w:t xml:space="preserve">from the COVID-19 pandemic. Furthermore, most of the data imputations developed were for</w:t>
      </w:r>
      <w:r>
        <w:t xml:space="preserve"> </w:t>
      </w:r>
      <w:r>
        <w:t xml:space="preserve">2020.</w:t>
      </w:r>
    </w:p>
    <w:p>
      <w:pPr>
        <w:pStyle w:val="BodyText"/>
      </w:pPr>
      <w:r>
        <w:t xml:space="preserve">On this basis, the following three steps were conducted to estimate each missing data point:</w:t>
      </w:r>
      <w:r>
        <w:t xml:space="preserve"> </w:t>
      </w:r>
      <w:r>
        <w:t xml:space="preserve">i.</w:t>
      </w:r>
      <w:r>
        <w:t xml:space="preserve"> </w:t>
      </w:r>
      <w:r>
        <w:t xml:space="preserve">For each country that has data, we calculated the absolute change and percentage</w:t>
      </w:r>
      <w:r>
        <w:t xml:space="preserve"> </w:t>
      </w:r>
      <w:r>
        <w:t xml:space="preserve">change in the relevant variable from year n to year n+1 (e.g. from 2019 to 2020).</w:t>
      </w:r>
      <w:r>
        <w:t xml:space="preserve"> </w:t>
      </w:r>
      <w:r>
        <w:t xml:space="preserve">ii.</w:t>
      </w:r>
      <w:r>
        <w:t xml:space="preserve"> </w:t>
      </w:r>
      <w:r>
        <w:t xml:space="preserve">Calculate the average percentage change across all countries for year n to year n+1.</w:t>
      </w:r>
      <w:r>
        <w:t xml:space="preserve"> </w:t>
      </w:r>
      <w:r>
        <w:t xml:space="preserve">iii.</w:t>
      </w:r>
      <w:r>
        <w:t xml:space="preserve"> </w:t>
      </w:r>
      <w:r>
        <w:t xml:space="preserve">Apply the average percentage change to the data from year n in the country without</w:t>
      </w:r>
      <w:r>
        <w:t xml:space="preserve"> </w:t>
      </w:r>
      <w:r>
        <w:t xml:space="preserve">data to develop a value for year n+1.</w:t>
      </w:r>
      <w:r>
        <w:t xml:space="preserve"> </w:t>
      </w:r>
      <w:r>
        <w:t xml:space="preserve">Data for countries which had no data across the examined time period was not estimated due to</w:t>
      </w:r>
      <w:r>
        <w:t xml:space="preserve"> </w:t>
      </w:r>
      <w:r>
        <w:t xml:space="preserve">the inherent lack of baseline data on which any data imputations could be developed.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87</w:t>
      </w:r>
      <w:r>
        <w:t xml:space="preserve"> </w:t>
      </w:r>
      <w:r>
        <w:t xml:space="preserve">EN</w:t>
      </w:r>
      <w:r>
        <w:t xml:space="preserve"> </w:t>
      </w:r>
      <w:r>
        <w:t xml:space="preserve">In the main body of the analysis, the combined EU-27 + EEA/EFTA figures for each year are</w:t>
      </w:r>
      <w:r>
        <w:t xml:space="preserve"> </w:t>
      </w:r>
      <w:r>
        <w:t xml:space="preserve">presented; this is due to the limited reliability of the composite EU-27 figures and the increased</w:t>
      </w:r>
      <w:r>
        <w:t xml:space="preserve"> </w:t>
      </w:r>
      <w:r>
        <w:t xml:space="preserve">traceability and comparability provided by the EU-27 + EEA/EFTA figures in combination with the</w:t>
      </w:r>
      <w:r>
        <w:t xml:space="preserve"> </w:t>
      </w:r>
      <w:r>
        <w:t xml:space="preserve">country-specific data.</w:t>
      </w:r>
    </w:p>
    <w:p>
      <w:pPr>
        <w:pStyle w:val="BodyText"/>
      </w:pPr>
      <w:r>
        <w:t xml:space="preserve">Table 3: No. of enterprises in the European toys industry (disaggregated among EU-27 and EEA/ EFTA countries)</w:t>
      </w:r>
      <w:r>
        <w:br/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(p)</w:t>
      </w:r>
      <w:r>
        <w:t xml:space="preserve"> </w:t>
      </w:r>
      <w:r>
        <w:t xml:space="preserve">European Union – 27 countries (from 2020)</w:t>
      </w:r>
      <w:r>
        <w:t xml:space="preserve"> </w:t>
      </w:r>
      <w:r>
        <w:t xml:space="preserve">5,300</w:t>
      </w:r>
      <w:r>
        <w:t xml:space="preserve"> </w:t>
      </w:r>
      <w:r>
        <w:t xml:space="preserve">5,400</w:t>
      </w:r>
      <w:r>
        <w:t xml:space="preserve"> </w:t>
      </w:r>
      <w:r>
        <w:t xml:space="preserve">5,800</w:t>
      </w:r>
      <w:r>
        <w:t xml:space="preserve"> </w:t>
      </w:r>
      <w:r>
        <w:t xml:space="preserve">6,000</w:t>
      </w:r>
    </w:p>
    <w:p>
      <w:pPr>
        <w:pStyle w:val="BodyText"/>
      </w:pPr>
      <w:r>
        <w:t xml:space="preserve">European Union – 28 countries (2013-2020)</w:t>
      </w:r>
      <w:r>
        <w:t xml:space="preserve"> </w:t>
      </w:r>
      <w:r>
        <w:t xml:space="preserve">5,900</w:t>
      </w:r>
      <w:r>
        <w:t xml:space="preserve"> </w:t>
      </w:r>
      <w:r>
        <w:t xml:space="preserve">6,000</w:t>
      </w:r>
    </w:p>
    <w:p>
      <w:pPr>
        <w:pStyle w:val="BodyText"/>
      </w:pPr>
      <w:r>
        <w:t xml:space="preserve">Belgium</w:t>
      </w:r>
      <w:r>
        <w:t xml:space="preserve"> </w:t>
      </w:r>
      <w:r>
        <w:t xml:space="preserve">42</w:t>
      </w:r>
      <w:r>
        <w:t xml:space="preserve"> </w:t>
      </w:r>
      <w:r>
        <w:t xml:space="preserve">162</w:t>
      </w:r>
      <w:r>
        <w:t xml:space="preserve"> </w:t>
      </w:r>
      <w:r>
        <w:t xml:space="preserve">71</w:t>
      </w:r>
      <w:r>
        <w:t xml:space="preserve"> </w:t>
      </w:r>
      <w:r>
        <w:t xml:space="preserve">88</w:t>
      </w:r>
      <w:r>
        <w:t xml:space="preserve"> </w:t>
      </w:r>
      <w:r>
        <w:t xml:space="preserve">103</w:t>
      </w:r>
      <w:r>
        <w:t xml:space="preserve"> </w:t>
      </w:r>
      <w:r>
        <w:t xml:space="preserve">Bulgaria</w:t>
      </w:r>
      <w:r>
        <w:t xml:space="preserve"> </w:t>
      </w:r>
      <w:r>
        <w:t xml:space="preserve">45</w:t>
      </w:r>
      <w:r>
        <w:t xml:space="preserve"> </w:t>
      </w:r>
      <w:r>
        <w:t xml:space="preserve">43</w:t>
      </w:r>
      <w:r>
        <w:t xml:space="preserve"> </w:t>
      </w:r>
      <w:r>
        <w:t xml:space="preserve">42</w:t>
      </w:r>
      <w:r>
        <w:t xml:space="preserve"> </w:t>
      </w:r>
      <w:r>
        <w:t xml:space="preserve">47</w:t>
      </w:r>
      <w:r>
        <w:t xml:space="preserve"> </w:t>
      </w:r>
      <w:r>
        <w:t xml:space="preserve">52</w:t>
      </w:r>
      <w:r>
        <w:t xml:space="preserve"> </w:t>
      </w:r>
      <w:r>
        <w:t xml:space="preserve">Czechia</w:t>
      </w:r>
      <w:r>
        <w:t xml:space="preserve"> </w:t>
      </w:r>
      <w:r>
        <w:t xml:space="preserve">554</w:t>
      </w:r>
      <w:r>
        <w:t xml:space="preserve"> </w:t>
      </w:r>
      <w:r>
        <w:t xml:space="preserve">520</w:t>
      </w:r>
      <w:r>
        <w:t xml:space="preserve"> </w:t>
      </w:r>
      <w:r>
        <w:t xml:space="preserve">529</w:t>
      </w:r>
      <w:r>
        <w:t xml:space="preserve"> </w:t>
      </w:r>
      <w:r>
        <w:t xml:space="preserve">513</w:t>
      </w:r>
      <w:r>
        <w:t xml:space="preserve"> </w:t>
      </w:r>
      <w:r>
        <w:t xml:space="preserve">506</w:t>
      </w:r>
      <w:r>
        <w:t xml:space="preserve"> </w:t>
      </w:r>
      <w:r>
        <w:t xml:space="preserve">Denmark</w:t>
      </w:r>
      <w:r>
        <w:t xml:space="preserve"> </w:t>
      </w:r>
      <w:r>
        <w:t xml:space="preserve">95</w:t>
      </w:r>
      <w:r>
        <w:t xml:space="preserve"> </w:t>
      </w:r>
      <w:r>
        <w:t xml:space="preserve">96</w:t>
      </w:r>
      <w:r>
        <w:t xml:space="preserve"> </w:t>
      </w:r>
      <w:r>
        <w:t xml:space="preserve">97</w:t>
      </w:r>
      <w:r>
        <w:t xml:space="preserve"> </w:t>
      </w:r>
      <w:r>
        <w:t xml:space="preserve">103</w:t>
      </w:r>
      <w:r>
        <w:t xml:space="preserve"> </w:t>
      </w:r>
      <w:r>
        <w:t xml:space="preserve">105</w:t>
      </w:r>
      <w:r>
        <w:t xml:space="preserve"> </w:t>
      </w:r>
      <w:r>
        <w:t xml:space="preserve">Germany (until 1990 former territory of the FRG)</w:t>
      </w:r>
      <w:r>
        <w:t xml:space="preserve"> </w:t>
      </w:r>
      <w:r>
        <w:t xml:space="preserve">579</w:t>
      </w:r>
      <w:r>
        <w:t xml:space="preserve"> </w:t>
      </w:r>
      <w:r>
        <w:t xml:space="preserve">568</w:t>
      </w:r>
      <w:r>
        <w:t xml:space="preserve"> </w:t>
      </w:r>
      <w:r>
        <w:t xml:space="preserve">605</w:t>
      </w:r>
      <w:r>
        <w:t xml:space="preserve"> </w:t>
      </w:r>
      <w:r>
        <w:t xml:space="preserve">697</w:t>
      </w:r>
      <w:r>
        <w:t xml:space="preserve"> </w:t>
      </w:r>
      <w:r>
        <w:t xml:space="preserve">683</w:t>
      </w:r>
      <w:r>
        <w:t xml:space="preserve"> </w:t>
      </w:r>
      <w:r>
        <w:t xml:space="preserve">Estonia</w:t>
      </w:r>
      <w:r>
        <w:t xml:space="preserve"> </w:t>
      </w:r>
      <w:r>
        <w:t xml:space="preserve">29</w:t>
      </w:r>
      <w:r>
        <w:t xml:space="preserve"> </w:t>
      </w:r>
      <w:r>
        <w:t xml:space="preserve">30</w:t>
      </w:r>
      <w:r>
        <w:t xml:space="preserve"> </w:t>
      </w:r>
      <w:r>
        <w:t xml:space="preserve">19</w:t>
      </w:r>
      <w:r>
        <w:t xml:space="preserve"> </w:t>
      </w:r>
      <w:r>
        <w:t xml:space="preserve">22</w:t>
      </w:r>
      <w:r>
        <w:t xml:space="preserve"> </w:t>
      </w:r>
      <w:r>
        <w:t xml:space="preserve">25</w:t>
      </w:r>
      <w:r>
        <w:t xml:space="preserve"> </w:t>
      </w:r>
      <w:r>
        <w:t xml:space="preserve">Ireland</w:t>
      </w:r>
    </w:p>
    <w:p>
      <w:pPr>
        <w:pStyle w:val="BodyText"/>
      </w:pPr>
      <w:r>
        <w:t xml:space="preserve">Greece</w:t>
      </w:r>
      <w:r>
        <w:t xml:space="preserve"> </w:t>
      </w:r>
      <w:r>
        <w:t xml:space="preserve">74</w:t>
      </w:r>
      <w:r>
        <w:t xml:space="preserve"> </w:t>
      </w:r>
      <w:r>
        <w:t xml:space="preserve">77</w:t>
      </w:r>
      <w:r>
        <w:t xml:space="preserve"> </w:t>
      </w:r>
      <w:r>
        <w:t xml:space="preserve">83</w:t>
      </w:r>
      <w:r>
        <w:t xml:space="preserve"> </w:t>
      </w:r>
      <w:r>
        <w:t xml:space="preserve">81</w:t>
      </w:r>
      <w:r>
        <w:t xml:space="preserve"> </w:t>
      </w:r>
      <w:r>
        <w:t xml:space="preserve">79</w:t>
      </w:r>
      <w:r>
        <w:t xml:space="preserve"> </w:t>
      </w:r>
      <w:r>
        <w:t xml:space="preserve">Spain</w:t>
      </w:r>
      <w:r>
        <w:t xml:space="preserve"> </w:t>
      </w:r>
      <w:r>
        <w:t xml:space="preserve">379</w:t>
      </w:r>
      <w:r>
        <w:t xml:space="preserve"> </w:t>
      </w:r>
      <w:r>
        <w:t xml:space="preserve">386</w:t>
      </w:r>
      <w:r>
        <w:t xml:space="preserve"> </w:t>
      </w:r>
      <w:r>
        <w:t xml:space="preserve">401</w:t>
      </w:r>
      <w:r>
        <w:t xml:space="preserve"> </w:t>
      </w:r>
      <w:r>
        <w:t xml:space="preserve">404</w:t>
      </w:r>
      <w:r>
        <w:t xml:space="preserve"> </w:t>
      </w:r>
      <w:r>
        <w:t xml:space="preserve">409</w:t>
      </w:r>
      <w:r>
        <w:t xml:space="preserve"> </w:t>
      </w:r>
      <w:r>
        <w:t xml:space="preserve">France</w:t>
      </w:r>
      <w:r>
        <w:t xml:space="preserve"> </w:t>
      </w:r>
      <w:r>
        <w:t xml:space="preserve">787</w:t>
      </w:r>
      <w:r>
        <w:t xml:space="preserve"> </w:t>
      </w:r>
      <w:r>
        <w:t xml:space="preserve">641</w:t>
      </w:r>
      <w:r>
        <w:t xml:space="preserve"> </w:t>
      </w:r>
      <w:r>
        <w:t xml:space="preserve">729</w:t>
      </w:r>
      <w:r>
        <w:t xml:space="preserve"> </w:t>
      </w:r>
      <w:r>
        <w:t xml:space="preserve">771</w:t>
      </w:r>
      <w:r>
        <w:t xml:space="preserve"> </w:t>
      </w:r>
      <w:r>
        <w:t xml:space="preserve">848</w:t>
      </w:r>
      <w:r>
        <w:t xml:space="preserve"> </w:t>
      </w:r>
      <w:r>
        <w:t xml:space="preserve">Croatia</w:t>
      </w:r>
      <w:r>
        <w:t xml:space="preserve"> </w:t>
      </w:r>
      <w:r>
        <w:t xml:space="preserve">47</w:t>
      </w:r>
      <w:r>
        <w:t xml:space="preserve"> </w:t>
      </w:r>
      <w:r>
        <w:t xml:space="preserve">50</w:t>
      </w:r>
      <w:r>
        <w:t xml:space="preserve"> </w:t>
      </w:r>
      <w:r>
        <w:t xml:space="preserve">44</w:t>
      </w:r>
      <w:r>
        <w:t xml:space="preserve"> </w:t>
      </w:r>
      <w:r>
        <w:t xml:space="preserve">71</w:t>
      </w:r>
      <w:r>
        <w:t xml:space="preserve"> </w:t>
      </w:r>
      <w:r>
        <w:t xml:space="preserve">73</w:t>
      </w:r>
      <w:r>
        <w:t xml:space="preserve"> </w:t>
      </w:r>
      <w:r>
        <w:t xml:space="preserve">Italy</w:t>
      </w:r>
      <w:r>
        <w:t xml:space="preserve"> </w:t>
      </w:r>
      <w:r>
        <w:t xml:space="preserve">359</w:t>
      </w:r>
      <w:r>
        <w:t xml:space="preserve"> </w:t>
      </w:r>
      <w:r>
        <w:t xml:space="preserve">374</w:t>
      </w:r>
      <w:r>
        <w:t xml:space="preserve"> </w:t>
      </w:r>
      <w:r>
        <w:t xml:space="preserve">382</w:t>
      </w:r>
      <w:r>
        <w:t xml:space="preserve"> </w:t>
      </w:r>
      <w:r>
        <w:t xml:space="preserve">327</w:t>
      </w:r>
      <w:r>
        <w:t xml:space="preserve"> </w:t>
      </w:r>
      <w:r>
        <w:t xml:space="preserve">338*</w:t>
      </w:r>
      <w:r>
        <w:t xml:space="preserve"> </w:t>
      </w:r>
      <w:r>
        <w:t xml:space="preserve">Cyprus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Latvia</w:t>
      </w:r>
      <w:r>
        <w:t xml:space="preserve"> </w:t>
      </w:r>
      <w:r>
        <w:t xml:space="preserve">71</w:t>
      </w:r>
      <w:r>
        <w:t xml:space="preserve"> </w:t>
      </w:r>
      <w:r>
        <w:t xml:space="preserve">75</w:t>
      </w:r>
      <w:r>
        <w:t xml:space="preserve"> </w:t>
      </w:r>
      <w:r>
        <w:t xml:space="preserve">88</w:t>
      </w:r>
      <w:r>
        <w:t xml:space="preserve"> </w:t>
      </w:r>
      <w:r>
        <w:t xml:space="preserve">103</w:t>
      </w:r>
      <w:r>
        <w:t xml:space="preserve"> </w:t>
      </w:r>
      <w:r>
        <w:t xml:space="preserve">112</w:t>
      </w:r>
      <w:r>
        <w:t xml:space="preserve"> </w:t>
      </w:r>
      <w:r>
        <w:t xml:space="preserve">Lithuania</w:t>
      </w:r>
      <w:r>
        <w:t xml:space="preserve"> </w:t>
      </w:r>
      <w:r>
        <w:t xml:space="preserve">60</w:t>
      </w:r>
      <w:r>
        <w:t xml:space="preserve"> </w:t>
      </w:r>
      <w:r>
        <w:t xml:space="preserve">92</w:t>
      </w:r>
      <w:r>
        <w:t xml:space="preserve"> </w:t>
      </w:r>
      <w:r>
        <w:t xml:space="preserve">108</w:t>
      </w:r>
      <w:r>
        <w:t xml:space="preserve"> </w:t>
      </w:r>
      <w:r>
        <w:t xml:space="preserve">119</w:t>
      </w:r>
      <w:r>
        <w:t xml:space="preserve"> </w:t>
      </w:r>
      <w:r>
        <w:t xml:space="preserve">139</w:t>
      </w:r>
      <w:r>
        <w:t xml:space="preserve"> </w:t>
      </w:r>
      <w:r>
        <w:t xml:space="preserve">Luxembourg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Hungary</w:t>
      </w:r>
      <w:r>
        <w:t xml:space="preserve"> </w:t>
      </w:r>
      <w:r>
        <w:t xml:space="preserve">198</w:t>
      </w:r>
      <w:r>
        <w:t xml:space="preserve"> </w:t>
      </w:r>
      <w:r>
        <w:t xml:space="preserve">207</w:t>
      </w:r>
      <w:r>
        <w:t xml:space="preserve"> </w:t>
      </w:r>
      <w:r>
        <w:t xml:space="preserve">222</w:t>
      </w:r>
      <w:r>
        <w:t xml:space="preserve"> </w:t>
      </w:r>
      <w:r>
        <w:t xml:space="preserve">232</w:t>
      </w:r>
      <w:r>
        <w:t xml:space="preserve"> </w:t>
      </w:r>
      <w:r>
        <w:t xml:space="preserve">235</w:t>
      </w:r>
      <w:r>
        <w:t xml:space="preserve"> </w:t>
      </w:r>
      <w:r>
        <w:t xml:space="preserve">Malta</w:t>
      </w:r>
    </w:p>
    <w:p>
      <w:pPr>
        <w:pStyle w:val="BodyText"/>
      </w:pPr>
      <w:r>
        <w:t xml:space="preserve">Netherlands</w:t>
      </w:r>
      <w:r>
        <w:t xml:space="preserve"> </w:t>
      </w:r>
      <w:r>
        <w:t xml:space="preserve">417</w:t>
      </w:r>
      <w:r>
        <w:t xml:space="preserve"> </w:t>
      </w:r>
      <w:r>
        <w:t xml:space="preserve">432</w:t>
      </w:r>
      <w:r>
        <w:t xml:space="preserve"> </w:t>
      </w:r>
      <w:r>
        <w:t xml:space="preserve">478</w:t>
      </w:r>
      <w:r>
        <w:t xml:space="preserve"> </w:t>
      </w:r>
      <w:r>
        <w:t xml:space="preserve">495</w:t>
      </w:r>
      <w:r>
        <w:t xml:space="preserve"> </w:t>
      </w:r>
      <w:r>
        <w:t xml:space="preserve">536</w:t>
      </w:r>
      <w:r>
        <w:t xml:space="preserve"> </w:t>
      </w:r>
      <w:r>
        <w:t xml:space="preserve">Austria</w:t>
      </w:r>
      <w:r>
        <w:t xml:space="preserve"> </w:t>
      </w:r>
      <w:r>
        <w:t xml:space="preserve">92</w:t>
      </w:r>
      <w:r>
        <w:t xml:space="preserve"> </w:t>
      </w:r>
      <w:r>
        <w:t xml:space="preserve">94</w:t>
      </w:r>
      <w:r>
        <w:t xml:space="preserve"> </w:t>
      </w:r>
      <w:r>
        <w:t xml:space="preserve">93</w:t>
      </w:r>
      <w:r>
        <w:t xml:space="preserve"> </w:t>
      </w:r>
      <w:r>
        <w:t xml:space="preserve">101</w:t>
      </w:r>
      <w:r>
        <w:t xml:space="preserve"> </w:t>
      </w:r>
      <w:r>
        <w:t xml:space="preserve">92</w:t>
      </w:r>
      <w:r>
        <w:t xml:space="preserve"> </w:t>
      </w:r>
      <w:r>
        <w:t xml:space="preserve">Poland</w:t>
      </w:r>
      <w:r>
        <w:t xml:space="preserve"> </w:t>
      </w:r>
      <w:r>
        <w:t xml:space="preserve">732</w:t>
      </w:r>
      <w:r>
        <w:t xml:space="preserve"> </w:t>
      </w:r>
      <w:r>
        <w:t xml:space="preserve">771</w:t>
      </w:r>
      <w:r>
        <w:t xml:space="preserve"> </w:t>
      </w:r>
      <w:r>
        <w:t xml:space="preserve">872</w:t>
      </w:r>
      <w:r>
        <w:t xml:space="preserve"> </w:t>
      </w:r>
      <w:r>
        <w:t xml:space="preserve">870</w:t>
      </w:r>
      <w:r>
        <w:t xml:space="preserve"> </w:t>
      </w:r>
      <w:r>
        <w:t xml:space="preserve">904</w:t>
      </w:r>
      <w:r>
        <w:t xml:space="preserve"> </w:t>
      </w:r>
      <w:r>
        <w:t xml:space="preserve">Portugal</w:t>
      </w:r>
      <w:r>
        <w:t xml:space="preserve"> </w:t>
      </w:r>
      <w:r>
        <w:t xml:space="preserve">67</w:t>
      </w:r>
      <w:r>
        <w:t xml:space="preserve"> </w:t>
      </w:r>
      <w:r>
        <w:t xml:space="preserve">67</w:t>
      </w:r>
      <w:r>
        <w:t xml:space="preserve"> </w:t>
      </w:r>
      <w:r>
        <w:t xml:space="preserve">72</w:t>
      </w:r>
      <w:r>
        <w:t xml:space="preserve"> </w:t>
      </w:r>
      <w:r>
        <w:t xml:space="preserve">69</w:t>
      </w:r>
      <w:r>
        <w:t xml:space="preserve"> </w:t>
      </w:r>
      <w:r>
        <w:t xml:space="preserve">78</w:t>
      </w:r>
      <w:r>
        <w:t xml:space="preserve"> </w:t>
      </w:r>
      <w:r>
        <w:t xml:space="preserve">Romania</w:t>
      </w:r>
      <w:r>
        <w:t xml:space="preserve"> </w:t>
      </w:r>
      <w:r>
        <w:t xml:space="preserve">119</w:t>
      </w:r>
      <w:r>
        <w:t xml:space="preserve"> </w:t>
      </w:r>
      <w:r>
        <w:t xml:space="preserve">143</w:t>
      </w:r>
      <w:r>
        <w:t xml:space="preserve"> </w:t>
      </w:r>
      <w:r>
        <w:t xml:space="preserve">183</w:t>
      </w:r>
      <w:r>
        <w:t xml:space="preserve"> </w:t>
      </w:r>
      <w:r>
        <w:t xml:space="preserve">194</w:t>
      </w:r>
      <w:r>
        <w:t xml:space="preserve"> </w:t>
      </w:r>
      <w:r>
        <w:t xml:space="preserve">207</w:t>
      </w:r>
      <w:r>
        <w:t xml:space="preserve"> </w:t>
      </w:r>
      <w:r>
        <w:t xml:space="preserve">Slovenia</w:t>
      </w:r>
      <w:r>
        <w:t xml:space="preserve"> </w:t>
      </w:r>
      <w:r>
        <w:t xml:space="preserve">40</w:t>
      </w:r>
      <w:r>
        <w:t xml:space="preserve"> </w:t>
      </w:r>
      <w:r>
        <w:t xml:space="preserve">43</w:t>
      </w:r>
      <w:r>
        <w:t xml:space="preserve"> </w:t>
      </w:r>
      <w:r>
        <w:t xml:space="preserve">42</w:t>
      </w:r>
      <w:r>
        <w:t xml:space="preserve"> </w:t>
      </w:r>
      <w:r>
        <w:t xml:space="preserve">40</w:t>
      </w:r>
      <w:r>
        <w:t xml:space="preserve"> </w:t>
      </w:r>
      <w:r>
        <w:t xml:space="preserve">42</w:t>
      </w:r>
      <w:r>
        <w:t xml:space="preserve"> </w:t>
      </w:r>
      <w:r>
        <w:t xml:space="preserve">Slovakia</w:t>
      </w:r>
      <w:r>
        <w:t xml:space="preserve"> </w:t>
      </w:r>
      <w:r>
        <w:t xml:space="preserve">211</w:t>
      </w:r>
      <w:r>
        <w:t xml:space="preserve"> </w:t>
      </w:r>
      <w:r>
        <w:t xml:space="preserve">218</w:t>
      </w:r>
      <w:r>
        <w:t xml:space="preserve"> </w:t>
      </w:r>
      <w:r>
        <w:t xml:space="preserve">315</w:t>
      </w:r>
      <w:r>
        <w:t xml:space="preserve"> </w:t>
      </w:r>
      <w:r>
        <w:t xml:space="preserve">362</w:t>
      </w:r>
      <w:r>
        <w:t xml:space="preserve"> </w:t>
      </w:r>
      <w:r>
        <w:t xml:space="preserve">398</w:t>
      </w:r>
      <w:r>
        <w:t xml:space="preserve"> </w:t>
      </w:r>
      <w:r>
        <w:t xml:space="preserve">Finland</w:t>
      </w:r>
      <w:r>
        <w:t xml:space="preserve"> </w:t>
      </w:r>
      <w:r>
        <w:t xml:space="preserve">31</w:t>
      </w:r>
      <w:r>
        <w:t xml:space="preserve"> </w:t>
      </w:r>
      <w:r>
        <w:t xml:space="preserve">35</w:t>
      </w:r>
      <w:r>
        <w:t xml:space="preserve"> </w:t>
      </w:r>
      <w:r>
        <w:t xml:space="preserve">35</w:t>
      </w:r>
      <w:r>
        <w:t xml:space="preserve"> </w:t>
      </w:r>
      <w:r>
        <w:t xml:space="preserve">33</w:t>
      </w:r>
      <w:r>
        <w:t xml:space="preserve"> </w:t>
      </w:r>
      <w:r>
        <w:t xml:space="preserve">32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88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(p)</w:t>
      </w:r>
      <w:r>
        <w:t xml:space="preserve"> </w:t>
      </w:r>
      <w:r>
        <w:t xml:space="preserve">Sweden</w:t>
      </w:r>
      <w:r>
        <w:t xml:space="preserve"> </w:t>
      </w:r>
      <w:r>
        <w:t xml:space="preserve">224</w:t>
      </w:r>
      <w:r>
        <w:t xml:space="preserve"> </w:t>
      </w:r>
      <w:r>
        <w:t xml:space="preserve">241</w:t>
      </w:r>
      <w:r>
        <w:t xml:space="preserve"> </w:t>
      </w:r>
      <w:r>
        <w:t xml:space="preserve">239</w:t>
      </w:r>
      <w:r>
        <w:t xml:space="preserve"> </w:t>
      </w:r>
      <w:r>
        <w:t xml:space="preserve">243</w:t>
      </w:r>
      <w:r>
        <w:t xml:space="preserve"> </w:t>
      </w:r>
      <w:r>
        <w:t xml:space="preserve">242</w:t>
      </w:r>
      <w:r>
        <w:t xml:space="preserve"> </w:t>
      </w:r>
      <w:r>
        <w:t xml:space="preserve">Total EU-27</w:t>
      </w:r>
      <w:r>
        <w:t xml:space="preserve"> </w:t>
      </w:r>
      <w:r>
        <w:t xml:space="preserve">5,254</w:t>
      </w:r>
      <w:r>
        <w:t xml:space="preserve"> </w:t>
      </w:r>
      <w:r>
        <w:t xml:space="preserve">5,368</w:t>
      </w:r>
      <w:r>
        <w:t xml:space="preserve"> </w:t>
      </w:r>
      <w:r>
        <w:t xml:space="preserve">5,756</w:t>
      </w:r>
      <w:r>
        <w:t xml:space="preserve"> </w:t>
      </w:r>
      <w:r>
        <w:t xml:space="preserve">5,993</w:t>
      </w:r>
      <w:r>
        <w:t xml:space="preserve"> </w:t>
      </w:r>
      <w:r>
        <w:t xml:space="preserve">6,246</w:t>
      </w:r>
      <w:r>
        <w:t xml:space="preserve"> </w:t>
      </w:r>
      <w:r>
        <w:t xml:space="preserve">Total EU-27 (# of countries with data available)</w:t>
      </w:r>
      <w:r>
        <w:t xml:space="preserve"> </w:t>
      </w:r>
      <w:r>
        <w:t xml:space="preserve">24</w:t>
      </w:r>
      <w:r>
        <w:t xml:space="preserve"> </w:t>
      </w:r>
      <w:r>
        <w:t xml:space="preserve">24</w:t>
      </w:r>
      <w:r>
        <w:t xml:space="preserve"> </w:t>
      </w:r>
      <w:r>
        <w:t xml:space="preserve">25</w:t>
      </w:r>
      <w:r>
        <w:t xml:space="preserve"> </w:t>
      </w:r>
      <w:r>
        <w:t xml:space="preserve">25</w:t>
      </w:r>
      <w:r>
        <w:t xml:space="preserve"> </w:t>
      </w:r>
      <w:r>
        <w:t xml:space="preserve">25</w:t>
      </w:r>
    </w:p>
    <w:p>
      <w:pPr>
        <w:pStyle w:val="BodyText"/>
      </w:pPr>
      <w:r>
        <w:t xml:space="preserve">Iceland</w:t>
      </w:r>
      <w:r>
        <w:t xml:space="preserve"> </w:t>
      </w:r>
      <w:r>
        <w:t xml:space="preserve">14</w:t>
      </w:r>
      <w:r>
        <w:t xml:space="preserve"> </w:t>
      </w:r>
      <w:r>
        <w:t xml:space="preserve">13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br/>
      </w:r>
      <w:r>
        <w:t xml:space="preserve">10*</w:t>
      </w:r>
      <w:r>
        <w:br/>
      </w:r>
      <w:r>
        <w:t xml:space="preserve">Liechtenstein</w:t>
      </w:r>
    </w:p>
    <w:p>
      <w:pPr>
        <w:pStyle w:val="BodyText"/>
      </w:pPr>
      <w:r>
        <w:t xml:space="preserve">Norway</w:t>
      </w:r>
      <w:r>
        <w:t xml:space="preserve"> </w:t>
      </w:r>
      <w:r>
        <w:t xml:space="preserve">32</w:t>
      </w:r>
      <w:r>
        <w:t xml:space="preserve"> </w:t>
      </w:r>
      <w:r>
        <w:t xml:space="preserve">37</w:t>
      </w:r>
      <w:r>
        <w:t xml:space="preserve"> </w:t>
      </w:r>
      <w:r>
        <w:t xml:space="preserve">32</w:t>
      </w:r>
      <w:r>
        <w:t xml:space="preserve"> </w:t>
      </w:r>
      <w:r>
        <w:t xml:space="preserve">34</w:t>
      </w:r>
      <w:r>
        <w:t xml:space="preserve"> </w:t>
      </w:r>
      <w:r>
        <w:t xml:space="preserve">25</w:t>
      </w:r>
      <w:r>
        <w:t xml:space="preserve"> </w:t>
      </w:r>
      <w:r>
        <w:t xml:space="preserve">Switzerland</w:t>
      </w:r>
      <w:r>
        <w:t xml:space="preserve"> </w:t>
      </w:r>
      <w:r>
        <w:t xml:space="preserve">32</w:t>
      </w:r>
      <w:r>
        <w:t xml:space="preserve"> </w:t>
      </w:r>
      <w:r>
        <w:t xml:space="preserve">30</w:t>
      </w:r>
      <w:r>
        <w:t xml:space="preserve"> </w:t>
      </w:r>
      <w:r>
        <w:t xml:space="preserve">28</w:t>
      </w:r>
      <w:r>
        <w:t xml:space="preserve"> </w:t>
      </w:r>
      <w:r>
        <w:t xml:space="preserve">30*</w:t>
      </w:r>
      <w:r>
        <w:t xml:space="preserve"> </w:t>
      </w:r>
      <w:r>
        <w:t xml:space="preserve">31*</w:t>
      </w:r>
      <w:r>
        <w:t xml:space="preserve"> </w:t>
      </w:r>
      <w:r>
        <w:t xml:space="preserve">Total EU27 + EEA/ EFTA</w:t>
      </w:r>
      <w:r>
        <w:t xml:space="preserve"> </w:t>
      </w:r>
      <w:r>
        <w:t xml:space="preserve">5,332</w:t>
      </w:r>
      <w:r>
        <w:t xml:space="preserve"> </w:t>
      </w:r>
      <w:r>
        <w:t xml:space="preserve">5,448</w:t>
      </w:r>
      <w:r>
        <w:t xml:space="preserve"> </w:t>
      </w:r>
      <w:r>
        <w:t xml:space="preserve">5,826</w:t>
      </w:r>
      <w:r>
        <w:t xml:space="preserve"> </w:t>
      </w:r>
      <w:r>
        <w:t xml:space="preserve">6,067</w:t>
      </w:r>
      <w:r>
        <w:t xml:space="preserve"> </w:t>
      </w:r>
      <w:r>
        <w:t xml:space="preserve">6,313</w:t>
      </w:r>
      <w:r>
        <w:t xml:space="preserve"> </w:t>
      </w:r>
      <w:r>
        <w:t xml:space="preserve">Total EU-27 + EEA/EFTA (# of countries with data</w:t>
      </w:r>
      <w:r>
        <w:t xml:space="preserve"> </w:t>
      </w:r>
      <w:r>
        <w:t xml:space="preserve">available)</w:t>
      </w:r>
      <w:r>
        <w:t xml:space="preserve"> </w:t>
      </w:r>
      <w:r>
        <w:t xml:space="preserve">27</w:t>
      </w:r>
      <w:r>
        <w:t xml:space="preserve"> </w:t>
      </w:r>
      <w:r>
        <w:t xml:space="preserve">27</w:t>
      </w:r>
      <w:r>
        <w:t xml:space="preserve"> </w:t>
      </w:r>
      <w:r>
        <w:t xml:space="preserve">28</w:t>
      </w:r>
      <w:r>
        <w:t xml:space="preserve"> </w:t>
      </w:r>
      <w:r>
        <w:t xml:space="preserve">28</w:t>
      </w:r>
      <w:r>
        <w:t xml:space="preserve"> </w:t>
      </w:r>
      <w:r>
        <w:t xml:space="preserve">28</w:t>
      </w:r>
      <w:r>
        <w:t xml:space="preserve"> </w:t>
      </w:r>
      <w:r>
        <w:t xml:space="preserve">Source: Eurostat SBS.</w:t>
      </w:r>
      <w:r>
        <w:t xml:space="preserve"> </w:t>
      </w:r>
      <w:r>
        <w:t xml:space="preserve">* Data imputations developed for the following data points and years: IT (2020), IS (2020), and CH</w:t>
      </w:r>
      <w:r>
        <w:t xml:space="preserve"> </w:t>
      </w:r>
      <w:r>
        <w:t xml:space="preserve">(2019-2020).</w:t>
      </w:r>
      <w:r>
        <w:t xml:space="preserve"> </w:t>
      </w:r>
      <w:r>
        <w:t xml:space="preserve">Table 4: Turnover generated in the European toys industry in million EUR (disaggregated among EU-27 and EEA/ EFTA</w:t>
      </w:r>
      <w:r>
        <w:t xml:space="preserve"> </w:t>
      </w:r>
      <w:r>
        <w:t xml:space="preserve">countries)</w:t>
      </w:r>
    </w:p>
    <w:p>
      <w:pPr>
        <w:pStyle w:val="BodyText"/>
      </w:pP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(p)</w:t>
      </w:r>
      <w:r>
        <w:t xml:space="preserve"> </w:t>
      </w:r>
      <w:r>
        <w:t xml:space="preserve">European Union - 27 countries (from 2020)</w:t>
      </w:r>
    </w:p>
    <w:p>
      <w:pPr>
        <w:pStyle w:val="BodyText"/>
      </w:pPr>
      <w:r>
        <w:t xml:space="preserve">European Union - 28 countries (2013-2020)</w:t>
      </w:r>
    </w:p>
    <w:p>
      <w:pPr>
        <w:pStyle w:val="BodyText"/>
      </w:pPr>
      <w:r>
        <w:t xml:space="preserve">Belgium</w:t>
      </w:r>
      <w:r>
        <w:t xml:space="preserve"> </w:t>
      </w:r>
      <w:r>
        <w:t xml:space="preserve">128.7</w:t>
      </w:r>
      <w:r>
        <w:t xml:space="preserve"> </w:t>
      </w:r>
      <w:r>
        <w:t xml:space="preserve">119.0</w:t>
      </w:r>
      <w:r>
        <w:t xml:space="preserve"> </w:t>
      </w:r>
      <w:r>
        <w:t xml:space="preserve">144.0</w:t>
      </w:r>
      <w:r>
        <w:t xml:space="preserve"> </w:t>
      </w:r>
      <w:r>
        <w:t xml:space="preserve">137.0</w:t>
      </w:r>
      <w:r>
        <w:t xml:space="preserve"> </w:t>
      </w:r>
      <w:r>
        <w:t xml:space="preserve">134.5</w:t>
      </w:r>
      <w:r>
        <w:t xml:space="preserve"> </w:t>
      </w:r>
      <w:r>
        <w:t xml:space="preserve">Bulgaria</w:t>
      </w:r>
      <w:r>
        <w:t xml:space="preserve"> </w:t>
      </w:r>
      <w:r>
        <w:t xml:space="preserve">210.7</w:t>
      </w:r>
      <w:r>
        <w:t xml:space="preserve"> </w:t>
      </w:r>
      <w:r>
        <w:t xml:space="preserve">236.7</w:t>
      </w:r>
      <w:r>
        <w:t xml:space="preserve"> </w:t>
      </w:r>
      <w:r>
        <w:t xml:space="preserve">228.6</w:t>
      </w:r>
      <w:r>
        <w:t xml:space="preserve"> </w:t>
      </w:r>
      <w:r>
        <w:t xml:space="preserve">287.9</w:t>
      </w:r>
      <w:r>
        <w:t xml:space="preserve"> </w:t>
      </w:r>
      <w:r>
        <w:t xml:space="preserve">175.0</w:t>
      </w:r>
      <w:r>
        <w:t xml:space="preserve"> </w:t>
      </w:r>
      <w:r>
        <w:t xml:space="preserve">Czechia</w:t>
      </w:r>
      <w:r>
        <w:t xml:space="preserve"> </w:t>
      </w:r>
      <w:r>
        <w:t xml:space="preserve">850.9</w:t>
      </w:r>
      <w:r>
        <w:t xml:space="preserve"> </w:t>
      </w:r>
      <w:r>
        <w:t xml:space="preserve">790.8</w:t>
      </w:r>
      <w:r>
        <w:t xml:space="preserve"> </w:t>
      </w:r>
      <w:r>
        <w:t xml:space="preserve">850.5</w:t>
      </w:r>
      <w:r>
        <w:t xml:space="preserve"> </w:t>
      </w:r>
      <w:r>
        <w:t xml:space="preserve">861.6</w:t>
      </w:r>
      <w:r>
        <w:t xml:space="preserve"> </w:t>
      </w:r>
      <w:r>
        <w:t xml:space="preserve">898.2</w:t>
      </w:r>
      <w:r>
        <w:t xml:space="preserve"> </w:t>
      </w:r>
      <w:r>
        <w:t xml:space="preserve">Denmark</w:t>
      </w:r>
    </w:p>
    <w:p>
      <w:pPr>
        <w:pStyle w:val="BodyText"/>
      </w:pPr>
      <w:r>
        <w:t xml:space="preserve">Germany (until 1990 former territory of the FRG)</w:t>
      </w:r>
      <w:r>
        <w:t xml:space="preserve"> </w:t>
      </w:r>
      <w:r>
        <w:t xml:space="preserve">2,939.5</w:t>
      </w:r>
      <w:r>
        <w:t xml:space="preserve"> </w:t>
      </w:r>
      <w:r>
        <w:t xml:space="preserve">3,067.1</w:t>
      </w:r>
      <w:r>
        <w:t xml:space="preserve"> </w:t>
      </w:r>
      <w:r>
        <w:t xml:space="preserve">4,191.8</w:t>
      </w:r>
      <w:r>
        <w:t xml:space="preserve"> </w:t>
      </w:r>
      <w:r>
        <w:t xml:space="preserve">3,915.2</w:t>
      </w:r>
      <w:r>
        <w:t xml:space="preserve"> </w:t>
      </w:r>
      <w:r>
        <w:t xml:space="preserve">2,608.2</w:t>
      </w:r>
      <w:r>
        <w:t xml:space="preserve"> </w:t>
      </w:r>
      <w:r>
        <w:t xml:space="preserve">Estonia</w:t>
      </w:r>
      <w:r>
        <w:t xml:space="preserve"> </w:t>
      </w:r>
      <w:r>
        <w:t xml:space="preserve">1.3</w:t>
      </w:r>
      <w:r>
        <w:t xml:space="preserve"> </w:t>
      </w:r>
      <w:r>
        <w:t xml:space="preserve">1.1</w:t>
      </w:r>
    </w:p>
    <w:p>
      <w:pPr>
        <w:pStyle w:val="BodyText"/>
      </w:pPr>
      <w:r>
        <w:t xml:space="preserve">0.8</w:t>
      </w:r>
      <w:r>
        <w:t xml:space="preserve"> </w:t>
      </w:r>
      <w:r>
        <w:t xml:space="preserve">Ireland</w:t>
      </w:r>
    </w:p>
    <w:p>
      <w:pPr>
        <w:pStyle w:val="BodyText"/>
      </w:pPr>
      <w:r>
        <w:t xml:space="preserve">Greece</w:t>
      </w:r>
      <w:r>
        <w:t xml:space="preserve"> </w:t>
      </w:r>
      <w:r>
        <w:t xml:space="preserve">14.6</w:t>
      </w:r>
      <w:r>
        <w:t xml:space="preserve"> </w:t>
      </w:r>
      <w:r>
        <w:t xml:space="preserve">13.9</w:t>
      </w:r>
      <w:r>
        <w:t xml:space="preserve"> </w:t>
      </w:r>
      <w:r>
        <w:t xml:space="preserve">13.9</w:t>
      </w:r>
      <w:r>
        <w:t xml:space="preserve"> </w:t>
      </w:r>
      <w:r>
        <w:t xml:space="preserve">15.0</w:t>
      </w:r>
      <w:r>
        <w:t xml:space="preserve"> </w:t>
      </w:r>
      <w:r>
        <w:t xml:space="preserve">13.6</w:t>
      </w:r>
      <w:r>
        <w:t xml:space="preserve"> </w:t>
      </w:r>
      <w:r>
        <w:t xml:space="preserve">Spain</w:t>
      </w:r>
      <w:r>
        <w:t xml:space="preserve"> </w:t>
      </w:r>
      <w:r>
        <w:t xml:space="preserve">552.1</w:t>
      </w:r>
      <w:r>
        <w:t xml:space="preserve"> </w:t>
      </w:r>
      <w:r>
        <w:t xml:space="preserve">548.2</w:t>
      </w:r>
      <w:r>
        <w:t xml:space="preserve"> </w:t>
      </w:r>
      <w:r>
        <w:t xml:space="preserve">574.7</w:t>
      </w:r>
      <w:r>
        <w:t xml:space="preserve"> </w:t>
      </w:r>
      <w:r>
        <w:t xml:space="preserve">592.4</w:t>
      </w:r>
      <w:r>
        <w:t xml:space="preserve"> </w:t>
      </w:r>
      <w:r>
        <w:t xml:space="preserve">546.4</w:t>
      </w:r>
      <w:r>
        <w:t xml:space="preserve"> </w:t>
      </w:r>
      <w:r>
        <w:t xml:space="preserve">France</w:t>
      </w:r>
      <w:r>
        <w:t xml:space="preserve"> </w:t>
      </w:r>
      <w:r>
        <w:t xml:space="preserve">448.7</w:t>
      </w:r>
      <w:r>
        <w:t xml:space="preserve"> </w:t>
      </w:r>
      <w:r>
        <w:t xml:space="preserve">357.0</w:t>
      </w:r>
      <w:r>
        <w:t xml:space="preserve"> </w:t>
      </w:r>
      <w:r>
        <w:t xml:space="preserve">457.3</w:t>
      </w:r>
      <w:r>
        <w:t xml:space="preserve"> </w:t>
      </w:r>
      <w:r>
        <w:t xml:space="preserve">447.1</w:t>
      </w:r>
      <w:r>
        <w:t xml:space="preserve"> </w:t>
      </w:r>
      <w:r>
        <w:t xml:space="preserve">421.5</w:t>
      </w:r>
      <w:r>
        <w:t xml:space="preserve"> </w:t>
      </w:r>
      <w:r>
        <w:t xml:space="preserve">Croatia</w:t>
      </w:r>
    </w:p>
    <w:p>
      <w:pPr>
        <w:pStyle w:val="BodyText"/>
      </w:pPr>
      <w:r>
        <w:t xml:space="preserve">11.0</w:t>
      </w:r>
      <w:r>
        <w:t xml:space="preserve"> </w:t>
      </w:r>
      <w:r>
        <w:t xml:space="preserve">7.4</w:t>
      </w:r>
      <w:r>
        <w:t xml:space="preserve"> </w:t>
      </w:r>
      <w:r>
        <w:t xml:space="preserve">7.3</w:t>
      </w:r>
      <w:r>
        <w:t xml:space="preserve"> </w:t>
      </w:r>
      <w:r>
        <w:t xml:space="preserve">5.4</w:t>
      </w:r>
      <w:r>
        <w:t xml:space="preserve"> </w:t>
      </w:r>
      <w:r>
        <w:t xml:space="preserve">Italy</w:t>
      </w:r>
      <w:r>
        <w:t xml:space="preserve"> </w:t>
      </w:r>
      <w:r>
        <w:t xml:space="preserve">674.9</w:t>
      </w:r>
      <w:r>
        <w:t xml:space="preserve"> </w:t>
      </w:r>
      <w:r>
        <w:t xml:space="preserve">581.1</w:t>
      </w:r>
      <w:r>
        <w:t xml:space="preserve"> </w:t>
      </w:r>
      <w:r>
        <w:t xml:space="preserve">516.6</w:t>
      </w:r>
      <w:r>
        <w:t xml:space="preserve"> </w:t>
      </w:r>
      <w:r>
        <w:t xml:space="preserve">589.1</w:t>
      </w:r>
      <w:r>
        <w:t xml:space="preserve"> </w:t>
      </w:r>
      <w:r>
        <w:t xml:space="preserve">560.1</w:t>
      </w:r>
      <w:r>
        <w:t xml:space="preserve"> </w:t>
      </w:r>
      <w:r>
        <w:t xml:space="preserve">Cyprus</w:t>
      </w:r>
    </w:p>
    <w:p>
      <w:pPr>
        <w:pStyle w:val="BodyText"/>
      </w:pPr>
      <w:r>
        <w:t xml:space="preserve">4.7</w:t>
      </w:r>
      <w:r>
        <w:t xml:space="preserve"> </w:t>
      </w:r>
      <w:r>
        <w:t xml:space="preserve">4.5</w:t>
      </w:r>
      <w:r>
        <w:t xml:space="preserve"> </w:t>
      </w:r>
      <w:r>
        <w:t xml:space="preserve">2.6</w:t>
      </w:r>
      <w:r>
        <w:t xml:space="preserve"> </w:t>
      </w:r>
      <w:r>
        <w:t xml:space="preserve">Latvia</w:t>
      </w:r>
      <w:r>
        <w:t xml:space="preserve"> </w:t>
      </w:r>
      <w:r>
        <w:t xml:space="preserve">5.5</w:t>
      </w:r>
      <w:r>
        <w:t xml:space="preserve"> </w:t>
      </w:r>
      <w:r>
        <w:t xml:space="preserve">6.2</w:t>
      </w:r>
      <w:r>
        <w:t xml:space="preserve"> </w:t>
      </w:r>
      <w:r>
        <w:t xml:space="preserve">5.9</w:t>
      </w:r>
      <w:r>
        <w:t xml:space="preserve"> </w:t>
      </w:r>
      <w:r>
        <w:t xml:space="preserve">6.0</w:t>
      </w:r>
      <w:r>
        <w:t xml:space="preserve"> </w:t>
      </w:r>
      <w:r>
        <w:t xml:space="preserve">7.7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89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(p)</w:t>
      </w:r>
      <w:r>
        <w:t xml:space="preserve"> </w:t>
      </w:r>
      <w:r>
        <w:t xml:space="preserve">Lithuania</w:t>
      </w:r>
      <w:r>
        <w:t xml:space="preserve"> </w:t>
      </w:r>
      <w:r>
        <w:t xml:space="preserve">3.0</w:t>
      </w:r>
      <w:r>
        <w:t xml:space="preserve"> </w:t>
      </w:r>
      <w:r>
        <w:t xml:space="preserve">3.5</w:t>
      </w:r>
      <w:r>
        <w:t xml:space="preserve"> </w:t>
      </w:r>
      <w:r>
        <w:t xml:space="preserve">4.1</w:t>
      </w:r>
      <w:r>
        <w:t xml:space="preserve"> </w:t>
      </w:r>
      <w:r>
        <w:t xml:space="preserve">6.1</w:t>
      </w:r>
      <w:r>
        <w:t xml:space="preserve"> </w:t>
      </w:r>
      <w:r>
        <w:t xml:space="preserve">6.3</w:t>
      </w:r>
      <w:r>
        <w:t xml:space="preserve"> </w:t>
      </w:r>
      <w:r>
        <w:t xml:space="preserve">Luxembourg</w:t>
      </w:r>
    </w:p>
    <w:p>
      <w:pPr>
        <w:pStyle w:val="BodyText"/>
      </w:pPr>
      <w:r>
        <w:t xml:space="preserve">Hungary</w:t>
      </w:r>
      <w:r>
        <w:t xml:space="preserve"> </w:t>
      </w:r>
      <w:r>
        <w:t xml:space="preserve">170.8</w:t>
      </w:r>
      <w:r>
        <w:t xml:space="preserve"> </w:t>
      </w:r>
      <w:r>
        <w:t xml:space="preserve">184.5</w:t>
      </w:r>
      <w:r>
        <w:t xml:space="preserve"> </w:t>
      </w:r>
      <w:r>
        <w:t xml:space="preserve">175.7</w:t>
      </w:r>
      <w:r>
        <w:t xml:space="preserve"> </w:t>
      </w:r>
      <w:r>
        <w:t xml:space="preserve">180.8</w:t>
      </w:r>
      <w:r>
        <w:t xml:space="preserve"> </w:t>
      </w:r>
      <w:r>
        <w:t xml:space="preserve">198.1</w:t>
      </w:r>
      <w:r>
        <w:t xml:space="preserve"> </w:t>
      </w:r>
      <w:r>
        <w:t xml:space="preserve">Malta</w:t>
      </w:r>
    </w:p>
    <w:p>
      <w:pPr>
        <w:pStyle w:val="BodyText"/>
      </w:pPr>
      <w:r>
        <w:t xml:space="preserve">Netherlands</w:t>
      </w:r>
    </w:p>
    <w:p>
      <w:pPr>
        <w:pStyle w:val="BodyText"/>
      </w:pPr>
      <w:r>
        <w:t xml:space="preserve">Austria</w:t>
      </w:r>
      <w:r>
        <w:t xml:space="preserve"> </w:t>
      </w:r>
      <w:r>
        <w:t xml:space="preserve">523.3</w:t>
      </w:r>
      <w:r>
        <w:t xml:space="preserve"> </w:t>
      </w:r>
      <w:r>
        <w:t xml:space="preserve">567.8</w:t>
      </w:r>
      <w:r>
        <w:t xml:space="preserve"> </w:t>
      </w:r>
      <w:r>
        <w:t xml:space="preserve">775.8</w:t>
      </w:r>
      <w:r>
        <w:t xml:space="preserve"> </w:t>
      </w:r>
      <w:r>
        <w:t xml:space="preserve">601.6</w:t>
      </w:r>
      <w:r>
        <w:t xml:space="preserve"> </w:t>
      </w:r>
      <w:r>
        <w:t xml:space="preserve">453.0</w:t>
      </w:r>
      <w:r>
        <w:t xml:space="preserve"> </w:t>
      </w:r>
      <w:r>
        <w:t xml:space="preserve">Poland</w:t>
      </w:r>
      <w:r>
        <w:t xml:space="preserve"> </w:t>
      </w:r>
      <w:r>
        <w:t xml:space="preserve">208.9</w:t>
      </w:r>
      <w:r>
        <w:t xml:space="preserve"> </w:t>
      </w:r>
      <w:r>
        <w:t xml:space="preserve">237.1</w:t>
      </w:r>
      <w:r>
        <w:t xml:space="preserve"> </w:t>
      </w:r>
      <w:r>
        <w:t xml:space="preserve">247.0</w:t>
      </w:r>
      <w:r>
        <w:t xml:space="preserve"> </w:t>
      </w:r>
      <w:r>
        <w:t xml:space="preserve">268.4</w:t>
      </w:r>
      <w:r>
        <w:t xml:space="preserve"> </w:t>
      </w:r>
      <w:r>
        <w:t xml:space="preserve">296.3</w:t>
      </w:r>
      <w:r>
        <w:t xml:space="preserve"> </w:t>
      </w:r>
      <w:r>
        <w:t xml:space="preserve">Portugal</w:t>
      </w:r>
      <w:r>
        <w:t xml:space="preserve"> </w:t>
      </w:r>
      <w:r>
        <w:t xml:space="preserve">5.2</w:t>
      </w:r>
      <w:r>
        <w:t xml:space="preserve"> </w:t>
      </w:r>
      <w:r>
        <w:t xml:space="preserve">3.0</w:t>
      </w:r>
      <w:r>
        <w:t xml:space="preserve"> </w:t>
      </w:r>
      <w:r>
        <w:t xml:space="preserve">4.5</w:t>
      </w:r>
      <w:r>
        <w:t xml:space="preserve"> </w:t>
      </w:r>
      <w:r>
        <w:t xml:space="preserve">5.8</w:t>
      </w:r>
      <w:r>
        <w:t xml:space="preserve"> </w:t>
      </w:r>
      <w:r>
        <w:t xml:space="preserve">8.8</w:t>
      </w:r>
      <w:r>
        <w:t xml:space="preserve"> </w:t>
      </w:r>
      <w:r>
        <w:t xml:space="preserve">Romania</w:t>
      </w:r>
      <w:r>
        <w:t xml:space="preserve"> </w:t>
      </w:r>
      <w:r>
        <w:t xml:space="preserve">39.0</w:t>
      </w:r>
      <w:r>
        <w:t xml:space="preserve"> </w:t>
      </w:r>
      <w:r>
        <w:t xml:space="preserve">42.3</w:t>
      </w:r>
      <w:r>
        <w:t xml:space="preserve"> </w:t>
      </w:r>
      <w:r>
        <w:t xml:space="preserve">88.5</w:t>
      </w:r>
      <w:r>
        <w:t xml:space="preserve"> </w:t>
      </w:r>
      <w:r>
        <w:t xml:space="preserve">97.1</w:t>
      </w:r>
      <w:r>
        <w:t xml:space="preserve"> </w:t>
      </w:r>
      <w:r>
        <w:t xml:space="preserve">42.8</w:t>
      </w:r>
      <w:r>
        <w:t xml:space="preserve"> </w:t>
      </w:r>
      <w:r>
        <w:t xml:space="preserve">Slovenia</w:t>
      </w:r>
      <w:r>
        <w:t xml:space="preserve"> </w:t>
      </w:r>
      <w:r>
        <w:t xml:space="preserve">118.7</w:t>
      </w:r>
      <w:r>
        <w:t xml:space="preserve"> </w:t>
      </w:r>
      <w:r>
        <w:t xml:space="preserve">134.5</w:t>
      </w:r>
      <w:r>
        <w:t xml:space="preserve"> </w:t>
      </w:r>
      <w:r>
        <w:t xml:space="preserve">118.3</w:t>
      </w:r>
      <w:r>
        <w:t xml:space="preserve"> </w:t>
      </w:r>
      <w:r>
        <w:t xml:space="preserve">136.5</w:t>
      </w:r>
      <w:r>
        <w:t xml:space="preserve"> </w:t>
      </w:r>
      <w:r>
        <w:t xml:space="preserve">75.6</w:t>
      </w:r>
      <w:r>
        <w:t xml:space="preserve"> </w:t>
      </w:r>
      <w:r>
        <w:t xml:space="preserve">Slovakia</w:t>
      </w:r>
      <w:r>
        <w:t xml:space="preserve"> </w:t>
      </w:r>
      <w:r>
        <w:t xml:space="preserve">62.9</w:t>
      </w:r>
      <w:r>
        <w:t xml:space="preserve"> </w:t>
      </w:r>
      <w:r>
        <w:t xml:space="preserve">34.3</w:t>
      </w:r>
      <w:r>
        <w:t xml:space="preserve"> </w:t>
      </w:r>
      <w:r>
        <w:t xml:space="preserve">33.3</w:t>
      </w:r>
      <w:r>
        <w:t xml:space="preserve"> </w:t>
      </w:r>
      <w:r>
        <w:t xml:space="preserve">33.1</w:t>
      </w:r>
      <w:r>
        <w:t xml:space="preserve"> </w:t>
      </w:r>
      <w:r>
        <w:t xml:space="preserve">29.0</w:t>
      </w:r>
      <w:r>
        <w:t xml:space="preserve"> </w:t>
      </w:r>
      <w:r>
        <w:t xml:space="preserve">Finland</w:t>
      </w:r>
      <w:r>
        <w:t xml:space="preserve"> </w:t>
      </w:r>
      <w:r>
        <w:t xml:space="preserve">33.1</w:t>
      </w:r>
      <w:r>
        <w:t xml:space="preserve"> </w:t>
      </w:r>
      <w:r>
        <w:t xml:space="preserve">30.0</w:t>
      </w:r>
      <w:r>
        <w:t xml:space="preserve"> </w:t>
      </w:r>
      <w:r>
        <w:t xml:space="preserve">29.0</w:t>
      </w:r>
      <w:r>
        <w:t xml:space="preserve"> </w:t>
      </w:r>
      <w:r>
        <w:t xml:space="preserve">29.1</w:t>
      </w:r>
      <w:r>
        <w:t xml:space="preserve"> </w:t>
      </w:r>
      <w:r>
        <w:t xml:space="preserve">31.1</w:t>
      </w:r>
      <w:r>
        <w:t xml:space="preserve"> </w:t>
      </w:r>
      <w:r>
        <w:t xml:space="preserve">Sweden</w:t>
      </w:r>
      <w:r>
        <w:t xml:space="preserve"> </w:t>
      </w:r>
      <w:r>
        <w:t xml:space="preserve">33.2</w:t>
      </w:r>
      <w:r>
        <w:t xml:space="preserve"> </w:t>
      </w:r>
      <w:r>
        <w:t xml:space="preserve">32.6</w:t>
      </w:r>
      <w:r>
        <w:t xml:space="preserve"> </w:t>
      </w:r>
      <w:r>
        <w:t xml:space="preserve">28.3</w:t>
      </w:r>
      <w:r>
        <w:t xml:space="preserve"> </w:t>
      </w:r>
      <w:r>
        <w:t xml:space="preserve">31.3</w:t>
      </w:r>
      <w:r>
        <w:t xml:space="preserve"> </w:t>
      </w:r>
      <w:r>
        <w:t xml:space="preserve">41.3</w:t>
      </w:r>
      <w:r>
        <w:t xml:space="preserve"> </w:t>
      </w:r>
      <w:r>
        <w:t xml:space="preserve">Total EU-27</w:t>
      </w:r>
      <w:r>
        <w:t xml:space="preserve"> </w:t>
      </w:r>
      <w:r>
        <w:t xml:space="preserve">7,025</w:t>
      </w:r>
      <w:r>
        <w:t xml:space="preserve"> </w:t>
      </w:r>
      <w:r>
        <w:t xml:space="preserve">7,002</w:t>
      </w:r>
      <w:r>
        <w:t xml:space="preserve"> </w:t>
      </w:r>
      <w:r>
        <w:t xml:space="preserve">8,500</w:t>
      </w:r>
      <w:r>
        <w:t xml:space="preserve"> </w:t>
      </w:r>
      <w:r>
        <w:t xml:space="preserve">8,253</w:t>
      </w:r>
      <w:r>
        <w:t xml:space="preserve"> </w:t>
      </w:r>
      <w:r>
        <w:t xml:space="preserve">6,556</w:t>
      </w:r>
      <w:r>
        <w:t xml:space="preserve"> </w:t>
      </w:r>
      <w:r>
        <w:t xml:space="preserve">Total EU-27 (# of countries with data available)</w:t>
      </w:r>
      <w:r>
        <w:t xml:space="preserve"> </w:t>
      </w:r>
      <w:r>
        <w:t xml:space="preserve">20</w:t>
      </w:r>
      <w:r>
        <w:t xml:space="preserve"> </w:t>
      </w:r>
      <w:r>
        <w:t xml:space="preserve">21</w:t>
      </w:r>
      <w:r>
        <w:t xml:space="preserve"> </w:t>
      </w:r>
      <w:r>
        <w:t xml:space="preserve">21</w:t>
      </w:r>
      <w:r>
        <w:t xml:space="preserve"> </w:t>
      </w:r>
      <w:r>
        <w:t xml:space="preserve">21</w:t>
      </w:r>
      <w:r>
        <w:t xml:space="preserve"> </w:t>
      </w:r>
      <w:r>
        <w:t xml:space="preserve">22</w:t>
      </w:r>
    </w:p>
    <w:p>
      <w:pPr>
        <w:pStyle w:val="BodyText"/>
      </w:pPr>
      <w:r>
        <w:t xml:space="preserve">Iceland</w:t>
      </w:r>
      <w:r>
        <w:t xml:space="preserve"> </w:t>
      </w:r>
      <w:r>
        <w:t xml:space="preserve">0.4</w:t>
      </w:r>
      <w:r>
        <w:t xml:space="preserve"> </w:t>
      </w:r>
      <w:r>
        <w:t xml:space="preserve">3.1</w:t>
      </w:r>
      <w:r>
        <w:t xml:space="preserve"> </w:t>
      </w:r>
      <w:r>
        <w:t xml:space="preserve">2.7</w:t>
      </w:r>
    </w:p>
    <w:p>
      <w:pPr>
        <w:pStyle w:val="BodyText"/>
      </w:pPr>
      <w:r>
        <w:t xml:space="preserve">Liechtenstein</w:t>
      </w:r>
    </w:p>
    <w:p>
      <w:pPr>
        <w:pStyle w:val="BodyText"/>
      </w:pPr>
      <w:r>
        <w:t xml:space="preserve">Norway</w:t>
      </w:r>
      <w:r>
        <w:t xml:space="preserve"> </w:t>
      </w:r>
      <w:r>
        <w:t xml:space="preserve">2.5</w:t>
      </w:r>
      <w:r>
        <w:t xml:space="preserve"> </w:t>
      </w:r>
      <w:r>
        <w:t xml:space="preserve">2.2</w:t>
      </w:r>
    </w:p>
    <w:p>
      <w:pPr>
        <w:pStyle w:val="BodyText"/>
      </w:pPr>
      <w:r>
        <w:t xml:space="preserve">2.1</w:t>
      </w:r>
      <w:r>
        <w:t xml:space="preserve"> </w:t>
      </w:r>
      <w:r>
        <w:t xml:space="preserve">1.7</w:t>
      </w:r>
      <w:r>
        <w:t xml:space="preserve"> </w:t>
      </w:r>
      <w:r>
        <w:t xml:space="preserve">Switzerland</w:t>
      </w:r>
    </w:p>
    <w:p>
      <w:pPr>
        <w:pStyle w:val="BodyText"/>
      </w:pPr>
      <w:r>
        <w:t xml:space="preserve">63.2</w:t>
      </w:r>
    </w:p>
    <w:p>
      <w:pPr>
        <w:pStyle w:val="BodyText"/>
      </w:pPr>
      <w:r>
        <w:t xml:space="preserve">Total EU-27 + EEA/EFTA</w:t>
      </w:r>
      <w:r>
        <w:t xml:space="preserve"> </w:t>
      </w:r>
      <w:r>
        <w:t xml:space="preserve">7,028</w:t>
      </w:r>
      <w:r>
        <w:t xml:space="preserve"> </w:t>
      </w:r>
      <w:r>
        <w:t xml:space="preserve">7,070</w:t>
      </w:r>
      <w:r>
        <w:t xml:space="preserve"> </w:t>
      </w:r>
      <w:r>
        <w:t xml:space="preserve">8,503</w:t>
      </w:r>
      <w:r>
        <w:t xml:space="preserve"> </w:t>
      </w:r>
      <w:r>
        <w:t xml:space="preserve">8,255</w:t>
      </w:r>
      <w:r>
        <w:t xml:space="preserve"> </w:t>
      </w:r>
      <w:r>
        <w:t xml:space="preserve">6,558</w:t>
      </w:r>
      <w:r>
        <w:t xml:space="preserve"> </w:t>
      </w:r>
      <w:r>
        <w:t xml:space="preserve">Total EU-27 + EEA/EFTA (# of countries with data</w:t>
      </w:r>
      <w:r>
        <w:t xml:space="preserve"> </w:t>
      </w:r>
      <w:r>
        <w:t xml:space="preserve">available)</w:t>
      </w:r>
      <w:r>
        <w:t xml:space="preserve"> </w:t>
      </w:r>
      <w:r>
        <w:t xml:space="preserve">22</w:t>
      </w:r>
      <w:r>
        <w:t xml:space="preserve"> </w:t>
      </w:r>
      <w:r>
        <w:t xml:space="preserve">24</w:t>
      </w:r>
      <w:r>
        <w:t xml:space="preserve"> </w:t>
      </w:r>
      <w:r>
        <w:t xml:space="preserve">22</w:t>
      </w:r>
      <w:r>
        <w:t xml:space="preserve"> </w:t>
      </w:r>
      <w:r>
        <w:t xml:space="preserve">22</w:t>
      </w:r>
      <w:r>
        <w:t xml:space="preserve"> </w:t>
      </w:r>
      <w:r>
        <w:t xml:space="preserve">23</w:t>
      </w:r>
      <w:r>
        <w:t xml:space="preserve"> </w:t>
      </w:r>
      <w:r>
        <w:t xml:space="preserve">Source: Eurostat SBS.</w:t>
      </w:r>
      <w:r>
        <w:t xml:space="preserve"> </w:t>
      </w:r>
      <w:r>
        <w:t xml:space="preserve">Table 5: Production value in billion EUR</w:t>
      </w:r>
    </w:p>
    <w:p>
      <w:pPr>
        <w:pStyle w:val="BodyText"/>
      </w:pP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(p)</w:t>
      </w:r>
      <w:r>
        <w:t xml:space="preserve"> </w:t>
      </w:r>
      <w:r>
        <w:t xml:space="preserve">European Union – 27 countries (from 2020)</w:t>
      </w:r>
    </w:p>
    <w:p>
      <w:pPr>
        <w:pStyle w:val="BodyText"/>
      </w:pPr>
      <w:r>
        <w:t xml:space="preserve">European Union – 28 countries (2013-2020)</w:t>
      </w:r>
    </w:p>
    <w:p>
      <w:pPr>
        <w:pStyle w:val="BodyText"/>
      </w:pPr>
      <w:r>
        <w:t xml:space="preserve">Belgium</w:t>
      </w:r>
      <w:r>
        <w:t xml:space="preserve"> </w:t>
      </w:r>
      <w:r>
        <w:t xml:space="preserve">127.5</w:t>
      </w:r>
      <w:r>
        <w:t xml:space="preserve"> </w:t>
      </w:r>
      <w:r>
        <w:t xml:space="preserve">112.6</w:t>
      </w:r>
      <w:r>
        <w:t xml:space="preserve"> </w:t>
      </w:r>
      <w:r>
        <w:t xml:space="preserve">133.4</w:t>
      </w:r>
      <w:r>
        <w:t xml:space="preserve"> </w:t>
      </w:r>
      <w:r>
        <w:t xml:space="preserve">130.8</w:t>
      </w:r>
      <w:r>
        <w:t xml:space="preserve"> </w:t>
      </w:r>
      <w:r>
        <w:t xml:space="preserve">130.5</w:t>
      </w:r>
      <w:r>
        <w:t xml:space="preserve"> </w:t>
      </w:r>
      <w:r>
        <w:t xml:space="preserve">Bulgaria</w:t>
      </w:r>
      <w:r>
        <w:t xml:space="preserve"> </w:t>
      </w:r>
      <w:r>
        <w:t xml:space="preserve">219.2</w:t>
      </w:r>
      <w:r>
        <w:t xml:space="preserve"> </w:t>
      </w:r>
      <w:r>
        <w:t xml:space="preserve">242.0</w:t>
      </w:r>
      <w:r>
        <w:t xml:space="preserve"> </w:t>
      </w:r>
      <w:r>
        <w:t xml:space="preserve">229.6</w:t>
      </w:r>
      <w:r>
        <w:t xml:space="preserve"> </w:t>
      </w:r>
      <w:r>
        <w:t xml:space="preserve">290.9</w:t>
      </w:r>
      <w:r>
        <w:t xml:space="preserve"> </w:t>
      </w:r>
      <w:r>
        <w:t xml:space="preserve">175.6</w:t>
      </w:r>
      <w:r>
        <w:t xml:space="preserve"> </w:t>
      </w:r>
      <w:r>
        <w:t xml:space="preserve">Czechia</w:t>
      </w:r>
      <w:r>
        <w:t xml:space="preserve"> </w:t>
      </w:r>
      <w:r>
        <w:t xml:space="preserve">873.6</w:t>
      </w:r>
      <w:r>
        <w:t xml:space="preserve"> </w:t>
      </w:r>
      <w:r>
        <w:t xml:space="preserve">811.7</w:t>
      </w:r>
      <w:r>
        <w:t xml:space="preserve"> </w:t>
      </w:r>
      <w:r>
        <w:t xml:space="preserve">886.1</w:t>
      </w:r>
      <w:r>
        <w:t xml:space="preserve"> </w:t>
      </w:r>
      <w:r>
        <w:t xml:space="preserve">890.1</w:t>
      </w:r>
      <w:r>
        <w:t xml:space="preserve"> </w:t>
      </w:r>
      <w:r>
        <w:t xml:space="preserve">919.6</w:t>
      </w:r>
      <w:r>
        <w:t xml:space="preserve"> </w:t>
      </w:r>
      <w:r>
        <w:t xml:space="preserve">Denmark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90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(p)</w:t>
      </w:r>
      <w:r>
        <w:t xml:space="preserve"> </w:t>
      </w:r>
      <w:r>
        <w:t xml:space="preserve">Germany (until 1990 former territory of the FRG)</w:t>
      </w:r>
      <w:r>
        <w:t xml:space="preserve"> </w:t>
      </w:r>
      <w:r>
        <w:t xml:space="preserve">2,724.6</w:t>
      </w:r>
      <w:r>
        <w:t xml:space="preserve"> </w:t>
      </w:r>
      <w:r>
        <w:t xml:space="preserve">2,884.0</w:t>
      </w:r>
      <w:r>
        <w:t xml:space="preserve"> </w:t>
      </w:r>
      <w:r>
        <w:t xml:space="preserve">3,573.6</w:t>
      </w:r>
      <w:r>
        <w:t xml:space="preserve"> </w:t>
      </w:r>
      <w:r>
        <w:t xml:space="preserve">3,555.8</w:t>
      </w:r>
      <w:r>
        <w:t xml:space="preserve"> </w:t>
      </w:r>
      <w:r>
        <w:t xml:space="preserve">2,462.7</w:t>
      </w:r>
      <w:r>
        <w:t xml:space="preserve"> </w:t>
      </w:r>
      <w:r>
        <w:t xml:space="preserve">Estonia</w:t>
      </w:r>
      <w:r>
        <w:t xml:space="preserve"> </w:t>
      </w:r>
      <w:r>
        <w:t xml:space="preserve">1.4</w:t>
      </w:r>
      <w:r>
        <w:t xml:space="preserve"> </w:t>
      </w:r>
      <w:r>
        <w:t xml:space="preserve">1.1</w:t>
      </w:r>
    </w:p>
    <w:p>
      <w:pPr>
        <w:pStyle w:val="BodyText"/>
      </w:pPr>
      <w:r>
        <w:t xml:space="preserve">0.9</w:t>
      </w:r>
      <w:r>
        <w:t xml:space="preserve"> </w:t>
      </w:r>
      <w:r>
        <w:t xml:space="preserve">Ireland</w:t>
      </w:r>
    </w:p>
    <w:p>
      <w:pPr>
        <w:pStyle w:val="BodyText"/>
      </w:pPr>
      <w:r>
        <w:t xml:space="preserve">Greece</w:t>
      </w:r>
      <w:r>
        <w:t xml:space="preserve"> </w:t>
      </w:r>
      <w:r>
        <w:t xml:space="preserve">10.6</w:t>
      </w:r>
      <w:r>
        <w:t xml:space="preserve"> </w:t>
      </w:r>
      <w:r>
        <w:t xml:space="preserve">8.9</w:t>
      </w:r>
      <w:r>
        <w:t xml:space="preserve"> </w:t>
      </w:r>
      <w:r>
        <w:t xml:space="preserve">9.3</w:t>
      </w:r>
      <w:r>
        <w:t xml:space="preserve"> </w:t>
      </w:r>
      <w:r>
        <w:t xml:space="preserve">10.1</w:t>
      </w:r>
      <w:r>
        <w:t xml:space="preserve"> </w:t>
      </w:r>
      <w:r>
        <w:t xml:space="preserve">9.2</w:t>
      </w:r>
      <w:r>
        <w:t xml:space="preserve"> </w:t>
      </w:r>
      <w:r>
        <w:t xml:space="preserve">Spain</w:t>
      </w:r>
      <w:r>
        <w:t xml:space="preserve"> </w:t>
      </w:r>
      <w:r>
        <w:t xml:space="preserve">522.6</w:t>
      </w:r>
      <w:r>
        <w:t xml:space="preserve"> </w:t>
      </w:r>
      <w:r>
        <w:t xml:space="preserve">525.6</w:t>
      </w:r>
      <w:r>
        <w:t xml:space="preserve"> </w:t>
      </w:r>
      <w:r>
        <w:t xml:space="preserve">536.8</w:t>
      </w:r>
      <w:r>
        <w:t xml:space="preserve"> </w:t>
      </w:r>
      <w:r>
        <w:t xml:space="preserve">550.6</w:t>
      </w:r>
      <w:r>
        <w:t xml:space="preserve"> </w:t>
      </w:r>
      <w:r>
        <w:t xml:space="preserve">491.3</w:t>
      </w:r>
      <w:r>
        <w:t xml:space="preserve"> </w:t>
      </w:r>
      <w:r>
        <w:t xml:space="preserve">France</w:t>
      </w:r>
      <w:r>
        <w:t xml:space="preserve"> </w:t>
      </w:r>
      <w:r>
        <w:t xml:space="preserve">388.5</w:t>
      </w:r>
      <w:r>
        <w:t xml:space="preserve"> </w:t>
      </w:r>
      <w:r>
        <w:t xml:space="preserve">316.7</w:t>
      </w:r>
      <w:r>
        <w:t xml:space="preserve"> </w:t>
      </w:r>
      <w:r>
        <w:t xml:space="preserve">374.4</w:t>
      </w:r>
      <w:r>
        <w:t xml:space="preserve"> </w:t>
      </w:r>
      <w:r>
        <w:t xml:space="preserve">377.2</w:t>
      </w:r>
      <w:r>
        <w:t xml:space="preserve"> </w:t>
      </w:r>
      <w:r>
        <w:t xml:space="preserve">368.6</w:t>
      </w:r>
      <w:r>
        <w:t xml:space="preserve"> </w:t>
      </w:r>
      <w:r>
        <w:t xml:space="preserve">Croatia</w:t>
      </w:r>
    </w:p>
    <w:p>
      <w:pPr>
        <w:pStyle w:val="BodyText"/>
      </w:pPr>
      <w:r>
        <w:t xml:space="preserve">9.3</w:t>
      </w:r>
      <w:r>
        <w:t xml:space="preserve"> </w:t>
      </w:r>
      <w:r>
        <w:t xml:space="preserve">7.5</w:t>
      </w:r>
      <w:r>
        <w:t xml:space="preserve"> </w:t>
      </w:r>
      <w:r>
        <w:t xml:space="preserve">7.9</w:t>
      </w:r>
      <w:r>
        <w:t xml:space="preserve"> </w:t>
      </w:r>
      <w:r>
        <w:t xml:space="preserve">6.0</w:t>
      </w:r>
      <w:r>
        <w:t xml:space="preserve"> </w:t>
      </w:r>
      <w:r>
        <w:t xml:space="preserve">Italy</w:t>
      </w:r>
      <w:r>
        <w:t xml:space="preserve"> </w:t>
      </w:r>
      <w:r>
        <w:t xml:space="preserve">641.1</w:t>
      </w:r>
      <w:r>
        <w:t xml:space="preserve"> </w:t>
      </w:r>
      <w:r>
        <w:t xml:space="preserve">566.0</w:t>
      </w:r>
      <w:r>
        <w:t xml:space="preserve"> </w:t>
      </w:r>
      <w:r>
        <w:t xml:space="preserve">499.6</w:t>
      </w:r>
      <w:r>
        <w:t xml:space="preserve"> </w:t>
      </w:r>
      <w:r>
        <w:t xml:space="preserve">608.5</w:t>
      </w:r>
      <w:r>
        <w:t xml:space="preserve"> </w:t>
      </w:r>
      <w:r>
        <w:t xml:space="preserve">597.2</w:t>
      </w:r>
      <w:r>
        <w:t xml:space="preserve"> </w:t>
      </w:r>
      <w:r>
        <w:t xml:space="preserve">Cyprus</w:t>
      </w:r>
    </w:p>
    <w:p>
      <w:pPr>
        <w:pStyle w:val="BodyText"/>
      </w:pPr>
      <w:r>
        <w:t xml:space="preserve">5.1</w:t>
      </w:r>
      <w:r>
        <w:t xml:space="preserve"> </w:t>
      </w:r>
      <w:r>
        <w:t xml:space="preserve">4.6</w:t>
      </w:r>
      <w:r>
        <w:t xml:space="preserve"> </w:t>
      </w:r>
      <w:r>
        <w:t xml:space="preserve">2.6</w:t>
      </w:r>
      <w:r>
        <w:t xml:space="preserve"> </w:t>
      </w:r>
      <w:r>
        <w:t xml:space="preserve">Latvia</w:t>
      </w:r>
      <w:r>
        <w:t xml:space="preserve"> </w:t>
      </w:r>
      <w:r>
        <w:t xml:space="preserve">5.6</w:t>
      </w:r>
      <w:r>
        <w:t xml:space="preserve"> </w:t>
      </w:r>
      <w:r>
        <w:t xml:space="preserve">6.3</w:t>
      </w:r>
      <w:r>
        <w:t xml:space="preserve"> </w:t>
      </w:r>
      <w:r>
        <w:t xml:space="preserve">5.7</w:t>
      </w:r>
      <w:r>
        <w:t xml:space="preserve"> </w:t>
      </w:r>
      <w:r>
        <w:t xml:space="preserve">5.9</w:t>
      </w:r>
      <w:r>
        <w:t xml:space="preserve"> </w:t>
      </w:r>
      <w:r>
        <w:t xml:space="preserve">7.5</w:t>
      </w:r>
      <w:r>
        <w:t xml:space="preserve"> </w:t>
      </w:r>
      <w:r>
        <w:t xml:space="preserve">Lithuania</w:t>
      </w:r>
      <w:r>
        <w:t xml:space="preserve"> </w:t>
      </w:r>
      <w:r>
        <w:t xml:space="preserve">3.0</w:t>
      </w:r>
      <w:r>
        <w:t xml:space="preserve"> </w:t>
      </w:r>
      <w:r>
        <w:t xml:space="preserve">3.5</w:t>
      </w:r>
      <w:r>
        <w:t xml:space="preserve"> </w:t>
      </w:r>
      <w:r>
        <w:t xml:space="preserve">4.0</w:t>
      </w:r>
      <w:r>
        <w:t xml:space="preserve"> </w:t>
      </w:r>
      <w:r>
        <w:t xml:space="preserve">6.0</w:t>
      </w:r>
      <w:r>
        <w:t xml:space="preserve"> </w:t>
      </w:r>
      <w:r>
        <w:t xml:space="preserve">6.3</w:t>
      </w:r>
      <w:r>
        <w:t xml:space="preserve"> </w:t>
      </w:r>
      <w:r>
        <w:t xml:space="preserve">Luxembourg</w:t>
      </w:r>
    </w:p>
    <w:p>
      <w:pPr>
        <w:pStyle w:val="BodyText"/>
      </w:pPr>
      <w:r>
        <w:t xml:space="preserve">Hungary</w:t>
      </w:r>
      <w:r>
        <w:t xml:space="preserve"> </w:t>
      </w:r>
      <w:r>
        <w:t xml:space="preserve">164.1</w:t>
      </w:r>
      <w:r>
        <w:t xml:space="preserve"> </w:t>
      </w:r>
      <w:r>
        <w:t xml:space="preserve">178.7</w:t>
      </w:r>
      <w:r>
        <w:t xml:space="preserve"> </w:t>
      </w:r>
      <w:r>
        <w:t xml:space="preserve">169.2</w:t>
      </w:r>
      <w:r>
        <w:t xml:space="preserve"> </w:t>
      </w:r>
      <w:r>
        <w:t xml:space="preserve">174.4</w:t>
      </w:r>
      <w:r>
        <w:t xml:space="preserve"> </w:t>
      </w:r>
      <w:r>
        <w:t xml:space="preserve">191.2</w:t>
      </w:r>
      <w:r>
        <w:t xml:space="preserve"> </w:t>
      </w:r>
      <w:r>
        <w:t xml:space="preserve">Malta</w:t>
      </w:r>
    </w:p>
    <w:p>
      <w:pPr>
        <w:pStyle w:val="BodyText"/>
      </w:pPr>
      <w:r>
        <w:t xml:space="preserve">Netherlands</w:t>
      </w:r>
    </w:p>
    <w:p>
      <w:pPr>
        <w:pStyle w:val="BodyText"/>
      </w:pPr>
      <w:r>
        <w:t xml:space="preserve">Austria</w:t>
      </w:r>
      <w:r>
        <w:t xml:space="preserve"> </w:t>
      </w:r>
      <w:r>
        <w:t xml:space="preserve">518.7</w:t>
      </w:r>
      <w:r>
        <w:t xml:space="preserve"> </w:t>
      </w:r>
      <w:r>
        <w:t xml:space="preserve">541.3</w:t>
      </w:r>
      <w:r>
        <w:t xml:space="preserve"> </w:t>
      </w:r>
      <w:r>
        <w:t xml:space="preserve">692.7</w:t>
      </w:r>
      <w:r>
        <w:t xml:space="preserve"> </w:t>
      </w:r>
      <w:r>
        <w:t xml:space="preserve">485.7</w:t>
      </w:r>
      <w:r>
        <w:t xml:space="preserve"> </w:t>
      </w:r>
      <w:r>
        <w:t xml:space="preserve">388.9</w:t>
      </w:r>
      <w:r>
        <w:t xml:space="preserve"> </w:t>
      </w:r>
      <w:r>
        <w:t xml:space="preserve">Poland</w:t>
      </w:r>
      <w:r>
        <w:t xml:space="preserve"> </w:t>
      </w:r>
      <w:r>
        <w:t xml:space="preserve">198.1</w:t>
      </w:r>
      <w:r>
        <w:t xml:space="preserve"> </w:t>
      </w:r>
      <w:r>
        <w:t xml:space="preserve">233.8</w:t>
      </w:r>
      <w:r>
        <w:t xml:space="preserve"> </w:t>
      </w:r>
      <w:r>
        <w:t xml:space="preserve">221.1</w:t>
      </w:r>
      <w:r>
        <w:t xml:space="preserve"> </w:t>
      </w:r>
      <w:r>
        <w:t xml:space="preserve">244.1</w:t>
      </w:r>
      <w:r>
        <w:t xml:space="preserve"> </w:t>
      </w:r>
      <w:r>
        <w:t xml:space="preserve">269.4</w:t>
      </w:r>
      <w:r>
        <w:t xml:space="preserve"> </w:t>
      </w:r>
      <w:r>
        <w:t xml:space="preserve">Portugal</w:t>
      </w:r>
      <w:r>
        <w:t xml:space="preserve"> </w:t>
      </w:r>
      <w:r>
        <w:t xml:space="preserve">4.3</w:t>
      </w:r>
      <w:r>
        <w:t xml:space="preserve"> </w:t>
      </w:r>
      <w:r>
        <w:t xml:space="preserve">3.2</w:t>
      </w:r>
      <w:r>
        <w:t xml:space="preserve"> </w:t>
      </w:r>
      <w:r>
        <w:t xml:space="preserve">4.2</w:t>
      </w:r>
      <w:r>
        <w:t xml:space="preserve"> </w:t>
      </w:r>
      <w:r>
        <w:t xml:space="preserve">5.3</w:t>
      </w:r>
      <w:r>
        <w:t xml:space="preserve"> </w:t>
      </w:r>
      <w:r>
        <w:t xml:space="preserve">7.8</w:t>
      </w:r>
      <w:r>
        <w:t xml:space="preserve"> </w:t>
      </w:r>
      <w:r>
        <w:t xml:space="preserve">Romania</w:t>
      </w:r>
      <w:r>
        <w:t xml:space="preserve"> </w:t>
      </w:r>
      <w:r>
        <w:t xml:space="preserve">40.1</w:t>
      </w:r>
      <w:r>
        <w:t xml:space="preserve"> </w:t>
      </w:r>
      <w:r>
        <w:t xml:space="preserve">41.9</w:t>
      </w:r>
      <w:r>
        <w:t xml:space="preserve"> </w:t>
      </w:r>
      <w:r>
        <w:t xml:space="preserve">58.4</w:t>
      </w:r>
      <w:r>
        <w:t xml:space="preserve"> </w:t>
      </w:r>
      <w:r>
        <w:t xml:space="preserve">73.5</w:t>
      </w:r>
      <w:r>
        <w:t xml:space="preserve"> </w:t>
      </w:r>
      <w:r>
        <w:t xml:space="preserve">43.5</w:t>
      </w:r>
      <w:r>
        <w:t xml:space="preserve"> </w:t>
      </w:r>
      <w:r>
        <w:t xml:space="preserve">Slovenia</w:t>
      </w:r>
      <w:r>
        <w:t xml:space="preserve"> </w:t>
      </w:r>
      <w:r>
        <w:t xml:space="preserve">118.3</w:t>
      </w:r>
      <w:r>
        <w:t xml:space="preserve"> </w:t>
      </w:r>
      <w:r>
        <w:t xml:space="preserve">142.6</w:t>
      </w:r>
      <w:r>
        <w:t xml:space="preserve"> </w:t>
      </w:r>
      <w:r>
        <w:t xml:space="preserve">123.3</w:t>
      </w:r>
      <w:r>
        <w:t xml:space="preserve"> </w:t>
      </w:r>
      <w:r>
        <w:t xml:space="preserve">138.1</w:t>
      </w:r>
      <w:r>
        <w:t xml:space="preserve"> </w:t>
      </w:r>
      <w:r>
        <w:t xml:space="preserve">58.1</w:t>
      </w:r>
      <w:r>
        <w:t xml:space="preserve"> </w:t>
      </w:r>
      <w:r>
        <w:t xml:space="preserve">Slovakia</w:t>
      </w:r>
      <w:r>
        <w:t xml:space="preserve"> </w:t>
      </w:r>
      <w:r>
        <w:t xml:space="preserve">42.2</w:t>
      </w:r>
      <w:r>
        <w:t xml:space="preserve"> </w:t>
      </w:r>
      <w:r>
        <w:t xml:space="preserve">23.1</w:t>
      </w:r>
      <w:r>
        <w:t xml:space="preserve"> </w:t>
      </w:r>
      <w:r>
        <w:t xml:space="preserve">25.7</w:t>
      </w:r>
      <w:r>
        <w:t xml:space="preserve"> </w:t>
      </w:r>
      <w:r>
        <w:t xml:space="preserve">30.8</w:t>
      </w:r>
      <w:r>
        <w:t xml:space="preserve"> </w:t>
      </w:r>
      <w:r>
        <w:t xml:space="preserve">24.7</w:t>
      </w:r>
      <w:r>
        <w:t xml:space="preserve"> </w:t>
      </w:r>
      <w:r>
        <w:t xml:space="preserve">Finland</w:t>
      </w:r>
      <w:r>
        <w:t xml:space="preserve"> </w:t>
      </w:r>
      <w:r>
        <w:t xml:space="preserve">30.1</w:t>
      </w:r>
      <w:r>
        <w:t xml:space="preserve"> </w:t>
      </w:r>
      <w:r>
        <w:t xml:space="preserve">25.1</w:t>
      </w:r>
      <w:r>
        <w:t xml:space="preserve"> </w:t>
      </w:r>
      <w:r>
        <w:t xml:space="preserve">30.9</w:t>
      </w:r>
      <w:r>
        <w:t xml:space="preserve"> </w:t>
      </w:r>
      <w:r>
        <w:t xml:space="preserve">23.6</w:t>
      </w:r>
      <w:r>
        <w:t xml:space="preserve"> </w:t>
      </w:r>
      <w:r>
        <w:t xml:space="preserve">26.9</w:t>
      </w:r>
      <w:r>
        <w:t xml:space="preserve"> </w:t>
      </w:r>
      <w:r>
        <w:t xml:space="preserve">Sweden</w:t>
      </w:r>
      <w:r>
        <w:t xml:space="preserve"> </w:t>
      </w:r>
      <w:r>
        <w:t xml:space="preserve">30.8</w:t>
      </w:r>
      <w:r>
        <w:t xml:space="preserve"> </w:t>
      </w:r>
      <w:r>
        <w:t xml:space="preserve">31.1</w:t>
      </w:r>
      <w:r>
        <w:t xml:space="preserve"> </w:t>
      </w:r>
      <w:r>
        <w:t xml:space="preserve">25.5</w:t>
      </w:r>
      <w:r>
        <w:t xml:space="preserve"> </w:t>
      </w:r>
      <w:r>
        <w:t xml:space="preserve">29.3</w:t>
      </w:r>
      <w:r>
        <w:t xml:space="preserve"> </w:t>
      </w:r>
      <w:r>
        <w:t xml:space="preserve">38.5</w:t>
      </w:r>
      <w:r>
        <w:t xml:space="preserve"> </w:t>
      </w:r>
      <w:r>
        <w:t xml:space="preserve">Total EU-27</w:t>
      </w:r>
      <w:r>
        <w:t xml:space="preserve"> </w:t>
      </w:r>
      <w:r>
        <w:t xml:space="preserve">6,664</w:t>
      </w:r>
      <w:r>
        <w:t xml:space="preserve"> </w:t>
      </w:r>
      <w:r>
        <w:t xml:space="preserve">6,709</w:t>
      </w:r>
      <w:r>
        <w:t xml:space="preserve"> </w:t>
      </w:r>
      <w:r>
        <w:t xml:space="preserve">7,616</w:t>
      </w:r>
      <w:r>
        <w:t xml:space="preserve"> </w:t>
      </w:r>
      <w:r>
        <w:t xml:space="preserve">7,643</w:t>
      </w:r>
      <w:r>
        <w:t xml:space="preserve"> </w:t>
      </w:r>
      <w:r>
        <w:t xml:space="preserve">6,227</w:t>
      </w:r>
      <w:r>
        <w:t xml:space="preserve"> </w:t>
      </w:r>
      <w:r>
        <w:t xml:space="preserve">Total EU-27 (# of countries with data available)</w:t>
      </w:r>
      <w:r>
        <w:t xml:space="preserve"> </w:t>
      </w:r>
      <w:r>
        <w:t xml:space="preserve">20</w:t>
      </w:r>
      <w:r>
        <w:t xml:space="preserve"> </w:t>
      </w:r>
      <w:r>
        <w:t xml:space="preserve">21</w:t>
      </w:r>
      <w:r>
        <w:t xml:space="preserve"> </w:t>
      </w:r>
      <w:r>
        <w:t xml:space="preserve">21</w:t>
      </w:r>
      <w:r>
        <w:t xml:space="preserve"> </w:t>
      </w:r>
      <w:r>
        <w:t xml:space="preserve">21</w:t>
      </w:r>
      <w:r>
        <w:t xml:space="preserve"> </w:t>
      </w:r>
      <w:r>
        <w:t xml:space="preserve">22</w:t>
      </w:r>
    </w:p>
    <w:p>
      <w:pPr>
        <w:pStyle w:val="BodyText"/>
      </w:pPr>
      <w:r>
        <w:t xml:space="preserve">Iceland</w:t>
      </w:r>
      <w:r>
        <w:t xml:space="preserve"> </w:t>
      </w:r>
      <w:r>
        <w:t xml:space="preserve">0.4</w:t>
      </w:r>
      <w:r>
        <w:t xml:space="preserve"> </w:t>
      </w:r>
      <w:r>
        <w:t xml:space="preserve">2.8</w:t>
      </w:r>
      <w:r>
        <w:t xml:space="preserve"> </w:t>
      </w:r>
      <w:r>
        <w:t xml:space="preserve">2.9</w:t>
      </w:r>
    </w:p>
    <w:p>
      <w:pPr>
        <w:pStyle w:val="BodyText"/>
      </w:pPr>
      <w:r>
        <w:t xml:space="preserve">Liechtenstein</w:t>
      </w:r>
    </w:p>
    <w:p>
      <w:pPr>
        <w:pStyle w:val="BodyText"/>
      </w:pPr>
      <w:r>
        <w:t xml:space="preserve">Norway</w:t>
      </w:r>
      <w:r>
        <w:t xml:space="preserve"> </w:t>
      </w:r>
      <w:r>
        <w:t xml:space="preserve">2.5</w:t>
      </w:r>
      <w:r>
        <w:t xml:space="preserve"> </w:t>
      </w:r>
      <w:r>
        <w:t xml:space="preserve">2.2</w:t>
      </w:r>
    </w:p>
    <w:p>
      <w:pPr>
        <w:pStyle w:val="BodyText"/>
      </w:pPr>
      <w:r>
        <w:t xml:space="preserve">2.1</w:t>
      </w:r>
      <w:r>
        <w:t xml:space="preserve"> </w:t>
      </w:r>
      <w:r>
        <w:t xml:space="preserve">1.7</w:t>
      </w:r>
      <w:r>
        <w:t xml:space="preserve"> </w:t>
      </w:r>
      <w:r>
        <w:t xml:space="preserve">Switzerland</w:t>
      </w:r>
    </w:p>
    <w:p>
      <w:pPr>
        <w:pStyle w:val="BodyText"/>
      </w:pPr>
      <w:r>
        <w:t xml:space="preserve">62.9</w:t>
      </w:r>
    </w:p>
    <w:p>
      <w:pPr>
        <w:pStyle w:val="BodyText"/>
      </w:pPr>
      <w:r>
        <w:t xml:space="preserve">Total EU-27 + EEA/EFTA</w:t>
      </w:r>
      <w:r>
        <w:t xml:space="preserve"> </w:t>
      </w:r>
      <w:r>
        <w:t xml:space="preserve">6,667</w:t>
      </w:r>
      <w:r>
        <w:t xml:space="preserve"> </w:t>
      </w:r>
      <w:r>
        <w:t xml:space="preserve">6,776</w:t>
      </w:r>
      <w:r>
        <w:br/>
      </w:r>
      <w:r>
        <w:t xml:space="preserve">7,619</w:t>
      </w:r>
      <w:r>
        <w:t xml:space="preserve"> </w:t>
      </w:r>
      <w:r>
        <w:t xml:space="preserve">7,645</w:t>
      </w:r>
      <w:r>
        <w:t xml:space="preserve"> </w:t>
      </w:r>
      <w:r>
        <w:t xml:space="preserve">6,229</w:t>
      </w:r>
      <w:r>
        <w:br/>
      </w:r>
      <w:r>
        <w:t xml:space="preserve">Total EU-27 + EEA/EFTA (# of countries with data</w:t>
      </w:r>
      <w:r>
        <w:t xml:space="preserve"> </w:t>
      </w:r>
      <w:r>
        <w:t xml:space="preserve">available)</w:t>
      </w:r>
      <w:r>
        <w:t xml:space="preserve"> </w:t>
      </w:r>
      <w:r>
        <w:t xml:space="preserve">22</w:t>
      </w:r>
      <w:r>
        <w:t xml:space="preserve"> </w:t>
      </w:r>
      <w:r>
        <w:t xml:space="preserve">24</w:t>
      </w:r>
      <w:r>
        <w:t xml:space="preserve"> </w:t>
      </w:r>
      <w:r>
        <w:t xml:space="preserve">22</w:t>
      </w:r>
      <w:r>
        <w:t xml:space="preserve"> </w:t>
      </w:r>
      <w:r>
        <w:t xml:space="preserve">22</w:t>
      </w:r>
      <w:r>
        <w:t xml:space="preserve"> </w:t>
      </w:r>
      <w:r>
        <w:t xml:space="preserve">23</w:t>
      </w:r>
      <w:r>
        <w:t xml:space="preserve"> </w:t>
      </w:r>
      <w:r>
        <w:t xml:space="preserve">Source: Eurostat SBS.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91</w:t>
      </w:r>
      <w:r>
        <w:t xml:space="preserve"> </w:t>
      </w:r>
      <w:r>
        <w:t xml:space="preserve">EN</w:t>
      </w:r>
      <w:r>
        <w:t xml:space="preserve"> </w:t>
      </w:r>
      <w:r>
        <w:t xml:space="preserve">Table 6: Number of persons employed among toy producers</w:t>
      </w:r>
    </w:p>
    <w:p>
      <w:pPr>
        <w:pStyle w:val="BodyText"/>
      </w:pP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(p)</w:t>
      </w:r>
      <w:r>
        <w:t xml:space="preserve"> </w:t>
      </w:r>
      <w:r>
        <w:t xml:space="preserve">European Union – 27 countries (from 2020)</w:t>
      </w:r>
    </w:p>
    <w:p>
      <w:pPr>
        <w:pStyle w:val="BodyText"/>
      </w:pPr>
      <w:r>
        <w:t xml:space="preserve">55,786</w:t>
      </w:r>
      <w:r>
        <w:t xml:space="preserve"> </w:t>
      </w:r>
      <w:r>
        <w:t xml:space="preserve">58,910</w:t>
      </w:r>
      <w:r>
        <w:t xml:space="preserve"> </w:t>
      </w:r>
      <w:r>
        <w:t xml:space="preserve">61,153</w:t>
      </w:r>
    </w:p>
    <w:p>
      <w:pPr>
        <w:pStyle w:val="BodyText"/>
      </w:pPr>
      <w:r>
        <w:t xml:space="preserve">European Union – 28 countries (2013-2020)</w:t>
      </w:r>
      <w:r>
        <w:t xml:space="preserve"> </w:t>
      </w:r>
      <w:r>
        <w:t xml:space="preserve">60,612</w:t>
      </w:r>
      <w:r>
        <w:t xml:space="preserve"> </w:t>
      </w:r>
      <w:r>
        <w:t xml:space="preserve">60,330</w:t>
      </w:r>
    </w:p>
    <w:p>
      <w:pPr>
        <w:pStyle w:val="BodyText"/>
      </w:pPr>
      <w:r>
        <w:t xml:space="preserve">Belgium</w:t>
      </w:r>
      <w:r>
        <w:t xml:space="preserve"> </w:t>
      </w:r>
      <w:r>
        <w:t xml:space="preserve">602</w:t>
      </w:r>
      <w:r>
        <w:t xml:space="preserve"> </w:t>
      </w:r>
      <w:r>
        <w:t xml:space="preserve">743</w:t>
      </w:r>
      <w:r>
        <w:t xml:space="preserve"> </w:t>
      </w:r>
      <w:r>
        <w:t xml:space="preserve">679</w:t>
      </w:r>
      <w:r>
        <w:t xml:space="preserve"> </w:t>
      </w:r>
      <w:r>
        <w:t xml:space="preserve">732</w:t>
      </w:r>
      <w:r>
        <w:t xml:space="preserve"> </w:t>
      </w:r>
      <w:r>
        <w:t xml:space="preserve">574</w:t>
      </w:r>
      <w:r>
        <w:t xml:space="preserve"> </w:t>
      </w:r>
      <w:r>
        <w:t xml:space="preserve">Bulgaria</w:t>
      </w:r>
      <w:r>
        <w:t xml:space="preserve"> </w:t>
      </w:r>
      <w:r>
        <w:t xml:space="preserve">2,663</w:t>
      </w:r>
      <w:r>
        <w:t xml:space="preserve"> </w:t>
      </w:r>
      <w:r>
        <w:t xml:space="preserve">2,867</w:t>
      </w:r>
      <w:r>
        <w:t xml:space="preserve"> </w:t>
      </w:r>
      <w:r>
        <w:t xml:space="preserve">2,843</w:t>
      </w:r>
      <w:r>
        <w:t xml:space="preserve"> </w:t>
      </w:r>
      <w:r>
        <w:t xml:space="preserve">2,855</w:t>
      </w:r>
      <w:r>
        <w:t xml:space="preserve"> </w:t>
      </w:r>
      <w:r>
        <w:t xml:space="preserve">2,886</w:t>
      </w:r>
      <w:r>
        <w:t xml:space="preserve"> </w:t>
      </w:r>
      <w:r>
        <w:t xml:space="preserve">Czechia</w:t>
      </w:r>
      <w:r>
        <w:t xml:space="preserve"> </w:t>
      </w:r>
      <w:r>
        <w:t xml:space="preserve">7,278</w:t>
      </w:r>
      <w:r>
        <w:t xml:space="preserve"> </w:t>
      </w:r>
      <w:r>
        <w:t xml:space="preserve">7,327</w:t>
      </w:r>
      <w:r>
        <w:t xml:space="preserve"> </w:t>
      </w:r>
      <w:r>
        <w:t xml:space="preserve">7,180</w:t>
      </w:r>
      <w:r>
        <w:t xml:space="preserve"> </w:t>
      </w:r>
      <w:r>
        <w:t xml:space="preserve">7,206</w:t>
      </w:r>
      <w:r>
        <w:t xml:space="preserve"> </w:t>
      </w:r>
      <w:r>
        <w:t xml:space="preserve">7,308</w:t>
      </w:r>
      <w:r>
        <w:t xml:space="preserve"> </w:t>
      </w:r>
      <w:r>
        <w:t xml:space="preserve">Denmark</w:t>
      </w:r>
    </w:p>
    <w:p>
      <w:pPr>
        <w:pStyle w:val="BodyText"/>
      </w:pPr>
      <w:r>
        <w:t xml:space="preserve">Germany (until 1990 former territory of the FRG)</w:t>
      </w:r>
      <w:r>
        <w:t xml:space="preserve"> </w:t>
      </w:r>
      <w:r>
        <w:t xml:space="preserve">14,383</w:t>
      </w:r>
      <w:r>
        <w:t xml:space="preserve"> </w:t>
      </w:r>
      <w:r>
        <w:t xml:space="preserve">14,287</w:t>
      </w:r>
      <w:r>
        <w:t xml:space="preserve"> </w:t>
      </w:r>
      <w:r>
        <w:t xml:space="preserve">16,161</w:t>
      </w:r>
      <w:r>
        <w:t xml:space="preserve"> </w:t>
      </w:r>
      <w:r>
        <w:t xml:space="preserve">18,024</w:t>
      </w:r>
      <w:r>
        <w:t xml:space="preserve"> </w:t>
      </w:r>
      <w:r>
        <w:t xml:space="preserve">13,353</w:t>
      </w:r>
      <w:r>
        <w:t xml:space="preserve"> </w:t>
      </w:r>
      <w:r>
        <w:t xml:space="preserve">Estonia</w:t>
      </w:r>
      <w:r>
        <w:t xml:space="preserve"> </w:t>
      </w:r>
      <w:r>
        <w:t xml:space="preserve">36</w:t>
      </w:r>
      <w:r>
        <w:t xml:space="preserve"> </w:t>
      </w:r>
      <w:r>
        <w:t xml:space="preserve">38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Ireland</w:t>
      </w:r>
    </w:p>
    <w:p>
      <w:pPr>
        <w:pStyle w:val="BodyText"/>
      </w:pPr>
      <w:r>
        <w:t xml:space="preserve">Greece</w:t>
      </w:r>
      <w:r>
        <w:t xml:space="preserve"> </w:t>
      </w:r>
      <w:r>
        <w:t xml:space="preserve">211</w:t>
      </w:r>
      <w:r>
        <w:t xml:space="preserve"> </w:t>
      </w:r>
      <w:r>
        <w:t xml:space="preserve">238</w:t>
      </w:r>
      <w:r>
        <w:t xml:space="preserve"> </w:t>
      </w:r>
      <w:r>
        <w:t xml:space="preserve">304</w:t>
      </w:r>
      <w:r>
        <w:t xml:space="preserve"> </w:t>
      </w:r>
      <w:r>
        <w:t xml:space="preserve">287</w:t>
      </w:r>
      <w:r>
        <w:t xml:space="preserve"> </w:t>
      </w:r>
      <w:r>
        <w:t xml:space="preserve">284</w:t>
      </w:r>
      <w:r>
        <w:t xml:space="preserve"> </w:t>
      </w:r>
      <w:r>
        <w:t xml:space="preserve">Spain</w:t>
      </w:r>
      <w:r>
        <w:t xml:space="preserve"> </w:t>
      </w:r>
      <w:r>
        <w:t xml:space="preserve">3,363</w:t>
      </w:r>
      <w:r>
        <w:t xml:space="preserve"> </w:t>
      </w:r>
      <w:r>
        <w:t xml:space="preserve">3,337</w:t>
      </w:r>
      <w:r>
        <w:t xml:space="preserve"> </w:t>
      </w:r>
      <w:r>
        <w:t xml:space="preserve">3,389</w:t>
      </w:r>
      <w:r>
        <w:t xml:space="preserve"> </w:t>
      </w:r>
      <w:r>
        <w:t xml:space="preserve">3,490</w:t>
      </w:r>
      <w:r>
        <w:t xml:space="preserve"> </w:t>
      </w:r>
      <w:r>
        <w:t xml:space="preserve">3,397</w:t>
      </w:r>
      <w:r>
        <w:t xml:space="preserve"> </w:t>
      </w:r>
      <w:r>
        <w:t xml:space="preserve">France</w:t>
      </w:r>
      <w:r>
        <w:t xml:space="preserve"> </w:t>
      </w:r>
      <w:r>
        <w:t xml:space="preserve">2,366</w:t>
      </w:r>
      <w:r>
        <w:t xml:space="preserve"> </w:t>
      </w:r>
      <w:r>
        <w:t xml:space="preserve">2,057</w:t>
      </w:r>
      <w:r>
        <w:t xml:space="preserve"> </w:t>
      </w:r>
      <w:r>
        <w:t xml:space="preserve">2,394</w:t>
      </w:r>
      <w:r>
        <w:t xml:space="preserve"> </w:t>
      </w:r>
      <w:r>
        <w:t xml:space="preserve">2,857</w:t>
      </w:r>
    </w:p>
    <w:p>
      <w:pPr>
        <w:pStyle w:val="BodyText"/>
      </w:pPr>
      <w:r>
        <w:t xml:space="preserve">Croatia</w:t>
      </w:r>
      <w:r>
        <w:t xml:space="preserve"> </w:t>
      </w:r>
      <w:r>
        <w:t xml:space="preserve">122</w:t>
      </w:r>
      <w:r>
        <w:t xml:space="preserve"> </w:t>
      </w:r>
      <w:r>
        <w:t xml:space="preserve">170</w:t>
      </w:r>
      <w:r>
        <w:t xml:space="preserve"> </w:t>
      </w:r>
      <w:r>
        <w:t xml:space="preserve">135</w:t>
      </w:r>
      <w:r>
        <w:t xml:space="preserve"> </w:t>
      </w:r>
      <w:r>
        <w:t xml:space="preserve">163</w:t>
      </w:r>
      <w:r>
        <w:t xml:space="preserve"> </w:t>
      </w:r>
      <w:r>
        <w:t xml:space="preserve">165</w:t>
      </w:r>
      <w:r>
        <w:t xml:space="preserve"> </w:t>
      </w:r>
      <w:r>
        <w:t xml:space="preserve">Italy</w:t>
      </w:r>
      <w:r>
        <w:t xml:space="preserve"> </w:t>
      </w:r>
      <w:r>
        <w:t xml:space="preserve">2,662</w:t>
      </w:r>
      <w:r>
        <w:t xml:space="preserve"> </w:t>
      </w:r>
      <w:r>
        <w:t xml:space="preserve">2,643</w:t>
      </w:r>
      <w:r>
        <w:t xml:space="preserve"> </w:t>
      </w:r>
      <w:r>
        <w:t xml:space="preserve">2,599</w:t>
      </w:r>
      <w:r>
        <w:t xml:space="preserve"> </w:t>
      </w:r>
      <w:r>
        <w:t xml:space="preserve">2,378</w:t>
      </w:r>
      <w:r>
        <w:t xml:space="preserve"> </w:t>
      </w:r>
      <w:r>
        <w:t xml:space="preserve">2,358</w:t>
      </w:r>
      <w:r>
        <w:t xml:space="preserve"> </w:t>
      </w:r>
      <w:r>
        <w:t xml:space="preserve">Cyprus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58</w:t>
      </w:r>
      <w:r>
        <w:t xml:space="preserve"> </w:t>
      </w:r>
      <w:r>
        <w:t xml:space="preserve">41</w:t>
      </w:r>
      <w:r>
        <w:t xml:space="preserve"> </w:t>
      </w:r>
      <w:r>
        <w:t xml:space="preserve">Latvia</w:t>
      </w:r>
      <w:r>
        <w:t xml:space="preserve"> </w:t>
      </w:r>
      <w:r>
        <w:t xml:space="preserve">286</w:t>
      </w:r>
      <w:r>
        <w:t xml:space="preserve"> </w:t>
      </w:r>
      <w:r>
        <w:t xml:space="preserve">293</w:t>
      </w:r>
      <w:r>
        <w:t xml:space="preserve"> </w:t>
      </w:r>
      <w:r>
        <w:t xml:space="preserve">256</w:t>
      </w:r>
      <w:r>
        <w:t xml:space="preserve"> </w:t>
      </w:r>
      <w:r>
        <w:t xml:space="preserve">229</w:t>
      </w:r>
      <w:r>
        <w:t xml:space="preserve"> </w:t>
      </w:r>
      <w:r>
        <w:t xml:space="preserve">243</w:t>
      </w:r>
      <w:r>
        <w:t xml:space="preserve"> </w:t>
      </w:r>
      <w:r>
        <w:t xml:space="preserve">Lithuania</w:t>
      </w:r>
      <w:r>
        <w:t xml:space="preserve"> </w:t>
      </w:r>
      <w:r>
        <w:t xml:space="preserve">169</w:t>
      </w:r>
      <w:r>
        <w:t xml:space="preserve"> </w:t>
      </w:r>
      <w:r>
        <w:t xml:space="preserve">191</w:t>
      </w:r>
      <w:r>
        <w:t xml:space="preserve"> </w:t>
      </w:r>
      <w:r>
        <w:t xml:space="preserve">213</w:t>
      </w:r>
      <w:r>
        <w:t xml:space="preserve"> </w:t>
      </w:r>
      <w:r>
        <w:t xml:space="preserve">243</w:t>
      </w:r>
      <w:r>
        <w:t xml:space="preserve"> </w:t>
      </w:r>
      <w:r>
        <w:t xml:space="preserve">262</w:t>
      </w:r>
      <w:r>
        <w:t xml:space="preserve"> </w:t>
      </w:r>
      <w:r>
        <w:t xml:space="preserve">Luxembourg</w:t>
      </w:r>
    </w:p>
    <w:p>
      <w:pPr>
        <w:pStyle w:val="BodyText"/>
      </w:pPr>
      <w:r>
        <w:t xml:space="preserve">Hungary</w:t>
      </w:r>
      <w:r>
        <w:t xml:space="preserve"> </w:t>
      </w:r>
      <w:r>
        <w:t xml:space="preserve">4,093</w:t>
      </w:r>
      <w:r>
        <w:t xml:space="preserve"> </w:t>
      </w:r>
      <w:r>
        <w:t xml:space="preserve">4,074</w:t>
      </w:r>
      <w:r>
        <w:t xml:space="preserve"> </w:t>
      </w:r>
      <w:r>
        <w:t xml:space="preserve">3,961</w:t>
      </w:r>
      <w:r>
        <w:t xml:space="preserve"> </w:t>
      </w:r>
      <w:r>
        <w:t xml:space="preserve">3,955</w:t>
      </w:r>
      <w:r>
        <w:t xml:space="preserve"> </w:t>
      </w:r>
      <w:r>
        <w:t xml:space="preserve">4,088</w:t>
      </w:r>
      <w:r>
        <w:t xml:space="preserve"> </w:t>
      </w:r>
      <w:r>
        <w:t xml:space="preserve">Malta</w:t>
      </w:r>
    </w:p>
    <w:p>
      <w:pPr>
        <w:pStyle w:val="BodyText"/>
      </w:pPr>
      <w:r>
        <w:t xml:space="preserve">Netherlands</w:t>
      </w:r>
      <w:r>
        <w:t xml:space="preserve"> </w:t>
      </w:r>
      <w:r>
        <w:t xml:space="preserve">703</w:t>
      </w:r>
      <w:r>
        <w:t xml:space="preserve"> </w:t>
      </w:r>
      <w:r>
        <w:t xml:space="preserve">713</w:t>
      </w:r>
      <w:r>
        <w:t xml:space="preserve"> </w:t>
      </w:r>
      <w:r>
        <w:t xml:space="preserve">864</w:t>
      </w:r>
      <w:r>
        <w:t xml:space="preserve"> </w:t>
      </w:r>
      <w:r>
        <w:t xml:space="preserve">735</w:t>
      </w:r>
      <w:r>
        <w:t xml:space="preserve"> </w:t>
      </w:r>
      <w:r>
        <w:t xml:space="preserve">722</w:t>
      </w:r>
      <w:r>
        <w:t xml:space="preserve"> </w:t>
      </w:r>
      <w:r>
        <w:t xml:space="preserve">Austria</w:t>
      </w:r>
      <w:r>
        <w:t xml:space="preserve"> </w:t>
      </w:r>
      <w:r>
        <w:t xml:space="preserve">1,848</w:t>
      </w:r>
      <w:r>
        <w:t xml:space="preserve"> </w:t>
      </w:r>
      <w:r>
        <w:t xml:space="preserve">1,891</w:t>
      </w:r>
      <w:r>
        <w:t xml:space="preserve"> </w:t>
      </w:r>
      <w:r>
        <w:t xml:space="preserve">2,337</w:t>
      </w:r>
      <w:r>
        <w:t xml:space="preserve"> </w:t>
      </w:r>
      <w:r>
        <w:t xml:space="preserve">2,242</w:t>
      </w:r>
      <w:r>
        <w:t xml:space="preserve"> </w:t>
      </w:r>
      <w:r>
        <w:t xml:space="preserve">2,218</w:t>
      </w:r>
      <w:r>
        <w:t xml:space="preserve"> </w:t>
      </w:r>
      <w:r>
        <w:t xml:space="preserve">Poland</w:t>
      </w:r>
      <w:r>
        <w:t xml:space="preserve"> </w:t>
      </w:r>
      <w:r>
        <w:t xml:space="preserve">4,182</w:t>
      </w:r>
      <w:r>
        <w:t xml:space="preserve"> </w:t>
      </w:r>
      <w:r>
        <w:t xml:space="preserve">4,360</w:t>
      </w:r>
      <w:r>
        <w:t xml:space="preserve"> </w:t>
      </w:r>
      <w:r>
        <w:t xml:space="preserve">4,797</w:t>
      </w:r>
      <w:r>
        <w:t xml:space="preserve"> </w:t>
      </w:r>
      <w:r>
        <w:t xml:space="preserve">4,794</w:t>
      </w:r>
      <w:r>
        <w:t xml:space="preserve"> </w:t>
      </w:r>
      <w:r>
        <w:t xml:space="preserve">4,785</w:t>
      </w:r>
      <w:r>
        <w:t xml:space="preserve"> </w:t>
      </w:r>
      <w:r>
        <w:t xml:space="preserve">Portugal</w:t>
      </w:r>
      <w:r>
        <w:t xml:space="preserve"> </w:t>
      </w:r>
      <w:r>
        <w:t xml:space="preserve">229</w:t>
      </w:r>
      <w:r>
        <w:t xml:space="preserve"> </w:t>
      </w:r>
      <w:r>
        <w:t xml:space="preserve">185</w:t>
      </w:r>
      <w:r>
        <w:t xml:space="preserve"> </w:t>
      </w:r>
      <w:r>
        <w:t xml:space="preserve">214</w:t>
      </w:r>
      <w:r>
        <w:t xml:space="preserve"> </w:t>
      </w:r>
      <w:r>
        <w:t xml:space="preserve">216</w:t>
      </w:r>
      <w:r>
        <w:t xml:space="preserve"> </w:t>
      </w:r>
      <w:r>
        <w:t xml:space="preserve">278</w:t>
      </w:r>
      <w:r>
        <w:t xml:space="preserve"> </w:t>
      </w:r>
      <w:r>
        <w:t xml:space="preserve">Romania</w:t>
      </w:r>
      <w:r>
        <w:t xml:space="preserve"> </w:t>
      </w:r>
      <w:r>
        <w:t xml:space="preserve">1,836</w:t>
      </w:r>
      <w:r>
        <w:t xml:space="preserve"> </w:t>
      </w:r>
      <w:r>
        <w:t xml:space="preserve">2,018</w:t>
      </w:r>
      <w:r>
        <w:t xml:space="preserve"> </w:t>
      </w:r>
      <w:r>
        <w:t xml:space="preserve">2,550</w:t>
      </w:r>
      <w:r>
        <w:t xml:space="preserve"> </w:t>
      </w:r>
      <w:r>
        <w:t xml:space="preserve">2,364</w:t>
      </w:r>
      <w:r>
        <w:t xml:space="preserve"> </w:t>
      </w:r>
      <w:r>
        <w:t xml:space="preserve">1,642</w:t>
      </w:r>
      <w:r>
        <w:t xml:space="preserve"> </w:t>
      </w:r>
      <w:r>
        <w:t xml:space="preserve">Slovenia</w:t>
      </w:r>
      <w:r>
        <w:t xml:space="preserve"> </w:t>
      </w:r>
      <w:r>
        <w:t xml:space="preserve">465</w:t>
      </w:r>
      <w:r>
        <w:t xml:space="preserve"> </w:t>
      </w:r>
      <w:r>
        <w:t xml:space="preserve">525</w:t>
      </w:r>
      <w:r>
        <w:t xml:space="preserve"> </w:t>
      </w:r>
      <w:r>
        <w:t xml:space="preserve">568</w:t>
      </w:r>
      <w:r>
        <w:t xml:space="preserve"> </w:t>
      </w:r>
      <w:r>
        <w:t xml:space="preserve">596</w:t>
      </w:r>
      <w:r>
        <w:t xml:space="preserve"> </w:t>
      </w:r>
      <w:r>
        <w:t xml:space="preserve">558</w:t>
      </w:r>
      <w:r>
        <w:t xml:space="preserve"> </w:t>
      </w:r>
      <w:r>
        <w:t xml:space="preserve">Slovakia</w:t>
      </w:r>
      <w:r>
        <w:t xml:space="preserve"> </w:t>
      </w:r>
      <w:r>
        <w:t xml:space="preserve">634</w:t>
      </w:r>
      <w:r>
        <w:t xml:space="preserve"> </w:t>
      </w:r>
      <w:r>
        <w:t xml:space="preserve">611</w:t>
      </w:r>
      <w:r>
        <w:t xml:space="preserve"> </w:t>
      </w:r>
      <w:r>
        <w:t xml:space="preserve">684</w:t>
      </w:r>
      <w:r>
        <w:t xml:space="preserve"> </w:t>
      </w:r>
      <w:r>
        <w:t xml:space="preserve">749</w:t>
      </w:r>
      <w:r>
        <w:t xml:space="preserve"> </w:t>
      </w:r>
      <w:r>
        <w:t xml:space="preserve">750</w:t>
      </w:r>
      <w:r>
        <w:t xml:space="preserve"> </w:t>
      </w:r>
      <w:r>
        <w:t xml:space="preserve">Finland</w:t>
      </w:r>
      <w:r>
        <w:t xml:space="preserve"> </w:t>
      </w:r>
      <w:r>
        <w:t xml:space="preserve">192</w:t>
      </w:r>
      <w:r>
        <w:t xml:space="preserve"> </w:t>
      </w:r>
      <w:r>
        <w:t xml:space="preserve">203</w:t>
      </w:r>
      <w:r>
        <w:t xml:space="preserve"> </w:t>
      </w:r>
      <w:r>
        <w:t xml:space="preserve">220</w:t>
      </w:r>
      <w:r>
        <w:t xml:space="preserve"> </w:t>
      </w:r>
      <w:r>
        <w:t xml:space="preserve">212</w:t>
      </w:r>
      <w:r>
        <w:t xml:space="preserve"> </w:t>
      </w:r>
      <w:r>
        <w:t xml:space="preserve">191</w:t>
      </w:r>
      <w:r>
        <w:t xml:space="preserve"> </w:t>
      </w:r>
      <w:r>
        <w:t xml:space="preserve">Sweden</w:t>
      </w:r>
      <w:r>
        <w:t xml:space="preserve"> </w:t>
      </w:r>
      <w:r>
        <w:t xml:space="preserve">182</w:t>
      </w:r>
      <w:r>
        <w:t xml:space="preserve"> </w:t>
      </w:r>
      <w:r>
        <w:t xml:space="preserve">216</w:t>
      </w:r>
      <w:r>
        <w:t xml:space="preserve"> </w:t>
      </w:r>
      <w:r>
        <w:t xml:space="preserve">233</w:t>
      </w:r>
      <w:r>
        <w:t xml:space="preserve"> </w:t>
      </w:r>
      <w:r>
        <w:t xml:space="preserve">218</w:t>
      </w:r>
      <w:r>
        <w:t xml:space="preserve"> </w:t>
      </w:r>
      <w:r>
        <w:t xml:space="preserve">229</w:t>
      </w:r>
      <w:r>
        <w:t xml:space="preserve"> </w:t>
      </w:r>
      <w:r>
        <w:t xml:space="preserve">Total EU-27</w:t>
      </w:r>
      <w:r>
        <w:t xml:space="preserve"> </w:t>
      </w:r>
      <w:r>
        <w:t xml:space="preserve">48,505</w:t>
      </w:r>
      <w:r>
        <w:t xml:space="preserve"> </w:t>
      </w:r>
      <w:r>
        <w:t xml:space="preserve">48,987</w:t>
      </w:r>
      <w:r>
        <w:t xml:space="preserve"> </w:t>
      </w:r>
      <w:r>
        <w:t xml:space="preserve">52,645</w:t>
      </w:r>
      <w:r>
        <w:t xml:space="preserve"> </w:t>
      </w:r>
      <w:r>
        <w:t xml:space="preserve">54,603</w:t>
      </w:r>
      <w:r>
        <w:t xml:space="preserve"> </w:t>
      </w:r>
      <w:r>
        <w:t xml:space="preserve">49,123</w:t>
      </w:r>
      <w:r>
        <w:t xml:space="preserve"> </w:t>
      </w:r>
      <w:r>
        <w:t xml:space="preserve">Total EU-27 (# of countries with data available)</w:t>
      </w:r>
      <w:r>
        <w:t xml:space="preserve"> </w:t>
      </w:r>
      <w:r>
        <w:t xml:space="preserve">22</w:t>
      </w:r>
      <w:r>
        <w:t xml:space="preserve"> </w:t>
      </w:r>
      <w:r>
        <w:t xml:space="preserve">22</w:t>
      </w:r>
      <w:r>
        <w:t xml:space="preserve"> </w:t>
      </w:r>
      <w:r>
        <w:t xml:space="preserve">22</w:t>
      </w:r>
      <w:r>
        <w:t xml:space="preserve"> </w:t>
      </w:r>
      <w:r>
        <w:t xml:space="preserve">22</w:t>
      </w:r>
      <w:r>
        <w:t xml:space="preserve"> </w:t>
      </w:r>
      <w:r>
        <w:t xml:space="preserve">23</w:t>
      </w:r>
    </w:p>
    <w:p>
      <w:pPr>
        <w:pStyle w:val="BodyText"/>
      </w:pPr>
      <w:r>
        <w:t xml:space="preserve">Iceland</w:t>
      </w:r>
      <w:r>
        <w:t xml:space="preserve"> </w:t>
      </w:r>
      <w:r>
        <w:t xml:space="preserve">7</w:t>
      </w:r>
      <w:r>
        <w:t xml:space="preserve"> </w:t>
      </w:r>
      <w:r>
        <w:t xml:space="preserve">27</w:t>
      </w:r>
      <w:r>
        <w:t xml:space="preserve"> </w:t>
      </w:r>
      <w:r>
        <w:t xml:space="preserve">25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92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(p)</w:t>
      </w:r>
      <w:r>
        <w:t xml:space="preserve"> </w:t>
      </w:r>
      <w:r>
        <w:t xml:space="preserve">Liechtenstein</w:t>
      </w:r>
    </w:p>
    <w:p>
      <w:pPr>
        <w:pStyle w:val="BodyText"/>
      </w:pPr>
      <w:r>
        <w:t xml:space="preserve">Norway</w:t>
      </w:r>
      <w:r>
        <w:t xml:space="preserve"> </w:t>
      </w:r>
      <w:r>
        <w:t xml:space="preserve">31</w:t>
      </w:r>
      <w:r>
        <w:t xml:space="preserve"> </w:t>
      </w:r>
      <w:r>
        <w:t xml:space="preserve">29</w:t>
      </w:r>
      <w:r>
        <w:t xml:space="preserve"> </w:t>
      </w:r>
      <w:r>
        <w:t xml:space="preserve">32</w:t>
      </w:r>
      <w:r>
        <w:t xml:space="preserve"> </w:t>
      </w:r>
      <w:r>
        <w:t xml:space="preserve">21</w:t>
      </w:r>
      <w:r>
        <w:t xml:space="preserve"> </w:t>
      </w:r>
      <w:r>
        <w:t xml:space="preserve">21</w:t>
      </w:r>
      <w:r>
        <w:t xml:space="preserve"> </w:t>
      </w:r>
      <w:r>
        <w:t xml:space="preserve">Switzerland</w:t>
      </w:r>
      <w:r>
        <w:t xml:space="preserve"> </w:t>
      </w:r>
      <w:r>
        <w:t xml:space="preserve">403</w:t>
      </w:r>
      <w:r>
        <w:t xml:space="preserve"> </w:t>
      </w:r>
      <w:r>
        <w:t xml:space="preserve">297</w:t>
      </w:r>
      <w:r>
        <w:t xml:space="preserve"> </w:t>
      </w:r>
      <w:r>
        <w:t xml:space="preserve">504</w:t>
      </w:r>
    </w:p>
    <w:p>
      <w:pPr>
        <w:pStyle w:val="BodyText"/>
      </w:pPr>
      <w:r>
        <w:t xml:space="preserve">Total EU-27 + EEA/EFTA</w:t>
      </w:r>
      <w:r>
        <w:t xml:space="preserve"> </w:t>
      </w:r>
      <w:r>
        <w:t xml:space="preserve">48,946</w:t>
      </w:r>
      <w:r>
        <w:t xml:space="preserve"> </w:t>
      </w:r>
      <w:r>
        <w:t xml:space="preserve">49,340</w:t>
      </w:r>
      <w:r>
        <w:t xml:space="preserve"> </w:t>
      </w:r>
      <w:r>
        <w:t xml:space="preserve">53,206</w:t>
      </w:r>
      <w:r>
        <w:t xml:space="preserve"> </w:t>
      </w:r>
      <w:r>
        <w:t xml:space="preserve">55,150</w:t>
      </w:r>
      <w:r>
        <w:t xml:space="preserve"> </w:t>
      </w:r>
      <w:r>
        <w:t xml:space="preserve">49,652</w:t>
      </w:r>
      <w:r>
        <w:t xml:space="preserve"> </w:t>
      </w:r>
      <w:r>
        <w:t xml:space="preserve">Total EU-27 + EEA/EFTA (# of countries with data</w:t>
      </w:r>
      <w:r>
        <w:t xml:space="preserve"> </w:t>
      </w:r>
      <w:r>
        <w:t xml:space="preserve">available)</w:t>
      </w:r>
      <w:r>
        <w:t xml:space="preserve"> </w:t>
      </w:r>
      <w:r>
        <w:t xml:space="preserve">25</w:t>
      </w:r>
      <w:r>
        <w:t xml:space="preserve"> </w:t>
      </w:r>
      <w:r>
        <w:t xml:space="preserve">25</w:t>
      </w:r>
      <w:r>
        <w:t xml:space="preserve"> </w:t>
      </w:r>
      <w:r>
        <w:t xml:space="preserve">25</w:t>
      </w:r>
      <w:r>
        <w:t xml:space="preserve"> </w:t>
      </w:r>
      <w:r>
        <w:t xml:space="preserve">25</w:t>
      </w:r>
      <w:r>
        <w:t xml:space="preserve"> </w:t>
      </w:r>
      <w:r>
        <w:t xml:space="preserve">26</w:t>
      </w:r>
      <w:r>
        <w:t xml:space="preserve"> </w:t>
      </w:r>
      <w:r>
        <w:t xml:space="preserve">Source: Eurostat SBS.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93</w:t>
      </w:r>
      <w:r>
        <w:t xml:space="preserve"> </w:t>
      </w:r>
      <w:r>
        <w:t xml:space="preserve">EN</w:t>
      </w:r>
      <w:r>
        <w:t xml:space="preserve"> </w:t>
      </w:r>
      <w:r>
        <w:t xml:space="preserve">ANNEX 5. SME TEST SUMMARY</w:t>
      </w:r>
      <w:r>
        <w:t xml:space="preserve"> </w:t>
      </w:r>
      <w:r>
        <w:t xml:space="preserve">Step 1/4: Identification of affected businesses</w:t>
      </w:r>
    </w:p>
    <w:p>
      <w:pPr>
        <w:pStyle w:val="BodyText"/>
      </w:pPr>
      <w:r>
        <w:t xml:space="preserve">Key question: To what extent is the initiative relevant for SMEs? (not relevant, relevant,</w:t>
      </w:r>
      <w:r>
        <w:t xml:space="preserve"> </w:t>
      </w:r>
      <w:r>
        <w:t xml:space="preserve">highly relevant)</w:t>
      </w:r>
    </w:p>
    <w:p>
      <w:pPr>
        <w:pStyle w:val="BodyText"/>
      </w:pPr>
      <w:r>
        <w:t xml:space="preserve">Step 2/4: Consultation of SME Stakeholders</w:t>
      </w:r>
    </w:p>
    <w:p>
      <w:pPr>
        <w:pStyle w:val="BodyText"/>
      </w:pPr>
      <w:r>
        <w:t xml:space="preserve">According to the most recent Eurostat SBS data, SMEs account for 99% of the approximately 6,313 (2020)</w:t>
      </w:r>
      <w:r>
        <w:t xml:space="preserve"> </w:t>
      </w:r>
      <w:r>
        <w:t xml:space="preserve">manufacturers of toys in Europe. In terms of turnover, SMEs account for a fourth of the overall EU market (EURbn</w:t>
      </w:r>
      <w:r>
        <w:t xml:space="preserve"> </w:t>
      </w:r>
      <w:r>
        <w:t xml:space="preserve">2,19) and they employ about half (approximately 29 thousand) of the workforce in the industry as shown in the charts</w:t>
      </w:r>
      <w:r>
        <w:t xml:space="preserve"> </w:t>
      </w:r>
      <w:r>
        <w:t xml:space="preserve">below.</w:t>
      </w:r>
      <w:r>
        <w:br/>
      </w:r>
      <w:r>
        <w:t xml:space="preserve">SMEs are in scope of the revision of the Toys Safety Directive, however the initiative does not specifically target</w:t>
      </w:r>
      <w:r>
        <w:t xml:space="preserve"> </w:t>
      </w:r>
      <w:r>
        <w:t xml:space="preserve">SMEs. According to the estimates, it is likely that the SMEs will be highly impacted by the preferred policy options</w:t>
      </w:r>
      <w:r>
        <w:t xml:space="preserve"> </w:t>
      </w:r>
      <w:r>
        <w:t xml:space="preserve">since these would affect the manufacturing process of certain toys. Due to the nature of the measures – increase of</w:t>
      </w:r>
      <w:r>
        <w:t xml:space="preserve"> </w:t>
      </w:r>
      <w:r>
        <w:t xml:space="preserve">the safety of toys by reducing the limit values of chemical substances and additional restrictions on a wider range of</w:t>
      </w:r>
      <w:r>
        <w:t xml:space="preserve"> </w:t>
      </w:r>
      <w:r>
        <w:t xml:space="preserve">substances – all companies will be affected in their production processes, however, larger companies, due to</w:t>
      </w:r>
      <w:r>
        <w:t xml:space="preserve"> </w:t>
      </w:r>
      <w:r>
        <w:t xml:space="preserve">economies of scale, are likely to be able to better sustain the additional costs (i.e. substitution costs, adjustment costs).</w:t>
      </w:r>
      <w:r>
        <w:t xml:space="preserve"> </w:t>
      </w:r>
      <w:r>
        <w:t xml:space="preserve">On the other hand, these measures increase the safety standards of toys on the European market and are likely to</w:t>
      </w:r>
      <w:r>
        <w:t xml:space="preserve"> </w:t>
      </w:r>
      <w:r>
        <w:t xml:space="preserve">reduce the amount of non-compliant toys (which current estimates are around 20% of the overall EU toys market)</w:t>
      </w:r>
      <w:r>
        <w:t xml:space="preserve"> </w:t>
      </w:r>
      <w:r>
        <w:t xml:space="preserve">and thus reduce the unfair competition of rogue manufacturers. Such measure would impact positively the EU</w:t>
      </w:r>
      <w:r>
        <w:t xml:space="preserve"> </w:t>
      </w:r>
      <w:r>
        <w:t xml:space="preserve">competition and benefit especially the competitiveness of SMEs.</w:t>
      </w:r>
      <w:r>
        <w:br/>
      </w:r>
      <w:r>
        <w:t xml:space="preserve">This initiative is considered highly relevant for SMEs, as it would impact horizontally all EU businesses operating in</w:t>
      </w:r>
      <w:r>
        <w:t xml:space="preserve"> </w:t>
      </w:r>
      <w:r>
        <w:t xml:space="preserve">the sector due to the nature of the initiatives under Option 1b (increase of the safety of toys) and Option 2b</w:t>
      </w:r>
      <w:r>
        <w:t xml:space="preserve"> </w:t>
      </w:r>
      <w:r>
        <w:t xml:space="preserve">(introduction of the Digital Product Passport).</w:t>
      </w:r>
      <w:r>
        <w:br/>
      </w:r>
      <w:r>
        <w:t xml:space="preserve">The public consultation captured the specific input of SMEs by asking respondents to indicate the size of their</w:t>
      </w:r>
      <w:r>
        <w:t xml:space="preserve"> </w:t>
      </w:r>
      <w:r>
        <w:t xml:space="preserve">organisation. The public consultation was signalled to SMEs organisations in general to ensure sufficient feedback</w:t>
      </w:r>
      <w:r>
        <w:t xml:space="preserve"> </w:t>
      </w:r>
      <w:r>
        <w:t xml:space="preserve">in the public consultation. In addition, sectoral organisations (in particular TIE) which include a number of SMEs</w:t>
      </w:r>
      <w:r>
        <w:t xml:space="preserve"> </w:t>
      </w:r>
      <w:r>
        <w:t xml:space="preserve">were also represented in the public consultation, not only at organisation level but also by their individual members.</w:t>
      </w:r>
      <w:r>
        <w:t xml:space="preserve"> </w:t>
      </w:r>
      <w:r>
        <w:t xml:space="preserve">An SME targeted consultation was also carried out to assess the impacts of the different policy options. In terms of</w:t>
      </w:r>
      <w:r>
        <w:t xml:space="preserve"> </w:t>
      </w:r>
      <w:r>
        <w:t xml:space="preserve">the interviews, the questionnaire was also distributed in writing allowing respondents to send their written</w:t>
      </w:r>
      <w:r>
        <w:t xml:space="preserve"> </w:t>
      </w:r>
      <w:r>
        <w:t xml:space="preserve">contributions to this process, too, with a number of SMEs providing their contributions. This ensured that SME</w:t>
      </w:r>
      <w:r>
        <w:t xml:space="preserve"> </w:t>
      </w:r>
      <w:r>
        <w:t xml:space="preserve">feedback was captured from different sources.</w:t>
      </w:r>
      <w:r>
        <w:t xml:space="preserve"> </w:t>
      </w:r>
      <w:r>
        <w:t xml:space="preserve">The compliance efforts are expected to be significant, in particular regarding the substitution costs and the adjustment</w:t>
      </w:r>
      <w:r>
        <w:t xml:space="preserve"> </w:t>
      </w:r>
      <w:r>
        <w:t xml:space="preserve">costs. The impact assessment conducted a specific survey targeting SMEs which sought the participation of 201</w:t>
      </w:r>
      <w:r>
        <w:t xml:space="preserve"> </w:t>
      </w:r>
      <w:r>
        <w:t xml:space="preserve">businesses.</w:t>
      </w:r>
      <w:r>
        <w:br/>
      </w:r>
      <w:r>
        <w:t xml:space="preserve">The input received in the survey by SMEs has informed significantly the analysis and provided precious information</w:t>
      </w:r>
      <w:r>
        <w:t xml:space="preserve"> </w:t>
      </w:r>
      <w:r>
        <w:t xml:space="preserve">for the calculation of the administrative burden and other costs and potential benefits for SMEs.</w:t>
      </w:r>
      <w:r>
        <w:t xml:space="preserve"> </w:t>
      </w:r>
      <w:r>
        <w:t xml:space="preserve">In particular, respondents consider that the biggest sources of compliance costs linked to the application of the TSD</w:t>
      </w:r>
      <w:r>
        <w:t xml:space="preserve"> </w:t>
      </w:r>
      <w:r>
        <w:t xml:space="preserve">are: (1) bureaucracy and extent of requirements, (2) need for specific knowledge or skills and extensive human</w:t>
      </w:r>
      <w:r>
        <w:t xml:space="preserve"> </w:t>
      </w:r>
      <w:r>
        <w:t xml:space="preserve">resources for following the changing requirements and (3) testing requirements (especially done separately for similar</w:t>
      </w:r>
      <w:r>
        <w:t xml:space="preserve"> </w:t>
      </w:r>
      <w:r>
        <w:t xml:space="preserve">products).</w:t>
      </w:r>
      <w:r>
        <w:t xml:space="preserve"> </w:t>
      </w:r>
      <w:r>
        <w:t xml:space="preserve">The input provided by SMEs has been carefully considered in the choice of the preferred option, and in particular the</w:t>
      </w:r>
      <w:r>
        <w:t xml:space="preserve"> </w:t>
      </w:r>
      <w:r>
        <w:t xml:space="preserve">options to address the problem of the high number of non-compliant products. As such, options 2a and 2c increasing</w:t>
      </w:r>
      <w:r>
        <w:t xml:space="preserve"> </w:t>
      </w:r>
      <w:r>
        <w:t xml:space="preserve">the number of products that should be subject to third-party conformity assessment were ultimately not chosen. In</w:t>
      </w:r>
      <w:r>
        <w:t xml:space="preserve"> </w:t>
      </w:r>
      <w:r>
        <w:t xml:space="preserve">particular, while option 2c was considered to yield the most benefits in terms of reducing non-compliant products</w:t>
      </w:r>
      <w:r>
        <w:t xml:space="preserve"> </w:t>
      </w:r>
      <w:r>
        <w:t xml:space="preserve">and streamlining market surveillance for toys, it was deemed to be particularly burdensome for SMEs.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94</w:t>
      </w:r>
      <w:r>
        <w:t xml:space="preserve"> </w:t>
      </w:r>
      <w:r>
        <w:t xml:space="preserve">EN</w:t>
      </w:r>
      <w:r>
        <w:t xml:space="preserve"> </w:t>
      </w:r>
      <w:r>
        <w:t xml:space="preserve">Step 3/4: Assessment of the impact on SMEs</w:t>
      </w:r>
    </w:p>
    <w:p>
      <w:pPr>
        <w:pStyle w:val="BodyText"/>
      </w:pPr>
      <w:r>
        <w:t xml:space="preserve">Step 4/4: Minimising negative impacts on SMEs</w:t>
      </w:r>
    </w:p>
    <w:p>
      <w:pPr>
        <w:pStyle w:val="BodyText"/>
      </w:pPr>
      <w:r>
        <w:t xml:space="preserve">In the SME survey, companies were also asked to provide several quantitative information which allowed for the</w:t>
      </w:r>
      <w:r>
        <w:t xml:space="preserve"> </w:t>
      </w:r>
      <w:r>
        <w:t xml:space="preserve">calculation of the compliance costs of the TSD for SMEs (baseline) and the estimates of the proposed policy options.</w:t>
      </w:r>
      <w:r>
        <w:t xml:space="preserve"> </w:t>
      </w:r>
      <w:r>
        <w:t xml:space="preserve">More specifically, SMEs were asked:</w:t>
      </w:r>
      <w:r>
        <w:t xml:space="preserve"> </w:t>
      </w:r>
      <w:r>
        <w:t xml:space="preserve">1. Main causes of compliance costs, linked to the application of the Toy Safety Directive;</w:t>
      </w:r>
      <w:r>
        <w:t xml:space="preserve"> </w:t>
      </w:r>
      <w:r>
        <w:t xml:space="preserve">2. Measures that would help reducing costs for SMEs;</w:t>
      </w:r>
      <w:r>
        <w:t xml:space="preserve"> </w:t>
      </w:r>
      <w:r>
        <w:t xml:space="preserve">3. Type of costs of an EU type examination before introducing a new product (toy);</w:t>
      </w:r>
      <w:r>
        <w:t xml:space="preserve"> </w:t>
      </w:r>
      <w:r>
        <w:t xml:space="preserve">4. Cost of an EU type examination before introducing a new product (toy) (staff, outsourcing, equipment);</w:t>
      </w:r>
      <w:r>
        <w:t xml:space="preserve"> </w:t>
      </w:r>
      <w:r>
        <w:t xml:space="preserve">5. Cost of testing of a new toy-model (staff, outsourcing, equipment);</w:t>
      </w:r>
      <w:r>
        <w:t xml:space="preserve"> </w:t>
      </w:r>
      <w:r>
        <w:t xml:space="preserve">6. Costs of replacing / redesigning a new product if the product is found to be not compliant (or not compliant</w:t>
      </w:r>
      <w:r>
        <w:t xml:space="preserve"> </w:t>
      </w:r>
      <w:r>
        <w:t xml:space="preserve">any more due to new regulations)? (staff, outsourcing, equipment)</w:t>
      </w:r>
      <w:r>
        <w:br/>
      </w:r>
      <w:r>
        <w:t xml:space="preserve">7. Costs of adapting the labels indicating the chemical content of a product (staff, outsourcing, equipment);</w:t>
      </w:r>
      <w:r>
        <w:t xml:space="preserve"> </w:t>
      </w:r>
      <w:r>
        <w:t xml:space="preserve">8. Costs of making available the declaration of conformity online (per toy model) (staff, outsourcing,</w:t>
      </w:r>
      <w:r>
        <w:t xml:space="preserve"> </w:t>
      </w:r>
      <w:r>
        <w:t xml:space="preserve">equipment)</w:t>
      </w:r>
      <w:r>
        <w:t xml:space="preserve"> </w:t>
      </w:r>
      <w:r>
        <w:t xml:space="preserve">9. Number of new Stock Keeping Unit (SKU), per year, to which the administrative costs would apply.</w:t>
      </w:r>
      <w:r>
        <w:t xml:space="preserve"> </w:t>
      </w:r>
      <w:r>
        <w:t xml:space="preserve">These estimates supported the quantification of the impacts on businesses of the proposed policy options individually</w:t>
      </w:r>
      <w:r>
        <w:t xml:space="preserve"> </w:t>
      </w:r>
      <w:r>
        <w:t xml:space="preserve">and by business size. Nevertheless, the uncertainty of some aspects of the proposed measures (i.e. the actual means of</w:t>
      </w:r>
      <w:r>
        <w:t xml:space="preserve"> </w:t>
      </w:r>
      <w:r>
        <w:t xml:space="preserve">implementation of the DPP, the expected increase of the share of toys subject to additional testing costs, etc.) allowed</w:t>
      </w:r>
      <w:r>
        <w:t xml:space="preserve"> </w:t>
      </w:r>
      <w:r>
        <w:t xml:space="preserve">only for some approximation of the impacts.</w:t>
      </w:r>
      <w:r>
        <w:t xml:space="preserve"> </w:t>
      </w:r>
      <w:r>
        <w:t xml:space="preserve">SMEs are particularly concerned about the costs of banning additional chemicals in toys, as well as the possible</w:t>
      </w:r>
      <w:r>
        <w:t xml:space="preserve"> </w:t>
      </w:r>
      <w:r>
        <w:t xml:space="preserve">impacts on their competitive position. In the SME survey, respondents were directly asked about potential measures</w:t>
      </w:r>
      <w:r>
        <w:t xml:space="preserve"> </w:t>
      </w:r>
      <w:r>
        <w:t xml:space="preserve">able to minimize the negative impacts and maximise benefits. The respondents identified a number of different</w:t>
      </w:r>
      <w:r>
        <w:t xml:space="preserve"> </w:t>
      </w:r>
      <w:r>
        <w:t xml:space="preserve">potential intervention points through which the most difficult compliance costs could be to a certain degree</w:t>
      </w:r>
      <w:r>
        <w:t xml:space="preserve"> </w:t>
      </w:r>
      <w:r>
        <w:t xml:space="preserve">alleviated. In particular, SMEs requested that the procedures should be simplified and that an advisory support should</w:t>
      </w:r>
      <w:r>
        <w:t xml:space="preserve"> </w:t>
      </w:r>
      <w:r>
        <w:t xml:space="preserve">be offered as many producers and sellers (especially among the SMEs) are struggling to understand the requirements</w:t>
      </w:r>
      <w:r>
        <w:t xml:space="preserve"> </w:t>
      </w:r>
      <w:r>
        <w:t xml:space="preserve">as they pertain to their businesses. If hands-on and preferably free consultancy would be available on the different</w:t>
      </w:r>
      <w:r>
        <w:t xml:space="preserve"> </w:t>
      </w:r>
      <w:r>
        <w:t xml:space="preserve">rules regarding production, labelling and packaging that would certainly alleviate some of the administrative burdens</w:t>
      </w:r>
      <w:r>
        <w:t xml:space="preserve"> </w:t>
      </w:r>
      <w:r>
        <w:t xml:space="preserve">currently felt. Finally, testing of products should be alleviated as much as possible.</w:t>
      </w:r>
      <w:r>
        <w:t xml:space="preserve"> </w:t>
      </w:r>
      <w:r>
        <w:t xml:space="preserve">The final policy options were selected also taking into account the need to achieve the policy objectives in a manner</w:t>
      </w:r>
      <w:r>
        <w:t xml:space="preserve"> </w:t>
      </w:r>
      <w:r>
        <w:t xml:space="preserve">which creates less burden to SMEs. First of all, while the introduction of the generic bans for chemicals certain</w:t>
      </w:r>
      <w:r>
        <w:t xml:space="preserve"> </w:t>
      </w:r>
      <w:r>
        <w:t xml:space="preserve">hazard classes in toys will have costs for companies, and it may be more costly for SMEs, the possibility for</w:t>
      </w:r>
      <w:r>
        <w:t xml:space="preserve"> </w:t>
      </w:r>
      <w:r>
        <w:t xml:space="preserve">derogations under this PO will mitigate the negative impacts to a certain extent. A sufficient transition period will</w:t>
      </w:r>
      <w:r>
        <w:t xml:space="preserve"> </w:t>
      </w:r>
      <w:r>
        <w:t xml:space="preserve">be granted to allow for the costs to be accrued gradually rather than upfront. The actual implementation of this policy</w:t>
      </w:r>
      <w:r>
        <w:t xml:space="preserve"> </w:t>
      </w:r>
      <w:r>
        <w:t xml:space="preserve">option in the future legal text will strive to make the provisions as straightforward for SMEs as possible, and in a</w:t>
      </w:r>
      <w:r>
        <w:t xml:space="preserve"> </w:t>
      </w:r>
      <w:r>
        <w:t xml:space="preserve">manner that limits the need to carry out additional testing as much as possible. While PO2c was considered to be</w:t>
      </w:r>
      <w:r>
        <w:t xml:space="preserve"> </w:t>
      </w:r>
      <w:r>
        <w:t xml:space="preserve">most effective in achieving the pursued policy objectives of reducing non-compliant products, it was ultimately not</w:t>
      </w:r>
      <w:r>
        <w:t xml:space="preserve"> </w:t>
      </w:r>
      <w:r>
        <w:t xml:space="preserve">chosen as it could prove to be too burdensome for reputable industry, including SMEs. Indeed, it was considered</w:t>
      </w:r>
      <w:r>
        <w:t xml:space="preserve"> </w:t>
      </w:r>
      <w:r>
        <w:t xml:space="preserve">only compliant manufacturers would face the additional costs of third-party certification, and that the policy</w:t>
      </w:r>
      <w:r>
        <w:t xml:space="preserve"> </w:t>
      </w:r>
      <w:r>
        <w:t xml:space="preserve">objectives could be achieved with other policy options less burdensome. Finally, in order to help SMEs in complying</w:t>
      </w:r>
      <w:r>
        <w:t xml:space="preserve"> </w:t>
      </w:r>
      <w:r>
        <w:t xml:space="preserve">with the toy safety rules, the Commission will continue relying on harmonised standards as well as producing and</w:t>
      </w:r>
      <w:r>
        <w:t xml:space="preserve"> </w:t>
      </w:r>
      <w:r>
        <w:t xml:space="preserve">regularly updating a significant body of Guidance documents on all aspects related to toy safety.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95</w:t>
      </w:r>
      <w:r>
        <w:t xml:space="preserve"> </w:t>
      </w:r>
      <w:r>
        <w:t xml:space="preserve">EN</w:t>
      </w:r>
      <w:r>
        <w:t xml:space="preserve"> </w:t>
      </w:r>
      <w:r>
        <w:t xml:space="preserve">ANNEX 6: LEGAL CONTEXT: MAIN PROVISIONS OF THE TOY</w:t>
      </w:r>
      <w:r>
        <w:t xml:space="preserve"> </w:t>
      </w:r>
      <w:r>
        <w:t xml:space="preserve">SAFETY DIRECTIVE AND MARKET SURVEILLANCE</w:t>
      </w:r>
      <w:r>
        <w:t xml:space="preserve"> </w:t>
      </w:r>
      <w:r>
        <w:t xml:space="preserve">1.</w:t>
      </w:r>
      <w:r>
        <w:t xml:space="preserve"> </w:t>
      </w:r>
      <w:r>
        <w:t xml:space="preserve">DEFINITION OF ‘TOYS’</w:t>
      </w:r>
      <w:r>
        <w:t xml:space="preserve"> </w:t>
      </w:r>
      <w:r>
        <w:t xml:space="preserve">The scope of the Toy Safety Directive covers all ‘products designed or intended, whether</w:t>
      </w:r>
      <w:r>
        <w:t xml:space="preserve"> </w:t>
      </w:r>
      <w:r>
        <w:t xml:space="preserve">or not exclusively, for use in play by children under 14 years of age’.194 Thus, a product</w:t>
      </w:r>
      <w:r>
        <w:t xml:space="preserve"> </w:t>
      </w:r>
      <w:r>
        <w:t xml:space="preserve">does not have to be exclusively intended for playing purposes in order for it to be</w:t>
      </w:r>
      <w:r>
        <w:t xml:space="preserve"> </w:t>
      </w:r>
      <w:r>
        <w:t xml:space="preserve">considered as a toy, but can have other functions as well. For example, a key-ring with a</w:t>
      </w:r>
      <w:r>
        <w:t xml:space="preserve"> </w:t>
      </w:r>
      <w:r>
        <w:t xml:space="preserve">small plush teddy bear attached to it is considered as a toy, or a toy plastic figurine with a</w:t>
      </w:r>
      <w:r>
        <w:t xml:space="preserve"> </w:t>
      </w:r>
      <w:r>
        <w:t xml:space="preserve">pencil sharpener in its foot.195</w:t>
      </w:r>
      <w:r>
        <w:t xml:space="preserve"> </w:t>
      </w:r>
      <w:r>
        <w:t xml:space="preserve">The main difficulty of this definition is the concept of ‘use in play’ or ‘play value’. Children</w:t>
      </w:r>
      <w:r>
        <w:t xml:space="preserve"> </w:t>
      </w:r>
      <w:r>
        <w:t xml:space="preserve">may play with virtually everything, but this does not make every object fall within the</w:t>
      </w:r>
      <w:r>
        <w:t xml:space="preserve"> </w:t>
      </w:r>
      <w:r>
        <w:t xml:space="preserve">definition of ‘toy’. To be considered as a toy for the purposes of the Directive, the play</w:t>
      </w:r>
      <w:r>
        <w:t xml:space="preserve"> </w:t>
      </w:r>
      <w:r>
        <w:t xml:space="preserve">value has to be introduced in an intended way by the manufacturer since the intention for</w:t>
      </w:r>
      <w:r>
        <w:t xml:space="preserve"> </w:t>
      </w:r>
      <w:r>
        <w:t xml:space="preserve">a (certain) use is included in the definition of ‘toy’ itself.</w:t>
      </w:r>
      <w:r>
        <w:t xml:space="preserve"> </w:t>
      </w:r>
      <w:r>
        <w:t xml:space="preserve">On the other hand, ‘whether exclusively or not’ requires to consider whether a product can</w:t>
      </w:r>
      <w:r>
        <w:t xml:space="preserve"> </w:t>
      </w:r>
      <w:r>
        <w:t xml:space="preserve">have a play value in addition to its intended use, such as in the case of the above-mentioned</w:t>
      </w:r>
      <w:r>
        <w:t xml:space="preserve"> </w:t>
      </w:r>
      <w:r>
        <w:t xml:space="preserve">key-ring with a small plush teddy bear attached to it. Since that product may as well be</w:t>
      </w:r>
      <w:r>
        <w:t xml:space="preserve"> </w:t>
      </w:r>
      <w:r>
        <w:t xml:space="preserve">used by children in play, in addition to its primary function as key-ring, the product is</w:t>
      </w:r>
      <w:r>
        <w:t xml:space="preserve"> </w:t>
      </w:r>
      <w:r>
        <w:t xml:space="preserve">considered to be a toy. The declaration by the manufacturer of the intended use is thus</w:t>
      </w:r>
      <w:r>
        <w:t xml:space="preserve"> </w:t>
      </w:r>
      <w:r>
        <w:t xml:space="preserve">only one of the criteria to be considered, the reasonably foreseeable use in play is</w:t>
      </w:r>
      <w:r>
        <w:t xml:space="preserve"> </w:t>
      </w:r>
      <w:r>
        <w:t xml:space="preserve">considered to prevail over the declaration of the intended use by the manufacturer.196</w:t>
      </w:r>
      <w:r>
        <w:t xml:space="preserve"> </w:t>
      </w:r>
      <w:r>
        <w:t xml:space="preserve">The Directive does however not apply to some products for public use fulfilling the</w:t>
      </w:r>
      <w:r>
        <w:t xml:space="preserve"> </w:t>
      </w:r>
      <w:r>
        <w:t xml:space="preserve">definition of toys, such as playground equipment intended for public use, automatic</w:t>
      </w:r>
      <w:r>
        <w:t xml:space="preserve"> </w:t>
      </w:r>
      <w:r>
        <w:t xml:space="preserve">playing machines, whether coin operated or not, when intended for public use.197</w:t>
      </w:r>
      <w:r>
        <w:t xml:space="preserve"> </w:t>
      </w:r>
      <w:r>
        <w:t xml:space="preserve">Moreover, Annex I to the Toy Safety Directive enumerates examples of products that are</w:t>
      </w:r>
      <w:r>
        <w:t xml:space="preserve"> </w:t>
      </w:r>
      <w:r>
        <w:t xml:space="preserve">not considered as toys but could be confused with toys. Since it would be impossible to</w:t>
      </w:r>
      <w:r>
        <w:t xml:space="preserve"> </w:t>
      </w:r>
      <w:r>
        <w:t xml:space="preserve">enumerate all the products that are not considered as toys, the list is not exhaustive.</w:t>
      </w:r>
      <w:r>
        <w:t xml:space="preserve"> </w:t>
      </w:r>
      <w:r>
        <w:t xml:space="preserve">2.</w:t>
      </w:r>
      <w:r>
        <w:t xml:space="preserve"> </w:t>
      </w:r>
      <w:r>
        <w:t xml:space="preserve">ESSENTIAL SAFETY REQUIREMENTS</w:t>
      </w:r>
      <w:r>
        <w:t xml:space="preserve"> </w:t>
      </w:r>
      <w:r>
        <w:t xml:space="preserve">The Toy Safety Directive lays down the safety criteria (‘essential safety requirements’)</w:t>
      </w:r>
      <w:r>
        <w:t xml:space="preserve"> </w:t>
      </w:r>
      <w:r>
        <w:t xml:space="preserve">that toys must meet before they can be marketed in the EU. Toys must also comply with</w:t>
      </w:r>
      <w:r>
        <w:t xml:space="preserve"> </w:t>
      </w:r>
      <w:r>
        <w:t xml:space="preserve">other EU legislation applicable to them, such as the following: Regulation (EC) No</w:t>
      </w:r>
      <w:r>
        <w:t xml:space="preserve"> </w:t>
      </w:r>
      <w:r>
        <w:t xml:space="preserve">1907/2006 of the European Parliament and of the Council of 18 December 2006</w:t>
      </w:r>
      <w:r>
        <w:t xml:space="preserve"> </w:t>
      </w:r>
      <w:r>
        <w:t xml:space="preserve">concerning the registration, evaluation, authorisation and restriction of chemicals</w:t>
      </w:r>
      <w:r>
        <w:t xml:space="preserve"> </w:t>
      </w:r>
      <w:r>
        <w:t xml:space="preserve">(REACH),198 Regulation (EC) No 1272/2008 of the European Parliament and of the</w:t>
      </w:r>
    </w:p>
    <w:p>
      <w:pPr>
        <w:pStyle w:val="BodyText"/>
      </w:pPr>
      <w:r>
        <w:t xml:space="preserve">194 Article 2.1 of the Toy Safety Directive.</w:t>
      </w:r>
      <w:r>
        <w:t xml:space="preserve"> </w:t>
      </w:r>
      <w:r>
        <w:t xml:space="preserve">195 Paragraph 4 of section 2 of Guidance document No 4 ‘Grey zone problem: Is a specific product covered</w:t>
      </w:r>
      <w:r>
        <w:t xml:space="preserve"> </w:t>
      </w:r>
      <w:r>
        <w:t xml:space="preserve">by the Toy Safety Directive 2009/48/EC or not?’</w:t>
      </w:r>
    </w:p>
    <w:p>
      <w:pPr>
        <w:pStyle w:val="BodyText"/>
      </w:pPr>
      <w:r>
        <w:t xml:space="preserve">https://ec.europa.eu/growth/sectors/toys/safety/guidance/</w:t>
      </w:r>
      <w:r>
        <w:br/>
      </w:r>
      <w:r>
        <w:t xml:space="preserve">196 Paragraph 5 of section 2 of Guidance document No 4.</w:t>
      </w:r>
      <w:r>
        <w:t xml:space="preserve"> </w:t>
      </w:r>
      <w:r>
        <w:t xml:space="preserve">197 Article 2.2 of the Toy Safety Directive.</w:t>
      </w:r>
      <w:r>
        <w:t xml:space="preserve"> </w:t>
      </w:r>
      <w:r>
        <w:t xml:space="preserve">198 Regulation (EC) No 1907/2006 of the European Parliament and of the Council of 18 December 2006</w:t>
      </w:r>
      <w:r>
        <w:t xml:space="preserve"> </w:t>
      </w:r>
      <w:r>
        <w:t xml:space="preserve">concerning the Registration, Evaluation, Authorisation and Restriction of Chemicals (REACH), establishing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96</w:t>
      </w:r>
      <w:r>
        <w:t xml:space="preserve"> </w:t>
      </w:r>
      <w:r>
        <w:t xml:space="preserve">EN</w:t>
      </w:r>
      <w:r>
        <w:t xml:space="preserve"> </w:t>
      </w:r>
      <w:r>
        <w:t xml:space="preserve">Council of 16 December 2008 on classification, labelling and packaging of substances and</w:t>
      </w:r>
      <w:r>
        <w:t xml:space="preserve"> </w:t>
      </w:r>
      <w:r>
        <w:t xml:space="preserve">mixtures,199 and Regulation (EC) No 1223/2009 of the European Parliament and of the</w:t>
      </w:r>
      <w:r>
        <w:t xml:space="preserve"> </w:t>
      </w:r>
      <w:r>
        <w:t xml:space="preserve">Council of 30 November 2009 on cosmetic products (recast).200</w:t>
      </w:r>
      <w:r>
        <w:t xml:space="preserve"> </w:t>
      </w:r>
      <w:r>
        <w:t xml:space="preserve">The essential safety requirements are designed to ensure a high level of product safety.</w:t>
      </w:r>
      <w:r>
        <w:t xml:space="preserve"> </w:t>
      </w:r>
      <w:r>
        <w:t xml:space="preserve">They may cover identified hazards related to the characteristics of the product or to the</w:t>
      </w:r>
      <w:r>
        <w:t xml:space="preserve"> </w:t>
      </w:r>
      <w:r>
        <w:t xml:space="preserve">product performance.201 As a consequence there may be several safety requirements</w:t>
      </w:r>
      <w:r>
        <w:t xml:space="preserve"> </w:t>
      </w:r>
      <w:r>
        <w:t xml:space="preserve">associated to the same product.</w:t>
      </w:r>
      <w:r>
        <w:t xml:space="preserve"> </w:t>
      </w:r>
      <w:r>
        <w:t xml:space="preserve">The essential safety requirements in the Toy Safety Directive cover:</w:t>
      </w:r>
      <w:r>
        <w:t xml:space="preserve"> </w:t>
      </w:r>
      <w:r>
        <w:t xml:space="preserve"> general risks: the health and safety of children, as well as other people such as parents</w:t>
      </w:r>
      <w:r>
        <w:t xml:space="preserve"> </w:t>
      </w:r>
      <w:r>
        <w:t xml:space="preserve">or supervisors;</w:t>
      </w:r>
      <w:r>
        <w:t xml:space="preserve"> </w:t>
      </w:r>
      <w:r>
        <w:t xml:space="preserve"> particular risks: physical and mechanical, flammability, chemical, electrical, hygiene</w:t>
      </w:r>
      <w:r>
        <w:t xml:space="preserve"> </w:t>
      </w:r>
      <w:r>
        <w:t xml:space="preserve">and radioactivity risks.</w:t>
      </w:r>
      <w:r>
        <w:t xml:space="preserve"> </w:t>
      </w:r>
      <w:r>
        <w:t xml:space="preserve">3.</w:t>
      </w:r>
      <w:r>
        <w:t xml:space="preserve"> </w:t>
      </w:r>
      <w:r>
        <w:t xml:space="preserve">THE REQUIREMENTS FOR CHEMICAL SUBSTANCES IN DETAIL</w:t>
      </w:r>
      <w:r>
        <w:t xml:space="preserve"> </w:t>
      </w:r>
      <w:r>
        <w:t xml:space="preserve"> Chemicals that are susceptible to cause cancer, change genetic information, harm</w:t>
      </w:r>
      <w:r>
        <w:t xml:space="preserve"> </w:t>
      </w:r>
      <w:r>
        <w:t xml:space="preserve">fertility or harm an unborn child (‘CMR substances’ 202) are not allowed in toys</w:t>
      </w:r>
      <w:r>
        <w:t xml:space="preserve"> </w:t>
      </w:r>
      <w:r>
        <w:t xml:space="preserve">beyond the concentration limits set in the CLP, or unless they are inaccessible to</w:t>
      </w:r>
      <w:r>
        <w:t xml:space="preserve"> </w:t>
      </w:r>
      <w:r>
        <w:t xml:space="preserve">children, including by inhalation, or considered safe following a rigorous scientific</w:t>
      </w:r>
      <w:r>
        <w:t xml:space="preserve"> </w:t>
      </w:r>
      <w:r>
        <w:t xml:space="preserve">evaluation and if they are not prohibited in consumer articles under REACH. In</w:t>
      </w:r>
      <w:r>
        <w:t xml:space="preserve"> </w:t>
      </w:r>
      <w:r>
        <w:t xml:space="preserve">addition, for CMR substances of categories 1A and 1B which are of most concern, no</w:t>
      </w:r>
      <w:r>
        <w:t xml:space="preserve"> </w:t>
      </w:r>
      <w:r>
        <w:t xml:space="preserve">suitable alternatives must exist. (For CMRs category 2, no analysis of alternatives is</w:t>
      </w:r>
      <w:r>
        <w:t xml:space="preserve"> </w:t>
      </w:r>
      <w:r>
        <w:t xml:space="preserve">necessary.)</w:t>
      </w:r>
      <w:r>
        <w:br/>
      </w:r>
      <w:r>
        <w:t xml:space="preserve"></w:t>
      </w:r>
      <w:r>
        <w:t xml:space="preserve"> </w:t>
      </w:r>
      <w:r>
        <w:t xml:space="preserve">Limit values are set out for nitrosamines (0,05 mg/kg) and for nitrosatable substances</w:t>
      </w:r>
      <w:r>
        <w:t xml:space="preserve"> </w:t>
      </w:r>
      <w:r>
        <w:t xml:space="preserve">(1 mg/kg).</w:t>
      </w:r>
      <w:r>
        <w:t xml:space="preserve"> </w:t>
      </w:r>
      <w:r>
        <w:t xml:space="preserve"></w:t>
      </w:r>
      <w:r>
        <w:t xml:space="preserve"> </w:t>
      </w:r>
      <w:r>
        <w:t xml:space="preserve">19</w:t>
      </w:r>
      <w:r>
        <w:t xml:space="preserve"> </w:t>
      </w:r>
      <w:r>
        <w:t xml:space="preserve">‘elements’</w:t>
      </w:r>
      <w:r>
        <w:t xml:space="preserve"> </w:t>
      </w:r>
      <w:r>
        <w:t xml:space="preserve">such as mercury or cadmium are not allowed in toy parts accessible to</w:t>
      </w:r>
      <w:r>
        <w:t xml:space="preserve"> </w:t>
      </w:r>
      <w:r>
        <w:t xml:space="preserve">children beyond the limits laid down in Toy Safety Directive.203 The Directive draws</w:t>
      </w:r>
      <w:r>
        <w:t xml:space="preserve"> </w:t>
      </w:r>
      <w:r>
        <w:t xml:space="preserve">a distinction among three types of materials used in toys – dry, brittle, powder-like or</w:t>
      </w:r>
      <w:r>
        <w:t xml:space="preserve"> </w:t>
      </w:r>
      <w:r>
        <w:t xml:space="preserve">pliable; liquid or sticky; scraped-off – each subject to a different migration limit.</w:t>
      </w:r>
      <w:r>
        <w:t xml:space="preserve"> </w:t>
      </w:r>
      <w:r>
        <w:t xml:space="preserve"></w:t>
      </w:r>
      <w:r>
        <w:t xml:space="preserve"> </w:t>
      </w:r>
      <w:r>
        <w:t xml:space="preserve">58 allergenic fragrances are prohibited because the relevant Scientific Committee</w:t>
      </w:r>
      <w:r>
        <w:t xml:space="preserve"> </w:t>
      </w:r>
      <w:r>
        <w:t xml:space="preserve">considered that they must not form part of cosmetic products due to their allergenicity</w:t>
      </w:r>
      <w:r>
        <w:t xml:space="preserve"> </w:t>
      </w:r>
      <w:r>
        <w:t xml:space="preserve">in most cases (fragrances 1 to 31 and 36 to 40);204 or they were (photo-) allergenic</w:t>
      </w:r>
    </w:p>
    <w:p>
      <w:pPr>
        <w:pStyle w:val="BodyText"/>
      </w:pPr>
      <w:r>
        <w:t xml:space="preserve">a European Chemicals Agency, amending Directive 1999/45/EC and repealing Council Regulation (EEC)</w:t>
      </w:r>
      <w:r>
        <w:t xml:space="preserve"> </w:t>
      </w:r>
      <w:r>
        <w:t xml:space="preserve">No 793/93 and Commission Regulation (EC) No 1488/94 as well as Council Directive 76/769/EEC and</w:t>
      </w:r>
      <w:r>
        <w:t xml:space="preserve"> </w:t>
      </w:r>
      <w:r>
        <w:t xml:space="preserve">Commission Directives 91/155/EEC, 93/67/EEC, 93/105/EC and 2000/21/EC, OJ L 396 30.12.2006, p. 1.</w:t>
      </w:r>
      <w:r>
        <w:t xml:space="preserve"> </w:t>
      </w:r>
      <w:r>
        <w:t xml:space="preserve">https://eur-lex.europa.eu/legal-content/EN/TXT/?uri=CELEX:02006R1907-20180301</w:t>
      </w:r>
      <w:r>
        <w:br/>
      </w:r>
      <w:r>
        <w:t xml:space="preserve">199 Regulation (EC) No 1272/2008 of the European Parliament and of the Council of 16 December 2008 on</w:t>
      </w:r>
      <w:r>
        <w:t xml:space="preserve"> </w:t>
      </w:r>
      <w:r>
        <w:t xml:space="preserve">classification, labelling and packaging of substances and mixtures, amending and repealing Directives</w:t>
      </w:r>
      <w:r>
        <w:t xml:space="preserve"> </w:t>
      </w:r>
      <w:r>
        <w:t xml:space="preserve">67/548/EEC and 1999/45/EC, and amending Regulation (EC) No 1907/2006 (Text with EEA relevance). OJ</w:t>
      </w:r>
      <w:r>
        <w:t xml:space="preserve"> </w:t>
      </w:r>
      <w:r>
        <w:t xml:space="preserve">L 353, 31.12.2008, p. 1.</w:t>
      </w:r>
      <w:r>
        <w:br/>
      </w:r>
      <w:r>
        <w:t xml:space="preserve">https://eur-lex.europa.eu/legal-content/EN/TXT/?uri=CELEX:02008R1272-20180301</w:t>
      </w:r>
      <w:r>
        <w:br/>
      </w:r>
      <w:r>
        <w:t xml:space="preserve">200 Regulation (EC) No 1223/2009 of the European Parliament and of the Council of 30 November 2009 on</w:t>
      </w:r>
      <w:r>
        <w:t xml:space="preserve"> </w:t>
      </w:r>
      <w:r>
        <w:t xml:space="preserve">cosmetic products. OJ L 342, 22.12.2009, p. 59.</w:t>
      </w:r>
    </w:p>
    <w:p>
      <w:pPr>
        <w:pStyle w:val="BodyText"/>
      </w:pPr>
      <w:r>
        <w:t xml:space="preserve">https://eur-lex.europa.eu/legal-content/EN/TXT/?uri=CELEX:02009R1223-20171225</w:t>
      </w:r>
      <w:r>
        <w:br/>
      </w:r>
      <w:r>
        <w:t xml:space="preserve">201 The ‘Blue Guide’ on the implementation of EU product rules</w:t>
      </w:r>
      <w:r>
        <w:br/>
      </w:r>
      <w:r>
        <w:t xml:space="preserve">202 Substances that are carcinogenic, mutagenic or toxic for reproduction.</w:t>
      </w:r>
      <w:r>
        <w:t xml:space="preserve"> </w:t>
      </w:r>
      <w:r>
        <w:t xml:space="preserve">203 Annex II, part III, point 13 of the Toy Safety Directive.</w:t>
      </w:r>
      <w:r>
        <w:t xml:space="preserve"> </w:t>
      </w:r>
      <w:r>
        <w:t xml:space="preserve">204 Scientific Committee on Non-Food Products (SCCNFP) An initial list of perfumery materials which must</w:t>
      </w:r>
      <w:r>
        <w:t xml:space="preserve"> </w:t>
      </w:r>
      <w:r>
        <w:t xml:space="preserve">not form part of cosmetic products. Opinion SCCNFP/0320/00 final, 3.5.2000.</w:t>
      </w:r>
      <w:r>
        <w:br/>
      </w:r>
      <w:r>
        <w:t xml:space="preserve">https://ec.europa.eu/health/ph_risk/committees/sccp/documents/out116_en.pdf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97</w:t>
      </w:r>
      <w:r>
        <w:t xml:space="preserve"> </w:t>
      </w:r>
      <w:r>
        <w:t xml:space="preserve">EN</w:t>
      </w:r>
      <w:r>
        <w:t xml:space="preserve"> </w:t>
      </w:r>
      <w:r>
        <w:t xml:space="preserve">(fragrances 32 to 35);205 or because they were most frequently reported as contact</w:t>
      </w:r>
      <w:r>
        <w:t xml:space="preserve"> </w:t>
      </w:r>
      <w:r>
        <w:t xml:space="preserve">allergens (fragrances 41 to 53);206 or because they contain allergenic species</w:t>
      </w:r>
      <w:r>
        <w:t xml:space="preserve"> </w:t>
      </w:r>
      <w:r>
        <w:t xml:space="preserve">(fragrances 54 to 55).207 The presence of traces of these 55 fragrances is however</w:t>
      </w:r>
      <w:r>
        <w:t xml:space="preserve"> </w:t>
      </w:r>
      <w:r>
        <w:t xml:space="preserve">allowed if technically unavoidable under good manufacturing practice and if they do</w:t>
      </w:r>
      <w:r>
        <w:t xml:space="preserve"> </w:t>
      </w:r>
      <w:r>
        <w:t xml:space="preserve">not exceed 100 mg/kg.</w:t>
      </w:r>
      <w:r>
        <w:t xml:space="preserve"> </w:t>
      </w:r>
      <w:r>
        <w:t xml:space="preserve"></w:t>
      </w:r>
      <w:r>
        <w:t xml:space="preserve"> </w:t>
      </w:r>
      <w:r>
        <w:t xml:space="preserve">A further 72 allergenic fragrances may be used in toys on condition that they are</w:t>
      </w:r>
      <w:r>
        <w:t xml:space="preserve"> </w:t>
      </w:r>
      <w:r>
        <w:t xml:space="preserve">labelled when their concentration exceeds 100 mg/kg in the toy or any of its</w:t>
      </w:r>
      <w:r>
        <w:t xml:space="preserve"> </w:t>
      </w:r>
      <w:r>
        <w:t xml:space="preserve">components. They were less frequently reported as contact allergens.208</w:t>
      </w:r>
      <w:r>
        <w:t xml:space="preserve"> </w:t>
      </w:r>
      <w:r>
        <w:t xml:space="preserve"></w:t>
      </w:r>
      <w:r>
        <w:t xml:space="preserve"> </w:t>
      </w:r>
      <w:r>
        <w:t xml:space="preserve">For 15 of the prohibited allergenic fragrances (namely numbers 41 to 55) and for the</w:t>
      </w:r>
      <w:r>
        <w:t xml:space="preserve"> </w:t>
      </w:r>
      <w:r>
        <w:t xml:space="preserve">11 allergenic fragrances that are to be labelled, specific conditions apply if such</w:t>
      </w:r>
      <w:r>
        <w:t xml:space="preserve"> </w:t>
      </w:r>
      <w:r>
        <w:t xml:space="preserve">fragrances are used in olfactory board games, cosmetic kits and gustative games.</w:t>
      </w:r>
      <w:r>
        <w:t xml:space="preserve"> </w:t>
      </w:r>
      <w:r>
        <w:t xml:space="preserve">Among others, the toys have to carry the warning that they are not suitable for children</w:t>
      </w:r>
      <w:r>
        <w:t xml:space="preserve"> </w:t>
      </w:r>
      <w:r>
        <w:t xml:space="preserve">under 36 months.</w:t>
      </w:r>
      <w:r>
        <w:t xml:space="preserve"> </w:t>
      </w:r>
      <w:r>
        <w:t xml:space="preserve"> Specific limit values can be set for any chemical in toys but these limit values can only</w:t>
      </w:r>
      <w:r>
        <w:t xml:space="preserve"> </w:t>
      </w:r>
      <w:r>
        <w:t xml:space="preserve">apply to toys for children under 36 months (who take ‘everything’ into their mouth)</w:t>
      </w:r>
      <w:r>
        <w:t xml:space="preserve"> </w:t>
      </w:r>
      <w:r>
        <w:t xml:space="preserve">and to toys intended to be placed in the mouth, since those toys lead to a high exposure</w:t>
      </w:r>
      <w:r>
        <w:t xml:space="preserve"> </w:t>
      </w:r>
      <w:r>
        <w:t xml:space="preserve">of children to chemicals. As a result, a new appendix C includes limit values in toys</w:t>
      </w:r>
      <w:r>
        <w:t xml:space="preserve"> </w:t>
      </w:r>
      <w:r>
        <w:t xml:space="preserve">intended for children under 36 months or to be put in the mouth for the following</w:t>
      </w:r>
      <w:r>
        <w:t xml:space="preserve"> </w:t>
      </w:r>
      <w:r>
        <w:t xml:space="preserve">chemical substances: TCEP, TCPP and TDCP, Bisphenol A, Formamide,</w:t>
      </w:r>
      <w:r>
        <w:t xml:space="preserve"> </w:t>
      </w:r>
      <w:r>
        <w:t xml:space="preserve">Benzisothiazolinone, chloromethylisothiazolinone and methylisothiazolinone, both</w:t>
      </w:r>
      <w:r>
        <w:t xml:space="preserve"> </w:t>
      </w:r>
      <w:r>
        <w:t xml:space="preserve">individually and in a ratio of 3:1, Phenol, formaldehyde and aniline.</w:t>
      </w:r>
    </w:p>
    <w:p>
      <w:pPr>
        <w:pStyle w:val="Compact"/>
        <w:numPr>
          <w:ilvl w:val="0"/>
          <w:numId w:val="1005"/>
        </w:numPr>
      </w:pPr>
      <w:r>
        <w:t xml:space="preserve">HOW THE DIRECTIVE IS KEEPING UP WITH PROGRESS</w:t>
      </w:r>
      <w:r>
        <w:t xml:space="preserve"> </w:t>
      </w:r>
      <w:r>
        <w:t xml:space="preserve">In order to keep pace with latest technical and scientific developments, the Commission</w:t>
      </w:r>
      <w:r>
        <w:t xml:space="preserve"> </w:t>
      </w:r>
      <w:r>
        <w:t xml:space="preserve">can amend certain parts of the Toy Safety Directive via the Regulatory Procedure with</w:t>
      </w:r>
      <w:r>
        <w:t xml:space="preserve"> </w:t>
      </w:r>
      <w:r>
        <w:t xml:space="preserve">Scrutiny (RPS).209 Such procedure may be used to amend specific provisions. It may adapt</w:t>
      </w:r>
      <w:r>
        <w:t xml:space="preserve"> </w:t>
      </w:r>
      <w:r>
        <w:t xml:space="preserve">Annex I that lists examples of products that are not toys (but may be confused with them),</w:t>
      </w:r>
      <w:r>
        <w:t xml:space="preserve"> </w:t>
      </w:r>
      <w:r>
        <w:t xml:space="preserve">the list of prohibited allergenic fragrances and the list of allergenic fragrances to be labelled</w:t>
      </w:r>
      <w:r>
        <w:t xml:space="preserve"> </w:t>
      </w:r>
      <w:r>
        <w:t xml:space="preserve">in Annex II, it may adapt the limit values for heavy metals and other hazardous metals I</w:t>
      </w:r>
      <w:r>
        <w:t xml:space="preserve"> </w:t>
      </w:r>
      <w:r>
        <w:t xml:space="preserve">Annex II, and the warnings for toys in Annex V.</w:t>
      </w:r>
    </w:p>
    <w:p>
      <w:pPr>
        <w:pStyle w:val="FirstParagraph"/>
      </w:pPr>
      <w:r>
        <w:t xml:space="preserve">205 Scientific Committee on Non-Food Products (SCCNFP) An update of the initial list of perfumery</w:t>
      </w:r>
      <w:r>
        <w:t xml:space="preserve"> </w:t>
      </w:r>
      <w:r>
        <w:t xml:space="preserve">materials which must not form part of cosmetic products. Opinion SCCNFP/0771/03 final, 9.12.2003.</w:t>
      </w:r>
      <w:r>
        <w:t xml:space="preserve"> </w:t>
      </w:r>
      <w:r>
        <w:t xml:space="preserve">https://ec.europa.eu/health/ph_risk/committees/sccp/documents/out251_en.pdf</w:t>
      </w:r>
      <w:r>
        <w:t xml:space="preserve"> </w:t>
      </w:r>
      <w:r>
        <w:t xml:space="preserve">206 Scientific Committee on Non-Food Products (SCCNFP) Fragrance allergy in consumers. Opinion</w:t>
      </w:r>
      <w:r>
        <w:t xml:space="preserve"> </w:t>
      </w:r>
      <w:r>
        <w:t xml:space="preserve">SCCNFP/0017/98 final, 8.12.1999. Table 6a, p. 22.</w:t>
      </w:r>
      <w:r>
        <w:br/>
      </w:r>
      <w:r>
        <w:t xml:space="preserve">https://ec.europa.eu/health/ph_risk/committees/sccp/documents/out98_en.pdf</w:t>
      </w:r>
      <w:r>
        <w:t xml:space="preserve"> </w:t>
      </w:r>
      <w:r>
        <w:t xml:space="preserve">207 Scientific Committee on Non-Food Products (SCCNFP) An initial list of perfumery materials which must</w:t>
      </w:r>
      <w:r>
        <w:t xml:space="preserve"> </w:t>
      </w:r>
      <w:r>
        <w:t xml:space="preserve">not form part of cosmetic products except subject to the restrictions and conditions laid down.</w:t>
      </w:r>
      <w:r>
        <w:t xml:space="preserve"> </w:t>
      </w:r>
      <w:r>
        <w:t xml:space="preserve">SCCNFP/392/00 final, 25.9.2001</w:t>
      </w:r>
      <w:r>
        <w:br/>
      </w:r>
      <w:r>
        <w:t xml:space="preserve">https://ec.europa.eu/health/ph_risk/committees/sccp/documents/out150_en.pdf</w:t>
      </w:r>
      <w:r>
        <w:t xml:space="preserve"> </w:t>
      </w:r>
      <w:r>
        <w:t xml:space="preserve">and Scientific Committee on Consumer Products (SCCP) Opinion on Oak moss / Tree moss (sensitisation</w:t>
      </w:r>
      <w:r>
        <w:t xml:space="preserve"> </w:t>
      </w:r>
      <w:r>
        <w:t xml:space="preserve">only). SCCP/1131/07, 15.4.2008.</w:t>
      </w:r>
      <w:r>
        <w:br/>
      </w:r>
      <w:r>
        <w:t xml:space="preserve">https://ec.europa.eu/health/ph_risk/committees/04_sccp/docs/sccp_o_131.pdf</w:t>
      </w:r>
      <w:r>
        <w:br/>
      </w:r>
      <w:r>
        <w:t xml:space="preserve">208 Scientific Committee on Non-Food Products (SCCNFP). SCCNFP/0017/98 final, 8.12.1999, Table 6b, p. </w:t>
      </w:r>
      <w:r>
        <w:t xml:space="preserve"> </w:t>
      </w:r>
      <w:r>
        <w:t xml:space="preserve">23. See footnote above.</w:t>
      </w:r>
      <w:r>
        <w:t xml:space="preserve"> </w:t>
      </w:r>
      <w:r>
        <w:t xml:space="preserve">209 Article 46 of the Toy Safety Directive.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98</w:t>
      </w:r>
      <w:r>
        <w:t xml:space="preserve"> </w:t>
      </w:r>
      <w:r>
        <w:t xml:space="preserve">EN</w:t>
      </w:r>
      <w:r>
        <w:t xml:space="preserve"> </w:t>
      </w:r>
      <w:r>
        <w:t xml:space="preserve">In addition, the Commission may establish maximum limit values for any chemical in toys</w:t>
      </w:r>
      <w:r>
        <w:t xml:space="preserve"> </w:t>
      </w:r>
      <w:r>
        <w:t xml:space="preserve">intended for children under 36 months of age and in all toys intended to be placed in the</w:t>
      </w:r>
      <w:r>
        <w:t xml:space="preserve"> </w:t>
      </w:r>
      <w:r>
        <w:t xml:space="preserve">mouth, and it may also amend those limits (Appendix C to Annex II).</w:t>
      </w:r>
      <w:r>
        <w:t xml:space="preserve"> </w:t>
      </w:r>
      <w:r>
        <w:t xml:space="preserve">Finally, the Commission may allow the use of chemicals that are carcinogenic, mutagenic</w:t>
      </w:r>
      <w:r>
        <w:t xml:space="preserve"> </w:t>
      </w:r>
      <w:r>
        <w:t xml:space="preserve">or toxic to reproduction (CMRs), albeit only following a strict scientific-technical</w:t>
      </w:r>
      <w:r>
        <w:t xml:space="preserve"> </w:t>
      </w:r>
      <w:r>
        <w:t xml:space="preserve">assessment including an independent Scientific Committee.</w:t>
      </w:r>
      <w:r>
        <w:t xml:space="preserve"> </w:t>
      </w:r>
      <w:r>
        <w:t xml:space="preserve">In the period 2012 – 2020, the Directive was amended 17 times to address newly identified</w:t>
      </w:r>
      <w:r>
        <w:t xml:space="preserve"> </w:t>
      </w:r>
      <w:r>
        <w:t xml:space="preserve">chemical risks and to revise limit values for chemicals such as chromium VI, lead, phenol,</w:t>
      </w:r>
      <w:r>
        <w:t xml:space="preserve"> </w:t>
      </w:r>
      <w:r>
        <w:t xml:space="preserve">bisphenol A. The list of the amendments so far adopted is presented in section 8 below.</w:t>
      </w:r>
      <w:r>
        <w:t xml:space="preserve"> </w:t>
      </w:r>
      <w:r>
        <w:t xml:space="preserve">5.</w:t>
      </w:r>
      <w:r>
        <w:t xml:space="preserve"> </w:t>
      </w:r>
      <w:r>
        <w:t xml:space="preserve">TOY SAFETY STANDARDS</w:t>
      </w:r>
      <w:r>
        <w:t xml:space="preserve"> </w:t>
      </w:r>
      <w:r>
        <w:t xml:space="preserve">As described above the Toy Safety Directive establishes the mandatory ‘essential’ health</w:t>
      </w:r>
      <w:r>
        <w:t xml:space="preserve"> </w:t>
      </w:r>
      <w:r>
        <w:t xml:space="preserve">and safety requirements for toys. However it does not translate those requirements into</w:t>
      </w:r>
      <w:r>
        <w:t xml:space="preserve"> </w:t>
      </w:r>
      <w:r>
        <w:t xml:space="preserve">detailed specifications for testing toys. These are provided by toy safety standards that are</w:t>
      </w:r>
      <w:r>
        <w:t xml:space="preserve"> </w:t>
      </w:r>
      <w:r>
        <w:t xml:space="preserve">thus ‘supporting’ the Directive.</w:t>
      </w:r>
      <w:r>
        <w:t xml:space="preserve"> </w:t>
      </w:r>
      <w:r>
        <w:t xml:space="preserve">For example, ‘[t]oys, which are clearly intended for use by children under 36 months, and</w:t>
      </w:r>
      <w:r>
        <w:t xml:space="preserve"> </w:t>
      </w:r>
      <w:r>
        <w:t xml:space="preserve">their component parts and any of their detachable parts must be of such dimensions as to</w:t>
      </w:r>
      <w:r>
        <w:t xml:space="preserve"> </w:t>
      </w:r>
      <w:r>
        <w:t xml:space="preserve">prevent their being swallowed or inhaled. This also applies to other toys which are intended</w:t>
      </w:r>
      <w:r>
        <w:t xml:space="preserve"> </w:t>
      </w:r>
      <w:r>
        <w:t xml:space="preserve">to be put in the mouth, and to their component parts and any of their detachable parts.’210</w:t>
      </w:r>
      <w:r>
        <w:t xml:space="preserve"> </w:t>
      </w:r>
      <w:r>
        <w:t xml:space="preserve">In short, toys for children under 36 months (who take ‘everything’ in their mouth) and toys</w:t>
      </w:r>
      <w:r>
        <w:t xml:space="preserve"> </w:t>
      </w:r>
      <w:r>
        <w:t xml:space="preserve">intended to be put in the mouth (such as a toy flute) must not be or release small parts on</w:t>
      </w:r>
      <w:r>
        <w:t xml:space="preserve"> </w:t>
      </w:r>
      <w:r>
        <w:t xml:space="preserve">which a child can choke.</w:t>
      </w:r>
      <w:r>
        <w:t xml:space="preserve"> </w:t>
      </w:r>
      <w:r>
        <w:t xml:space="preserve">Standard EN 71-1 supports this requirement of the Directive by setting specifications how</w:t>
      </w:r>
      <w:r>
        <w:t xml:space="preserve"> </w:t>
      </w:r>
      <w:r>
        <w:t xml:space="preserve">to test such toys: Any small part must not fit in the ‘small parts cylinder’,211 which has the</w:t>
      </w:r>
      <w:r>
        <w:t xml:space="preserve"> </w:t>
      </w:r>
      <w:r>
        <w:t xml:space="preserve">dimensions of a small child’s throat. Even more, the standard also specifies that a toy for</w:t>
      </w:r>
      <w:r>
        <w:t xml:space="preserve"> </w:t>
      </w:r>
      <w:r>
        <w:t xml:space="preserve">children under 36 months must not break off into small parts when it is dropped or</w:t>
      </w:r>
      <w:r>
        <w:t xml:space="preserve"> </w:t>
      </w:r>
      <w:r>
        <w:t xml:space="preserve">compressed, or when someone is trying to pull off or twist off a part of the toy. 212 The</w:t>
      </w:r>
      <w:r>
        <w:t xml:space="preserve"> </w:t>
      </w:r>
      <w:r>
        <w:t xml:space="preserve">standard thus sets the detailed specifications for testing a toy against the Directive’s</w:t>
      </w:r>
      <w:r>
        <w:t xml:space="preserve"> </w:t>
      </w:r>
      <w:r>
        <w:t xml:space="preserve">requirements.</w:t>
      </w:r>
      <w:r>
        <w:t xml:space="preserve"> </w:t>
      </w:r>
      <w:r>
        <w:t xml:space="preserve">European standards are developed by recognised European Standardisation Organisations</w:t>
      </w:r>
      <w:r>
        <w:t xml:space="preserve"> </w:t>
      </w:r>
      <w:r>
        <w:t xml:space="preserve">(ESOs): CEN,213 CENELEC,214 and ETSI.215 If developed following a request from the</w:t>
      </w:r>
      <w:r>
        <w:t xml:space="preserve"> </w:t>
      </w:r>
      <w:r>
        <w:t xml:space="preserve">European Commission, the resulting standards are called European ‘harmonised’</w:t>
      </w:r>
      <w:r>
        <w:t xml:space="preserve"> </w:t>
      </w:r>
      <w:r>
        <w:t xml:space="preserve">standards.</w:t>
      </w:r>
      <w:r>
        <w:t xml:space="preserve"> </w:t>
      </w:r>
      <w:r>
        <w:t xml:space="preserve">If a standard’s specifications are considered sufficiently strict so that they indeed support</w:t>
      </w:r>
      <w:r>
        <w:t xml:space="preserve"> </w:t>
      </w:r>
      <w:r>
        <w:t xml:space="preserve">the Directive, the Commission publishes a reference to the standard in the Official Journal.</w:t>
      </w:r>
      <w:r>
        <w:t xml:space="preserve"> </w:t>
      </w:r>
      <w:r>
        <w:t xml:space="preserve">With such publication, a toy that complies with the specifications of the standard is</w:t>
      </w:r>
      <w:r>
        <w:t xml:space="preserve"> </w:t>
      </w:r>
      <w:r>
        <w:t xml:space="preserve">presumed to be in conformity with the Directive, and thus to be safe. It will therefore be</w:t>
      </w:r>
    </w:p>
    <w:p>
      <w:pPr>
        <w:pStyle w:val="BodyText"/>
      </w:pPr>
      <w:r>
        <w:t xml:space="preserve">210 Annex II, Part I, point 4 (d) of the Toy Safety Directive 2009/48/EC.</w:t>
      </w:r>
      <w:r>
        <w:t xml:space="preserve"> </w:t>
      </w:r>
      <w:r>
        <w:t xml:space="preserve">211 Standard EN 71-1:2014+A1:2018, clause 5.1 a).</w:t>
      </w:r>
      <w:r>
        <w:t xml:space="preserve"> </w:t>
      </w:r>
      <w:r>
        <w:t xml:space="preserve">212 Standard EN 71-1:2014+A1:2018, clause 5.1 b).</w:t>
      </w:r>
      <w:r>
        <w:t xml:space="preserve"> </w:t>
      </w:r>
      <w:r>
        <w:t xml:space="preserve">213 European Committee for Standardization. https://www.cen.eu/Pages/default.aspx</w:t>
      </w:r>
      <w:r>
        <w:br/>
      </w:r>
      <w:r>
        <w:t xml:space="preserve">214 European Committee for Electro-technical Standardization. https://www.cenelec.eu/</w:t>
      </w:r>
      <w:r>
        <w:br/>
      </w:r>
      <w:r>
        <w:t xml:space="preserve">215 European Telecommunications Standards Institute. https://www.etsi.org/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99</w:t>
      </w:r>
      <w:r>
        <w:t xml:space="preserve"> </w:t>
      </w:r>
      <w:r>
        <w:t xml:space="preserve">EN</w:t>
      </w:r>
      <w:r>
        <w:t xml:space="preserve"> </w:t>
      </w:r>
      <w:r>
        <w:t xml:space="preserve">hardly possible for any market surveillance authority to restrict or ban the marketing of</w:t>
      </w:r>
      <w:r>
        <w:t xml:space="preserve"> </w:t>
      </w:r>
      <w:r>
        <w:t xml:space="preserve">such a toy.</w:t>
      </w:r>
      <w:r>
        <w:t xml:space="preserve"> </w:t>
      </w:r>
      <w:r>
        <w:t xml:space="preserve">The use of European harmonised standards is voluntary, including for toys. Manufacturers</w:t>
      </w:r>
      <w:r>
        <w:t xml:space="preserve"> </w:t>
      </w:r>
      <w:r>
        <w:t xml:space="preserve">can refer to harmonised standards to demonstrate that their products comply with the</w:t>
      </w:r>
      <w:r>
        <w:t xml:space="preserve"> </w:t>
      </w:r>
      <w:r>
        <w:t xml:space="preserve">relevant EU legislation. Even more so, when toys are manufactured in conformity with</w:t>
      </w:r>
      <w:r>
        <w:t xml:space="preserve"> </w:t>
      </w:r>
      <w:r>
        <w:t xml:space="preserve">European harmonised standards, the references of which have been published in the</w:t>
      </w:r>
      <w:r>
        <w:t xml:space="preserve"> </w:t>
      </w:r>
      <w:r>
        <w:t xml:space="preserve">Official Journal of the EU (OJEU), they are presumed to comply with the essential safety</w:t>
      </w:r>
      <w:r>
        <w:t xml:space="preserve"> </w:t>
      </w:r>
      <w:r>
        <w:t xml:space="preserve">requirements of the Toy Safety Directive that are covered by those standards. Due to those</w:t>
      </w:r>
      <w:r>
        <w:t xml:space="preserve"> </w:t>
      </w:r>
      <w:r>
        <w:t xml:space="preserve">toys being presumed to comply, and thus presumed to be safe, hardly any market</w:t>
      </w:r>
      <w:r>
        <w:t xml:space="preserve"> </w:t>
      </w:r>
      <w:r>
        <w:t xml:space="preserve">surveillance authority will restrict the marketing of such a toy.</w:t>
      </w:r>
      <w:r>
        <w:t xml:space="preserve"> </w:t>
      </w:r>
      <w:r>
        <w:t xml:space="preserve">Since 1 December 2018 the references of harmonised standards are published in, and</w:t>
      </w:r>
      <w:r>
        <w:t xml:space="preserve"> </w:t>
      </w:r>
      <w:r>
        <w:t xml:space="preserve">withdrawn from, the Official Journal of the European Union by means of</w:t>
      </w:r>
      <w:r>
        <w:t xml:space="preserve"> </w:t>
      </w:r>
      <w:r>
        <w:t xml:space="preserve">‘Commission</w:t>
      </w:r>
      <w:r>
        <w:t xml:space="preserve"> </w:t>
      </w:r>
      <w:r>
        <w:t xml:space="preserve">implementing decisions’</w:t>
      </w:r>
      <w:r>
        <w:t xml:space="preserve">. The latest list of 11 European harmonised standards on toy safety</w:t>
      </w:r>
      <w:r>
        <w:t xml:space="preserve"> </w:t>
      </w:r>
      <w:r>
        <w:t xml:space="preserve">referenced in the Official Journal216 is below:</w:t>
      </w:r>
      <w:r>
        <w:t xml:space="preserve"> </w:t>
      </w:r>
      <w:r>
        <w:t xml:space="preserve">Toy safety standards, the references of which have been published in the Official</w:t>
      </w:r>
      <w:r>
        <w:t xml:space="preserve"> </w:t>
      </w:r>
      <w:r>
        <w:t xml:space="preserve">Journal</w:t>
      </w:r>
      <w:r>
        <w:t xml:space="preserve"> </w:t>
      </w:r>
      <w:r>
        <w:t xml:space="preserve">No</w:t>
      </w:r>
      <w:r>
        <w:t xml:space="preserve"> </w:t>
      </w:r>
      <w:r>
        <w:t xml:space="preserve">Reference of standards published in the Official Journal</w:t>
      </w:r>
      <w:r>
        <w:t xml:space="preserve"> </w:t>
      </w:r>
      <w:r>
        <w:t xml:space="preserve">1.</w:t>
      </w:r>
      <w:r>
        <w:t xml:space="preserve"> </w:t>
      </w:r>
      <w:r>
        <w:t xml:space="preserve">EN 71-1:2014+A1:2018 Safety of toys – Part 1: Mechanical and physical</w:t>
      </w:r>
      <w:r>
        <w:t xml:space="preserve"> </w:t>
      </w:r>
      <w:r>
        <w:t xml:space="preserve">properties</w:t>
      </w:r>
      <w:r>
        <w:t xml:space="preserve"> </w:t>
      </w:r>
      <w:r>
        <w:t xml:space="preserve">2.</w:t>
      </w:r>
      <w:r>
        <w:t xml:space="preserve"> </w:t>
      </w:r>
      <w:r>
        <w:t xml:space="preserve">EN 71-2:2020 Safety of toys – Part 2: Flammability</w:t>
      </w:r>
      <w:r>
        <w:t xml:space="preserve"> </w:t>
      </w:r>
      <w:r>
        <w:t xml:space="preserve">3.</w:t>
      </w:r>
      <w:r>
        <w:t xml:space="preserve"> </w:t>
      </w:r>
      <w:r>
        <w:t xml:space="preserve">EN 71-3:2019+ A1:2021 Safety of toys – Part 3: Migration of certain elements</w:t>
      </w:r>
      <w:r>
        <w:t xml:space="preserve"> </w:t>
      </w:r>
      <w:r>
        <w:t xml:space="preserve">4.</w:t>
      </w:r>
      <w:r>
        <w:t xml:space="preserve"> </w:t>
      </w:r>
      <w:r>
        <w:t xml:space="preserve">EN 71-4:2020 Safety of toys – Part 4: Experimental sets for chemistry and related</w:t>
      </w:r>
      <w:r>
        <w:t xml:space="preserve"> </w:t>
      </w:r>
      <w:r>
        <w:t xml:space="preserve">activities</w:t>
      </w:r>
      <w:r>
        <w:t xml:space="preserve"> </w:t>
      </w:r>
      <w:r>
        <w:t xml:space="preserve">5.</w:t>
      </w:r>
      <w:r>
        <w:t xml:space="preserve"> </w:t>
      </w:r>
      <w:r>
        <w:t xml:space="preserve">EN 71-5:2015 Safety of toys – Part 5: Chemical toys (sets) other than</w:t>
      </w:r>
      <w:r>
        <w:t xml:space="preserve"> </w:t>
      </w:r>
      <w:r>
        <w:t xml:space="preserve">experimental sets</w:t>
      </w:r>
      <w:r>
        <w:t xml:space="preserve"> </w:t>
      </w:r>
      <w:r>
        <w:t xml:space="preserve">6.</w:t>
      </w:r>
      <w:r>
        <w:t xml:space="preserve"> </w:t>
      </w:r>
      <w:r>
        <w:t xml:space="preserve">EN 71-7:2014+A3:2020 Safety of toys – Part 7: Finger paints – Requirements</w:t>
      </w:r>
      <w:r>
        <w:t xml:space="preserve"> </w:t>
      </w:r>
      <w:r>
        <w:t xml:space="preserve">and test methods</w:t>
      </w:r>
      <w:r>
        <w:t xml:space="preserve"> </w:t>
      </w:r>
      <w:r>
        <w:t xml:space="preserve">7.</w:t>
      </w:r>
      <w:r>
        <w:t xml:space="preserve"> </w:t>
      </w:r>
      <w:r>
        <w:t xml:space="preserve">EN 71-8:2018 Safety of toys – Part 8: Activity toys for domestic use</w:t>
      </w:r>
      <w:r>
        <w:t xml:space="preserve"> </w:t>
      </w:r>
      <w:r>
        <w:t xml:space="preserve">8.</w:t>
      </w:r>
      <w:r>
        <w:t xml:space="preserve"> </w:t>
      </w:r>
      <w:r>
        <w:t xml:space="preserve">EN 71-12:2016</w:t>
      </w:r>
      <w:r>
        <w:t xml:space="preserve"> </w:t>
      </w:r>
      <w:r>
        <w:t xml:space="preserve">Safety of toys — Part 12: N-Nitrosamines and N-nitrosatable substances</w:t>
      </w:r>
      <w:r>
        <w:t xml:space="preserve"> </w:t>
      </w:r>
      <w:r>
        <w:t xml:space="preserve">Informative note: The limit values in point (a) of Table 2 of clause 4.2 of standard</w:t>
      </w:r>
      <w:r>
        <w:t xml:space="preserve"> </w:t>
      </w:r>
      <w:r>
        <w:t xml:space="preserve">‘EN 71-12:2016 Safety of toys — Part 12: N-Nitrosamines and N-nitrosatable</w:t>
      </w:r>
      <w:r>
        <w:t xml:space="preserve"> </w:t>
      </w:r>
      <w:r>
        <w:t xml:space="preserve">substances’ are lower than the limit values to be complied with set in point 8 of</w:t>
      </w:r>
      <w:r>
        <w:t xml:space="preserve"> </w:t>
      </w:r>
      <w:r>
        <w:t xml:space="preserve">part III of Annex II to Directive 2009/48/EC. In particular those values are as</w:t>
      </w:r>
      <w:r>
        <w:t xml:space="preserve"> </w:t>
      </w:r>
      <w:r>
        <w:t xml:space="preserve">follows:</w:t>
      </w:r>
      <w:r>
        <w:t xml:space="preserve"> </w:t>
      </w:r>
      <w:r>
        <w:t xml:space="preserve">Substance</w:t>
      </w:r>
      <w:r>
        <w:t xml:space="preserve"> </w:t>
      </w:r>
      <w:r>
        <w:t xml:space="preserve">Standard EN 71-12:2016</w:t>
      </w:r>
      <w:r>
        <w:t xml:space="preserve"> </w:t>
      </w:r>
      <w:r>
        <w:t xml:space="preserve">Directive 2009/48/EC</w:t>
      </w:r>
      <w:r>
        <w:t xml:space="preserve"> </w:t>
      </w:r>
      <w:r>
        <w:t xml:space="preserve">N-nitrosamines</w:t>
      </w:r>
      <w:r>
        <w:t xml:space="preserve"> </w:t>
      </w:r>
      <w:r>
        <w:t xml:space="preserve">0,01 mg/kg</w:t>
      </w:r>
      <w:r>
        <w:t xml:space="preserve"> </w:t>
      </w:r>
      <w:r>
        <w:t xml:space="preserve">0,05 mg/kg</w:t>
      </w:r>
    </w:p>
    <w:p>
      <w:pPr>
        <w:pStyle w:val="BodyText"/>
      </w:pPr>
      <w:r>
        <w:t xml:space="preserve">216 Commission Implementing Decision (EU) 2021/1992 of 15 November 2021 on harmonised standards for</w:t>
      </w:r>
      <w:r>
        <w:t xml:space="preserve"> </w:t>
      </w:r>
      <w:r>
        <w:t xml:space="preserve">toys drafted in support of Directive 2009/48/EC of the European Parliament and of the Council, OJ L</w:t>
      </w:r>
      <w:r>
        <w:t xml:space="preserve"> </w:t>
      </w:r>
      <w:r>
        <w:t xml:space="preserve">405, 16.11.2021, p. 14 http://data.europa.eu/eli/dec_impl/2021/1992/oj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100</w:t>
      </w:r>
      <w:r>
        <w:t xml:space="preserve"> </w:t>
      </w:r>
      <w:r>
        <w:t xml:space="preserve">EN</w:t>
      </w:r>
      <w:r>
        <w:t xml:space="preserve"> </w:t>
      </w:r>
      <w:r>
        <w:t xml:space="preserve">N-nitrosatable</w:t>
      </w:r>
      <w:r>
        <w:t xml:space="preserve"> </w:t>
      </w:r>
      <w:r>
        <w:t xml:space="preserve">0,1 mg/kg</w:t>
      </w:r>
      <w:r>
        <w:t xml:space="preserve"> </w:t>
      </w:r>
      <w:r>
        <w:t xml:space="preserve">1 mg/kg.</w:t>
      </w:r>
      <w:r>
        <w:t xml:space="preserve"> </w:t>
      </w:r>
      <w:r>
        <w:t xml:space="preserve">9.</w:t>
      </w:r>
      <w:r>
        <w:t xml:space="preserve"> </w:t>
      </w:r>
      <w:r>
        <w:t xml:space="preserve">EN 71-13:2021 Safety of toys — Part 13: Olfactory board games, cosmetic kits</w:t>
      </w:r>
      <w:r>
        <w:t xml:space="preserve"> </w:t>
      </w:r>
      <w:r>
        <w:t xml:space="preserve">and gustative games</w:t>
      </w:r>
      <w:r>
        <w:t xml:space="preserve"> </w:t>
      </w:r>
      <w:r>
        <w:t xml:space="preserve">10. EN 71-14:2018 - Safety of toys — Part 14: Trampolines for domestic use</w:t>
      </w:r>
      <w:r>
        <w:t xml:space="preserve"> </w:t>
      </w:r>
      <w:r>
        <w:t xml:space="preserve">11. EN IEC 62115:2020</w:t>
      </w:r>
      <w:r>
        <w:t xml:space="preserve"> </w:t>
      </w:r>
      <w:r>
        <w:t xml:space="preserve">Electric toys — Safety</w:t>
      </w:r>
      <w:r>
        <w:t xml:space="preserve"> </w:t>
      </w:r>
      <w:r>
        <w:t xml:space="preserve">EN IEC 62115:2020/A11:2020</w:t>
      </w:r>
    </w:p>
    <w:p>
      <w:pPr>
        <w:pStyle w:val="Compact"/>
        <w:numPr>
          <w:ilvl w:val="0"/>
          <w:numId w:val="1006"/>
        </w:numPr>
      </w:pPr>
      <w:r>
        <w:t xml:space="preserve">CONFORMITY ASSESSMENT</w:t>
      </w:r>
      <w:r>
        <w:t xml:space="preserve"> </w:t>
      </w:r>
      <w:r>
        <w:t xml:space="preserve">Before placing their toys on the Union market, manufacturers must carry out a safety</w:t>
      </w:r>
      <w:r>
        <w:t xml:space="preserve"> </w:t>
      </w:r>
      <w:r>
        <w:t xml:space="preserve">assessment of the toy, to determine the risks that the toy may present as well as the essential</w:t>
      </w:r>
      <w:r>
        <w:t xml:space="preserve"> </w:t>
      </w:r>
      <w:r>
        <w:t xml:space="preserve">requirements of the Toy Safety Directive that are applicable to it. This safety assessment</w:t>
      </w:r>
      <w:r>
        <w:t xml:space="preserve"> </w:t>
      </w:r>
      <w:r>
        <w:t xml:space="preserve">also includes an assessment of the chemical substances in the toy and the risks they may</w:t>
      </w:r>
      <w:r>
        <w:t xml:space="preserve"> </w:t>
      </w:r>
      <w:r>
        <w:t xml:space="preserve">present. This assessment must be documented in the technical documentation drawn up by</w:t>
      </w:r>
      <w:r>
        <w:t xml:space="preserve"> </w:t>
      </w:r>
      <w:r>
        <w:t xml:space="preserve">the manufacturer; this document being of a commercially sensitive nature, is not provided</w:t>
      </w:r>
      <w:r>
        <w:t xml:space="preserve"> </w:t>
      </w:r>
      <w:r>
        <w:t xml:space="preserve">to any economic operator in the distribution chain (for example, it is not to be provided to</w:t>
      </w:r>
      <w:r>
        <w:t xml:space="preserve"> </w:t>
      </w:r>
      <w:r>
        <w:t xml:space="preserve">the importer or distributor) but only to market surveillance authorities upon a reasoned</w:t>
      </w:r>
      <w:r>
        <w:t xml:space="preserve"> </w:t>
      </w:r>
      <w:r>
        <w:t xml:space="preserve">request, and only the parts of the documentation related to that request217. The conformity</w:t>
      </w:r>
      <w:r>
        <w:t xml:space="preserve"> </w:t>
      </w:r>
      <w:r>
        <w:t xml:space="preserve">assessment of the toy is then mostly done by internal checks of the manufacturer.</w:t>
      </w:r>
      <w:r>
        <w:t xml:space="preserve"> </w:t>
      </w:r>
      <w:r>
        <w:t xml:space="preserve">Conformity assessment in the Toy Safety Directive is based on Decision No 768/2008/CE.</w:t>
      </w:r>
      <w:r>
        <w:t xml:space="preserve"> </w:t>
      </w:r>
      <w:r>
        <w:t xml:space="preserve">The essential objective of a conformity assessment procedure is to demonstrate that</w:t>
      </w:r>
      <w:r>
        <w:t xml:space="preserve"> </w:t>
      </w:r>
      <w:r>
        <w:t xml:space="preserve">products placed on the market conform to the requirements expressed in the provisions of</w:t>
      </w:r>
      <w:r>
        <w:t xml:space="preserve"> </w:t>
      </w:r>
      <w:r>
        <w:t xml:space="preserve">the relevant legislation. This Decision contains a number of conformity assessment</w:t>
      </w:r>
      <w:r>
        <w:t xml:space="preserve"> </w:t>
      </w:r>
      <w:r>
        <w:t xml:space="preserve">modules to be used EU product legislation, enabling the legislator to choose a procedure</w:t>
      </w:r>
      <w:r>
        <w:t xml:space="preserve"> </w:t>
      </w:r>
      <w:r>
        <w:t xml:space="preserve">from the least to the most stringent, in proportion to the level of risk involved and the level</w:t>
      </w:r>
      <w:r>
        <w:t xml:space="preserve"> </w:t>
      </w:r>
      <w:r>
        <w:t xml:space="preserve">of safety required. The least onerous modules should be selected taking into account the</w:t>
      </w:r>
      <w:r>
        <w:t xml:space="preserve"> </w:t>
      </w:r>
      <w:r>
        <w:t xml:space="preserve">type of products and hazards involved, the impact on the protection of public interests, the</w:t>
      </w:r>
      <w:r>
        <w:t xml:space="preserve"> </w:t>
      </w:r>
      <w:r>
        <w:t xml:space="preserve">economic infrastructure of the given sector, the methods of production, etc. Conformity</w:t>
      </w:r>
      <w:r>
        <w:t xml:space="preserve"> </w:t>
      </w:r>
      <w:r>
        <w:t xml:space="preserve">assessment must not be confused with market surveillance, which consists of checks by</w:t>
      </w:r>
      <w:r>
        <w:t xml:space="preserve"> </w:t>
      </w:r>
      <w:r>
        <w:t xml:space="preserve">the national market surveillance authorities after the product has been placed on the market.</w:t>
      </w:r>
      <w:r>
        <w:t xml:space="preserve"> </w:t>
      </w:r>
      <w:r>
        <w:t xml:space="preserve">However both techniques are complementary and equally necessary to ensure the</w:t>
      </w:r>
      <w:r>
        <w:t xml:space="preserve"> </w:t>
      </w:r>
      <w:r>
        <w:t xml:space="preserve">protection of the public interests at stake and the smooth functioning of the internal market.</w:t>
      </w:r>
      <w:r>
        <w:t xml:space="preserve"> </w:t>
      </w:r>
      <w:r>
        <w:t xml:space="preserve">Conformity assessment under the Toy Safety Directive is to be carried out by the</w:t>
      </w:r>
      <w:r>
        <w:t xml:space="preserve"> </w:t>
      </w:r>
      <w:r>
        <w:t xml:space="preserve">manufacturer or by a third party – a ‘Notified Body’ test laboratory that has been</w:t>
      </w:r>
      <w:r>
        <w:t xml:space="preserve"> </w:t>
      </w:r>
      <w:r>
        <w:t xml:space="preserve">previously recognised for its quality both at national and EU level. In any case,</w:t>
      </w:r>
      <w:r>
        <w:t xml:space="preserve"> </w:t>
      </w:r>
      <w:r>
        <w:t xml:space="preserve">manufacturers remain responsible for the safety of the product also after it has been placed</w:t>
      </w:r>
      <w:r>
        <w:t xml:space="preserve"> </w:t>
      </w:r>
      <w:r>
        <w:t xml:space="preserve">on the market.</w:t>
      </w:r>
      <w:r>
        <w:t xml:space="preserve"> </w:t>
      </w:r>
      <w:r>
        <w:t xml:space="preserve">There are two possible conformity assessments allowing toys to be sold in the EU. The</w:t>
      </w:r>
      <w:r>
        <w:t xml:space="preserve"> </w:t>
      </w:r>
      <w:r>
        <w:t xml:space="preserve">manufacturer has to demonstrate the compliance of a toy:</w:t>
      </w:r>
      <w:r>
        <w:t xml:space="preserve"> </w:t>
      </w:r>
      <w:r>
        <w:t xml:space="preserve"> either via self-verification by exclusively using referenced harmonised European</w:t>
      </w:r>
      <w:r>
        <w:t xml:space="preserve"> </w:t>
      </w:r>
      <w:r>
        <w:t xml:space="preserve">standards;</w:t>
      </w:r>
    </w:p>
    <w:p>
      <w:pPr>
        <w:pStyle w:val="FirstParagraph"/>
      </w:pPr>
      <w:r>
        <w:t xml:space="preserve">217 See the Blue Guide on the implementation of EU product rules https://eur-lex.europa.eu/legal-</w:t>
      </w:r>
      <w:r>
        <w:t xml:space="preserve"> </w:t>
      </w:r>
      <w:r>
        <w:t xml:space="preserve">content/EN/TXT/?uri=OJ:C:2022:247:TOC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101</w:t>
      </w:r>
      <w:r>
        <w:t xml:space="preserve"> </w:t>
      </w:r>
      <w:r>
        <w:t xml:space="preserve">EN</w:t>
      </w:r>
      <w:r>
        <w:t xml:space="preserve"> </w:t>
      </w:r>
      <w:r>
        <w:t xml:space="preserve"></w:t>
      </w:r>
      <w:r>
        <w:t xml:space="preserve"> </w:t>
      </w:r>
      <w:r>
        <w:t xml:space="preserve">or by third party verification through a Notified Body. This procedure applies when</w:t>
      </w:r>
      <w:r>
        <w:t xml:space="preserve"> </w:t>
      </w:r>
      <w:r>
        <w:t xml:space="preserve">existing referenced harmonised standards do not cover all relevant safety</w:t>
      </w:r>
      <w:r>
        <w:t xml:space="preserve"> </w:t>
      </w:r>
      <w:r>
        <w:t xml:space="preserve">requirements, or when the toy manufacturer has not applied or only partly applied</w:t>
      </w:r>
      <w:r>
        <w:t xml:space="preserve"> </w:t>
      </w:r>
      <w:r>
        <w:t xml:space="preserve">referenced harmonised standards, or when a referenced harmonised standard has been</w:t>
      </w:r>
      <w:r>
        <w:t xml:space="preserve"> </w:t>
      </w:r>
      <w:r>
        <w:t xml:space="preserve">published with a restriction,218 or when the toy manufacturer considers that the</w:t>
      </w:r>
      <w:r>
        <w:t xml:space="preserve"> </w:t>
      </w:r>
      <w:r>
        <w:t xml:space="preserve">characteristics of the toy require a third party verification.</w:t>
      </w:r>
      <w:r>
        <w:t xml:space="preserve"> </w:t>
      </w:r>
      <w:r>
        <w:t xml:space="preserve">It is the manufacturer, whether established in the EU or outside the EU, who decides which</w:t>
      </w:r>
      <w:r>
        <w:t xml:space="preserve"> </w:t>
      </w:r>
      <w:r>
        <w:t xml:space="preserve">of these two procedures is appropriate for him to follow. Evidence from Notified Bodies</w:t>
      </w:r>
      <w:r>
        <w:t xml:space="preserve"> </w:t>
      </w:r>
      <w:r>
        <w:t xml:space="preserve">suggests that around 97% of toys in the EU market are subject to the self-verification</w:t>
      </w:r>
      <w:r>
        <w:t xml:space="preserve"> </w:t>
      </w:r>
      <w:r>
        <w:t xml:space="preserve">procedure.</w:t>
      </w:r>
      <w:r>
        <w:t xml:space="preserve"> </w:t>
      </w:r>
      <w:r>
        <w:t xml:space="preserve">By way of comparison with a non-EU regulatory framework, the USA requires a third</w:t>
      </w:r>
      <w:r>
        <w:t xml:space="preserve"> </w:t>
      </w:r>
      <w:r>
        <w:t xml:space="preserve">party conformity assessment for any toy placed on the market in the USA. The only study</w:t>
      </w:r>
      <w:r>
        <w:t xml:space="preserve"> </w:t>
      </w:r>
      <w:r>
        <w:t xml:space="preserve">identified in the desk research for this evaluation compares the US third party conformity</w:t>
      </w:r>
      <w:r>
        <w:t xml:space="preserve"> </w:t>
      </w:r>
      <w:r>
        <w:t xml:space="preserve">assessment with the EU self-verification assessment.219 The study concluded that third</w:t>
      </w:r>
      <w:r>
        <w:t xml:space="preserve"> </w:t>
      </w:r>
      <w:r>
        <w:t xml:space="preserve">party conformity assessment leads to a much lower number of market restriction measures</w:t>
      </w:r>
      <w:r>
        <w:t xml:space="preserve"> </w:t>
      </w:r>
      <w:r>
        <w:t xml:space="preserve">on toys than the EU self-verification assessment. However, this conclusion does not take</w:t>
      </w:r>
      <w:r>
        <w:t xml:space="preserve"> </w:t>
      </w:r>
      <w:r>
        <w:t xml:space="preserve">account of the intensity of market surveillance in the EU which, according to the study, is</w:t>
      </w:r>
      <w:r>
        <w:t xml:space="preserve"> </w:t>
      </w:r>
      <w:r>
        <w:t xml:space="preserve">higher in the EU than in the USA.</w:t>
      </w:r>
      <w:r>
        <w:t xml:space="preserve"> </w:t>
      </w:r>
      <w:r>
        <w:t xml:space="preserve">7.</w:t>
      </w:r>
      <w:r>
        <w:t xml:space="preserve"> </w:t>
      </w:r>
      <w:r>
        <w:t xml:space="preserve">IMPLEMENTATION AND STATE OF PLAY</w:t>
      </w:r>
      <w:r>
        <w:t xml:space="preserve"> </w:t>
      </w:r>
      <w:r>
        <w:t xml:space="preserve">The 2009 Toy Safety Directive has been transposed by all Member States, although such</w:t>
      </w:r>
      <w:r>
        <w:t xml:space="preserve"> </w:t>
      </w:r>
      <w:r>
        <w:t xml:space="preserve">transposition was not notified within the deadline by some of them. Following the failure</w:t>
      </w:r>
      <w:r>
        <w:t xml:space="preserve"> </w:t>
      </w:r>
      <w:r>
        <w:t xml:space="preserve">by several Member States to timely notify the Commission about national transposition</w:t>
      </w:r>
      <w:r>
        <w:t xml:space="preserve"> </w:t>
      </w:r>
      <w:r>
        <w:t xml:space="preserve">measures before the January 2011 deadline, the Commission opened 15 non-</w:t>
      </w:r>
      <w:r>
        <w:t xml:space="preserve"> </w:t>
      </w:r>
      <w:r>
        <w:t xml:space="preserve">communication cases, but all of them were closed before the end of 2011, once</w:t>
      </w:r>
      <w:r>
        <w:t xml:space="preserve"> </w:t>
      </w:r>
      <w:r>
        <w:t xml:space="preserve">transposition had been completed and notified.220 The data in the European Commission</w:t>
      </w:r>
      <w:r>
        <w:t xml:space="preserve"> </w:t>
      </w:r>
      <w:r>
        <w:t xml:space="preserve">database on infringements show that, except for a few delays in the transposition of the</w:t>
      </w:r>
      <w:r>
        <w:t xml:space="preserve"> </w:t>
      </w:r>
      <w:r>
        <w:t xml:space="preserve">Directive in the member States’ legislations, there have not been major problems in the</w:t>
      </w:r>
      <w:r>
        <w:t xml:space="preserve"> </w:t>
      </w:r>
      <w:r>
        <w:t xml:space="preserve">transposition of the Directive and of its amendments into national legislation leading to the</w:t>
      </w:r>
      <w:r>
        <w:t xml:space="preserve"> </w:t>
      </w:r>
      <w:r>
        <w:t xml:space="preserve">opening of infringement proceedings.</w:t>
      </w:r>
      <w:r>
        <w:t xml:space="preserve"> </w:t>
      </w:r>
      <w:r>
        <w:t xml:space="preserve">However, there have been cases of Member States going beyond the requirements of the</w:t>
      </w:r>
      <w:r>
        <w:t xml:space="preserve"> </w:t>
      </w:r>
      <w:r>
        <w:t xml:space="preserve">Toy Safety Directive. For example, in 2011 Germany submitted an application to obtain</w:t>
      </w:r>
      <w:r>
        <w:t xml:space="preserve"> </w:t>
      </w:r>
      <w:r>
        <w:t xml:space="preserve">the authorisation to maintain its (stricter) national provisions on, among others,</w:t>
      </w:r>
      <w:r>
        <w:t xml:space="preserve"> </w:t>
      </w:r>
      <w:r>
        <w:t xml:space="preserve">nitrosamines and nitrosatable substances. Germany based its request on the need of</w:t>
      </w:r>
      <w:r>
        <w:t xml:space="preserve"> </w:t>
      </w:r>
      <w:r>
        <w:t xml:space="preserve">protection of human health. In support of the request, the German authorities provided</w:t>
      </w:r>
      <w:r>
        <w:t xml:space="preserve"> </w:t>
      </w:r>
      <w:r>
        <w:t xml:space="preserve">detailed justifications including scientific studies on the health assessment of the concerned</w:t>
      </w:r>
      <w:r>
        <w:t xml:space="preserve"> </w:t>
      </w:r>
      <w:r>
        <w:t xml:space="preserve">substances. The Commission acknowledged in a 2012 Decision221 that the limit values for</w:t>
      </w:r>
    </w:p>
    <w:p>
      <w:pPr>
        <w:pStyle w:val="BodyText"/>
      </w:pPr>
      <w:r>
        <w:t xml:space="preserve">218 A restriction may change or invalidate certain specification(s) in the standard referenced.</w:t>
      </w:r>
      <w:r>
        <w:t xml:space="preserve"> </w:t>
      </w:r>
      <w:r>
        <w:t xml:space="preserve">219 Larson DB, Jordan SR (2018) Playing it safe: toy safety and conformity assessment in Europe and the</w:t>
      </w:r>
      <w:r>
        <w:t xml:space="preserve"> </w:t>
      </w:r>
      <w:r>
        <w:t xml:space="preserve">United States. Sage journals. https://journals.sagepub.com/doi/full/10.1177/0020852317747370</w:t>
      </w:r>
      <w:r>
        <w:br/>
      </w:r>
      <w:r>
        <w:t xml:space="preserve">220 Commission Staff Working Document – Situation per Member State Accompanying the document Report</w:t>
      </w:r>
      <w:r>
        <w:t xml:space="preserve"> </w:t>
      </w:r>
      <w:r>
        <w:t xml:space="preserve">from the Commission 29th Annual report on monitoring the application of Community law [COM(2012)714</w:t>
      </w:r>
      <w:r>
        <w:t xml:space="preserve"> </w:t>
      </w:r>
      <w:r>
        <w:t xml:space="preserve">final] [SWD(2012)399 final], p.50.</w:t>
      </w:r>
      <w:r>
        <w:br/>
      </w:r>
      <w:r>
        <w:t xml:space="preserve">https://ec.europa.eu/info/publications/2011-commission-report-monitoring-application-eu-law_en</w:t>
      </w:r>
      <w:r>
        <w:t xml:space="preserve"> </w:t>
      </w:r>
      <w:r>
        <w:t xml:space="preserve">221 Commission Decision 2012/160/EU. OJ L 80, 20.3.2012, p. 19.</w:t>
      </w:r>
    </w:p>
    <w:p>
      <w:pPr>
        <w:pStyle w:val="BodyText"/>
      </w:pPr>
      <w:r>
        <w:t xml:space="preserve">http://eur-lex.europa.eu/legal-content/EN/TXT/?qid=1495625630954&amp;uri=CELEX:32012D0160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102</w:t>
      </w:r>
      <w:r>
        <w:t xml:space="preserve"> </w:t>
      </w:r>
      <w:r>
        <w:t xml:space="preserve">EN</w:t>
      </w:r>
      <w:r>
        <w:t xml:space="preserve"> </w:t>
      </w:r>
      <w:r>
        <w:t xml:space="preserve">nitrosamines222 requested by Germany were justified for a part of the toys covered by the</w:t>
      </w:r>
      <w:r>
        <w:t xml:space="preserve"> </w:t>
      </w:r>
      <w:r>
        <w:t xml:space="preserve">Toy Safety Directive limits, due to a ‘major need of protection of human health.’ The</w:t>
      </w:r>
      <w:r>
        <w:t xml:space="preserve"> </w:t>
      </w:r>
      <w:r>
        <w:t xml:space="preserve">Decision thus allowed Germany to keep its lower, stricter national limits.</w:t>
      </w:r>
      <w:r>
        <w:t xml:space="preserve"> </w:t>
      </w:r>
      <w:r>
        <w:t xml:space="preserve">Member States are required to appoint competent authorities responsible for the</w:t>
      </w:r>
      <w:r>
        <w:t xml:space="preserve"> </w:t>
      </w:r>
      <w:r>
        <w:t xml:space="preserve">implementation of the Directive at national level and for ensuring that the Directive is</w:t>
      </w:r>
      <w:r>
        <w:t xml:space="preserve"> </w:t>
      </w:r>
      <w:r>
        <w:t xml:space="preserve">effectively enforced within their territories. As such, they are also responsible for market</w:t>
      </w:r>
      <w:r>
        <w:t xml:space="preserve"> </w:t>
      </w:r>
      <w:r>
        <w:t xml:space="preserve">surveillance, including penalties. In addition to that, they appoint and monitor Notified</w:t>
      </w:r>
      <w:r>
        <w:t xml:space="preserve"> </w:t>
      </w:r>
      <w:r>
        <w:t xml:space="preserve">Bodies who assess and certify compliance with the Toy Safety Directive when requested</w:t>
      </w:r>
      <w:r>
        <w:t xml:space="preserve"> </w:t>
      </w:r>
      <w:r>
        <w:t xml:space="preserve">to do so.</w:t>
      </w:r>
      <w:r>
        <w:t xml:space="preserve"> </w:t>
      </w:r>
      <w:r>
        <w:t xml:space="preserve">At EU level, the European Commission is organising meetings of Member States</w:t>
      </w:r>
      <w:r>
        <w:t xml:space="preserve"> </w:t>
      </w:r>
      <w:r>
        <w:t xml:space="preserve">representatives and other stakeholders in order to support the effective implementation and</w:t>
      </w:r>
      <w:r>
        <w:t xml:space="preserve"> </w:t>
      </w:r>
      <w:r>
        <w:t xml:space="preserve">application of the Directive through, amongst others, sharing of information and best</w:t>
      </w:r>
      <w:r>
        <w:t xml:space="preserve"> </w:t>
      </w:r>
      <w:r>
        <w:t xml:space="preserve">practices, or addressing potential issues and barriers that could arise:</w:t>
      </w:r>
      <w:r>
        <w:t xml:space="preserve"> </w:t>
      </w:r>
      <w:r>
        <w:t xml:space="preserve"> The Toy Safety Committee is responsible for assisting the Commission in the</w:t>
      </w:r>
      <w:r>
        <w:t xml:space="preserve"> </w:t>
      </w:r>
      <w:r>
        <w:t xml:space="preserve">implementation of the Directive, notably in the adoption of implementing</w:t>
      </w:r>
      <w:r>
        <w:t xml:space="preserve"> </w:t>
      </w:r>
      <w:r>
        <w:t xml:space="preserve">measures. The possibility to adopt such measures is provided in the Toy Safety</w:t>
      </w:r>
      <w:r>
        <w:t xml:space="preserve"> </w:t>
      </w:r>
      <w:r>
        <w:t xml:space="preserve">Directive for the update of certain provisions of the Directive to technical and</w:t>
      </w:r>
      <w:r>
        <w:t xml:space="preserve"> </w:t>
      </w:r>
      <w:r>
        <w:t xml:space="preserve">scientific developments via the regulatory procedure with scrutiny.223</w:t>
      </w:r>
      <w:r>
        <w:t xml:space="preserve"> </w:t>
      </w:r>
      <w:r>
        <w:t xml:space="preserve"> The Expert Group on Toys Safety224 is the setting for EU Member States, EEA-</w:t>
      </w:r>
      <w:r>
        <w:t xml:space="preserve"> </w:t>
      </w:r>
      <w:r>
        <w:t xml:space="preserve">EFTA countries, Switzerland, Candidate Countries, stakeholders and the</w:t>
      </w:r>
      <w:r>
        <w:t xml:space="preserve"> </w:t>
      </w:r>
      <w:r>
        <w:t xml:space="preserve">Commission. It assists in the consistent implementation of legislation on toy safety</w:t>
      </w:r>
      <w:r>
        <w:t xml:space="preserve"> </w:t>
      </w:r>
      <w:r>
        <w:t xml:space="preserve">across the EU and provides advice on the preparation of new legislative proposals</w:t>
      </w:r>
      <w:r>
        <w:t xml:space="preserve"> </w:t>
      </w:r>
      <w:r>
        <w:t xml:space="preserve">and policy initiatives. The Expert Group also develops guidance material. Its sub-</w:t>
      </w:r>
      <w:r>
        <w:t xml:space="preserve"> </w:t>
      </w:r>
      <w:r>
        <w:t xml:space="preserve">group on Chemicals has been a forum for discussion between representatives of</w:t>
      </w:r>
      <w:r>
        <w:t xml:space="preserve"> </w:t>
      </w:r>
      <w:r>
        <w:t xml:space="preserve">Member States on chemicals of concern and assists the Expert Group in the</w:t>
      </w:r>
      <w:r>
        <w:t xml:space="preserve"> </w:t>
      </w:r>
      <w:r>
        <w:t xml:space="preserve">preparation of amending directives setting (stricter) limit values for chemicals.</w:t>
      </w:r>
      <w:r>
        <w:t xml:space="preserve"> </w:t>
      </w:r>
      <w:r>
        <w:t xml:space="preserve"> The Administrative Cooperation (AdCo)225 group brings together the national</w:t>
      </w:r>
      <w:r>
        <w:t xml:space="preserve"> </w:t>
      </w:r>
      <w:r>
        <w:t xml:space="preserve">market surveillance authorities responsible for enforcing the Toy Safety Directive.</w:t>
      </w:r>
      <w:r>
        <w:t xml:space="preserve"> </w:t>
      </w:r>
      <w:r>
        <w:t xml:space="preserve">It enables the cooperation and exchange of information on market surveillance</w:t>
      </w:r>
      <w:r>
        <w:t xml:space="preserve"> </w:t>
      </w:r>
      <w:r>
        <w:t xml:space="preserve">issues, including the discussion of</w:t>
      </w:r>
      <w:r>
        <w:t xml:space="preserve"> </w:t>
      </w:r>
      <w:r>
        <w:t xml:space="preserve">‘grey zone’</w:t>
      </w:r>
      <w:r>
        <w:t xml:space="preserve"> </w:t>
      </w:r>
      <w:r>
        <w:t xml:space="preserve">classification problems (toy or not,</w:t>
      </w:r>
      <w:r>
        <w:t xml:space="preserve"> </w:t>
      </w:r>
      <w:r>
        <w:t xml:space="preserve">toy for children under 36 months of age or for older children, etc.).</w:t>
      </w:r>
      <w:r>
        <w:t xml:space="preserve"> </w:t>
      </w:r>
      <w:r>
        <w:t xml:space="preserve"> The co-ordination group of Notified Bodies under the Toy Safety Directive, known</w:t>
      </w:r>
      <w:r>
        <w:t xml:space="preserve"> </w:t>
      </w:r>
      <w:r>
        <w:t xml:space="preserve">as NB-Toys, is a forum for the exchange of experience between Notified Bodies.</w:t>
      </w:r>
      <w:r>
        <w:t xml:space="preserve"> </w:t>
      </w:r>
      <w:r>
        <w:t xml:space="preserve">It meets twice a year in order to harmonise their practices through the adoption of</w:t>
      </w:r>
      <w:r>
        <w:t xml:space="preserve"> </w:t>
      </w:r>
      <w:r>
        <w:t xml:space="preserve">guidance documents, also known as Recommendations and Protocols, to help them</w:t>
      </w:r>
      <w:r>
        <w:t xml:space="preserve"> </w:t>
      </w:r>
      <w:r>
        <w:t xml:space="preserve">fulfil their tasks.226 They are applied by the Notified Bodies on a voluntary basis.</w:t>
      </w:r>
    </w:p>
    <w:p>
      <w:pPr>
        <w:pStyle w:val="BodyText"/>
      </w:pPr>
      <w:r>
        <w:t xml:space="preserve">222 ‘Nitrosamines’ is here understood to mean ‘nitrosamines and nitrosatable substances’.</w:t>
      </w:r>
      <w:r>
        <w:t xml:space="preserve"> </w:t>
      </w:r>
      <w:r>
        <w:t xml:space="preserve">223 See Articles 46 and 47 of the Toy Safety Directive.</w:t>
      </w:r>
      <w:r>
        <w:t xml:space="preserve"> </w:t>
      </w:r>
      <w:r>
        <w:t xml:space="preserve">224 Register of Commission Expert Groups and other similar entities.</w:t>
      </w:r>
      <w:r>
        <w:br/>
      </w:r>
      <w:r>
        <w:t xml:space="preserve">http://ec.europa.eu/transparency/regexpert/index.cfm?do=groupDetail.groupDetail&amp;groupID=1360</w:t>
      </w:r>
      <w:r>
        <w:t xml:space="preserve"> </w:t>
      </w:r>
      <w:r>
        <w:t xml:space="preserve">225 The Toys-AdCo is the closed session of the Expert Group on Toys Safety (E01360) and comprises only</w:t>
      </w:r>
      <w:r>
        <w:t xml:space="preserve"> </w:t>
      </w:r>
      <w:r>
        <w:t xml:space="preserve">market surveillance authorities.</w:t>
      </w:r>
      <w:r>
        <w:t xml:space="preserve"> </w:t>
      </w:r>
      <w:r>
        <w:t xml:space="preserve">226 Recommendations and Protocols under the Toy Safety Directive are available at</w:t>
      </w:r>
    </w:p>
    <w:p>
      <w:pPr>
        <w:pStyle w:val="BodyText"/>
      </w:pPr>
      <w:r>
        <w:t xml:space="preserve">https://ec.europa.eu/growth/sectors/toys/safety/guidance_en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103</w:t>
      </w:r>
      <w:r>
        <w:t xml:space="preserve"> </w:t>
      </w:r>
      <w:r>
        <w:t xml:space="preserve">EN</w:t>
      </w:r>
      <w:r>
        <w:t xml:space="preserve"> </w:t>
      </w:r>
      <w:r>
        <w:t xml:space="preserve">Another important mechanism supporting the implementation of the Toy Safety Directive</w:t>
      </w:r>
      <w:r>
        <w:t xml:space="preserve"> </w:t>
      </w:r>
      <w:r>
        <w:t xml:space="preserve">is European standardisation. Industry representatives active in the European</w:t>
      </w:r>
      <w:r>
        <w:t xml:space="preserve"> </w:t>
      </w:r>
      <w:r>
        <w:t xml:space="preserve">standardisation organisations (CEN, CENELEC) together with Member States and</w:t>
      </w:r>
      <w:r>
        <w:t xml:space="preserve"> </w:t>
      </w:r>
      <w:r>
        <w:t xml:space="preserve">consumer organisations have developed so far 11 harmonised European standards (hENs)</w:t>
      </w:r>
      <w:r>
        <w:t xml:space="preserve"> </w:t>
      </w:r>
      <w:r>
        <w:t xml:space="preserve">which have been referenced in the Official Journal and thus give presumption of</w:t>
      </w:r>
      <w:r>
        <w:t xml:space="preserve"> </w:t>
      </w:r>
      <w:r>
        <w:t xml:space="preserve">conformity and therefore facilitate the implementation of the Toy Safety Directive.227</w:t>
      </w:r>
      <w:r>
        <w:t xml:space="preserve"> </w:t>
      </w:r>
      <w:r>
        <w:t xml:space="preserve">Harmonised standards translate the essential safety requirements of the Toy Safety</w:t>
      </w:r>
      <w:r>
        <w:t xml:space="preserve"> </w:t>
      </w:r>
      <w:r>
        <w:t xml:space="preserve">Directive into detailed technical specifications for a large range of toys.</w:t>
      </w:r>
      <w:r>
        <w:br/>
      </w:r>
      <w:r>
        <w:t xml:space="preserve">8.</w:t>
      </w:r>
      <w:r>
        <w:t xml:space="preserve"> </w:t>
      </w:r>
      <w:r>
        <w:t xml:space="preserve">AMENDMENTS TO THE TOY SAFETY DIRECTIVE</w:t>
      </w:r>
      <w:r>
        <w:t xml:space="preserve"> </w:t>
      </w:r>
      <w:r>
        <w:t xml:space="preserve">To adapt the safety requirements on chemicals in toys to the latest technical and scientific</w:t>
      </w:r>
      <w:r>
        <w:t xml:space="preserve"> </w:t>
      </w:r>
      <w:r>
        <w:t xml:space="preserve">developments, the Commission can amend certain parts of the Directive. The following</w:t>
      </w:r>
      <w:r>
        <w:t xml:space="preserve"> </w:t>
      </w:r>
      <w:r>
        <w:t xml:space="preserve">amendments have so far been made:</w:t>
      </w:r>
    </w:p>
    <w:p>
      <w:pPr>
        <w:pStyle w:val="Compact"/>
        <w:numPr>
          <w:ilvl w:val="0"/>
          <w:numId w:val="1007"/>
        </w:numPr>
      </w:pPr>
      <w:r>
        <w:t xml:space="preserve">June 2021: Adoption of specific limit values for aniline in toys intended for children</w:t>
      </w:r>
      <w:r>
        <w:t xml:space="preserve"> </w:t>
      </w:r>
      <w:r>
        <w:t xml:space="preserve">under 36 months and in other toys intended to be placed in the mouth (Commission</w:t>
      </w:r>
      <w:r>
        <w:t xml:space="preserve"> </w:t>
      </w:r>
      <w:r>
        <w:t xml:space="preserve">Directive (EU) 2021/903)</w:t>
      </w:r>
    </w:p>
    <w:p>
      <w:pPr>
        <w:pStyle w:val="Compact"/>
        <w:numPr>
          <w:ilvl w:val="0"/>
          <w:numId w:val="1007"/>
        </w:numPr>
      </w:pPr>
      <w:r>
        <w:t xml:space="preserve">December 2020: Addition of 50 allergenic fragrances which are subject to labelling</w:t>
      </w:r>
      <w:r>
        <w:t xml:space="preserve"> </w:t>
      </w:r>
      <w:r>
        <w:t xml:space="preserve">requirements in toys (Commission Directive (EU) 2020/2088)</w:t>
      </w:r>
    </w:p>
    <w:p>
      <w:pPr>
        <w:pStyle w:val="Compact"/>
        <w:numPr>
          <w:ilvl w:val="0"/>
          <w:numId w:val="1007"/>
        </w:numPr>
      </w:pPr>
      <w:r>
        <w:t xml:space="preserve">December 2020: Prohibition of 3 additional allergenic fragrances in toys (Commission</w:t>
      </w:r>
      <w:r>
        <w:t xml:space="preserve"> </w:t>
      </w:r>
      <w:r>
        <w:t xml:space="preserve">Directive (EU) 2020/2089)</w:t>
      </w:r>
    </w:p>
    <w:p>
      <w:pPr>
        <w:pStyle w:val="Compact"/>
        <w:numPr>
          <w:ilvl w:val="0"/>
          <w:numId w:val="1007"/>
        </w:numPr>
      </w:pPr>
      <w:r>
        <w:t xml:space="preserve">November 2019: Adoption of specific limit values for the monomer and preservative</w:t>
      </w:r>
      <w:r>
        <w:t xml:space="preserve"> </w:t>
      </w:r>
      <w:r>
        <w:t xml:space="preserve">formaldehyde in toys intended for children under 36 months and in other toys intended</w:t>
      </w:r>
      <w:r>
        <w:t xml:space="preserve"> </w:t>
      </w:r>
      <w:r>
        <w:t xml:space="preserve">to be placed in the mouth (Commission Directive (EU) 2019/1929)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November 2019: Revision of the migration limits for aluminium (Commission</w:t>
      </w:r>
      <w:r>
        <w:t xml:space="preserve"> </w:t>
      </w:r>
      <w:r>
        <w:t xml:space="preserve">Directive (EU) 2019/1922)</w:t>
      </w:r>
    </w:p>
    <w:p>
      <w:pPr>
        <w:pStyle w:val="Compact"/>
        <w:numPr>
          <w:ilvl w:val="0"/>
          <w:numId w:val="1007"/>
        </w:numPr>
      </w:pPr>
      <w:r>
        <w:t xml:space="preserve">May 2018: Revision of the specific limit value for chromium VI (Commission</w:t>
      </w:r>
      <w:r>
        <w:t xml:space="preserve"> </w:t>
      </w:r>
      <w:r>
        <w:t xml:space="preserve">Directive (EU) 2018/725)</w:t>
      </w:r>
    </w:p>
    <w:p>
      <w:pPr>
        <w:pStyle w:val="Compact"/>
        <w:numPr>
          <w:ilvl w:val="0"/>
          <w:numId w:val="1007"/>
        </w:numPr>
      </w:pPr>
      <w:r>
        <w:t xml:space="preserve">May 2017: Revision of the specific limit value for the monomer bisphenol A in toys</w:t>
      </w:r>
      <w:r>
        <w:t xml:space="preserve"> </w:t>
      </w:r>
      <w:r>
        <w:t xml:space="preserve">intended for children under 36 months and in other toys intended to be placed in the</w:t>
      </w:r>
      <w:r>
        <w:t xml:space="preserve"> </w:t>
      </w:r>
      <w:r>
        <w:t xml:space="preserve">mouth (Commission Directive (EU) 2017/898)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May 2017: Adoption of specific limit values for the monomer and preservative phenol</w:t>
      </w:r>
      <w:r>
        <w:t xml:space="preserve"> </w:t>
      </w:r>
      <w:r>
        <w:t xml:space="preserve">in toys intended for children under 36 months and in other toys intended to be placed</w:t>
      </w:r>
      <w:r>
        <w:t xml:space="preserve"> </w:t>
      </w:r>
      <w:r>
        <w:t xml:space="preserve">in the mouth (Commission Directive (EU) 2017/774)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March 2017: Revision of the migration limits for lead (Council Directive (EU)</w:t>
      </w:r>
      <w:r>
        <w:t xml:space="preserve"> </w:t>
      </w:r>
      <w:r>
        <w:t xml:space="preserve">2017/738)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November 2015: Adoption of specific limit values for the preservatives</w:t>
      </w:r>
      <w:r>
        <w:t xml:space="preserve"> </w:t>
      </w:r>
      <w:r>
        <w:t xml:space="preserve">chloromethylisothiazolinone (CMI), methylisothiazolinone (MI) and CMI and MI</w:t>
      </w:r>
      <w:r>
        <w:t xml:space="preserve"> </w:t>
      </w:r>
      <w:r>
        <w:t xml:space="preserve">mixed together in a ratio of 3 to 1 (CMI/MI 3:1) in toys intended for children under</w:t>
      </w:r>
      <w:r>
        <w:t xml:space="preserve"> </w:t>
      </w:r>
      <w:r>
        <w:t xml:space="preserve">36 months and in other toys intended to be placed in the mouth (Commission Directive</w:t>
      </w:r>
      <w:r>
        <w:t xml:space="preserve"> </w:t>
      </w:r>
      <w:r>
        <w:t xml:space="preserve">(EU) 2015/2117)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November 2015: Adoption of a specific limit value for the preservative</w:t>
      </w:r>
      <w:r>
        <w:t xml:space="preserve"> </w:t>
      </w:r>
      <w:r>
        <w:t xml:space="preserve">benzisothiazolinone (BIT) in toys intended for children under 36 months and in other</w:t>
      </w:r>
      <w:r>
        <w:t xml:space="preserve"> </w:t>
      </w:r>
      <w:r>
        <w:t xml:space="preserve">toys intended to be placed in the mouth (Commission Directive (EU) 2015/2116)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November 2015: Adoption of a specific limit value for formamide in toys intended for</w:t>
      </w:r>
      <w:r>
        <w:t xml:space="preserve"> </w:t>
      </w:r>
      <w:r>
        <w:t xml:space="preserve">children under 36 months and in other toys intended to be placed in the mouth</w:t>
      </w:r>
      <w:r>
        <w:t xml:space="preserve"> </w:t>
      </w:r>
      <w:r>
        <w:t xml:space="preserve">(Commission Directive (EU) 2015/2115)</w:t>
      </w:r>
    </w:p>
    <w:p>
      <w:pPr>
        <w:pStyle w:val="FirstParagraph"/>
      </w:pPr>
      <w:r>
        <w:t xml:space="preserve">227 https://ec.europa.eu/growth/single-market/european-standards/harmonised-standards/toys_en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104</w:t>
      </w:r>
      <w:r>
        <w:t xml:space="preserve"> </w:t>
      </w:r>
      <w:r>
        <w:t xml:space="preserve">EN</w:t>
      </w:r>
      <w:r>
        <w:t xml:space="preserve"> </w:t>
      </w:r>
      <w:r>
        <w:t xml:space="preserve">13) June 2014: Additional permitted use of the CMR substance nickel (Commission</w:t>
      </w:r>
      <w:r>
        <w:t xml:space="preserve"> </w:t>
      </w:r>
      <w:r>
        <w:t xml:space="preserve">Directive 2014/84/EU)</w:t>
      </w:r>
      <w:r>
        <w:br/>
      </w:r>
      <w:r>
        <w:t xml:space="preserve">14) June 2014: Adoption of a specific limit value for the monomer bisphenol A in toys</w:t>
      </w:r>
      <w:r>
        <w:t xml:space="preserve"> </w:t>
      </w:r>
      <w:r>
        <w:t xml:space="preserve">intended for children under 36 months and in other toys intended to be placed in the</w:t>
      </w:r>
      <w:r>
        <w:t xml:space="preserve"> </w:t>
      </w:r>
      <w:r>
        <w:t xml:space="preserve">mouth (Commission Directive 2014/81/EU)</w:t>
      </w:r>
      <w:r>
        <w:br/>
      </w:r>
      <w:r>
        <w:t xml:space="preserve">15) June 2014: Adoption of specific limit values for the three flame retardants TCEP,</w:t>
      </w:r>
      <w:r>
        <w:t xml:space="preserve"> </w:t>
      </w:r>
      <w:r>
        <w:t xml:space="preserve">TCPP and TDCP in toys intended for children under 36 months and in other toys</w:t>
      </w:r>
      <w:r>
        <w:t xml:space="preserve"> </w:t>
      </w:r>
      <w:r>
        <w:t xml:space="preserve">intended to be placed in the mouth (Commission Directive 2014/79/EU)</w:t>
      </w:r>
      <w:r>
        <w:br/>
      </w:r>
      <w:r>
        <w:t xml:space="preserve">16) July 2013: Revision of the migration limits for barium (Commission Regulation (EU)</w:t>
      </w:r>
      <w:r>
        <w:t xml:space="preserve"> </w:t>
      </w:r>
      <w:r>
        <w:t xml:space="preserve">No 681/2013)</w:t>
      </w:r>
      <w:r>
        <w:br/>
      </w:r>
      <w:r>
        <w:t xml:space="preserve">17) March 2012: Revision of the migration limits for cadmium (Commission Directive</w:t>
      </w:r>
      <w:r>
        <w:t xml:space="preserve"> </w:t>
      </w:r>
      <w:r>
        <w:t xml:space="preserve">2012/7/EU)</w:t>
      </w:r>
      <w:r>
        <w:t xml:space="preserve"> </w:t>
      </w:r>
      <w:r>
        <w:t xml:space="preserve">9.</w:t>
      </w:r>
      <w:r>
        <w:t xml:space="preserve"> </w:t>
      </w:r>
      <w:r>
        <w:t xml:space="preserve">ENFORCEMENT OF THE TSD: MARKET SURVEILLANCE</w:t>
      </w:r>
      <w:r>
        <w:t xml:space="preserve"> </w:t>
      </w:r>
      <w:r>
        <w:t xml:space="preserve">The TSD imposes responsibilities on various economic operators along the toy supply</w:t>
      </w:r>
      <w:r>
        <w:t xml:space="preserve"> </w:t>
      </w:r>
      <w:r>
        <w:t xml:space="preserve">chain and on competent national authorities. By way of overview, the relevant obligations</w:t>
      </w:r>
      <w:r>
        <w:t xml:space="preserve"> </w:t>
      </w:r>
      <w:r>
        <w:t xml:space="preserve">of economic operators are as follows:</w:t>
      </w:r>
      <w:r>
        <w:t xml:space="preserve"> </w:t>
      </w:r>
      <w:r>
        <w:t xml:space="preserve"> Toy manufacturers are exclusively responsible for conducting a complete</w:t>
      </w:r>
      <w:r>
        <w:t xml:space="preserve"> </w:t>
      </w:r>
      <w:r>
        <w:t xml:space="preserve">conformity assessment of their toys before placing them on the market (Articles 4</w:t>
      </w:r>
      <w:r>
        <w:t xml:space="preserve"> </w:t>
      </w:r>
      <w:r>
        <w:t xml:space="preserve">and 18 TSD). This is done either through a self-verification procedure if</w:t>
      </w:r>
      <w:r>
        <w:t xml:space="preserve"> </w:t>
      </w:r>
      <w:r>
        <w:t xml:space="preserve">harmonised European standards are used, (Article 19 TSD) or through a third-party</w:t>
      </w:r>
      <w:r>
        <w:t xml:space="preserve"> </w:t>
      </w:r>
      <w:r>
        <w:t xml:space="preserve">assessment by a notified body (Article 20 TSD).</w:t>
      </w:r>
      <w:r>
        <w:t xml:space="preserve"> </w:t>
      </w:r>
      <w:r>
        <w:t xml:space="preserve"> Toys’ importers have the responsibility to ensure that the imported toys comply</w:t>
      </w:r>
      <w:r>
        <w:t xml:space="preserve"> </w:t>
      </w:r>
      <w:r>
        <w:t xml:space="preserve">with the relevant EU rules and that the necessary conformity assessment has been</w:t>
      </w:r>
      <w:r>
        <w:t xml:space="preserve"> </w:t>
      </w:r>
      <w:r>
        <w:t xml:space="preserve">conducted (Article 6 TSD).</w:t>
      </w:r>
      <w:r>
        <w:t xml:space="preserve"> </w:t>
      </w:r>
      <w:r>
        <w:t xml:space="preserve"> Toys’ distributors have the responsibility to ensure that the toys have the necessary</w:t>
      </w:r>
      <w:r>
        <w:t xml:space="preserve"> </w:t>
      </w:r>
      <w:r>
        <w:t xml:space="preserve">conformity marking and accompanying documentation (Article 7 TSD).</w:t>
      </w:r>
      <w:r>
        <w:t xml:space="preserve"> </w:t>
      </w:r>
      <w:r>
        <w:t xml:space="preserve">Market surveillance is carried out for the TSD in line with Regulation 2019/2020 on market</w:t>
      </w:r>
      <w:r>
        <w:t xml:space="preserve"> </w:t>
      </w:r>
      <w:r>
        <w:t xml:space="preserve">surveillance. The competent national authority (market surveillance authority) must</w:t>
      </w:r>
      <w:r>
        <w:t xml:space="preserve"> </w:t>
      </w:r>
      <w:r>
        <w:t xml:space="preserve">organise and perform the surveillance of the market within its jurisdiction (Chapter VI</w:t>
      </w:r>
      <w:r>
        <w:t xml:space="preserve"> </w:t>
      </w:r>
      <w:r>
        <w:t xml:space="preserve">TSD). This includes testing toys, verifying toys’ documentation, ordering withdrawals and</w:t>
      </w:r>
      <w:r>
        <w:t xml:space="preserve"> </w:t>
      </w:r>
      <w:r>
        <w:t xml:space="preserve">recalls of toys from the market if they present a safety risk and other tasks.</w:t>
      </w:r>
      <w:r>
        <w:t xml:space="preserve"> </w:t>
      </w:r>
      <w:r>
        <w:t xml:space="preserve">Market surveillance authorities have to perform appropriate checks on an adequate scale</w:t>
      </w:r>
      <w:r>
        <w:t xml:space="preserve"> </w:t>
      </w:r>
      <w:r>
        <w:t xml:space="preserve">of products made available online and offline (Article 11(1)(a) and 11(3) of Regulation</w:t>
      </w:r>
      <w:r>
        <w:t xml:space="preserve"> </w:t>
      </w:r>
      <w:r>
        <w:t xml:space="preserve">(EU) 2019/1020). For market surveillance to be efficient, a risk-based approach has to be</w:t>
      </w:r>
      <w:r>
        <w:t xml:space="preserve"> </w:t>
      </w:r>
      <w:r>
        <w:t xml:space="preserve">followed (Article 11(3) of Regulation (EU) 2019/1020). Resources should be concentrated</w:t>
      </w:r>
      <w:r>
        <w:t xml:space="preserve"> </w:t>
      </w:r>
      <w:r>
        <w:t xml:space="preserve">where risks are likely to be higher or non-compliance more frequent. The risk-based</w:t>
      </w:r>
      <w:r>
        <w:t xml:space="preserve"> </w:t>
      </w:r>
      <w:r>
        <w:t xml:space="preserve">approach should take into account aspects of products (level of potential hazards, non-</w:t>
      </w:r>
      <w:r>
        <w:t xml:space="preserve"> </w:t>
      </w:r>
      <w:r>
        <w:t xml:space="preserve">compliance and associated risks; occurrence on the market), economic operators (activities</w:t>
      </w:r>
      <w:r>
        <w:t xml:space="preserve"> </w:t>
      </w:r>
      <w:r>
        <w:t xml:space="preserve">and operations, past record of non-compliance) and information about both received from</w:t>
      </w:r>
      <w:r>
        <w:t xml:space="preserve"> </w:t>
      </w:r>
      <w:r>
        <w:t xml:space="preserve">other actors (such as border control authorities, consumer complaints, media) as well as</w:t>
      </w:r>
      <w:r>
        <w:t xml:space="preserve"> </w:t>
      </w:r>
      <w:r>
        <w:t xml:space="preserve">other sources that might indicate non-compliance such as incidents and accidents.</w:t>
      </w:r>
      <w:r>
        <w:br/>
      </w:r>
      <w:r>
        <w:t xml:space="preserve">Market surveillance authorities do not necessarily check all the possible requirements on,</w:t>
      </w:r>
      <w:r>
        <w:t xml:space="preserve"> </w:t>
      </w:r>
      <w:r>
        <w:t xml:space="preserve">or all properties of, a product. Usually, only some of these requirements and properties are</w:t>
      </w:r>
      <w:r>
        <w:t xml:space="preserve"> </w:t>
      </w:r>
      <w:r>
        <w:t xml:space="preserve">selected for inspection.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105</w:t>
      </w:r>
      <w:r>
        <w:t xml:space="preserve"> </w:t>
      </w:r>
      <w:r>
        <w:t xml:space="preserve">EN</w:t>
      </w:r>
      <w:r>
        <w:t xml:space="preserve"> </w:t>
      </w:r>
      <w:r>
        <w:t xml:space="preserve">Checks by market surveillance authorities may include inter alia: — conducting online</w:t>
      </w:r>
      <w:r>
        <w:t xml:space="preserve"> </w:t>
      </w:r>
      <w:r>
        <w:t xml:space="preserve">inspections; — visiting commercial, industrial and storage premises; — visiting, if</w:t>
      </w:r>
      <w:r>
        <w:t xml:space="preserve"> </w:t>
      </w:r>
      <w:r>
        <w:t xml:space="preserve">appropriate, work places and other premises where products are put into service; requesting</w:t>
      </w:r>
      <w:r>
        <w:t xml:space="preserve"> </w:t>
      </w:r>
      <w:r>
        <w:t xml:space="preserve">necessary information; and — taking samples of products, and to subject them to</w:t>
      </w:r>
      <w:r>
        <w:t xml:space="preserve"> </w:t>
      </w:r>
      <w:r>
        <w:t xml:space="preserve">examination and testing.</w:t>
      </w:r>
      <w:r>
        <w:br/>
      </w:r>
      <w:r>
        <w:t xml:space="preserve">The first level of control comprises documentary and visual checks, for example regarding</w:t>
      </w:r>
      <w:r>
        <w:t xml:space="preserve"> </w:t>
      </w:r>
      <w:r>
        <w:t xml:space="preserve">the CE marking and its affixing, the availability of the EU declaration of conformity, the</w:t>
      </w:r>
      <w:r>
        <w:t xml:space="preserve"> </w:t>
      </w:r>
      <w:r>
        <w:t xml:space="preserve">information accompanying the product and the correct choice of conformity assessment</w:t>
      </w:r>
      <w:r>
        <w:t xml:space="preserve"> </w:t>
      </w:r>
      <w:r>
        <w:t xml:space="preserve">procedures. In the case of online checks, the first level of control is checking the</w:t>
      </w:r>
      <w:r>
        <w:t xml:space="preserve"> </w:t>
      </w:r>
      <w:r>
        <w:t xml:space="preserve">information available on the website where the product is offered for sale, potentially</w:t>
      </w:r>
      <w:r>
        <w:t xml:space="preserve"> </w:t>
      </w:r>
      <w:r>
        <w:t xml:space="preserve">followed by requesting compliance documentation or acquiring the product for further</w:t>
      </w:r>
      <w:r>
        <w:t xml:space="preserve"> </w:t>
      </w:r>
      <w:r>
        <w:t xml:space="preserve">inspection. More in-depth checks may, however, be necessary to verify the conformity of</w:t>
      </w:r>
      <w:r>
        <w:t xml:space="preserve"> </w:t>
      </w:r>
      <w:r>
        <w:t xml:space="preserve">the product, for example regarding the correct application of the conformity assessment</w:t>
      </w:r>
      <w:r>
        <w:t xml:space="preserve"> </w:t>
      </w:r>
      <w:r>
        <w:t xml:space="preserve">procedure, the compliance with the applicable essential requirements, and the contents of</w:t>
      </w:r>
      <w:r>
        <w:t xml:space="preserve"> </w:t>
      </w:r>
      <w:r>
        <w:t xml:space="preserve">the EU declaration of conformity. Especially when there are sufficient reasons to believe</w:t>
      </w:r>
      <w:r>
        <w:t xml:space="preserve"> </w:t>
      </w:r>
      <w:r>
        <w:t xml:space="preserve">that a product presents a risk, market surveillance authorities carry out an evaluation in</w:t>
      </w:r>
      <w:r>
        <w:t xml:space="preserve"> </w:t>
      </w:r>
      <w:r>
        <w:t xml:space="preserve">relation to the product concerned covering the requirements of the relevant Union</w:t>
      </w:r>
      <w:r>
        <w:t xml:space="preserve"> </w:t>
      </w:r>
      <w:r>
        <w:t xml:space="preserve">harmonisation legislation.</w:t>
      </w:r>
      <w:r>
        <w:t xml:space="preserve"> </w:t>
      </w:r>
      <w:r>
        <w:t xml:space="preserve">Where, having performed an evaluation, a market surveillance authority finds that a</w:t>
      </w:r>
      <w:r>
        <w:t xml:space="preserve"> </w:t>
      </w:r>
      <w:r>
        <w:t xml:space="preserve">product is non-compliant or that a product is compliant but presents a risk to the health or</w:t>
      </w:r>
      <w:r>
        <w:t xml:space="preserve"> </w:t>
      </w:r>
      <w:r>
        <w:t xml:space="preserve">safety of persons or to other aspects of public interest protection, it has to follow a sequence</w:t>
      </w:r>
      <w:r>
        <w:t xml:space="preserve"> </w:t>
      </w:r>
      <w:r>
        <w:t xml:space="preserve">of procedures aimed at ensuring that appropriate and proportionate action is undertaken</w:t>
      </w:r>
      <w:r>
        <w:t xml:space="preserve"> </w:t>
      </w:r>
      <w:r>
        <w:t xml:space="preserve">across the EU. These procedures are laid down in Articles 16, 18, 19 and 20 of Regulation</w:t>
      </w:r>
      <w:r>
        <w:t xml:space="preserve"> </w:t>
      </w:r>
      <w:r>
        <w:t xml:space="preserve">(EU) 2019/1020 and, for a large part, in more detail in the TSD, in line with the safeguard</w:t>
      </w:r>
      <w:r>
        <w:t xml:space="preserve"> </w:t>
      </w:r>
      <w:r>
        <w:t xml:space="preserve">procedures laid down in Articles 42 and 43 of the TSD.</w:t>
      </w:r>
      <w:r>
        <w:t xml:space="preserve"> </w:t>
      </w:r>
      <w:r>
        <w:t xml:space="preserve">9.1.</w:t>
      </w:r>
      <w:r>
        <w:t xml:space="preserve"> </w:t>
      </w:r>
      <w:r>
        <w:t xml:space="preserve">Enforcement in online sales</w:t>
      </w:r>
      <w:r>
        <w:br/>
      </w:r>
      <w:r>
        <w:t xml:space="preserve">The adoption of the Regulation 2019/1020 on market surveillance228 is expected to lead</w:t>
      </w:r>
      <w:r>
        <w:t xml:space="preserve"> </w:t>
      </w:r>
      <w:r>
        <w:t xml:space="preserve">to stronger and more consistent checks on products by national market surveillance</w:t>
      </w:r>
      <w:r>
        <w:t xml:space="preserve"> </w:t>
      </w:r>
      <w:r>
        <w:t xml:space="preserve">authorities across the EU. In particular, toys as products with a high risk of non-compliance</w:t>
      </w:r>
      <w:r>
        <w:t xml:space="preserve"> </w:t>
      </w:r>
      <w:r>
        <w:t xml:space="preserve">can only be placed on the EU market if there is an economic operator (i.e. manufacturer,</w:t>
      </w:r>
      <w:r>
        <w:t xml:space="preserve"> </w:t>
      </w:r>
      <w:r>
        <w:t xml:space="preserve">importer, authorised representative of these toys or the fulfilment service provider)</w:t>
      </w:r>
      <w:r>
        <w:t xml:space="preserve"> </w:t>
      </w:r>
      <w:r>
        <w:t xml:space="preserve">established in the EU and responsible for a number of tasks in relation to the compliance</w:t>
      </w:r>
      <w:r>
        <w:t xml:space="preserve"> </w:t>
      </w:r>
      <w:r>
        <w:t xml:space="preserve">of the toy (Article 4 of the Market Surveillance Regulation).</w:t>
      </w:r>
      <w:r>
        <w:br/>
      </w:r>
      <w:r>
        <w:t xml:space="preserve">The inclusion of fulfilment service providers in the scope of Regulation 2019/1020 closes</w:t>
      </w:r>
      <w:r>
        <w:t xml:space="preserve"> </w:t>
      </w:r>
      <w:r>
        <w:t xml:space="preserve">a significant gap that had emerged in market surveillance due to the development of</w:t>
      </w:r>
      <w:r>
        <w:t xml:space="preserve"> </w:t>
      </w:r>
      <w:r>
        <w:t xml:space="preserve">business models supporting e-commerce, in particular the growing importance of online</w:t>
      </w:r>
      <w:r>
        <w:t xml:space="preserve"> </w:t>
      </w:r>
      <w:r>
        <w:t xml:space="preserve">platforms. However, currently, the gaps in the coverage of the supply chain of toys persist</w:t>
      </w:r>
      <w:r>
        <w:t xml:space="preserve"> </w:t>
      </w:r>
      <w:r>
        <w:t xml:space="preserve">as various online intermediaries enabling sales of toys in the EU are not yet included in the</w:t>
      </w:r>
      <w:r>
        <w:t xml:space="preserve"> </w:t>
      </w:r>
      <w:r>
        <w:t xml:space="preserve">surveillance mechanism. This would change once two legal acts recently adopted become</w:t>
      </w:r>
      <w:r>
        <w:t xml:space="preserve"> </w:t>
      </w:r>
      <w:r>
        <w:t xml:space="preserve">applicable: the General Product Safety Regulation and the Digital Services Act.</w:t>
      </w:r>
    </w:p>
    <w:p>
      <w:pPr>
        <w:pStyle w:val="BodyText"/>
      </w:pPr>
      <w:r>
        <w:t xml:space="preserve">228 Regulation (EU) 2019/1020 of the European Parliament and of the Council of 20 June 2019 on market</w:t>
      </w:r>
      <w:r>
        <w:t xml:space="preserve"> </w:t>
      </w:r>
      <w:r>
        <w:t xml:space="preserve">surveillance and compliance of products and amending Directive 2004/42/EC and Regulations (EC) No</w:t>
      </w:r>
      <w:r>
        <w:t xml:space="preserve"> </w:t>
      </w:r>
      <w:r>
        <w:t xml:space="preserve">765/2008 and (EU) No 305/2011, OJ L 169 of 25.06.2019.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106</w:t>
      </w:r>
      <w:r>
        <w:t xml:space="preserve"> </w:t>
      </w:r>
      <w:r>
        <w:t xml:space="preserve">EN</w:t>
      </w:r>
      <w:r>
        <w:t xml:space="preserve"> </w:t>
      </w:r>
      <w:r>
        <w:t xml:space="preserve">The General Product Safety Regulation (GPSR) 2023/988 will replace the GPSD.229 The</w:t>
      </w:r>
      <w:r>
        <w:t xml:space="preserve"> </w:t>
      </w:r>
      <w:r>
        <w:t xml:space="preserve">GPSR is designed to be a safety net, just like the GPSD, and it will apply to the toys as</w:t>
      </w:r>
      <w:r>
        <w:t xml:space="preserve"> </w:t>
      </w:r>
      <w:r>
        <w:t xml:space="preserve">long as there are relevant aspects not covered by the TSD (Article 2 GPSR). The GSPR</w:t>
      </w:r>
      <w:r>
        <w:t xml:space="preserve"> </w:t>
      </w:r>
      <w:r>
        <w:t xml:space="preserve">will considerably enhance the safety of products, especially by introducing new rules</w:t>
      </w:r>
      <w:r>
        <w:t xml:space="preserve"> </w:t>
      </w:r>
      <w:r>
        <w:t xml:space="preserve">applicable to the products (including toys) sold online; these provisions will apply to all</w:t>
      </w:r>
      <w:r>
        <w:t xml:space="preserve"> </w:t>
      </w:r>
      <w:r>
        <w:t xml:space="preserve">consumer products, including toys.</w:t>
      </w:r>
      <w:r>
        <w:t xml:space="preserve"> </w:t>
      </w:r>
      <w:r>
        <w:t xml:space="preserve">Article 19 GPSR lists minimum information requirements for the products sold online or</w:t>
      </w:r>
      <w:r>
        <w:t xml:space="preserve"> </w:t>
      </w:r>
      <w:r>
        <w:t xml:space="preserve">other means of distance sales, which includes any warning or safety information that must</w:t>
      </w:r>
      <w:r>
        <w:t xml:space="preserve"> </w:t>
      </w:r>
      <w:r>
        <w:t xml:space="preserve">accompany those products in accordance with the applicable legislation. This will include</w:t>
      </w:r>
      <w:r>
        <w:t xml:space="preserve"> </w:t>
      </w:r>
      <w:r>
        <w:t xml:space="preserve">all safety information on the toys sold. To enable such information provision, online</w:t>
      </w:r>
      <w:r>
        <w:t xml:space="preserve"> </w:t>
      </w:r>
      <w:r>
        <w:t xml:space="preserve">marketplaces must design and organise their interface so that this mandatory information</w:t>
      </w:r>
      <w:r>
        <w:t xml:space="preserve"> </w:t>
      </w:r>
      <w:r>
        <w:t xml:space="preserve">can be provided by the trader. To effectively and efficiently inform consumers about any</w:t>
      </w:r>
      <w:r>
        <w:t xml:space="preserve"> </w:t>
      </w:r>
      <w:r>
        <w:t xml:space="preserve">safety issues with the products they purchased, the GPSR introduces an obligation for</w:t>
      </w:r>
      <w:r>
        <w:t xml:space="preserve"> </w:t>
      </w:r>
      <w:r>
        <w:t xml:space="preserve">economic operators to notify all affected consumers that they can identify of the safety</w:t>
      </w:r>
      <w:r>
        <w:t xml:space="preserve"> </w:t>
      </w:r>
      <w:r>
        <w:t xml:space="preserve">issues. To this end, economic operators can make use of the personal data they collect on</w:t>
      </w:r>
      <w:r>
        <w:t xml:space="preserve"> </w:t>
      </w:r>
      <w:r>
        <w:t xml:space="preserve">consumers.</w:t>
      </w:r>
      <w:r>
        <w:t xml:space="preserve"> </w:t>
      </w:r>
      <w:r>
        <w:t xml:space="preserve">Chapter VI GPSR contains a new set of rules on the Safety Gate rapid alert system and</w:t>
      </w:r>
      <w:r>
        <w:t xml:space="preserve"> </w:t>
      </w:r>
      <w:r>
        <w:t xml:space="preserve">how notifications should be exchanged via it. Importantly, Article 25 GPSR also states that</w:t>
      </w:r>
      <w:r>
        <w:t xml:space="preserve"> </w:t>
      </w:r>
      <w:r>
        <w:t xml:space="preserve">the European Commission shall maintain a Safety Business Gateway – a web-based portal,</w:t>
      </w:r>
      <w:r>
        <w:t xml:space="preserve"> </w:t>
      </w:r>
      <w:r>
        <w:t xml:space="preserve">through which economic operators can inform consumers (and competent authorities)</w:t>
      </w:r>
      <w:r>
        <w:t xml:space="preserve"> </w:t>
      </w:r>
      <w:r>
        <w:t xml:space="preserve">about product safety issues. In this way, economic operators shall inform consumers about</w:t>
      </w:r>
      <w:r>
        <w:t xml:space="preserve"> </w:t>
      </w:r>
      <w:r>
        <w:t xml:space="preserve">safety accidents.</w:t>
      </w:r>
      <w:r>
        <w:t xml:space="preserve"> </w:t>
      </w:r>
      <w:r>
        <w:t xml:space="preserve">Under Article 22 (4) GPSR, market surveillance authorities shall have the power to order</w:t>
      </w:r>
      <w:r>
        <w:t xml:space="preserve"> </w:t>
      </w:r>
      <w:r>
        <w:t xml:space="preserve">online marketplaces to “remove specific illegal content referring to a dangerous product</w:t>
      </w:r>
      <w:r>
        <w:t xml:space="preserve"> </w:t>
      </w:r>
      <w:r>
        <w:t xml:space="preserve">from its online interface, to disable access to it or to display an explicit warning to end-</w:t>
      </w:r>
      <w:r>
        <w:t xml:space="preserve"> </w:t>
      </w:r>
      <w:r>
        <w:t xml:space="preserve">users when they access it”. Furthermore, online marketplaces shall take into account</w:t>
      </w:r>
      <w:r>
        <w:t xml:space="preserve"> </w:t>
      </w:r>
      <w:r>
        <w:t xml:space="preserve">regular information on dangerous products received via the Safety Gate and apply their</w:t>
      </w:r>
      <w:r>
        <w:t xml:space="preserve"> </w:t>
      </w:r>
      <w:r>
        <w:t xml:space="preserve">voluntary content management measures to them.</w:t>
      </w:r>
      <w:r>
        <w:br/>
      </w:r>
      <w:r>
        <w:t xml:space="preserve">The GPSR complements both the TSD and other relevant legislation by strengthening</w:t>
      </w:r>
      <w:r>
        <w:t xml:space="preserve"> </w:t>
      </w:r>
      <w:r>
        <w:t xml:space="preserve">product safety rules in relation to online sales, which is the way of product acquisition that</w:t>
      </w:r>
      <w:r>
        <w:t xml:space="preserve"> </w:t>
      </w:r>
      <w:r>
        <w:t xml:space="preserve">has grown considerably, especially due to the pandemic. Whilst online sales via</w:t>
      </w:r>
      <w:r>
        <w:t xml:space="preserve"> </w:t>
      </w:r>
      <w:r>
        <w:t xml:space="preserve">marketplaces have grown exponentially in recent years (see analysis of market size and</w:t>
      </w:r>
      <w:r>
        <w:t xml:space="preserve"> </w:t>
      </w:r>
      <w:r>
        <w:t xml:space="preserve">structure which includes estimates), a further major trend relates to the Direct to Consumer</w:t>
      </w:r>
      <w:r>
        <w:t xml:space="preserve"> </w:t>
      </w:r>
      <w:r>
        <w:t xml:space="preserve">(D2C) element whereby producers in the EU and third countries sell products directly to</w:t>
      </w:r>
      <w:r>
        <w:t xml:space="preserve"> </w:t>
      </w:r>
      <w:r>
        <w:t xml:space="preserve">consumers without the need for an importer, distributor or other intermediary, such as an</w:t>
      </w:r>
      <w:r>
        <w:t xml:space="preserve"> </w:t>
      </w:r>
      <w:r>
        <w:t xml:space="preserve">online platform.</w:t>
      </w:r>
      <w:r>
        <w:br/>
      </w:r>
      <w:r>
        <w:t xml:space="preserve">The new rules seem to be well designed to improve consumer information both before the</w:t>
      </w:r>
      <w:r>
        <w:t xml:space="preserve"> </w:t>
      </w:r>
      <w:r>
        <w:t xml:space="preserve">purchases and after if a product safety issue comes to the fore. The new rules add more</w:t>
      </w:r>
      <w:r>
        <w:t xml:space="preserve"> </w:t>
      </w:r>
      <w:r>
        <w:t xml:space="preserve">channels for communication between consumers and economic operators and economic</w:t>
      </w:r>
      <w:r>
        <w:t xml:space="preserve"> </w:t>
      </w:r>
      <w:r>
        <w:t xml:space="preserve">operators and competent authorities.</w:t>
      </w:r>
    </w:p>
    <w:p>
      <w:pPr>
        <w:pStyle w:val="BodyText"/>
      </w:pPr>
      <w:r>
        <w:t xml:space="preserve">229 Regulation (EU) 2023/988 of the European Parliament and of the Council of 10 May 2023 on general</w:t>
      </w:r>
      <w:r>
        <w:t xml:space="preserve"> </w:t>
      </w:r>
      <w:r>
        <w:t xml:space="preserve">product safety, amending Regulation (EU) No 1025/2012 of the European Parliament and of the Council and</w:t>
      </w:r>
      <w:r>
        <w:t xml:space="preserve"> </w:t>
      </w:r>
      <w:r>
        <w:t xml:space="preserve">Directive (EU) 2020/1828 of the European Parliament and the Council, and repealing Directive 2001/95/EC</w:t>
      </w:r>
      <w:r>
        <w:t xml:space="preserve"> </w:t>
      </w:r>
      <w:r>
        <w:t xml:space="preserve">of the European Parliament and of the Council and Council Directive 87/357/EEC.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107</w:t>
      </w:r>
      <w:r>
        <w:t xml:space="preserve"> </w:t>
      </w:r>
      <w:r>
        <w:t xml:space="preserve">EN</w:t>
      </w:r>
      <w:r>
        <w:t xml:space="preserve"> </w:t>
      </w:r>
      <w:r>
        <w:t xml:space="preserve">These provisions of the GPSR are complementary to the provisions of the proposed Digital</w:t>
      </w:r>
      <w:r>
        <w:t xml:space="preserve"> </w:t>
      </w:r>
      <w:r>
        <w:t xml:space="preserve">Services Act (DSA)230 that will apply to online platforms of various kinds and to different</w:t>
      </w:r>
      <w:r>
        <w:t xml:space="preserve"> </w:t>
      </w:r>
      <w:r>
        <w:t xml:space="preserve">types of online content. In particular, according to Recital 12 DSA, the term “illegal</w:t>
      </w:r>
      <w:r>
        <w:t xml:space="preserve"> </w:t>
      </w:r>
      <w:r>
        <w:t xml:space="preserve">content” shall be understood as information – disregarding its form – relating inter alia to</w:t>
      </w:r>
      <w:r>
        <w:t xml:space="preserve"> </w:t>
      </w:r>
      <w:r>
        <w:t xml:space="preserve">illegal products (for instance, textual descriptions and images of toys do not have the</w:t>
      </w:r>
      <w:r>
        <w:t xml:space="preserve"> </w:t>
      </w:r>
      <w:r>
        <w:t xml:space="preserve">required CE marking). Concerning illegal products – namely such that do not comply with</w:t>
      </w:r>
      <w:r>
        <w:t xml:space="preserve"> </w:t>
      </w:r>
      <w:r>
        <w:t xml:space="preserve">the relevant EU or national legislation – several additional obligations are imposed on</w:t>
      </w:r>
      <w:r>
        <w:t xml:space="preserve"> </w:t>
      </w:r>
      <w:r>
        <w:t xml:space="preserve">online platforms.</w:t>
      </w:r>
      <w:r>
        <w:br/>
      </w:r>
      <w:r>
        <w:t xml:space="preserve">9.2.</w:t>
      </w:r>
      <w:r>
        <w:t xml:space="preserve"> </w:t>
      </w:r>
      <w:r>
        <w:t xml:space="preserve">Customs controls</w:t>
      </w:r>
      <w:r>
        <w:t xml:space="preserve"> </w:t>
      </w:r>
      <w:r>
        <w:t xml:space="preserve">The TSD requires enforcement as a prohibition and restriction at entry from the EU</w:t>
      </w:r>
      <w:r>
        <w:t xml:space="preserve"> </w:t>
      </w:r>
      <w:r>
        <w:t xml:space="preserve">customs territory. Such enforcement of the current TSD is carried out within the framework</w:t>
      </w:r>
      <w:r>
        <w:t xml:space="preserve"> </w:t>
      </w:r>
      <w:r>
        <w:t xml:space="preserve">of Regulation 2019/1010 on market surveillance.</w:t>
      </w:r>
      <w:r>
        <w:br/>
      </w:r>
      <w:r>
        <w:t xml:space="preserve">All products made available on the Union market must comply with the applicable EU</w:t>
      </w:r>
      <w:r>
        <w:t xml:space="preserve"> </w:t>
      </w:r>
      <w:r>
        <w:t xml:space="preserve">legislation, irrespective of their origin. The most effective approach to prevent non-</w:t>
      </w:r>
      <w:r>
        <w:t xml:space="preserve"> </w:t>
      </w:r>
      <w:r>
        <w:t xml:space="preserve">compliant products or products presenting a risk from entering the EU is to carry out</w:t>
      </w:r>
      <w:r>
        <w:t xml:space="preserve"> </w:t>
      </w:r>
      <w:r>
        <w:t xml:space="preserve">controls during the import process, before the products are released for free circulation and</w:t>
      </w:r>
      <w:r>
        <w:t xml:space="preserve"> </w:t>
      </w:r>
      <w:r>
        <w:t xml:space="preserve">can subsequently circulate within the European Union. Thus, the authorities in charge of</w:t>
      </w:r>
      <w:r>
        <w:t xml:space="preserve"> </w:t>
      </w:r>
      <w:r>
        <w:t xml:space="preserve">the control on products entering the Union market (mostly, though not always, customs</w:t>
      </w:r>
      <w:r>
        <w:t xml:space="preserve"> </w:t>
      </w:r>
      <w:r>
        <w:t xml:space="preserve">and therefore hereafter referred to as ‘border authorities’) play a crucial role in carrying</w:t>
      </w:r>
      <w:r>
        <w:t xml:space="preserve"> </w:t>
      </w:r>
      <w:r>
        <w:t xml:space="preserve">out first-line controls on the compliance and the absence of risks on products originating</w:t>
      </w:r>
      <w:r>
        <w:t xml:space="preserve"> </w:t>
      </w:r>
      <w:r>
        <w:t xml:space="preserve">from third countries (hereafter referred to as ‘border controls’).</w:t>
      </w:r>
      <w:r>
        <w:t xml:space="preserve"> </w:t>
      </w:r>
      <w:r>
        <w:t xml:space="preserve">9.2.1. Role of border authorities</w:t>
      </w:r>
      <w:r>
        <w:br/>
      </w:r>
      <w:r>
        <w:t xml:space="preserve">Border authorities may be the customs authorities of a Member State, market surveillance</w:t>
      </w:r>
      <w:r>
        <w:t xml:space="preserve"> </w:t>
      </w:r>
      <w:r>
        <w:t xml:space="preserve">authorities or other entities depending on the national organisational structure (Article</w:t>
      </w:r>
      <w:r>
        <w:t xml:space="preserve"> </w:t>
      </w:r>
      <w:r>
        <w:t xml:space="preserve">25(1) of Regulation (EU) 2019/1020). In most countries, border controls are carried out by</w:t>
      </w:r>
      <w:r>
        <w:t xml:space="preserve"> </w:t>
      </w:r>
      <w:r>
        <w:t xml:space="preserve">customs authorities. However, customs officials usually do not have the technical expertise</w:t>
      </w:r>
      <w:r>
        <w:t xml:space="preserve"> </w:t>
      </w:r>
      <w:r>
        <w:t xml:space="preserve">to decide on compliance with the applicable EU product legislation: for this, they have to</w:t>
      </w:r>
      <w:r>
        <w:t xml:space="preserve"> </w:t>
      </w:r>
      <w:r>
        <w:t xml:space="preserve">refer suspicious cases identified in their controls to the competent market surveillance</w:t>
      </w:r>
      <w:r>
        <w:t xml:space="preserve"> </w:t>
      </w:r>
      <w:r>
        <w:t xml:space="preserve">authorities. Border controls therefore require close cooperation between customs and</w:t>
      </w:r>
      <w:r>
        <w:t xml:space="preserve"> </w:t>
      </w:r>
      <w:r>
        <w:t xml:space="preserve">market surveillance authorities in order to be effective. When the border authority is a</w:t>
      </w:r>
      <w:r>
        <w:t xml:space="preserve"> </w:t>
      </w:r>
      <w:r>
        <w:t xml:space="preserve">market surveillance authority, it can carry out its tasks autonomously in its fields of</w:t>
      </w:r>
      <w:r>
        <w:t xml:space="preserve"> </w:t>
      </w:r>
      <w:r>
        <w:t xml:space="preserve">competence and does not have to interact with another authority in order to reach</w:t>
      </w:r>
      <w:r>
        <w:t xml:space="preserve"> </w:t>
      </w:r>
      <w:r>
        <w:t xml:space="preserve">conclusions.</w:t>
      </w:r>
      <w:r>
        <w:br/>
      </w:r>
      <w:r>
        <w:t xml:space="preserve">9.2.2. Principles of border controls</w:t>
      </w:r>
      <w:r>
        <w:br/>
      </w:r>
      <w:r>
        <w:t xml:space="preserve">Border authorities perform controls on imported products regardless of their means of</w:t>
      </w:r>
      <w:r>
        <w:t xml:space="preserve"> </w:t>
      </w:r>
      <w:r>
        <w:t xml:space="preserve">transport (sea, air, road, rail, inland waters) or shipment (containers, small packages and</w:t>
      </w:r>
      <w:r>
        <w:t xml:space="preserve"> </w:t>
      </w:r>
      <w:r>
        <w:t xml:space="preserve">any other form). They perform such controls on the basis of risk analysis in accordance</w:t>
      </w:r>
      <w:r>
        <w:t xml:space="preserve"> </w:t>
      </w:r>
      <w:r>
        <w:t xml:space="preserve">with the Union Customs Code. Where relevant, they should also consider the risk-based</w:t>
      </w:r>
      <w:r>
        <w:t xml:space="preserve"> </w:t>
      </w:r>
      <w:r>
        <w:t xml:space="preserve">approach required from market surveillance authorities by Article 11(3) of Regulation</w:t>
      </w:r>
      <w:r>
        <w:t xml:space="preserve"> </w:t>
      </w:r>
      <w:r>
        <w:t xml:space="preserve">(EU) 2019/1020 (Article 25(3) of Regulation (EU) 2019/1020). Border authorities and</w:t>
      </w:r>
      <w:r>
        <w:t xml:space="preserve"> </w:t>
      </w:r>
      <w:r>
        <w:t xml:space="preserve">market surveillance authorities should regularly exchange risk information in order to</w:t>
      </w:r>
      <w:r>
        <w:t xml:space="preserve"> </w:t>
      </w:r>
      <w:r>
        <w:t xml:space="preserve">increase the effectiveness of their risk analysis and the risk-based approach. In particular,</w:t>
      </w:r>
      <w:r>
        <w:t xml:space="preserve"> </w:t>
      </w:r>
      <w:r>
        <w:t xml:space="preserve">market surveillance authorities are required to provide border authorities with information</w:t>
      </w:r>
    </w:p>
    <w:p>
      <w:pPr>
        <w:pStyle w:val="BodyText"/>
      </w:pPr>
      <w:r>
        <w:t xml:space="preserve">230 Regulation (EU) 2022/2065 of the European Parliament and of the Council of 19 October 2022 on a</w:t>
      </w:r>
      <w:r>
        <w:t xml:space="preserve"> </w:t>
      </w:r>
      <w:r>
        <w:t xml:space="preserve">Single Market For Digital Services and amending Directive 2000/31/EC (Digital Services Act)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108</w:t>
      </w:r>
      <w:r>
        <w:t xml:space="preserve"> </w:t>
      </w:r>
      <w:r>
        <w:t xml:space="preserve">EN</w:t>
      </w:r>
      <w:r>
        <w:t xml:space="preserve"> </w:t>
      </w:r>
      <w:r>
        <w:t xml:space="preserve">on the categories of products and economic operators that are more often found to be non-</w:t>
      </w:r>
      <w:r>
        <w:t xml:space="preserve"> </w:t>
      </w:r>
      <w:r>
        <w:t xml:space="preserve">compliant (Article 25(5) of Regulation (EU) 2019/1020). This information should be</w:t>
      </w:r>
      <w:r>
        <w:t xml:space="preserve"> </w:t>
      </w:r>
      <w:r>
        <w:t xml:space="preserve">regularly updated.</w:t>
      </w:r>
      <w:r>
        <w:br/>
      </w:r>
      <w:r>
        <w:t xml:space="preserve">Border authorities may perform documentary or physical checks, and may also carry out</w:t>
      </w:r>
      <w:r>
        <w:t xml:space="preserve"> </w:t>
      </w:r>
      <w:r>
        <w:t xml:space="preserve">laboratory checks. They may always contact the declarant or another relevant economic</w:t>
      </w:r>
      <w:r>
        <w:t xml:space="preserve"> </w:t>
      </w:r>
      <w:r>
        <w:t xml:space="preserve">operator to request documents or additional information. The conditions for detailed</w:t>
      </w:r>
      <w:r>
        <w:t xml:space="preserve"> </w:t>
      </w:r>
      <w:r>
        <w:t xml:space="preserve">controls, such as laboratory checks, can be agreed between customs authorities and market</w:t>
      </w:r>
      <w:r>
        <w:t xml:space="preserve"> </w:t>
      </w:r>
      <w:r>
        <w:t xml:space="preserve">surveillance authorities, taking into account the working method they consider most</w:t>
      </w:r>
      <w:r>
        <w:t xml:space="preserve"> </w:t>
      </w:r>
      <w:r>
        <w:t xml:space="preserve">efficient. Customs and market surveillance authorities should in any case work in close</w:t>
      </w:r>
      <w:r>
        <w:t xml:space="preserve"> </w:t>
      </w:r>
      <w:r>
        <w:t xml:space="preserve">cooperation with each other.</w:t>
      </w:r>
      <w:r>
        <w:br/>
      </w:r>
      <w:r>
        <w:t xml:space="preserve">The release for free circulation shall not be deemed to be proof of conformity with Union</w:t>
      </w:r>
      <w:r>
        <w:t xml:space="preserve"> </w:t>
      </w:r>
      <w:r>
        <w:t xml:space="preserve">law (Article 27 of Regulation (EU) 2019/1020), since such a release does not necessarily</w:t>
      </w:r>
      <w:r>
        <w:t xml:space="preserve"> </w:t>
      </w:r>
      <w:r>
        <w:t xml:space="preserve">include a complete check of compliance. Thus, even if released for free circulation,</w:t>
      </w:r>
      <w:r>
        <w:t xml:space="preserve"> </w:t>
      </w:r>
      <w:r>
        <w:t xml:space="preserve">products may later be checked by market surveillance authorities and can be found non-</w:t>
      </w:r>
      <w:r>
        <w:t xml:space="preserve"> </w:t>
      </w:r>
      <w:r>
        <w:t xml:space="preserve">compliant.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109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ANNEX 7: TOYS MARKET</w:t>
      </w:r>
      <w:r>
        <w:t xml:space="preserve"> </w:t>
      </w:r>
      <w:r>
        <w:t xml:space="preserve">Market research estimates place the size of the global toys industry in the range of EUR</w:t>
      </w:r>
      <w:r>
        <w:t xml:space="preserve"> </w:t>
      </w:r>
      <w:r>
        <w:t xml:space="preserve">86-109 billion in sales in 2019, growing from around EUR 81.7 billion in 2016.231,232 As</w:t>
      </w:r>
      <w:r>
        <w:t xml:space="preserve"> </w:t>
      </w:r>
      <w:r>
        <w:t xml:space="preserve">detailed further below, the European toys market achieved turnover of at least EUR 8.3</w:t>
      </w:r>
      <w:r>
        <w:t xml:space="preserve"> </w:t>
      </w:r>
      <w:r>
        <w:t xml:space="preserve">billion in 2019, increasing from EUR 7 billion in 2016. For 2019, this placed the European</w:t>
      </w:r>
      <w:r>
        <w:t xml:space="preserve"> </w:t>
      </w:r>
      <w:r>
        <w:t xml:space="preserve">share of the global toys market at 7.6 - 9.7%, representing a significant decrease from the</w:t>
      </w:r>
      <w:r>
        <w:t xml:space="preserve"> </w:t>
      </w:r>
      <w:r>
        <w:t xml:space="preserve">28% market share calculated for 2011 in the context of the 2013 study on the</w:t>
      </w:r>
      <w:r>
        <w:t xml:space="preserve"> </w:t>
      </w:r>
      <w:r>
        <w:t xml:space="preserve">competitiveness of the European toy industry. However, given missing data within</w:t>
      </w:r>
      <w:r>
        <w:t xml:space="preserve"> </w:t>
      </w:r>
      <w:r>
        <w:t xml:space="preserve">Eurostat and a lack of clarity on the definitions and parameters used for the global toy</w:t>
      </w:r>
      <w:r>
        <w:t xml:space="preserve"> </w:t>
      </w:r>
      <w:r>
        <w:t xml:space="preserve">industry market research, this key competitiveness figure should be viewed with caution.</w:t>
      </w:r>
      <w:r>
        <w:t xml:space="preserve"> </w:t>
      </w:r>
      <w:r>
        <w:t xml:space="preserve">This reduction in market share is supported by data on imports. In 2017, the EU was found</w:t>
      </w:r>
      <w:r>
        <w:t xml:space="preserve"> </w:t>
      </w:r>
      <w:r>
        <w:t xml:space="preserve">to be the biggest global importer of toys with EUR 7.2 billion value of toy imports. The</w:t>
      </w:r>
      <w:r>
        <w:t xml:space="preserve"> </w:t>
      </w:r>
      <w:r>
        <w:t xml:space="preserve">value of EU toy imports had grown by an estimated 70% during the preceding decade. The</w:t>
      </w:r>
      <w:r>
        <w:t xml:space="preserve"> </w:t>
      </w:r>
      <w:r>
        <w:t xml:space="preserve">majority of toys imported to the EU come from Asia, with China the biggest supplier and</w:t>
      </w:r>
      <w:r>
        <w:t xml:space="preserve"> </w:t>
      </w:r>
      <w:r>
        <w:t xml:space="preserve">the ASEAN countries, such as Thailand and Vietnam, increasing the volume of exported</w:t>
      </w:r>
      <w:r>
        <w:t xml:space="preserve"> </w:t>
      </w:r>
      <w:r>
        <w:t xml:space="preserve">toy products.233 The ASEAN countries are the third biggest toy exporters globally after</w:t>
      </w:r>
      <w:r>
        <w:t xml:space="preserve"> </w:t>
      </w:r>
      <w:r>
        <w:t xml:space="preserve">China and Europe.234</w:t>
      </w:r>
      <w:r>
        <w:t xml:space="preserve"> </w:t>
      </w:r>
      <w:r>
        <w:t xml:space="preserve">Overview of the European toys industry</w:t>
      </w:r>
      <w:r>
        <w:br/>
      </w:r>
      <w:r>
        <w:t xml:space="preserve">Overall, the data show that, since the Study on the Competitiveness of the European Toys</w:t>
      </w:r>
      <w:r>
        <w:t xml:space="preserve"> </w:t>
      </w:r>
      <w:r>
        <w:t xml:space="preserve">Industry was published in 2013, key industry indicators have experienced some</w:t>
      </w:r>
      <w:r>
        <w:t xml:space="preserve"> </w:t>
      </w:r>
      <w:r>
        <w:t xml:space="preserve">turbulence, but have overall shown modest growth to 2019:235</w:t>
      </w:r>
      <w:r>
        <w:t xml:space="preserve"> </w:t>
      </w:r>
      <w:r>
        <w:t xml:space="preserve"> There has been a favourable evolution in market size over the past decade. In the</w:t>
      </w:r>
      <w:r>
        <w:t xml:space="preserve"> </w:t>
      </w:r>
      <w:r>
        <w:t xml:space="preserve">Study on the Competitiveness of the European Toys Industry (2013), based on 2010</w:t>
      </w:r>
      <w:r>
        <w:t xml:space="preserve"> </w:t>
      </w:r>
      <w:r>
        <w:t xml:space="preserve">data, there were around 5,300 enterprises. Although this figure was very similar in</w:t>
      </w:r>
      <w:r>
        <w:t xml:space="preserve"> </w:t>
      </w:r>
      <w:r>
        <w:t xml:space="preserve">2016 (5,332 enterprises), the European toys industry has experienced an increase</w:t>
      </w:r>
      <w:r>
        <w:t xml:space="preserve"> </w:t>
      </w:r>
      <w:r>
        <w:t xml:space="preserve">in the years since to an estimated 6,067 in 2019 and 6,313 in 2020. This 18.4%</w:t>
      </w:r>
      <w:r>
        <w:t xml:space="preserve"> </w:t>
      </w:r>
      <w:r>
        <w:t xml:space="preserve">increase has arisen despite Brexit (the UK also has a large toy manufacturing</w:t>
      </w:r>
      <w:r>
        <w:t xml:space="preserve"> </w:t>
      </w:r>
      <w:r>
        <w:t xml:space="preserve">sector) and the COVID-19 pandemic.</w:t>
      </w:r>
      <w:r>
        <w:t xml:space="preserve"> </w:t>
      </w:r>
      <w:r>
        <w:t xml:space="preserve"> Regarding turnover, the picture is more static over the last decade. Whereas</w:t>
      </w:r>
      <w:r>
        <w:t xml:space="preserve"> </w:t>
      </w:r>
      <w:r>
        <w:t xml:space="preserve">sectoral turnover for the European toys market was EUR 7.9 billion in 2008, it</w:t>
      </w:r>
      <w:r>
        <w:t xml:space="preserve"> </w:t>
      </w:r>
      <w:r>
        <w:t xml:space="preserve">dropped to just under EUR 6 billion in 2012 and 2013. By 2016, it had risen to</w:t>
      </w:r>
    </w:p>
    <w:p>
      <w:pPr>
        <w:pStyle w:val="BodyText"/>
      </w:pPr>
      <w:r>
        <w:t xml:space="preserve">231 Khajeheian, D. (2018). Market analysis, strategy diagnosis and opportunity recognition in toy industry</w:t>
      </w:r>
      <w:r>
        <w:t xml:space="preserve"> </w:t>
      </w:r>
      <w:r>
        <w:t xml:space="preserve">[in:]</w:t>
      </w:r>
      <w:r>
        <w:t xml:space="preserve"> </w:t>
      </w:r>
      <w:r>
        <w:t xml:space="preserve">“International</w:t>
      </w:r>
      <w:r>
        <w:t xml:space="preserve"> </w:t>
      </w:r>
      <w:r>
        <w:t xml:space="preserve">Journal</w:t>
      </w:r>
      <w:r>
        <w:t xml:space="preserve"> </w:t>
      </w:r>
      <w:r>
        <w:t xml:space="preserve">of</w:t>
      </w:r>
      <w:r>
        <w:t xml:space="preserve"> </w:t>
      </w:r>
      <w:r>
        <w:t xml:space="preserve">Entrepreneurship</w:t>
      </w:r>
      <w:r>
        <w:t xml:space="preserve"> </w:t>
      </w:r>
      <w:r>
        <w:t xml:space="preserve">and</w:t>
      </w:r>
      <w:r>
        <w:t xml:space="preserve"> </w:t>
      </w:r>
      <w:r>
        <w:t xml:space="preserve">Small</w:t>
      </w:r>
      <w:r>
        <w:t xml:space="preserve"> </w:t>
      </w:r>
      <w:r>
        <w:t xml:space="preserve">Business”,</w:t>
      </w:r>
      <w:r>
        <w:t xml:space="preserve"> </w:t>
      </w:r>
      <w:r>
        <w:t xml:space="preserve">33(2),</w:t>
      </w:r>
      <w:r>
        <w:t xml:space="preserve"> </w:t>
      </w:r>
      <w:r>
        <w:t xml:space="preserve">DOI:10.1504/ijesb.2018.090138, p. 221.</w:t>
      </w:r>
      <w:r>
        <w:t xml:space="preserve"> </w:t>
      </w:r>
      <w:r>
        <w:t xml:space="preserve">232</w:t>
      </w:r>
      <w:r>
        <w:t xml:space="preserve"> </w:t>
      </w:r>
      <w:r>
        <w:t xml:space="preserve">https://www.toyassociation.org/ta/research/data/population/toys/research-and-data/data/global-sales-</w:t>
      </w:r>
      <w:r>
        <w:t xml:space="preserve"> </w:t>
      </w:r>
      <w:r>
        <w:t xml:space="preserve">data.aspx</w:t>
      </w:r>
      <w:r>
        <w:t xml:space="preserve"> </w:t>
      </w:r>
      <w:r>
        <w:t xml:space="preserve">233 Ismail, R., et al. (2020). Toy Safety in the ASEAN and European Union: A Comparative Approach [in:]</w:t>
      </w:r>
      <w:r>
        <w:t xml:space="preserve"> </w:t>
      </w:r>
      <w:r>
        <w:t xml:space="preserve">International Journal of Innovation, Creativity and Change, vol. 10/11, online, p. 118-119.</w:t>
      </w:r>
      <w:r>
        <w:t xml:space="preserve"> </w:t>
      </w:r>
      <w:r>
        <w:t xml:space="preserve">234 Ismail, R., et al. (2021). Towards a Framework for Establishing Children’s Toys Safety Policy in ASEAN</w:t>
      </w:r>
      <w:r>
        <w:t xml:space="preserve"> </w:t>
      </w:r>
      <w:r>
        <w:t xml:space="preserve">[in:] “International Journal of Academic Research in Business and Social Sciences”, vol. 11(3),</w:t>
      </w:r>
      <w:r>
        <w:t xml:space="preserve"> </w:t>
      </w:r>
      <w:r>
        <w:t xml:space="preserve">DOI:10.6007/IJARBSS/v11-i3/8812, p. 894.</w:t>
      </w:r>
      <w:r>
        <w:t xml:space="preserve"> </w:t>
      </w:r>
      <w:r>
        <w:t xml:space="preserve">235 As described further throughout, the 2020 Eurostat Structural Business Statistics (SBS) data is provisional</w:t>
      </w:r>
      <w:r>
        <w:t xml:space="preserve"> </w:t>
      </w:r>
      <w:r>
        <w:t xml:space="preserve">and incomplete. For all indicators, this analysis presents overall figures based on available country-level data</w:t>
      </w:r>
      <w:r>
        <w:t xml:space="preserve"> </w:t>
      </w:r>
      <w:r>
        <w:t xml:space="preserve">for the EU27 + EEA/EFTA, as well as data imputations where appropriate. As such, no figures consider data</w:t>
      </w:r>
      <w:r>
        <w:t xml:space="preserve"> </w:t>
      </w:r>
      <w:r>
        <w:t xml:space="preserve">from the UK.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110</w:t>
      </w:r>
      <w:r>
        <w:t xml:space="preserve"> </w:t>
      </w:r>
      <w:r>
        <w:t xml:space="preserve">EN</w:t>
      </w:r>
      <w:r>
        <w:t xml:space="preserve"> </w:t>
      </w:r>
      <w:r>
        <w:t xml:space="preserve">around EUR 7 billion before increasing further to EUR 8.5 billion in 2018 and EUR</w:t>
      </w:r>
      <w:r>
        <w:t xml:space="preserve"> </w:t>
      </w:r>
      <w:r>
        <w:t xml:space="preserve">8.3 billion in 2019. However, as for much of the global economy, 2020 also saw a</w:t>
      </w:r>
      <w:r>
        <w:t xml:space="preserve"> </w:t>
      </w:r>
      <w:r>
        <w:t xml:space="preserve">downturn in turnover within the EU toys industry, to around EUR 6.6 billion (based</w:t>
      </w:r>
      <w:r>
        <w:t xml:space="preserve"> </w:t>
      </w:r>
      <w:r>
        <w:t xml:space="preserve">on provisional Eurostat SBS data).</w:t>
      </w:r>
      <w:r>
        <w:t xml:space="preserve"> </w:t>
      </w:r>
      <w:r>
        <w:t xml:space="preserve"> Considering employment, around 53,000 persons were employed in the EU toys</w:t>
      </w:r>
      <w:r>
        <w:t xml:space="preserve"> </w:t>
      </w:r>
      <w:r>
        <w:t xml:space="preserve">sector in 2010. This had decreased to just under 49,000 in 2016 before increasing</w:t>
      </w:r>
      <w:r>
        <w:t xml:space="preserve"> </w:t>
      </w:r>
      <w:r>
        <w:t xml:space="preserve">to 55,150 by 2019 (a 4.1% increase). As for turnover, and due to COVID-19,</w:t>
      </w:r>
      <w:r>
        <w:t xml:space="preserve"> </w:t>
      </w:r>
      <w:r>
        <w:t xml:space="preserve">provisional data for 2020 indicates a decrease in the number of employed persons</w:t>
      </w:r>
      <w:r>
        <w:t xml:space="preserve"> </w:t>
      </w:r>
      <w:r>
        <w:t xml:space="preserve">in the EU toys market to an estimated 49,652 employees.</w:t>
      </w:r>
      <w:r>
        <w:t xml:space="preserve"> </w:t>
      </w:r>
      <w:r>
        <w:t xml:space="preserve"> Turnover per enterprise, turnover per employee and employees per enterprise</w:t>
      </w:r>
      <w:r>
        <w:t xml:space="preserve"> </w:t>
      </w:r>
      <w:r>
        <w:t xml:space="preserve">generally follow similar trends, with a decrease from 2008/2010 to 2016, before</w:t>
      </w:r>
      <w:r>
        <w:t xml:space="preserve"> </w:t>
      </w:r>
      <w:r>
        <w:t xml:space="preserve">growth to 2018-2019 and poor performance in 2020.</w:t>
      </w:r>
      <w:r>
        <w:t xml:space="preserve"> </w:t>
      </w:r>
      <w:r>
        <w:t xml:space="preserve">Table 7: Key indicators – European toy industry 2016-2020 (in million EUR)</w:t>
      </w:r>
      <w:r>
        <w:t xml:space="preserve"> </w:t>
      </w:r>
      <w:r>
        <w:t xml:space="preserve">Key indicators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 (p)</w:t>
      </w:r>
      <w:r>
        <w:t xml:space="preserve"> </w:t>
      </w:r>
      <w:r>
        <w:t xml:space="preserve">Turnover</w:t>
      </w:r>
      <w:r>
        <w:t xml:space="preserve"> </w:t>
      </w:r>
      <w:r>
        <w:t xml:space="preserve">€ 7,028</w:t>
      </w:r>
      <w:r>
        <w:t xml:space="preserve"> </w:t>
      </w:r>
      <w:r>
        <w:t xml:space="preserve">€ 7,070</w:t>
      </w:r>
      <w:r>
        <w:t xml:space="preserve"> </w:t>
      </w:r>
      <w:r>
        <w:t xml:space="preserve">€ 8,503</w:t>
      </w:r>
      <w:r>
        <w:t xml:space="preserve"> </w:t>
      </w:r>
      <w:r>
        <w:t xml:space="preserve">€ 8,255</w:t>
      </w:r>
      <w:r>
        <w:t xml:space="preserve"> </w:t>
      </w:r>
      <w:r>
        <w:t xml:space="preserve">€ 6,558</w:t>
      </w:r>
      <w:r>
        <w:t xml:space="preserve"> </w:t>
      </w:r>
      <w:r>
        <w:t xml:space="preserve">Enterprises</w:t>
      </w:r>
      <w:r>
        <w:t xml:space="preserve"> </w:t>
      </w:r>
      <w:r>
        <w:t xml:space="preserve">5,332</w:t>
      </w:r>
      <w:r>
        <w:t xml:space="preserve"> </w:t>
      </w:r>
      <w:r>
        <w:t xml:space="preserve">5,448</w:t>
      </w:r>
      <w:r>
        <w:t xml:space="preserve"> </w:t>
      </w:r>
      <w:r>
        <w:t xml:space="preserve">5,826</w:t>
      </w:r>
      <w:r>
        <w:t xml:space="preserve"> </w:t>
      </w:r>
      <w:r>
        <w:t xml:space="preserve">6,067</w:t>
      </w:r>
      <w:r>
        <w:t xml:space="preserve"> </w:t>
      </w:r>
      <w:r>
        <w:t xml:space="preserve">6,313</w:t>
      </w:r>
      <w:r>
        <w:t xml:space="preserve"> </w:t>
      </w:r>
      <w:r>
        <w:t xml:space="preserve">Employees</w:t>
      </w:r>
      <w:r>
        <w:t xml:space="preserve"> </w:t>
      </w:r>
      <w:r>
        <w:t xml:space="preserve">48,946</w:t>
      </w:r>
      <w:r>
        <w:t xml:space="preserve"> </w:t>
      </w:r>
      <w:r>
        <w:t xml:space="preserve">49,340</w:t>
      </w:r>
      <w:r>
        <w:t xml:space="preserve"> </w:t>
      </w:r>
      <w:r>
        <w:t xml:space="preserve">53,206</w:t>
      </w:r>
      <w:r>
        <w:t xml:space="preserve"> </w:t>
      </w:r>
      <w:r>
        <w:t xml:space="preserve">55,150</w:t>
      </w:r>
      <w:r>
        <w:t xml:space="preserve"> </w:t>
      </w:r>
      <w:r>
        <w:t xml:space="preserve">49,652</w:t>
      </w:r>
    </w:p>
    <w:p>
      <w:pPr>
        <w:pStyle w:val="BodyText"/>
      </w:pPr>
      <w:r>
        <w:t xml:space="preserve">Turnover per enterprise</w:t>
      </w:r>
      <w:r>
        <w:t xml:space="preserve"> </w:t>
      </w:r>
      <w:r>
        <w:t xml:space="preserve">€ 1.32</w:t>
      </w:r>
      <w:r>
        <w:t xml:space="preserve"> </w:t>
      </w:r>
      <w:r>
        <w:t xml:space="preserve">€ 1.30</w:t>
      </w:r>
      <w:r>
        <w:t xml:space="preserve"> </w:t>
      </w:r>
      <w:r>
        <w:t xml:space="preserve">€ 1.46</w:t>
      </w:r>
      <w:r>
        <w:t xml:space="preserve"> </w:t>
      </w:r>
      <w:r>
        <w:t xml:space="preserve">€ 1.36</w:t>
      </w:r>
      <w:r>
        <w:t xml:space="preserve"> </w:t>
      </w:r>
      <w:r>
        <w:t xml:space="preserve">€ 1.04</w:t>
      </w:r>
      <w:r>
        <w:t xml:space="preserve"> </w:t>
      </w:r>
      <w:r>
        <w:t xml:space="preserve">Turnover per employee</w:t>
      </w:r>
      <w:r>
        <w:t xml:space="preserve"> </w:t>
      </w:r>
      <w:r>
        <w:t xml:space="preserve">€ 0.14</w:t>
      </w:r>
      <w:r>
        <w:t xml:space="preserve"> </w:t>
      </w:r>
      <w:r>
        <w:t xml:space="preserve">€ 0.14</w:t>
      </w:r>
      <w:r>
        <w:t xml:space="preserve"> </w:t>
      </w:r>
      <w:r>
        <w:t xml:space="preserve">€ 0.16</w:t>
      </w:r>
      <w:r>
        <w:t xml:space="preserve"> </w:t>
      </w:r>
      <w:r>
        <w:t xml:space="preserve">€ 0.15</w:t>
      </w:r>
      <w:r>
        <w:t xml:space="preserve"> </w:t>
      </w:r>
      <w:r>
        <w:t xml:space="preserve">€ 0.13</w:t>
      </w:r>
      <w:r>
        <w:t xml:space="preserve"> </w:t>
      </w:r>
      <w:r>
        <w:t xml:space="preserve">Employees per enterprise</w:t>
      </w:r>
      <w:r>
        <w:t xml:space="preserve"> </w:t>
      </w:r>
      <w:r>
        <w:t xml:space="preserve">9.18</w:t>
      </w:r>
      <w:r>
        <w:t xml:space="preserve"> </w:t>
      </w:r>
      <w:r>
        <w:t xml:space="preserve">9.06</w:t>
      </w:r>
      <w:r>
        <w:t xml:space="preserve"> </w:t>
      </w:r>
      <w:r>
        <w:t xml:space="preserve">9.13</w:t>
      </w:r>
      <w:r>
        <w:t xml:space="preserve"> </w:t>
      </w:r>
      <w:r>
        <w:t xml:space="preserve">9.09</w:t>
      </w:r>
      <w:r>
        <w:t xml:space="preserve"> </w:t>
      </w:r>
      <w:r>
        <w:t xml:space="preserve">7.87</w:t>
      </w:r>
    </w:p>
    <w:p>
      <w:pPr>
        <w:pStyle w:val="BodyText"/>
      </w:pPr>
      <w:r>
        <w:t xml:space="preserve">Over this period, a few notable market developments have emerged within the global</w:t>
      </w:r>
      <w:r>
        <w:t xml:space="preserve"> </w:t>
      </w:r>
      <w:r>
        <w:t xml:space="preserve">toy industry. Most prominently, in contrast to the decreasing EU share of the global</w:t>
      </w:r>
      <w:r>
        <w:t xml:space="preserve"> </w:t>
      </w:r>
      <w:r>
        <w:t xml:space="preserve">market, the role of Chinese manufacturers has continued to grow. The influence of online</w:t>
      </w:r>
      <w:r>
        <w:t xml:space="preserve"> </w:t>
      </w:r>
      <w:r>
        <w:t xml:space="preserve">sales and online marketplaces has significantly increased, with global online sales of toys</w:t>
      </w:r>
      <w:r>
        <w:t xml:space="preserve"> </w:t>
      </w:r>
      <w:r>
        <w:t xml:space="preserve">estimated to have increased by an estimated 20% just in 2020-2021.236 Considering the</w:t>
      </w:r>
      <w:r>
        <w:t xml:space="preserve"> </w:t>
      </w:r>
      <w:r>
        <w:t xml:space="preserve">types of toys placed on the EU market, market research reports indicate increasing</w:t>
      </w:r>
      <w:r>
        <w:t xml:space="preserve"> </w:t>
      </w:r>
      <w:r>
        <w:t xml:space="preserve">popularity of eco-friendly toys, as well as toys with digital components (e.g. internet-</w:t>
      </w:r>
      <w:r>
        <w:t xml:space="preserve"> </w:t>
      </w:r>
      <w:r>
        <w:t xml:space="preserve">connected or AI-driven toys).237 While the demand for innovative digital toys may be</w:t>
      </w:r>
      <w:r>
        <w:t xml:space="preserve"> </w:t>
      </w:r>
      <w:r>
        <w:t xml:space="preserve">increasing, European manufacturers interviewed for this study have so far limited their</w:t>
      </w:r>
      <w:r>
        <w:t xml:space="preserve"> </w:t>
      </w:r>
      <w:r>
        <w:t xml:space="preserve">development of internet-connected and AI-driven smart toys. This reticence is primarily</w:t>
      </w:r>
      <w:r>
        <w:t xml:space="preserve"> </w:t>
      </w:r>
      <w:r>
        <w:t xml:space="preserve">due to instances of toy products being placed on the EU market without sufficient</w:t>
      </w:r>
      <w:r>
        <w:t xml:space="preserve"> </w:t>
      </w:r>
      <w:r>
        <w:t xml:space="preserve">cybersecurity protections, thus leaving children vulnerable and impacting the reputation of</w:t>
      </w:r>
      <w:r>
        <w:t xml:space="preserve"> </w:t>
      </w:r>
      <w:r>
        <w:t xml:space="preserve">manufacturers (e.g. My Friend Cayla doll238).</w:t>
      </w:r>
      <w:r>
        <w:t xml:space="preserve"> </w:t>
      </w:r>
      <w:r>
        <w:t xml:space="preserve">Beyond these market changes, some structural characteristics of the European toy</w:t>
      </w:r>
      <w:r>
        <w:t xml:space="preserve"> </w:t>
      </w:r>
      <w:r>
        <w:t xml:space="preserve">industry have remained similar to those identified in the 2013 competitiveness study.</w:t>
      </w:r>
      <w:r>
        <w:t xml:space="preserve"> </w:t>
      </w:r>
      <w:r>
        <w:t xml:space="preserve">For instance:</w:t>
      </w:r>
    </w:p>
    <w:p>
      <w:pPr>
        <w:pStyle w:val="BodyText"/>
      </w:pPr>
      <w:r>
        <w:t xml:space="preserve">236 https://www.npd.com/news/thought-leadership/2021/whats-driving-online-toy-sales/</w:t>
      </w:r>
      <w:r>
        <w:br/>
      </w:r>
      <w:r>
        <w:t xml:space="preserve">237 https://globaltoynews.com/2021/02/05/the-european-toy-market-2020-and-digital-trends-2021/</w:t>
      </w:r>
      <w:r>
        <w:t xml:space="preserve"> </w:t>
      </w:r>
      <w:r>
        <w:t xml:space="preserve">238 Holloway, D. &amp; Green, L. (2016). The Internet of Toys. [in:] “Communication Research and Practice,</w:t>
      </w:r>
      <w:r>
        <w:t xml:space="preserve"> </w:t>
      </w:r>
      <w:r>
        <w:t xml:space="preserve">Special Issue: ANZCA 2016 Creating Space in the Fifth Estate”, Vol. 2, Issue 4, (eds. Fulton, J. &amp; McIntyre,</w:t>
      </w:r>
      <w:r>
        <w:t xml:space="preserve"> </w:t>
      </w:r>
      <w:r>
        <w:t xml:space="preserve">P.), DOI: 10.1080/22041451.2016.1266124, p. 513.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111</w:t>
      </w:r>
      <w:r>
        <w:t xml:space="preserve"> </w:t>
      </w:r>
      <w:r>
        <w:t xml:space="preserve">EN</w:t>
      </w:r>
      <w:r>
        <w:t xml:space="preserve"> </w:t>
      </w:r>
      <w:r>
        <w:t xml:space="preserve"> There remains a strong geographical concentration of the European toy</w:t>
      </w:r>
      <w:r>
        <w:t xml:space="preserve"> </w:t>
      </w:r>
      <w:r>
        <w:t xml:space="preserve">manufacturing industry both in terms of the number of enterprises, production and</w:t>
      </w:r>
      <w:r>
        <w:t xml:space="preserve"> </w:t>
      </w:r>
      <w:r>
        <w:t xml:space="preserve">turnover.</w:t>
      </w:r>
      <w:r>
        <w:br/>
      </w:r>
      <w:r>
        <w:t xml:space="preserve"> However, there are some differences based on which indicator is in question. For</w:t>
      </w:r>
      <w:r>
        <w:t xml:space="preserve"> </w:t>
      </w:r>
      <w:r>
        <w:t xml:space="preserve">instance, whereas 8 countries (PL, FR, DE, NL, CZ, ES, SK and IT) cumulatively</w:t>
      </w:r>
      <w:r>
        <w:t xml:space="preserve"> </w:t>
      </w:r>
      <w:r>
        <w:t xml:space="preserve">account for 73.2% of all enterprises, the share of turnover is much higher in some</w:t>
      </w:r>
      <w:r>
        <w:t xml:space="preserve"> </w:t>
      </w:r>
      <w:r>
        <w:t xml:space="preserve">countries (e.g. DE, AT) relative to their share of the number of enterprises.</w:t>
      </w:r>
      <w:r>
        <w:t xml:space="preserve"> </w:t>
      </w:r>
      <w:r>
        <w:t xml:space="preserve"> A large proportion of European toy companies are reportedly SMEs. In 2020, the</w:t>
      </w:r>
      <w:r>
        <w:t xml:space="preserve"> </w:t>
      </w:r>
      <w:r>
        <w:t xml:space="preserve">proportion was reportedly 99% of companies, employing around two thirds of</w:t>
      </w:r>
      <w:r>
        <w:t xml:space="preserve"> </w:t>
      </w:r>
      <w:r>
        <w:t xml:space="preserve">employees in the sector.239</w:t>
      </w:r>
      <w:r>
        <w:t xml:space="preserve"> </w:t>
      </w:r>
      <w:r>
        <w:t xml:space="preserve"> Many toy manufacturing companies in Europe outsource a significant amount of</w:t>
      </w:r>
      <w:r>
        <w:t xml:space="preserve"> </w:t>
      </w:r>
      <w:r>
        <w:t xml:space="preserve">their total production to East Asia, mainly China.</w:t>
      </w:r>
      <w:r>
        <w:t xml:space="preserve"> </w:t>
      </w:r>
      <w:r>
        <w:t xml:space="preserve">Shortcomings in official statistics and mitigation measures</w:t>
      </w:r>
      <w:r>
        <w:t xml:space="preserve"> </w:t>
      </w:r>
      <w:r>
        <w:t xml:space="preserve">It is important to highlight data gaps and shortcomings in the quality of data. The</w:t>
      </w:r>
      <w:r>
        <w:t xml:space="preserve"> </w:t>
      </w:r>
      <w:r>
        <w:t xml:space="preserve">statistical analysis was partly hampered by data gaps in Eurostat SBS data in some</w:t>
      </w:r>
      <w:r>
        <w:t xml:space="preserve"> </w:t>
      </w:r>
      <w:r>
        <w:t xml:space="preserve">Member States and EEA / EFTA countries, especially for some variables, such as</w:t>
      </w:r>
      <w:r>
        <w:t xml:space="preserve"> </w:t>
      </w:r>
      <w:r>
        <w:t xml:space="preserve">turnover and the number of people employed. In some cases, there were insufficient</w:t>
      </w:r>
      <w:r>
        <w:t xml:space="preserve"> </w:t>
      </w:r>
      <w:r>
        <w:t xml:space="preserve">data for Eurostat to estimate the total for the EU-27, while those estimates that are</w:t>
      </w:r>
      <w:r>
        <w:t xml:space="preserve"> </w:t>
      </w:r>
      <w:r>
        <w:t xml:space="preserve">available are marked as low reliability by Eurostat. The most recent year for which data</w:t>
      </w:r>
      <w:r>
        <w:t xml:space="preserve"> </w:t>
      </w:r>
      <w:r>
        <w:t xml:space="preserve">was available was 2020 for some variables, but there were provisional estimates only</w:t>
      </w:r>
      <w:r>
        <w:t xml:space="preserve"> </w:t>
      </w:r>
      <w:r>
        <w:t xml:space="preserve">and remained gaps.</w:t>
      </w:r>
      <w:r>
        <w:br/>
      </w:r>
      <w:r>
        <w:t xml:space="preserve">Regarding mitigation measures, we have focused on reporting the sum of the available</w:t>
      </w:r>
      <w:r>
        <w:t xml:space="preserve"> </w:t>
      </w:r>
      <w:r>
        <w:t xml:space="preserve">data across the EU-27 and EEA/EFTA countries, rather than the overarching Eurostat</w:t>
      </w:r>
      <w:r>
        <w:t xml:space="preserve"> </w:t>
      </w:r>
      <w:r>
        <w:t xml:space="preserve">EU-27 estimates. This allows increased traceability and analysis between the</w:t>
      </w:r>
      <w:r>
        <w:t xml:space="preserve"> </w:t>
      </w:r>
      <w:r>
        <w:t xml:space="preserve">overarching figures and the country data. To ensure this is transparent, we have clearly</w:t>
      </w:r>
      <w:r>
        <w:t xml:space="preserve"> </w:t>
      </w:r>
      <w:r>
        <w:t xml:space="preserve">stated in each case the number of countries whose data is included in the estimate.</w:t>
      </w:r>
      <w:r>
        <w:t xml:space="preserve"> </w:t>
      </w:r>
      <w:r>
        <w:t xml:space="preserve">Furthermore, where appropriate, data imputations have been calculated for certain</w:t>
      </w:r>
      <w:r>
        <w:t xml:space="preserve"> </w:t>
      </w:r>
      <w:r>
        <w:t xml:space="preserve">missing data points based on average market changes year on year.</w:t>
      </w:r>
      <w:r>
        <w:br/>
      </w:r>
      <w:r>
        <w:t xml:space="preserve">1. Detailed analysis – EU statistics on the European toys industry</w:t>
      </w:r>
      <w:r>
        <w:t xml:space="preserve"> </w:t>
      </w:r>
      <w:r>
        <w:t xml:space="preserve">Descriptive statistics on the European toys industry are now provided, drawing mainly on</w:t>
      </w:r>
      <w:r>
        <w:t xml:space="preserve"> </w:t>
      </w:r>
      <w:r>
        <w:t xml:space="preserve">Eurostat Structural Business Statistics (SBS), C32.4 – Manufacture of games and toys</w:t>
      </w:r>
      <w:r>
        <w:t xml:space="preserve"> </w:t>
      </w:r>
      <w:r>
        <w:t xml:space="preserve">(NACE Rev 2). The analysis focuses on data covering the EU-27 and EFTA countries,</w:t>
      </w:r>
      <w:r>
        <w:t xml:space="preserve"> </w:t>
      </w:r>
      <w:r>
        <w:t xml:space="preserve">while highlighting the respective shares of leading countries in the European toys industry.</w:t>
      </w:r>
      <w:r>
        <w:t xml:space="preserve"> </w:t>
      </w:r>
      <w:r>
        <w:t xml:space="preserve">In section 9.2.7, detailed data tables presenting disaggregation for all Member States and</w:t>
      </w:r>
      <w:r>
        <w:t xml:space="preserve"> </w:t>
      </w:r>
      <w:r>
        <w:t xml:space="preserve">EEA / EFTA countries where Eurostat SBS data is available are provided.</w:t>
      </w:r>
      <w:r>
        <w:t xml:space="preserve"> </w:t>
      </w:r>
      <w:r>
        <w:t xml:space="preserve">An overview of the number of enterprises in the European toys industry is provided</w:t>
      </w:r>
      <w:r>
        <w:t xml:space="preserve"> </w:t>
      </w:r>
      <w:r>
        <w:t xml:space="preserve">below:</w:t>
      </w:r>
    </w:p>
    <w:p>
      <w:pPr>
        <w:pStyle w:val="BodyText"/>
      </w:pPr>
      <w:r>
        <w:t xml:space="preserve">239 https://globaltoynews.com/2021/02/05/the-european-toy-market-2020-and-digital-trends-2021/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112</w:t>
      </w:r>
      <w:r>
        <w:t xml:space="preserve"> </w:t>
      </w:r>
      <w:r>
        <w:t xml:space="preserve">EN</w:t>
      </w:r>
      <w:r>
        <w:t xml:space="preserve"> </w:t>
      </w:r>
      <w:r>
        <w:t xml:space="preserve">Table 8: No. of enterprises in the European toys industry (aggregate-level):</w:t>
      </w:r>
      <w:r>
        <w:br/>
      </w:r>
      <w:r>
        <w:t xml:space="preserve">TIME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 (p)</w:t>
      </w:r>
      <w:r>
        <w:t xml:space="preserve"> </w:t>
      </w:r>
      <w:r>
        <w:t xml:space="preserve">EU-27 + EEA /</w:t>
      </w:r>
      <w:r>
        <w:t xml:space="preserve"> </w:t>
      </w:r>
      <w:r>
        <w:t xml:space="preserve">EFTA</w:t>
      </w:r>
      <w:r>
        <w:t xml:space="preserve"> </w:t>
      </w:r>
      <w:r>
        <w:t xml:space="preserve">5,332</w:t>
      </w:r>
      <w:r>
        <w:t xml:space="preserve"> </w:t>
      </w:r>
      <w:r>
        <w:t xml:space="preserve">5,448</w:t>
      </w:r>
      <w:r>
        <w:t xml:space="preserve"> </w:t>
      </w:r>
      <w:r>
        <w:t xml:space="preserve">5,826</w:t>
      </w:r>
      <w:r>
        <w:t xml:space="preserve"> </w:t>
      </w:r>
      <w:r>
        <w:t xml:space="preserve">6,067</w:t>
      </w:r>
      <w:r>
        <w:t xml:space="preserve"> </w:t>
      </w:r>
      <w:r>
        <w:t xml:space="preserve">6,313</w:t>
      </w:r>
      <w:r>
        <w:t xml:space="preserve"> </w:t>
      </w:r>
      <w:r>
        <w:t xml:space="preserve">Source: Eurostat SBS. p – provisional data, with some data imputations developed by</w:t>
      </w:r>
      <w:r>
        <w:t xml:space="preserve"> </w:t>
      </w:r>
      <w:r>
        <w:t xml:space="preserve">CSES for 2019/2020 data gaps.240</w:t>
      </w:r>
      <w:r>
        <w:t xml:space="preserve"> </w:t>
      </w:r>
      <w:r>
        <w:t xml:space="preserve">In the table above, the evolution in the number of enterprises in the European toy industry</w:t>
      </w:r>
      <w:r>
        <w:t xml:space="preserve"> </w:t>
      </w:r>
      <w:r>
        <w:t xml:space="preserve">is shown. The number of enterprises has been progressively increasing from circa 5,332 in</w:t>
      </w:r>
      <w:r>
        <w:t xml:space="preserve"> </w:t>
      </w:r>
      <w:r>
        <w:t xml:space="preserve">2016, to an estimated 6,313 in 2020. This data excludes the UK, meaning that the number</w:t>
      </w:r>
      <w:r>
        <w:t xml:space="preserve"> </w:t>
      </w:r>
      <w:r>
        <w:t xml:space="preserve">of firms in the toys industry has grown irrespective of Brexit, which is interesting as the</w:t>
      </w:r>
      <w:r>
        <w:t xml:space="preserve"> </w:t>
      </w:r>
      <w:r>
        <w:t xml:space="preserve">UK market comprised accounted for around 600 firms in 2016, rising to around 675 in</w:t>
      </w:r>
      <w:r>
        <w:t xml:space="preserve"> </w:t>
      </w:r>
      <w:r>
        <w:t xml:space="preserve">2017 and 2018.</w:t>
      </w:r>
      <w:r>
        <w:t xml:space="preserve"> </w:t>
      </w:r>
      <w:r>
        <w:t xml:space="preserve">The data has also been analysed at a disaggregated data by Member State and EEA / EFTA</w:t>
      </w:r>
      <w:r>
        <w:t xml:space="preserve"> </w:t>
      </w:r>
      <w:r>
        <w:t xml:space="preserve">country. Among the Member States that are the most significant producers of toys are:</w:t>
      </w:r>
      <w:r>
        <w:br/>
      </w:r>
      <w:r>
        <w:t xml:space="preserve">Table 9: Number of enterprises among leading European countries in toy production</w:t>
      </w:r>
      <w:r>
        <w:br/>
      </w:r>
      <w:r>
        <w:t xml:space="preserve">Member State</w:t>
      </w:r>
      <w:r>
        <w:t xml:space="preserve"> </w:t>
      </w:r>
      <w:r>
        <w:t xml:space="preserve">Number</w:t>
      </w:r>
      <w:r>
        <w:t xml:space="preserve"> </w:t>
      </w:r>
      <w:r>
        <w:t xml:space="preserve">%</w:t>
      </w:r>
      <w:r>
        <w:t xml:space="preserve"> </w:t>
      </w:r>
      <w:r>
        <w:t xml:space="preserve">Reference year (p)</w:t>
      </w:r>
      <w:r>
        <w:t xml:space="preserve"> </w:t>
      </w:r>
      <w:r>
        <w:t xml:space="preserve">Poland</w:t>
      </w:r>
      <w:r>
        <w:t xml:space="preserve"> </w:t>
      </w:r>
      <w:r>
        <w:t xml:space="preserve">904</w:t>
      </w:r>
      <w:r>
        <w:t xml:space="preserve"> </w:t>
      </w:r>
      <w:r>
        <w:t xml:space="preserve">14.3%</w:t>
      </w:r>
      <w:r>
        <w:t xml:space="preserve"> </w:t>
      </w:r>
      <w:r>
        <w:t xml:space="preserve">2020</w:t>
      </w:r>
      <w:r>
        <w:t xml:space="preserve"> </w:t>
      </w:r>
      <w:r>
        <w:t xml:space="preserve">France</w:t>
      </w:r>
      <w:r>
        <w:t xml:space="preserve"> </w:t>
      </w:r>
      <w:r>
        <w:t xml:space="preserve">848</w:t>
      </w:r>
      <w:r>
        <w:t xml:space="preserve"> </w:t>
      </w:r>
      <w:r>
        <w:t xml:space="preserve">13.4%</w:t>
      </w:r>
      <w:r>
        <w:t xml:space="preserve"> </w:t>
      </w:r>
      <w:r>
        <w:t xml:space="preserve">2020</w:t>
      </w:r>
      <w:r>
        <w:t xml:space="preserve"> </w:t>
      </w:r>
      <w:r>
        <w:t xml:space="preserve">Germany</w:t>
      </w:r>
      <w:r>
        <w:t xml:space="preserve"> </w:t>
      </w:r>
      <w:r>
        <w:t xml:space="preserve">683</w:t>
      </w:r>
      <w:r>
        <w:t xml:space="preserve"> </w:t>
      </w:r>
      <w:r>
        <w:t xml:space="preserve">10.8%</w:t>
      </w:r>
      <w:r>
        <w:t xml:space="preserve"> </w:t>
      </w:r>
      <w:r>
        <w:t xml:space="preserve">2020</w:t>
      </w:r>
      <w:r>
        <w:t xml:space="preserve"> </w:t>
      </w:r>
      <w:r>
        <w:t xml:space="preserve">Netherlands</w:t>
      </w:r>
      <w:r>
        <w:t xml:space="preserve"> </w:t>
      </w:r>
      <w:r>
        <w:t xml:space="preserve">536</w:t>
      </w:r>
      <w:r>
        <w:t xml:space="preserve"> </w:t>
      </w:r>
      <w:r>
        <w:t xml:space="preserve">8.5%</w:t>
      </w:r>
      <w:r>
        <w:t xml:space="preserve"> </w:t>
      </w:r>
      <w:r>
        <w:t xml:space="preserve">2020</w:t>
      </w:r>
      <w:r>
        <w:t xml:space="preserve"> </w:t>
      </w:r>
      <w:r>
        <w:t xml:space="preserve">Czechia</w:t>
      </w:r>
      <w:r>
        <w:t xml:space="preserve"> </w:t>
      </w:r>
      <w:r>
        <w:t xml:space="preserve">506</w:t>
      </w:r>
      <w:r>
        <w:t xml:space="preserve"> </w:t>
      </w:r>
      <w:r>
        <w:t xml:space="preserve">8.0%</w:t>
      </w:r>
      <w:r>
        <w:t xml:space="preserve"> </w:t>
      </w:r>
      <w:r>
        <w:t xml:space="preserve">2020</w:t>
      </w:r>
      <w:r>
        <w:t xml:space="preserve"> </w:t>
      </w:r>
      <w:r>
        <w:t xml:space="preserve">Spain</w:t>
      </w:r>
      <w:r>
        <w:t xml:space="preserve"> </w:t>
      </w:r>
      <w:r>
        <w:t xml:space="preserve">409</w:t>
      </w:r>
      <w:r>
        <w:t xml:space="preserve"> </w:t>
      </w:r>
      <w:r>
        <w:t xml:space="preserve">6.5%</w:t>
      </w:r>
      <w:r>
        <w:t xml:space="preserve"> </w:t>
      </w:r>
      <w:r>
        <w:t xml:space="preserve">2020</w:t>
      </w:r>
      <w:r>
        <w:t xml:space="preserve"> </w:t>
      </w:r>
      <w:r>
        <w:t xml:space="preserve">Slovakia</w:t>
      </w:r>
      <w:r>
        <w:t xml:space="preserve"> </w:t>
      </w:r>
      <w:r>
        <w:t xml:space="preserve">398</w:t>
      </w:r>
      <w:r>
        <w:t xml:space="preserve"> </w:t>
      </w:r>
      <w:r>
        <w:t xml:space="preserve">6.3%</w:t>
      </w:r>
      <w:r>
        <w:t xml:space="preserve"> </w:t>
      </w:r>
      <w:r>
        <w:t xml:space="preserve">2020</w:t>
      </w:r>
      <w:r>
        <w:t xml:space="preserve"> </w:t>
      </w:r>
      <w:r>
        <w:t xml:space="preserve">Italy</w:t>
      </w:r>
      <w:r>
        <w:t xml:space="preserve"> </w:t>
      </w:r>
      <w:r>
        <w:t xml:space="preserve">338</w:t>
      </w:r>
      <w:r>
        <w:t xml:space="preserve"> </w:t>
      </w:r>
      <w:r>
        <w:t xml:space="preserve">5.4%</w:t>
      </w:r>
      <w:r>
        <w:t xml:space="preserve"> </w:t>
      </w:r>
      <w:r>
        <w:t xml:space="preserve">2020 (e)</w:t>
      </w:r>
      <w:r>
        <w:t xml:space="preserve"> </w:t>
      </w:r>
      <w:r>
        <w:t xml:space="preserve">Others</w:t>
      </w:r>
      <w:r>
        <w:t xml:space="preserve"> </w:t>
      </w:r>
      <w:r>
        <w:t xml:space="preserve">1,691</w:t>
      </w:r>
      <w:r>
        <w:t xml:space="preserve"> </w:t>
      </w:r>
      <w:r>
        <w:t xml:space="preserve">26.8%</w:t>
      </w:r>
      <w:r>
        <w:t xml:space="preserve"> </w:t>
      </w:r>
      <w:r>
        <w:t xml:space="preserve">2020</w:t>
      </w:r>
      <w:r>
        <w:t xml:space="preserve"> </w:t>
      </w:r>
      <w:r>
        <w:t xml:space="preserve">EU27 + EEA / EFTA</w:t>
      </w:r>
      <w:r>
        <w:t xml:space="preserve"> </w:t>
      </w:r>
      <w:r>
        <w:t xml:space="preserve">6,313</w:t>
      </w:r>
      <w:r>
        <w:t xml:space="preserve"> </w:t>
      </w:r>
      <w:r>
        <w:t xml:space="preserve">100%</w:t>
      </w:r>
      <w:r>
        <w:t xml:space="preserve"> </w:t>
      </w:r>
      <w:r>
        <w:t xml:space="preserve">2020 (e)</w:t>
      </w:r>
      <w:r>
        <w:t xml:space="preserve"> </w:t>
      </w:r>
      <w:r>
        <w:t xml:space="preserve">Source: Eurostat SBS. e – data estimate; p – provisional data.</w:t>
      </w:r>
      <w:r>
        <w:t xml:space="preserve"> </w:t>
      </w:r>
      <w:r>
        <w:t xml:space="preserve">As shown in the previous table, a significant percentage (e.g. 73.2% or 4,622 enterprises)</w:t>
      </w:r>
      <w:r>
        <w:t xml:space="preserve"> </w:t>
      </w:r>
      <w:r>
        <w:t xml:space="preserve">of toy manufacturers are located in eight Member States. It can be observed that toy</w:t>
      </w:r>
      <w:r>
        <w:t xml:space="preserve"> </w:t>
      </w:r>
      <w:r>
        <w:t xml:space="preserve">production is concentrated in Member States either with a bigger population size (e.g. FR,</w:t>
      </w:r>
      <w:r>
        <w:t xml:space="preserve"> </w:t>
      </w:r>
      <w:r>
        <w:t xml:space="preserve">DE, ES, IT), a significant tradition in the toys industry (e.g. NL) or major manufacturing</w:t>
      </w:r>
      <w:r>
        <w:t xml:space="preserve"> </w:t>
      </w:r>
      <w:r>
        <w:t xml:space="preserve">countries of all types of products (e.g. PL, SK and CZ).</w:t>
      </w:r>
      <w:r>
        <w:br/>
      </w:r>
      <w:r>
        <w:t xml:space="preserve">An overview of the turnover of the European toys industry at an aggregate level is now</w:t>
      </w:r>
      <w:r>
        <w:t xml:space="preserve"> </w:t>
      </w:r>
      <w:r>
        <w:t xml:space="preserve">provided.</w:t>
      </w:r>
      <w:r>
        <w:br/>
      </w:r>
      <w:r>
        <w:t xml:space="preserve">Table 10: Turnover in the European toys industry – 2016-2020 (million EUR)</w:t>
      </w:r>
      <w:r>
        <w:t xml:space="preserve"> </w:t>
      </w:r>
      <w:r>
        <w:t xml:space="preserve">Year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 (p)</w:t>
      </w:r>
      <w:r>
        <w:t xml:space="preserve"> </w:t>
      </w:r>
      <w:r>
        <w:t xml:space="preserve">EU-27 + EEA /</w:t>
      </w:r>
      <w:r>
        <w:t xml:space="preserve"> </w:t>
      </w:r>
      <w:r>
        <w:t xml:space="preserve">EFTA</w:t>
      </w:r>
      <w:r>
        <w:t xml:space="preserve"> </w:t>
      </w:r>
      <w:r>
        <w:t xml:space="preserve">7,028</w:t>
      </w:r>
      <w:r>
        <w:t xml:space="preserve"> </w:t>
      </w:r>
      <w:r>
        <w:t xml:space="preserve">7,070</w:t>
      </w:r>
      <w:r>
        <w:t xml:space="preserve"> </w:t>
      </w:r>
      <w:r>
        <w:t xml:space="preserve">8,503</w:t>
      </w:r>
      <w:r>
        <w:t xml:space="preserve"> </w:t>
      </w:r>
      <w:r>
        <w:t xml:space="preserve">8,255</w:t>
      </w:r>
      <w:r>
        <w:t xml:space="preserve"> </w:t>
      </w:r>
      <w:r>
        <w:t xml:space="preserve">6,558</w:t>
      </w:r>
    </w:p>
    <w:p>
      <w:pPr>
        <w:pStyle w:val="BodyText"/>
      </w:pPr>
      <w:r>
        <w:t xml:space="preserve">240 Approach to incomplete data - Data is missing in Eurostat for the following years and countries: IT (2020),</w:t>
      </w:r>
      <w:r>
        <w:t xml:space="preserve"> </w:t>
      </w:r>
      <w:r>
        <w:t xml:space="preserve">CY (2016-2017), IE and MT (2016-2020), IS (2020), LI (2016-2020) and CH (2019-2020). Data imputations</w:t>
      </w:r>
      <w:r>
        <w:t xml:space="preserve"> </w:t>
      </w:r>
      <w:r>
        <w:t xml:space="preserve">have been developed for IT (2020), IS (2020) and CH (2019-2020). Furthermore, all available 2020 data is</w:t>
      </w:r>
      <w:r>
        <w:t xml:space="preserve"> </w:t>
      </w:r>
      <w:r>
        <w:t xml:space="preserve">marked as provisional by Eurostat.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113</w:t>
      </w:r>
      <w:r>
        <w:t xml:space="preserve"> </w:t>
      </w:r>
      <w:r>
        <w:t xml:space="preserve">EN</w:t>
      </w:r>
      <w:r>
        <w:t xml:space="preserve"> </w:t>
      </w:r>
      <w:r>
        <w:t xml:space="preserve">Source: Eurostat SBS. p – provisional data.241</w:t>
      </w:r>
      <w:r>
        <w:t xml:space="preserve"> </w:t>
      </w:r>
      <w:r>
        <w:t xml:space="preserve">Annual turnover was approximately EUR 7.03 billion in 2016, increasing to EUR 8.5</w:t>
      </w:r>
      <w:r>
        <w:t xml:space="preserve"> </w:t>
      </w:r>
      <w:r>
        <w:t xml:space="preserve">billion in 2018 and EUR 8.3 billion in 2019. However, 2020 data is provisional. A</w:t>
      </w:r>
      <w:r>
        <w:t xml:space="preserve"> </w:t>
      </w:r>
      <w:r>
        <w:t xml:space="preserve">weakness in the data is that there are data gaps for 2016-2020 in eight Member States (DK,</w:t>
      </w:r>
      <w:r>
        <w:t xml:space="preserve"> </w:t>
      </w:r>
      <w:r>
        <w:t xml:space="preserve">EE, IE, HR, CY, LU, MT, NL), and all four EEA/EFTA countries. Moreover, given that</w:t>
      </w:r>
      <w:r>
        <w:t xml:space="preserve"> </w:t>
      </w:r>
      <w:r>
        <w:t xml:space="preserve">there is no data in the Netherlands, which has a significant number of enterprises in the toy</w:t>
      </w:r>
      <w:r>
        <w:t xml:space="preserve"> </w:t>
      </w:r>
      <w:r>
        <w:t xml:space="preserve">production sector, turnover could be considerably under-estimated (e.g. by 10-15%).</w:t>
      </w:r>
      <w:r>
        <w:t xml:space="preserve"> </w:t>
      </w:r>
      <w:r>
        <w:t xml:space="preserve">However, as illustrated by the above table, turnover for the European toys market is likely</w:t>
      </w:r>
      <w:r>
        <w:t xml:space="preserve"> </w:t>
      </w:r>
      <w:r>
        <w:t xml:space="preserve">to be lower than in 2019 due to the pandemic, even if sales of toys shifted partially online</w:t>
      </w:r>
      <w:r>
        <w:t xml:space="preserve"> </w:t>
      </w:r>
      <w:r>
        <w:t xml:space="preserve">(see later in this section for an analysis of online toy sales).</w:t>
      </w:r>
      <w:r>
        <w:t xml:space="preserve"> </w:t>
      </w:r>
      <w:r>
        <w:t xml:space="preserve">Table 11: Leading European countries by turnover in the production of toys</w:t>
      </w:r>
      <w:r>
        <w:t xml:space="preserve"> </w:t>
      </w:r>
      <w:r>
        <w:t xml:space="preserve">Member State</w:t>
      </w:r>
      <w:r>
        <w:t xml:space="preserve"> </w:t>
      </w:r>
      <w:r>
        <w:t xml:space="preserve">Million EUR</w:t>
      </w:r>
      <w:r>
        <w:t xml:space="preserve"> </w:t>
      </w:r>
      <w:r>
        <w:t xml:space="preserve">%</w:t>
      </w:r>
      <w:r>
        <w:t xml:space="preserve"> </w:t>
      </w:r>
      <w:r>
        <w:t xml:space="preserve">Reference year (p)</w:t>
      </w:r>
      <w:r>
        <w:t xml:space="preserve"> </w:t>
      </w:r>
      <w:r>
        <w:t xml:space="preserve">Germany</w:t>
      </w:r>
      <w:r>
        <w:t xml:space="preserve"> </w:t>
      </w:r>
      <w:r>
        <w:t xml:space="preserve">2,608.2</w:t>
      </w:r>
      <w:r>
        <w:t xml:space="preserve"> </w:t>
      </w:r>
      <w:r>
        <w:t xml:space="preserve">39.8%</w:t>
      </w:r>
      <w:r>
        <w:t xml:space="preserve"> </w:t>
      </w:r>
      <w:r>
        <w:t xml:space="preserve">2020</w:t>
      </w:r>
      <w:r>
        <w:t xml:space="preserve"> </w:t>
      </w:r>
      <w:r>
        <w:t xml:space="preserve">Czechia</w:t>
      </w:r>
      <w:r>
        <w:t xml:space="preserve"> </w:t>
      </w:r>
      <w:r>
        <w:t xml:space="preserve">898.2</w:t>
      </w:r>
      <w:r>
        <w:t xml:space="preserve"> </w:t>
      </w:r>
      <w:r>
        <w:t xml:space="preserve">13.7%</w:t>
      </w:r>
      <w:r>
        <w:t xml:space="preserve"> </w:t>
      </w:r>
      <w:r>
        <w:t xml:space="preserve">2020</w:t>
      </w:r>
      <w:r>
        <w:t xml:space="preserve"> </w:t>
      </w:r>
      <w:r>
        <w:t xml:space="preserve">Italy</w:t>
      </w:r>
      <w:r>
        <w:t xml:space="preserve"> </w:t>
      </w:r>
      <w:r>
        <w:t xml:space="preserve">560.1</w:t>
      </w:r>
      <w:r>
        <w:t xml:space="preserve"> </w:t>
      </w:r>
      <w:r>
        <w:t xml:space="preserve">8.5%</w:t>
      </w:r>
      <w:r>
        <w:t xml:space="preserve"> </w:t>
      </w:r>
      <w:r>
        <w:t xml:space="preserve">2020</w:t>
      </w:r>
      <w:r>
        <w:t xml:space="preserve"> </w:t>
      </w:r>
      <w:r>
        <w:t xml:space="preserve">Spain</w:t>
      </w:r>
      <w:r>
        <w:t xml:space="preserve"> </w:t>
      </w:r>
      <w:r>
        <w:t xml:space="preserve">546.4</w:t>
      </w:r>
      <w:r>
        <w:t xml:space="preserve"> </w:t>
      </w:r>
      <w:r>
        <w:t xml:space="preserve">8.3%</w:t>
      </w:r>
      <w:r>
        <w:t xml:space="preserve"> </w:t>
      </w:r>
      <w:r>
        <w:t xml:space="preserve">2020</w:t>
      </w:r>
      <w:r>
        <w:t xml:space="preserve"> </w:t>
      </w:r>
      <w:r>
        <w:t xml:space="preserve">Austria</w:t>
      </w:r>
      <w:r>
        <w:t xml:space="preserve"> </w:t>
      </w:r>
      <w:r>
        <w:t xml:space="preserve">453.0</w:t>
      </w:r>
      <w:r>
        <w:t xml:space="preserve"> </w:t>
      </w:r>
      <w:r>
        <w:t xml:space="preserve">6.9%</w:t>
      </w:r>
      <w:r>
        <w:t xml:space="preserve"> </w:t>
      </w:r>
      <w:r>
        <w:t xml:space="preserve">2020</w:t>
      </w:r>
      <w:r>
        <w:t xml:space="preserve"> </w:t>
      </w:r>
      <w:r>
        <w:t xml:space="preserve">France</w:t>
      </w:r>
      <w:r>
        <w:t xml:space="preserve"> </w:t>
      </w:r>
      <w:r>
        <w:t xml:space="preserve">421.5</w:t>
      </w:r>
      <w:r>
        <w:t xml:space="preserve"> </w:t>
      </w:r>
      <w:r>
        <w:t xml:space="preserve">6.4%</w:t>
      </w:r>
      <w:r>
        <w:t xml:space="preserve"> </w:t>
      </w:r>
      <w:r>
        <w:t xml:space="preserve">2020</w:t>
      </w:r>
      <w:r>
        <w:t xml:space="preserve"> </w:t>
      </w:r>
      <w:r>
        <w:t xml:space="preserve">Poland</w:t>
      </w:r>
      <w:r>
        <w:t xml:space="preserve"> </w:t>
      </w:r>
      <w:r>
        <w:t xml:space="preserve">296.3</w:t>
      </w:r>
      <w:r>
        <w:t xml:space="preserve"> </w:t>
      </w:r>
      <w:r>
        <w:t xml:space="preserve">4.5%</w:t>
      </w:r>
      <w:r>
        <w:t xml:space="preserve"> </w:t>
      </w:r>
      <w:r>
        <w:t xml:space="preserve">2020</w:t>
      </w:r>
      <w:r>
        <w:t xml:space="preserve"> </w:t>
      </w:r>
      <w:r>
        <w:t xml:space="preserve">Others</w:t>
      </w:r>
      <w:r>
        <w:t xml:space="preserve"> </w:t>
      </w:r>
      <w:r>
        <w:t xml:space="preserve">774.3</w:t>
      </w:r>
      <w:r>
        <w:t xml:space="preserve"> </w:t>
      </w:r>
      <w:r>
        <w:t xml:space="preserve">11.8%</w:t>
      </w:r>
      <w:r>
        <w:t xml:space="preserve"> </w:t>
      </w:r>
      <w:r>
        <w:t xml:space="preserve">2020</w:t>
      </w:r>
      <w:r>
        <w:t xml:space="preserve"> </w:t>
      </w:r>
      <w:r>
        <w:t xml:space="preserve">EU-27 + EEA /</w:t>
      </w:r>
      <w:r>
        <w:t xml:space="preserve"> </w:t>
      </w:r>
      <w:r>
        <w:t xml:space="preserve">EFTA</w:t>
      </w:r>
      <w:r>
        <w:t xml:space="preserve"> </w:t>
      </w:r>
      <w:r>
        <w:t xml:space="preserve">6,558</w:t>
      </w:r>
      <w:r>
        <w:t xml:space="preserve"> </w:t>
      </w:r>
      <w:r>
        <w:t xml:space="preserve">100%</w:t>
      </w:r>
      <w:r>
        <w:t xml:space="preserve"> </w:t>
      </w:r>
      <w:r>
        <w:t xml:space="preserve">2020</w:t>
      </w:r>
      <w:r>
        <w:t xml:space="preserve"> </w:t>
      </w:r>
      <w:r>
        <w:t xml:space="preserve">Source: Eurostat SBS covering 23 countries. p – all available data from 2020 is</w:t>
      </w:r>
      <w:r>
        <w:t xml:space="preserve"> </w:t>
      </w:r>
      <w:r>
        <w:t xml:space="preserve">provisional.</w:t>
      </w:r>
      <w:r>
        <w:t xml:space="preserve"> </w:t>
      </w:r>
      <w:r>
        <w:t xml:space="preserve">The highest turnover in 2020 has been reported by Germany, which contributed 39.8% of</w:t>
      </w:r>
      <w:r>
        <w:t xml:space="preserve"> </w:t>
      </w:r>
      <w:r>
        <w:t xml:space="preserve">the European toy market’s overall turnover. The second biggest turnover has been reported</w:t>
      </w:r>
      <w:r>
        <w:t xml:space="preserve"> </w:t>
      </w:r>
      <w:r>
        <w:t xml:space="preserve">by Czechia, which contributed 13.7% of the total, despite being only the 10th most</w:t>
      </w:r>
      <w:r>
        <w:t xml:space="preserve"> </w:t>
      </w:r>
      <w:r>
        <w:t xml:space="preserve">populous EU country (as of 1st January 2020). The next biggest turnovers were reported</w:t>
      </w:r>
      <w:r>
        <w:t xml:space="preserve"> </w:t>
      </w:r>
      <w:r>
        <w:t xml:space="preserve">by Italy, Spain and Austria, followed by France and Poland.</w:t>
      </w:r>
      <w:r>
        <w:t xml:space="preserve"> </w:t>
      </w:r>
      <w:r>
        <w:t xml:space="preserve">Interestingly, the comparative analysis of the number of enterprises in the toys</w:t>
      </w:r>
      <w:r>
        <w:t xml:space="preserve"> </w:t>
      </w:r>
      <w:r>
        <w:t xml:space="preserve">manufacturing industry operating in given countries and total turnover rates achieved by</w:t>
      </w:r>
      <w:r>
        <w:t xml:space="preserve"> </w:t>
      </w:r>
      <w:r>
        <w:t xml:space="preserve">the local toys’ manufacturing sectors indicates the significant diversification in the patterns</w:t>
      </w:r>
      <w:r>
        <w:t xml:space="preserve"> </w:t>
      </w:r>
      <w:r>
        <w:t xml:space="preserve">observed across European industry. For example, in Germany, the Member State where</w:t>
      </w:r>
      <w:r>
        <w:t xml:space="preserve"> </w:t>
      </w:r>
      <w:r>
        <w:t xml:space="preserve">around 11% of toy manufacturing enterprises operate, generates proportionally almost 12</w:t>
      </w:r>
      <w:r>
        <w:t xml:space="preserve"> </w:t>
      </w:r>
      <w:r>
        <w:t xml:space="preserve">times higher turnover per enterprise than Poland, more than twice as high as Czechia and</w:t>
      </w:r>
      <w:r>
        <w:t xml:space="preserve"> </w:t>
      </w:r>
      <w:r>
        <w:t xml:space="preserve">Italy, and approximately three times more than Spain. Another country with high turnover</w:t>
      </w:r>
      <w:r>
        <w:t xml:space="preserve"> </w:t>
      </w:r>
      <w:r>
        <w:t xml:space="preserve">per enterprise is Austria, hosting merely 92 toy manufacturing firms and achieving total</w:t>
      </w:r>
      <w:r>
        <w:t xml:space="preserve"> </w:t>
      </w:r>
      <w:r>
        <w:t xml:space="preserve">turnover results similar to France, where over 9 times more toys’ producing firms operate.</w:t>
      </w:r>
      <w:r>
        <w:t xml:space="preserve"> </w:t>
      </w:r>
      <w:r>
        <w:t xml:space="preserve">This suggests that a disproportionate number of medium to large toy manufacturers operate</w:t>
      </w:r>
      <w:r>
        <w:t xml:space="preserve"> </w:t>
      </w:r>
      <w:r>
        <w:t xml:space="preserve">in Germany and Austria.</w:t>
      </w:r>
      <w:r>
        <w:br/>
      </w:r>
      <w:r>
        <w:t xml:space="preserve">In the following table, an overview of production value in billion EUR is provided. The</w:t>
      </w:r>
      <w:r>
        <w:t xml:space="preserve"> </w:t>
      </w:r>
      <w:r>
        <w:t xml:space="preserve">data shows that production increased from circa EUR 6.7 billion to EUR 7.6 billion EUR</w:t>
      </w:r>
    </w:p>
    <w:p>
      <w:pPr>
        <w:pStyle w:val="BodyText"/>
      </w:pPr>
      <w:r>
        <w:t xml:space="preserve">241 Data is missing in Eurostat for the following countries and years: DK, IE, LU, MT, NL, LI (2016-2020);</w:t>
      </w:r>
      <w:r>
        <w:t xml:space="preserve"> </w:t>
      </w:r>
      <w:r>
        <w:t xml:space="preserve">EE (2018-2019); HR (2016); CY (2016-2017); IS (2019-2020); NO (2018); and CH (2016, 2018-2020). As</w:t>
      </w:r>
      <w:r>
        <w:t xml:space="preserve"> </w:t>
      </w:r>
      <w:r>
        <w:t xml:space="preserve">such, the number of countries covered by the data per year are as follows: 2016 (22); 2017 (24); 2018-2019</w:t>
      </w:r>
      <w:r>
        <w:t xml:space="preserve"> </w:t>
      </w:r>
      <w:r>
        <w:t xml:space="preserve">(22); 2020 (23). Furthermore, all available 2020 data is marked as provisional by Eurostat.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114</w:t>
      </w:r>
      <w:r>
        <w:t xml:space="preserve"> </w:t>
      </w:r>
      <w:r>
        <w:t xml:space="preserve">EN</w:t>
      </w:r>
      <w:r>
        <w:t xml:space="preserve"> </w:t>
      </w:r>
      <w:r>
        <w:t xml:space="preserve">by 2019, an increase of 13.4%. However, production value declined to approximately EUR</w:t>
      </w:r>
      <w:r>
        <w:t xml:space="preserve"> </w:t>
      </w:r>
      <w:r>
        <w:t xml:space="preserve">6,229 billion in 2020. While the fact that the Eurostat data for 2020 is provisional may</w:t>
      </w:r>
      <w:r>
        <w:t xml:space="preserve"> </w:t>
      </w:r>
      <w:r>
        <w:t xml:space="preserve">have an impact, it is anticipated that this decline is primarily due to the impact of the</w:t>
      </w:r>
      <w:r>
        <w:t xml:space="preserve"> </w:t>
      </w:r>
      <w:r>
        <w:t xml:space="preserve">national and EU responses to the COVID-19 pandemic on production capacities across the</w:t>
      </w:r>
      <w:r>
        <w:t xml:space="preserve"> </w:t>
      </w:r>
      <w:r>
        <w:t xml:space="preserve">internal market.</w:t>
      </w:r>
      <w:r>
        <w:br/>
      </w:r>
      <w:r>
        <w:t xml:space="preserve">Table 12: Production value of the European toys industry – 2016-2020 (in million EUR)</w:t>
      </w:r>
      <w:r>
        <w:t xml:space="preserve"> </w:t>
      </w:r>
      <w:r>
        <w:t xml:space="preserve">Year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 (p)</w:t>
      </w:r>
      <w:r>
        <w:t xml:space="preserve"> </w:t>
      </w:r>
      <w:r>
        <w:t xml:space="preserve">EU-27 + EEA / EFTA</w:t>
      </w:r>
      <w:r>
        <w:t xml:space="preserve"> </w:t>
      </w:r>
      <w:r>
        <w:t xml:space="preserve">6,667</w:t>
      </w:r>
      <w:r>
        <w:t xml:space="preserve"> </w:t>
      </w:r>
      <w:r>
        <w:t xml:space="preserve">6,776</w:t>
      </w:r>
      <w:r>
        <w:t xml:space="preserve"> </w:t>
      </w:r>
      <w:r>
        <w:t xml:space="preserve">7,619</w:t>
      </w:r>
      <w:r>
        <w:t xml:space="preserve"> </w:t>
      </w:r>
      <w:r>
        <w:t xml:space="preserve">7,645</w:t>
      </w:r>
      <w:r>
        <w:t xml:space="preserve"> </w:t>
      </w:r>
      <w:r>
        <w:t xml:space="preserve">6,229</w:t>
      </w:r>
      <w:r>
        <w:t xml:space="preserve"> </w:t>
      </w:r>
      <w:r>
        <w:t xml:space="preserve">Source: Eurostat SBS. p – provisional data.242</w:t>
      </w:r>
      <w:r>
        <w:t xml:space="preserve"> </w:t>
      </w:r>
      <w:r>
        <w:t xml:space="preserve">According to Eurostat data, the Member States in the EU-27 that had the highest</w:t>
      </w:r>
      <w:r>
        <w:t xml:space="preserve"> </w:t>
      </w:r>
      <w:r>
        <w:t xml:space="preserve">production value were as follows:</w:t>
      </w:r>
      <w:r>
        <w:t xml:space="preserve"> </w:t>
      </w:r>
      <w:r>
        <w:t xml:space="preserve">Table 13: Production value in billion EUR in leading European countries</w:t>
      </w:r>
      <w:r>
        <w:t xml:space="preserve"> </w:t>
      </w:r>
      <w:r>
        <w:t xml:space="preserve">Member State</w:t>
      </w:r>
      <w:r>
        <w:t xml:space="preserve"> </w:t>
      </w:r>
      <w:r>
        <w:t xml:space="preserve">Number</w:t>
      </w:r>
      <w:r>
        <w:t xml:space="preserve"> </w:t>
      </w:r>
      <w:r>
        <w:t xml:space="preserve">%</w:t>
      </w:r>
      <w:r>
        <w:t xml:space="preserve"> </w:t>
      </w:r>
      <w:r>
        <w:t xml:space="preserve">Reference year(p)</w:t>
      </w:r>
      <w:r>
        <w:t xml:space="preserve"> </w:t>
      </w:r>
      <w:r>
        <w:t xml:space="preserve">Germany</w:t>
      </w:r>
      <w:r>
        <w:t xml:space="preserve"> </w:t>
      </w:r>
      <w:r>
        <w:t xml:space="preserve">2,462.7</w:t>
      </w:r>
      <w:r>
        <w:t xml:space="preserve"> </w:t>
      </w:r>
      <w:r>
        <w:t xml:space="preserve">39.5%</w:t>
      </w:r>
      <w:r>
        <w:t xml:space="preserve"> </w:t>
      </w:r>
      <w:r>
        <w:t xml:space="preserve">2020</w:t>
      </w:r>
      <w:r>
        <w:t xml:space="preserve"> </w:t>
      </w:r>
      <w:r>
        <w:t xml:space="preserve">Czechia</w:t>
      </w:r>
      <w:r>
        <w:t xml:space="preserve"> </w:t>
      </w:r>
      <w:r>
        <w:t xml:space="preserve">919.6</w:t>
      </w:r>
      <w:r>
        <w:t xml:space="preserve"> </w:t>
      </w:r>
      <w:r>
        <w:t xml:space="preserve">14.8%</w:t>
      </w:r>
      <w:r>
        <w:t xml:space="preserve"> </w:t>
      </w:r>
      <w:r>
        <w:t xml:space="preserve">2020</w:t>
      </w:r>
      <w:r>
        <w:t xml:space="preserve"> </w:t>
      </w:r>
      <w:r>
        <w:t xml:space="preserve">Italy</w:t>
      </w:r>
      <w:r>
        <w:t xml:space="preserve"> </w:t>
      </w:r>
      <w:r>
        <w:t xml:space="preserve">597.2</w:t>
      </w:r>
      <w:r>
        <w:t xml:space="preserve"> </w:t>
      </w:r>
      <w:r>
        <w:t xml:space="preserve">9.6%</w:t>
      </w:r>
      <w:r>
        <w:t xml:space="preserve"> </w:t>
      </w:r>
      <w:r>
        <w:t xml:space="preserve">2020</w:t>
      </w:r>
      <w:r>
        <w:t xml:space="preserve"> </w:t>
      </w:r>
      <w:r>
        <w:t xml:space="preserve">Spain</w:t>
      </w:r>
      <w:r>
        <w:t xml:space="preserve"> </w:t>
      </w:r>
      <w:r>
        <w:t xml:space="preserve">491.3</w:t>
      </w:r>
      <w:r>
        <w:t xml:space="preserve"> </w:t>
      </w:r>
      <w:r>
        <w:t xml:space="preserve">7.9%</w:t>
      </w:r>
      <w:r>
        <w:t xml:space="preserve"> </w:t>
      </w:r>
      <w:r>
        <w:t xml:space="preserve">2020</w:t>
      </w:r>
      <w:r>
        <w:t xml:space="preserve"> </w:t>
      </w:r>
      <w:r>
        <w:t xml:space="preserve">Austria</w:t>
      </w:r>
      <w:r>
        <w:t xml:space="preserve"> </w:t>
      </w:r>
      <w:r>
        <w:t xml:space="preserve">388.9</w:t>
      </w:r>
      <w:r>
        <w:t xml:space="preserve"> </w:t>
      </w:r>
      <w:r>
        <w:t xml:space="preserve">6.2%</w:t>
      </w:r>
      <w:r>
        <w:t xml:space="preserve"> </w:t>
      </w:r>
      <w:r>
        <w:t xml:space="preserve">2020</w:t>
      </w:r>
      <w:r>
        <w:t xml:space="preserve"> </w:t>
      </w:r>
      <w:r>
        <w:t xml:space="preserve">France</w:t>
      </w:r>
      <w:r>
        <w:t xml:space="preserve"> </w:t>
      </w:r>
      <w:r>
        <w:t xml:space="preserve">368.6</w:t>
      </w:r>
      <w:r>
        <w:t xml:space="preserve"> </w:t>
      </w:r>
      <w:r>
        <w:t xml:space="preserve">5.9%</w:t>
      </w:r>
      <w:r>
        <w:t xml:space="preserve"> </w:t>
      </w:r>
      <w:r>
        <w:t xml:space="preserve">2020</w:t>
      </w:r>
      <w:r>
        <w:t xml:space="preserve"> </w:t>
      </w:r>
      <w:r>
        <w:t xml:space="preserve">Poland</w:t>
      </w:r>
      <w:r>
        <w:t xml:space="preserve"> </w:t>
      </w:r>
      <w:r>
        <w:t xml:space="preserve">269.4</w:t>
      </w:r>
      <w:r>
        <w:t xml:space="preserve"> </w:t>
      </w:r>
      <w:r>
        <w:t xml:space="preserve">4.3%</w:t>
      </w:r>
      <w:r>
        <w:t xml:space="preserve"> </w:t>
      </w:r>
      <w:r>
        <w:t xml:space="preserve">2020</w:t>
      </w:r>
      <w:r>
        <w:t xml:space="preserve"> </w:t>
      </w:r>
      <w:r>
        <w:t xml:space="preserve">Hungary</w:t>
      </w:r>
      <w:r>
        <w:t xml:space="preserve"> </w:t>
      </w:r>
      <w:r>
        <w:t xml:space="preserve">191.2</w:t>
      </w:r>
      <w:r>
        <w:t xml:space="preserve"> </w:t>
      </w:r>
      <w:r>
        <w:t xml:space="preserve">3.1%</w:t>
      </w:r>
      <w:r>
        <w:t xml:space="preserve"> </w:t>
      </w:r>
      <w:r>
        <w:t xml:space="preserve">2020</w:t>
      </w:r>
      <w:r>
        <w:t xml:space="preserve"> </w:t>
      </w:r>
      <w:r>
        <w:t xml:space="preserve">Bulgaria</w:t>
      </w:r>
      <w:r>
        <w:t xml:space="preserve"> </w:t>
      </w:r>
      <w:r>
        <w:t xml:space="preserve">175.6</w:t>
      </w:r>
      <w:r>
        <w:t xml:space="preserve"> </w:t>
      </w:r>
      <w:r>
        <w:t xml:space="preserve">2.8%</w:t>
      </w:r>
      <w:r>
        <w:t xml:space="preserve"> </w:t>
      </w:r>
      <w:r>
        <w:t xml:space="preserve">2020</w:t>
      </w:r>
      <w:r>
        <w:t xml:space="preserve"> </w:t>
      </w:r>
      <w:r>
        <w:t xml:space="preserve">Belgium</w:t>
      </w:r>
      <w:r>
        <w:t xml:space="preserve"> </w:t>
      </w:r>
      <w:r>
        <w:t xml:space="preserve">130.5</w:t>
      </w:r>
      <w:r>
        <w:t xml:space="preserve"> </w:t>
      </w:r>
      <w:r>
        <w:t xml:space="preserve">2.1%</w:t>
      </w:r>
      <w:r>
        <w:t xml:space="preserve"> </w:t>
      </w:r>
      <w:r>
        <w:t xml:space="preserve">2020</w:t>
      </w:r>
      <w:r>
        <w:t xml:space="preserve"> </w:t>
      </w:r>
      <w:r>
        <w:t xml:space="preserve">Others</w:t>
      </w:r>
      <w:r>
        <w:t xml:space="preserve"> </w:t>
      </w:r>
      <w:r>
        <w:t xml:space="preserve">234</w:t>
      </w:r>
      <w:r>
        <w:t xml:space="preserve"> </w:t>
      </w:r>
      <w:r>
        <w:t xml:space="preserve">3.8%</w:t>
      </w:r>
      <w:r>
        <w:t xml:space="preserve"> </w:t>
      </w:r>
      <w:r>
        <w:t xml:space="preserve">2020</w:t>
      </w:r>
      <w:r>
        <w:t xml:space="preserve"> </w:t>
      </w:r>
      <w:r>
        <w:t xml:space="preserve">EU-27 + EEA /</w:t>
      </w:r>
      <w:r>
        <w:t xml:space="preserve"> </w:t>
      </w:r>
      <w:r>
        <w:t xml:space="preserve">EFTA</w:t>
      </w:r>
      <w:r>
        <w:t xml:space="preserve"> </w:t>
      </w:r>
      <w:r>
        <w:t xml:space="preserve">6,229</w:t>
      </w:r>
      <w:r>
        <w:t xml:space="preserve"> </w:t>
      </w:r>
      <w:r>
        <w:t xml:space="preserve">100%</w:t>
      </w:r>
      <w:r>
        <w:t xml:space="preserve"> </w:t>
      </w:r>
      <w:r>
        <w:t xml:space="preserve">2020</w:t>
      </w:r>
      <w:r>
        <w:t xml:space="preserve"> </w:t>
      </w:r>
      <w:r>
        <w:t xml:space="preserve">Source: Eurostat SBS covering 23 countries. p – all available data from 2020 is</w:t>
      </w:r>
      <w:r>
        <w:t xml:space="preserve"> </w:t>
      </w:r>
      <w:r>
        <w:t xml:space="preserve">provisional.</w:t>
      </w:r>
      <w:r>
        <w:t xml:space="preserve"> </w:t>
      </w:r>
      <w:r>
        <w:t xml:space="preserve">The biggest toys’ producer in Europe is Germany, which generates approximately 40% of</w:t>
      </w:r>
      <w:r>
        <w:t xml:space="preserve"> </w:t>
      </w:r>
      <w:r>
        <w:t xml:space="preserve">total EU production value. The value generated by Germany is close to three times as large</w:t>
      </w:r>
      <w:r>
        <w:t xml:space="preserve"> </w:t>
      </w:r>
      <w:r>
        <w:t xml:space="preserve">as that reached by the second largest manufacturing Member State in the EU – Czechia –</w:t>
      </w:r>
      <w:r>
        <w:t xml:space="preserve"> </w:t>
      </w:r>
      <w:r>
        <w:t xml:space="preserve">and four times as big as the production value generated by Italy in third place. The next</w:t>
      </w:r>
      <w:r>
        <w:t xml:space="preserve"> </w:t>
      </w:r>
      <w:r>
        <w:t xml:space="preserve">best performers in terms of production value are Spain, Austria, and France.</w:t>
      </w:r>
      <w:r>
        <w:t xml:space="preserve"> </w:t>
      </w:r>
      <w:r>
        <w:t xml:space="preserve">The data for the 2016-2020 period for the ten highest performing countries indicates that</w:t>
      </w:r>
      <w:r>
        <w:t xml:space="preserve"> </w:t>
      </w:r>
      <w:r>
        <w:t xml:space="preserve">only four countries have experienced overall increases in the production value of the toy</w:t>
      </w:r>
      <w:r>
        <w:t xml:space="preserve"> </w:t>
      </w:r>
      <w:r>
        <w:t xml:space="preserve">manufacturing industry over that period. The biggest increase was witnessed in Poland,</w:t>
      </w:r>
      <w:r>
        <w:t xml:space="preserve"> </w:t>
      </w:r>
      <w:r>
        <w:t xml:space="preserve">where the production value of the industry rose by 36% from 2016 to 2020, followed by</w:t>
      </w:r>
      <w:r>
        <w:t xml:space="preserve"> </w:t>
      </w:r>
      <w:r>
        <w:t xml:space="preserve">Hungary (17% increase), Czechia (5%) and Belgium (2%). These four Member States are</w:t>
      </w:r>
      <w:r>
        <w:t xml:space="preserve"> </w:t>
      </w:r>
      <w:r>
        <w:t xml:space="preserve">also the only countries from this group that did not experience a reduction of production</w:t>
      </w:r>
      <w:r>
        <w:t xml:space="preserve"> </w:t>
      </w:r>
      <w:r>
        <w:t xml:space="preserve">value in 2020.</w:t>
      </w:r>
    </w:p>
    <w:p>
      <w:pPr>
        <w:pStyle w:val="BodyText"/>
      </w:pPr>
      <w:r>
        <w:t xml:space="preserve">242 Data is missing in Eurostat for the following countries and years: DK, IE, LU, MT, NL, LI (2016-2020);</w:t>
      </w:r>
      <w:r>
        <w:t xml:space="preserve"> </w:t>
      </w:r>
      <w:r>
        <w:t xml:space="preserve">EE (2018-2019); HR (2016); CY (2016-2017); IS (2019-2020); NO (2018); and CH (2016, 2018-2020). As</w:t>
      </w:r>
      <w:r>
        <w:t xml:space="preserve"> </w:t>
      </w:r>
      <w:r>
        <w:t xml:space="preserve">such, the number of countries covered by the data per year are as follows: 2016 (22); 2017 (24); 2018-2019</w:t>
      </w:r>
      <w:r>
        <w:t xml:space="preserve"> </w:t>
      </w:r>
      <w:r>
        <w:t xml:space="preserve">(22); 2020 (23). Furthermore, all available 2020 data is marked as provisional by Eurostat.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115</w:t>
      </w:r>
      <w:r>
        <w:t xml:space="preserve"> </w:t>
      </w:r>
      <w:r>
        <w:t xml:space="preserve">EN</w:t>
      </w:r>
      <w:r>
        <w:t xml:space="preserve"> </w:t>
      </w:r>
      <w:r>
        <w:t xml:space="preserve">In the remaining six countries, an overall decrease in production value was experienced</w:t>
      </w:r>
      <w:r>
        <w:t xml:space="preserve"> </w:t>
      </w:r>
      <w:r>
        <w:t xml:space="preserve">from 2016-2020. The biggest proportional decrease was witnessed in Austria, where</w:t>
      </w:r>
      <w:r>
        <w:t xml:space="preserve"> </w:t>
      </w:r>
      <w:r>
        <w:t xml:space="preserve">production value dropped by around 25% (EUR 129.8 million). In absolute terms,</w:t>
      </w:r>
      <w:r>
        <w:t xml:space="preserve"> </w:t>
      </w:r>
      <w:r>
        <w:t xml:space="preserve">Germany experienced the largest decrease, by EUR 261.9 million (around 10% of 2016</w:t>
      </w:r>
      <w:r>
        <w:t xml:space="preserve"> </w:t>
      </w:r>
      <w:r>
        <w:t xml:space="preserve">production value).</w:t>
      </w:r>
      <w:r>
        <w:br/>
      </w:r>
      <w:r>
        <w:t xml:space="preserve">However, there is more nuance within these overarching figures, primarily driven by</w:t>
      </w:r>
      <w:r>
        <w:t xml:space="preserve"> </w:t>
      </w:r>
      <w:r>
        <w:t xml:space="preserve">national responses to the COVID-19 pandemic. This is illustrated by the following</w:t>
      </w:r>
      <w:r>
        <w:t xml:space="preserve"> </w:t>
      </w:r>
      <w:r>
        <w:t xml:space="preserve">findings:</w:t>
      </w:r>
      <w:r>
        <w:t xml:space="preserve"> </w:t>
      </w:r>
      <w:r>
        <w:t xml:space="preserve"> In each year from 2016-2019, at least six of the ten highest performing countries</w:t>
      </w:r>
      <w:r>
        <w:t xml:space="preserve"> </w:t>
      </w:r>
      <w:r>
        <w:t xml:space="preserve">reported increased production value compared to the previous year.</w:t>
      </w:r>
      <w:r>
        <w:t xml:space="preserve"> </w:t>
      </w:r>
      <w:r>
        <w:t xml:space="preserve"> Seven of the ten highest performing countries reported higher production value in</w:t>
      </w:r>
      <w:r>
        <w:t xml:space="preserve"> </w:t>
      </w:r>
      <w:r>
        <w:t xml:space="preserve">2019 than 2016, with increases of 33% (BG), 31% (DE) and 23% (PL).</w:t>
      </w:r>
      <w:r>
        <w:t xml:space="preserve"> </w:t>
      </w:r>
      <w:r>
        <w:t xml:space="preserve">Contrastingly, from 2019 to 2020, six of these countries reported decreases in production</w:t>
      </w:r>
      <w:r>
        <w:t xml:space="preserve"> </w:t>
      </w:r>
      <w:r>
        <w:t xml:space="preserve">value. These decreases vary significantly from limited reductions of around 2% in France</w:t>
      </w:r>
      <w:r>
        <w:t xml:space="preserve"> </w:t>
      </w:r>
      <w:r>
        <w:t xml:space="preserve">and Italy to more extensive contractions of around 40% in Bulgaria, 31% in Germany, and</w:t>
      </w:r>
      <w:r>
        <w:t xml:space="preserve"> </w:t>
      </w:r>
      <w:r>
        <w:t xml:space="preserve">20% in Austria. In total, across all 23 countries where data is available, only eight</w:t>
      </w:r>
      <w:r>
        <w:t xml:space="preserve"> </w:t>
      </w:r>
      <w:r>
        <w:t xml:space="preserve">experienced an increase in production value from 2019 to 2020, while total production</w:t>
      </w:r>
      <w:r>
        <w:t xml:space="preserve"> </w:t>
      </w:r>
      <w:r>
        <w:t xml:space="preserve">value across these countries declined by around 19%.</w:t>
      </w:r>
      <w:r>
        <w:t xml:space="preserve"> </w:t>
      </w:r>
      <w:r>
        <w:t xml:space="preserve">Regarding the number of workers employed in toy manufacturing, the sector employed</w:t>
      </w:r>
      <w:r>
        <w:t xml:space="preserve"> </w:t>
      </w:r>
      <w:r>
        <w:t xml:space="preserve">approximately 55,150 persons in 2019, rising from around 48,946 in 2016; however, this</w:t>
      </w:r>
      <w:r>
        <w:t xml:space="preserve"> </w:t>
      </w:r>
      <w:r>
        <w:t xml:space="preserve">figure is anticipated to have dropped under 50,000 for 2020. As for the data on number of</w:t>
      </w:r>
      <w:r>
        <w:t xml:space="preserve"> </w:t>
      </w:r>
      <w:r>
        <w:t xml:space="preserve">enterprises, the data shows positive progression in the number of employees in the sector</w:t>
      </w:r>
      <w:r>
        <w:t xml:space="preserve"> </w:t>
      </w:r>
      <w:r>
        <w:t xml:space="preserve">from 2016-2019, with a decrease in 2020. This is illustrated in the following table:</w:t>
      </w:r>
      <w:r>
        <w:t xml:space="preserve"> </w:t>
      </w:r>
      <w:r>
        <w:t xml:space="preserve">Table 14: Number of persons employed in the European toys industry</w:t>
      </w:r>
      <w:r>
        <w:t xml:space="preserve"> </w:t>
      </w:r>
      <w:r>
        <w:t xml:space="preserve">Year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br/>
      </w:r>
      <w:r>
        <w:t xml:space="preserve">2020 (p)</w:t>
      </w:r>
      <w:r>
        <w:t xml:space="preserve"> </w:t>
      </w:r>
      <w:r>
        <w:t xml:space="preserve">EU-27 + EEA / EFTA</w:t>
      </w:r>
      <w:r>
        <w:t xml:space="preserve"> </w:t>
      </w:r>
      <w:r>
        <w:t xml:space="preserve">(e)</w:t>
      </w:r>
      <w:r>
        <w:t xml:space="preserve"> </w:t>
      </w:r>
      <w:r>
        <w:t xml:space="preserve">48,946</w:t>
      </w:r>
      <w:r>
        <w:t xml:space="preserve"> </w:t>
      </w:r>
      <w:r>
        <w:t xml:space="preserve">49,340</w:t>
      </w:r>
      <w:r>
        <w:t xml:space="preserve"> </w:t>
      </w:r>
      <w:r>
        <w:t xml:space="preserve">53,206</w:t>
      </w:r>
      <w:r>
        <w:t xml:space="preserve"> </w:t>
      </w:r>
      <w:r>
        <w:t xml:space="preserve">55,150</w:t>
      </w:r>
      <w:r>
        <w:t xml:space="preserve"> </w:t>
      </w:r>
      <w:r>
        <w:t xml:space="preserve">49,652</w:t>
      </w:r>
      <w:r>
        <w:t xml:space="preserve"> </w:t>
      </w:r>
      <w:r>
        <w:t xml:space="preserve">Source: Eurostat SBS. e – data estimate; p – provisional data243</w:t>
      </w:r>
      <w:r>
        <w:t xml:space="preserve"> </w:t>
      </w:r>
      <w:r>
        <w:t xml:space="preserve">As was the case for data on other variables presented earlier, the data on workers employed</w:t>
      </w:r>
      <w:r>
        <w:t xml:space="preserve"> </w:t>
      </w:r>
      <w:r>
        <w:t xml:space="preserve">is not complete across the EU-27 and EEA / EFTA countries.244 The available data</w:t>
      </w:r>
      <w:r>
        <w:t xml:space="preserve"> </w:t>
      </w:r>
      <w:r>
        <w:t xml:space="preserve">indicates approximately 13% increase in the number of employees working in the EU toys’</w:t>
      </w:r>
      <w:r>
        <w:t xml:space="preserve"> </w:t>
      </w:r>
      <w:r>
        <w:t xml:space="preserve">manufacturing sector between 2016 and 2019. This was followed by an estimated 10%</w:t>
      </w:r>
      <w:r>
        <w:t xml:space="preserve"> </w:t>
      </w:r>
      <w:r>
        <w:t xml:space="preserve">decrease from 2019 to 2020.</w:t>
      </w:r>
      <w:r>
        <w:t xml:space="preserve"> </w:t>
      </w:r>
      <w:r>
        <w:t xml:space="preserve">The EU countries where the biggest shares of those persons employed in toy manufacturing</w:t>
      </w:r>
      <w:r>
        <w:t xml:space="preserve"> </w:t>
      </w:r>
      <w:r>
        <w:t xml:space="preserve">have been presented in the table below:</w:t>
      </w:r>
    </w:p>
    <w:p>
      <w:pPr>
        <w:pStyle w:val="BodyText"/>
      </w:pPr>
      <w:r>
        <w:t xml:space="preserve">243 Data is missing in Eurostat for the following countries and years: DK, IE, LU, MT, LI (2016-2020); EE</w:t>
      </w:r>
      <w:r>
        <w:t xml:space="preserve"> </w:t>
      </w:r>
      <w:r>
        <w:t xml:space="preserve">(2018-2019); FR (2020); CY (2016-2017); IS (2019-2020); and CH (2019-2020). However, data imputations</w:t>
      </w:r>
      <w:r>
        <w:t xml:space="preserve"> </w:t>
      </w:r>
      <w:r>
        <w:t xml:space="preserve">have been developed for FR in 2020, and IS / CH in 2019 and 2020. As such, the number of countries covered</w:t>
      </w:r>
      <w:r>
        <w:t xml:space="preserve"> </w:t>
      </w:r>
      <w:r>
        <w:t xml:space="preserve">by the data per year are as follows: 2016-2019 (25); and 2020 (26). All available 2020 data is marked as</w:t>
      </w:r>
      <w:r>
        <w:t xml:space="preserve"> </w:t>
      </w:r>
      <w:r>
        <w:t xml:space="preserve">provisional by Eurostat. Furthermore, Eurostat provides overall figures for the EU-27 in the years 2017-</w:t>
      </w:r>
      <w:r>
        <w:t xml:space="preserve"> </w:t>
      </w:r>
      <w:r>
        <w:t xml:space="preserve">2019; however, to provide comparability with data for 2016 and 2020, we have presented our estimated</w:t>
      </w:r>
      <w:r>
        <w:br/>
      </w:r>
      <w:r>
        <w:t xml:space="preserve">244 There are no national datasets on no. of workers employed for DK, IE, LU, MT, LI. Data is missing for</w:t>
      </w:r>
      <w:r>
        <w:t xml:space="preserve"> </w:t>
      </w:r>
      <w:r>
        <w:t xml:space="preserve">2 years / 5 years for CY and CH. However, unlike for the turnover data, data exists for major producer</w:t>
      </w:r>
      <w:r>
        <w:t xml:space="preserve"> </w:t>
      </w:r>
      <w:r>
        <w:t xml:space="preserve">countries, such as NL.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116</w:t>
      </w:r>
      <w:r>
        <w:t xml:space="preserve"> </w:t>
      </w:r>
      <w:r>
        <w:t xml:space="preserve">EN</w:t>
      </w:r>
      <w:r>
        <w:t xml:space="preserve"> </w:t>
      </w:r>
      <w:r>
        <w:t xml:space="preserve">Table 15: Leading European countries by number of employees</w:t>
      </w:r>
      <w:r>
        <w:t xml:space="preserve"> </w:t>
      </w:r>
      <w:r>
        <w:t xml:space="preserve">Member State</w:t>
      </w:r>
      <w:r>
        <w:t xml:space="preserve"> </w:t>
      </w:r>
      <w:r>
        <w:t xml:space="preserve">Number</w:t>
      </w:r>
      <w:r>
        <w:t xml:space="preserve"> </w:t>
      </w:r>
      <w:r>
        <w:t xml:space="preserve">%</w:t>
      </w:r>
      <w:r>
        <w:t xml:space="preserve"> </w:t>
      </w:r>
      <w:r>
        <w:t xml:space="preserve">Reference</w:t>
      </w:r>
      <w:r>
        <w:t xml:space="preserve"> </w:t>
      </w:r>
      <w:r>
        <w:t xml:space="preserve">year</w:t>
      </w:r>
      <w:r>
        <w:t xml:space="preserve"> </w:t>
      </w:r>
      <w:r>
        <w:t xml:space="preserve">(p)</w:t>
      </w:r>
      <w:r>
        <w:t xml:space="preserve"> </w:t>
      </w:r>
      <w:r>
        <w:t xml:space="preserve">Germany</w:t>
      </w:r>
      <w:r>
        <w:t xml:space="preserve"> </w:t>
      </w:r>
      <w:r>
        <w:t xml:space="preserve">13,353</w:t>
      </w:r>
      <w:r>
        <w:t xml:space="preserve"> </w:t>
      </w:r>
      <w:r>
        <w:t xml:space="preserve">26.9%</w:t>
      </w:r>
      <w:r>
        <w:t xml:space="preserve"> </w:t>
      </w:r>
      <w:r>
        <w:t xml:space="preserve">2020</w:t>
      </w:r>
      <w:r>
        <w:t xml:space="preserve"> </w:t>
      </w:r>
      <w:r>
        <w:t xml:space="preserve">Czechia</w:t>
      </w:r>
      <w:r>
        <w:t xml:space="preserve"> </w:t>
      </w:r>
      <w:r>
        <w:t xml:space="preserve">7,308</w:t>
      </w:r>
      <w:r>
        <w:t xml:space="preserve"> </w:t>
      </w:r>
      <w:r>
        <w:t xml:space="preserve">14.7%</w:t>
      </w:r>
      <w:r>
        <w:t xml:space="preserve"> </w:t>
      </w:r>
      <w:r>
        <w:t xml:space="preserve">2020</w:t>
      </w:r>
      <w:r>
        <w:t xml:space="preserve"> </w:t>
      </w:r>
      <w:r>
        <w:t xml:space="preserve">Poland</w:t>
      </w:r>
      <w:r>
        <w:t xml:space="preserve"> </w:t>
      </w:r>
      <w:r>
        <w:t xml:space="preserve">4,785</w:t>
      </w:r>
      <w:r>
        <w:t xml:space="preserve"> </w:t>
      </w:r>
      <w:r>
        <w:t xml:space="preserve">9.6%</w:t>
      </w:r>
      <w:r>
        <w:t xml:space="preserve"> </w:t>
      </w:r>
      <w:r>
        <w:t xml:space="preserve">2020</w:t>
      </w:r>
      <w:r>
        <w:t xml:space="preserve"> </w:t>
      </w:r>
      <w:r>
        <w:t xml:space="preserve">Hungary</w:t>
      </w:r>
      <w:r>
        <w:t xml:space="preserve"> </w:t>
      </w:r>
      <w:r>
        <w:t xml:space="preserve">4,088</w:t>
      </w:r>
      <w:r>
        <w:t xml:space="preserve"> </w:t>
      </w:r>
      <w:r>
        <w:t xml:space="preserve">8.2%</w:t>
      </w:r>
      <w:r>
        <w:t xml:space="preserve"> </w:t>
      </w:r>
      <w:r>
        <w:t xml:space="preserve">2020</w:t>
      </w:r>
      <w:r>
        <w:t xml:space="preserve"> </w:t>
      </w:r>
      <w:r>
        <w:t xml:space="preserve">Spain</w:t>
      </w:r>
      <w:r>
        <w:t xml:space="preserve"> </w:t>
      </w:r>
      <w:r>
        <w:t xml:space="preserve">3,397</w:t>
      </w:r>
      <w:r>
        <w:t xml:space="preserve"> </w:t>
      </w:r>
      <w:r>
        <w:t xml:space="preserve">6.8%</w:t>
      </w:r>
      <w:r>
        <w:t xml:space="preserve"> </w:t>
      </w:r>
      <w:r>
        <w:t xml:space="preserve">2020</w:t>
      </w:r>
      <w:r>
        <w:t xml:space="preserve"> </w:t>
      </w:r>
      <w:r>
        <w:t xml:space="preserve">Bulgaria</w:t>
      </w:r>
      <w:r>
        <w:t xml:space="preserve"> </w:t>
      </w:r>
      <w:r>
        <w:t xml:space="preserve">2,886</w:t>
      </w:r>
      <w:r>
        <w:t xml:space="preserve"> </w:t>
      </w:r>
      <w:r>
        <w:t xml:space="preserve">5.8%</w:t>
      </w:r>
      <w:r>
        <w:t xml:space="preserve"> </w:t>
      </w:r>
      <w:r>
        <w:t xml:space="preserve">2020</w:t>
      </w:r>
      <w:r>
        <w:t xml:space="preserve"> </w:t>
      </w:r>
      <w:r>
        <w:t xml:space="preserve">France</w:t>
      </w:r>
      <w:r>
        <w:t xml:space="preserve"> </w:t>
      </w:r>
      <w:r>
        <w:t xml:space="preserve">2,758</w:t>
      </w:r>
      <w:r>
        <w:t xml:space="preserve"> </w:t>
      </w:r>
      <w:r>
        <w:t xml:space="preserve">5.6%</w:t>
      </w:r>
      <w:r>
        <w:t xml:space="preserve"> </w:t>
      </w:r>
      <w:r>
        <w:t xml:space="preserve">2020 (e)</w:t>
      </w:r>
      <w:r>
        <w:t xml:space="preserve"> </w:t>
      </w:r>
      <w:r>
        <w:t xml:space="preserve">Italy</w:t>
      </w:r>
      <w:r>
        <w:t xml:space="preserve"> </w:t>
      </w:r>
      <w:r>
        <w:t xml:space="preserve">2,358</w:t>
      </w:r>
      <w:r>
        <w:t xml:space="preserve"> </w:t>
      </w:r>
      <w:r>
        <w:t xml:space="preserve">4.7%</w:t>
      </w:r>
      <w:r>
        <w:t xml:space="preserve"> </w:t>
      </w:r>
      <w:r>
        <w:t xml:space="preserve">2020</w:t>
      </w:r>
      <w:r>
        <w:t xml:space="preserve"> </w:t>
      </w:r>
      <w:r>
        <w:t xml:space="preserve">Austria</w:t>
      </w:r>
      <w:r>
        <w:t xml:space="preserve"> </w:t>
      </w:r>
      <w:r>
        <w:t xml:space="preserve">2,218</w:t>
      </w:r>
      <w:r>
        <w:t xml:space="preserve"> </w:t>
      </w:r>
      <w:r>
        <w:t xml:space="preserve">4.5%</w:t>
      </w:r>
      <w:r>
        <w:t xml:space="preserve"> </w:t>
      </w:r>
      <w:r>
        <w:t xml:space="preserve">2020</w:t>
      </w:r>
      <w:r>
        <w:t xml:space="preserve"> </w:t>
      </w:r>
      <w:r>
        <w:t xml:space="preserve">Romania</w:t>
      </w:r>
      <w:r>
        <w:t xml:space="preserve"> </w:t>
      </w:r>
      <w:r>
        <w:t xml:space="preserve">1,642</w:t>
      </w:r>
      <w:r>
        <w:t xml:space="preserve"> </w:t>
      </w:r>
      <w:r>
        <w:t xml:space="preserve">3.3%</w:t>
      </w:r>
      <w:r>
        <w:t xml:space="preserve"> </w:t>
      </w:r>
      <w:r>
        <w:t xml:space="preserve">2020</w:t>
      </w:r>
      <w:r>
        <w:t xml:space="preserve"> </w:t>
      </w:r>
      <w:r>
        <w:t xml:space="preserve">Others</w:t>
      </w:r>
      <w:r>
        <w:t xml:space="preserve"> </w:t>
      </w:r>
      <w:r>
        <w:t xml:space="preserve">4,859</w:t>
      </w:r>
      <w:r>
        <w:t xml:space="preserve"> </w:t>
      </w:r>
      <w:r>
        <w:t xml:space="preserve">9.8%</w:t>
      </w:r>
      <w:r>
        <w:t xml:space="preserve"> </w:t>
      </w:r>
      <w:r>
        <w:t xml:space="preserve">2020</w:t>
      </w:r>
      <w:r>
        <w:t xml:space="preserve"> </w:t>
      </w:r>
      <w:r>
        <w:t xml:space="preserve">EU-27 + EEA / EFTA</w:t>
      </w:r>
      <w:r>
        <w:t xml:space="preserve"> </w:t>
      </w:r>
      <w:r>
        <w:t xml:space="preserve">49,652</w:t>
      </w:r>
      <w:r>
        <w:t xml:space="preserve"> </w:t>
      </w:r>
      <w:r>
        <w:t xml:space="preserve">100%</w:t>
      </w:r>
      <w:r>
        <w:t xml:space="preserve"> </w:t>
      </w:r>
      <w:r>
        <w:t xml:space="preserve">2020 (e)</w:t>
      </w:r>
      <w:r>
        <w:t xml:space="preserve"> </w:t>
      </w:r>
      <w:r>
        <w:t xml:space="preserve">Source: Eurostat SBS. e – data estimate; p – provisional data</w:t>
      </w:r>
      <w:r>
        <w:t xml:space="preserve"> </w:t>
      </w:r>
      <w:r>
        <w:t xml:space="preserve">The largest number of employees in the European toy manufacturing industry is found in</w:t>
      </w:r>
      <w:r>
        <w:t xml:space="preserve"> </w:t>
      </w:r>
      <w:r>
        <w:t xml:space="preserve">Germany, covering just over one quarter of all workers. The next biggest EU employment</w:t>
      </w:r>
      <w:r>
        <w:t xml:space="preserve"> </w:t>
      </w:r>
      <w:r>
        <w:t xml:space="preserve">markets in the context of toys manufacturing are Czechia (around 15% of employees),</w:t>
      </w:r>
      <w:r>
        <w:t xml:space="preserve"> </w:t>
      </w:r>
      <w:r>
        <w:t xml:space="preserve">Poland (~10%), Hungary (~8%), Spain (~7%), Bulgaria, and France (~6%). Together,</w:t>
      </w:r>
      <w:r>
        <w:t xml:space="preserve"> </w:t>
      </w:r>
      <w:r>
        <w:t xml:space="preserve">these 10 Member States account for 90.2% of total persons employed in the toy</w:t>
      </w:r>
      <w:r>
        <w:t xml:space="preserve"> </w:t>
      </w:r>
      <w:r>
        <w:t xml:space="preserve">manufacturing industry in the EU-27 plus EEA / EFTA countries.</w:t>
      </w:r>
      <w:r>
        <w:t xml:space="preserve"> </w:t>
      </w:r>
      <w:r>
        <w:t xml:space="preserve">A comparison of the number of toy manufacturing enterprises with the number of people</w:t>
      </w:r>
      <w:r>
        <w:t xml:space="preserve"> </w:t>
      </w:r>
      <w:r>
        <w:t xml:space="preserve">employed in the industry indicates that the average number of employees per enterprise</w:t>
      </w:r>
      <w:r>
        <w:t xml:space="preserve"> </w:t>
      </w:r>
      <w:r>
        <w:t xml:space="preserve">varies significantly across the EU. In Bulgaria, where this rate is the highest, there are, on</w:t>
      </w:r>
      <w:r>
        <w:t xml:space="preserve"> </w:t>
      </w:r>
      <w:r>
        <w:t xml:space="preserve">average, around 56 people employed per enterprise. Austria averages 24 people, while</w:t>
      </w:r>
      <w:r>
        <w:t xml:space="preserve"> </w:t>
      </w:r>
      <w:r>
        <w:t xml:space="preserve">Germany (~20), Hungary (~17) and Switzerland (~16) all employ more than 15 people per</w:t>
      </w:r>
      <w:r>
        <w:t xml:space="preserve"> </w:t>
      </w:r>
      <w:r>
        <w:t xml:space="preserve">enterprise. Czechia (~14), Slovenia (~13) and Cyprus (~10) all report an average of 10 or</w:t>
      </w:r>
      <w:r>
        <w:t xml:space="preserve"> </w:t>
      </w:r>
      <w:r>
        <w:t xml:space="preserve">more employees per enterprise, while the remaining 18 countries for which comparable</w:t>
      </w:r>
      <w:r>
        <w:t xml:space="preserve"> </w:t>
      </w:r>
      <w:r>
        <w:t xml:space="preserve">data is available employ between 0.8 and 8.3 people per enterprise.</w:t>
      </w:r>
      <w:r>
        <w:t xml:space="preserve"> </w:t>
      </w:r>
      <w:r>
        <w:t xml:space="preserve">Interestingly, Poland and France, two of the highest performing countries in terms of the</w:t>
      </w:r>
      <w:r>
        <w:t xml:space="preserve"> </w:t>
      </w:r>
      <w:r>
        <w:t xml:space="preserve">number of toy manufacturing firms, turnover and production value, as well as the</w:t>
      </w:r>
      <w:r>
        <w:t xml:space="preserve"> </w:t>
      </w:r>
      <w:r>
        <w:t xml:space="preserve">Netherlands, which has the fourth highest number of toy manufacturing enterprises, have</w:t>
      </w:r>
      <w:r>
        <w:t xml:space="preserve"> </w:t>
      </w:r>
      <w:r>
        <w:t xml:space="preserve">low enterprise to employee ratios. Poland has around 5 employees per firm, while France</w:t>
      </w:r>
      <w:r>
        <w:t xml:space="preserve"> </w:t>
      </w:r>
      <w:r>
        <w:t xml:space="preserve">and the Netherlands have an average of 3.3 and 1.3 employees per enterprise, respectively.</w:t>
      </w:r>
      <w:r>
        <w:t xml:space="preserve"> </w:t>
      </w:r>
      <w:r>
        <w:t xml:space="preserve">This suggests that, in these countries, small and micro-enterprises may play a more</w:t>
      </w:r>
      <w:r>
        <w:t xml:space="preserve"> </w:t>
      </w:r>
      <w:r>
        <w:t xml:space="preserve">important role in the toy sector.</w:t>
      </w:r>
      <w:r>
        <w:t xml:space="preserve"> </w:t>
      </w:r>
      <w:r>
        <w:t xml:space="preserve">In common with the comparison of the number of enterprises operating in a given Member</w:t>
      </w:r>
      <w:r>
        <w:t xml:space="preserve"> </w:t>
      </w:r>
      <w:r>
        <w:t xml:space="preserve">State and the overall turnover, this analysis points to the fact that the characteristics of the</w:t>
      </w:r>
      <w:r>
        <w:t xml:space="preserve"> </w:t>
      </w:r>
      <w:r>
        <w:t xml:space="preserve">local toy manufacturing sector vary significantly across the European market, with some</w:t>
      </w:r>
      <w:r>
        <w:t xml:space="preserve"> </w:t>
      </w:r>
      <w:r>
        <w:t xml:space="preserve">hosting significant numbers of micro and small enterprises, compared with others where</w:t>
      </w:r>
      <w:r>
        <w:t xml:space="preserve"> </w:t>
      </w:r>
      <w:r>
        <w:t xml:space="preserve">there are more medium and large-sized businesses (e.g. CZ, BG).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117</w:t>
      </w:r>
      <w:r>
        <w:t xml:space="preserve"> </w:t>
      </w:r>
      <w:r>
        <w:t xml:space="preserve">EN</w:t>
      </w:r>
      <w:r>
        <w:t xml:space="preserve"> </w:t>
      </w:r>
      <w:r>
        <w:t xml:space="preserve">2. Key trends in the European toys industry</w:t>
      </w:r>
      <w:r>
        <w:t xml:space="preserve"> </w:t>
      </w:r>
      <w:r>
        <w:t xml:space="preserve">Whilst Eurostat data is more reliable regarding the overall size of the European toys</w:t>
      </w:r>
      <w:r>
        <w:t xml:space="preserve"> </w:t>
      </w:r>
      <w:r>
        <w:t xml:space="preserve">industry, it is worth complementing the analysis by reviewing available market research</w:t>
      </w:r>
      <w:r>
        <w:t xml:space="preserve"> </w:t>
      </w:r>
      <w:r>
        <w:t xml:space="preserve">reports and other literature on the industry. These provide additional estimates as to the</w:t>
      </w:r>
      <w:r>
        <w:t xml:space="preserve"> </w:t>
      </w:r>
      <w:r>
        <w:t xml:space="preserve">industry’s size, including the speed of growth of particular national markets, and share of</w:t>
      </w:r>
      <w:r>
        <w:t xml:space="preserve"> </w:t>
      </w:r>
      <w:r>
        <w:t xml:space="preserve">the market accounted for by online sales. The remainder of this section presents the</w:t>
      </w:r>
      <w:r>
        <w:t xml:space="preserve"> </w:t>
      </w:r>
      <w:r>
        <w:t xml:space="preserve">findings on these issues.</w:t>
      </w:r>
      <w:r>
        <w:t xml:space="preserve"> </w:t>
      </w:r>
      <w:r>
        <w:t xml:space="preserve">The European toy market size was estimated to be worth around EUR 20 billion in</w:t>
      </w:r>
      <w:r>
        <w:t xml:space="preserve"> </w:t>
      </w:r>
      <w:r>
        <w:t xml:space="preserve">2020245, making it the third-biggest global market after North America and Asia. This</w:t>
      </w:r>
      <w:r>
        <w:t xml:space="preserve"> </w:t>
      </w:r>
      <w:r>
        <w:t xml:space="preserve">figure suggests the European market is significantly larger than the Eurostat data indicates.</w:t>
      </w:r>
      <w:r>
        <w:t xml:space="preserve"> </w:t>
      </w:r>
      <w:r>
        <w:t xml:space="preserve">However, the definitions used by the market research reports identified for both the toys</w:t>
      </w:r>
      <w:r>
        <w:t xml:space="preserve"> </w:t>
      </w:r>
      <w:r>
        <w:t xml:space="preserve">and the countries covered by the analysis are either unclear or differ significantly from the</w:t>
      </w:r>
      <w:r>
        <w:t xml:space="preserve"> </w:t>
      </w:r>
      <w:r>
        <w:t xml:space="preserve">Eurostat SBS data.</w:t>
      </w:r>
      <w:r>
        <w:t xml:space="preserve"> </w:t>
      </w:r>
      <w:r>
        <w:t xml:space="preserve">Within the market research report identified, the four most significant EU-27 national</w:t>
      </w:r>
      <w:r>
        <w:t xml:space="preserve"> </w:t>
      </w:r>
      <w:r>
        <w:t xml:space="preserve">markets with highest revenue from toys in 2020 were as follows:</w:t>
      </w:r>
      <w:r>
        <w:t xml:space="preserve"> </w:t>
      </w:r>
      <w:r>
        <w:t xml:space="preserve"> Germany: ~EUR 3.6 billion worth of revenue.</w:t>
      </w:r>
      <w:r>
        <w:t xml:space="preserve"> </w:t>
      </w:r>
      <w:r>
        <w:t xml:space="preserve"> France: ~EUR 3.3 billion worth of revenue.</w:t>
      </w:r>
      <w:r>
        <w:t xml:space="preserve"> </w:t>
      </w:r>
      <w:r>
        <w:t xml:space="preserve"> Italy: ~EUR 1.2 billion worth of revenue.</w:t>
      </w:r>
      <w:r>
        <w:t xml:space="preserve"> </w:t>
      </w:r>
      <w:r>
        <w:t xml:space="preserve"> Spain: ~EUR 0.9 billion worth of revenue.</w:t>
      </w:r>
      <w:r>
        <w:br/>
      </w:r>
      <w:r>
        <w:t xml:space="preserve">As for the overall sales figure, these estimates are significantly higher than the data</w:t>
      </w:r>
      <w:r>
        <w:t xml:space="preserve"> </w:t>
      </w:r>
      <w:r>
        <w:t xml:space="preserve">provided within Eurostat SBS, suggesting differences in the types of toys covered by the</w:t>
      </w:r>
      <w:r>
        <w:t xml:space="preserve"> </w:t>
      </w:r>
      <w:r>
        <w:t xml:space="preserve">datasets.</w:t>
      </w:r>
      <w:r>
        <w:t xml:space="preserve"> </w:t>
      </w:r>
      <w:r>
        <w:t xml:space="preserve">Key trends in the toys market include:</w:t>
      </w:r>
      <w:r>
        <w:br/>
      </w:r>
      <w:r>
        <w:t xml:space="preserve"> Toy production is highly concentrated, with 96.2% of production value generated</w:t>
      </w:r>
      <w:r>
        <w:t xml:space="preserve"> </w:t>
      </w:r>
      <w:r>
        <w:t xml:space="preserve">across ten countries and 88% of turnover concentrated in seven EU Member States</w:t>
      </w:r>
      <w:r>
        <w:t xml:space="preserve"> </w:t>
      </w:r>
      <w:r>
        <w:t xml:space="preserve">(see earlier table).</w:t>
      </w:r>
      <w:r>
        <w:br/>
      </w:r>
      <w:r>
        <w:t xml:space="preserve"> Around 99% of European toy companies are SMEs, employing around two thirds</w:t>
      </w:r>
      <w:r>
        <w:t xml:space="preserve"> </w:t>
      </w:r>
      <w:r>
        <w:t xml:space="preserve">of employees in the sector.246</w:t>
      </w:r>
      <w:r>
        <w:t xml:space="preserve"> </w:t>
      </w:r>
      <w:r>
        <w:t xml:space="preserve"> Online sales have grown significantly, accelerated by the global pandemic, with</w:t>
      </w:r>
      <w:r>
        <w:t xml:space="preserve"> </w:t>
      </w:r>
      <w:r>
        <w:t xml:space="preserve">one market research commentator noting that “the European toy market</w:t>
      </w:r>
      <w:r>
        <w:t xml:space="preserve"> </w:t>
      </w:r>
      <w:r>
        <w:t xml:space="preserve">aggressively moved online in all countries”247 (see sub-section below for further</w:t>
      </w:r>
      <w:r>
        <w:t xml:space="preserve"> </w:t>
      </w:r>
      <w:r>
        <w:t xml:space="preserve">information).</w:t>
      </w:r>
      <w:r>
        <w:t xml:space="preserve"> </w:t>
      </w:r>
      <w:r>
        <w:t xml:space="preserve"> Eco-friendly toys, as well as toys with digital components, are becoming</w:t>
      </w:r>
      <w:r>
        <w:t xml:space="preserve"> </w:t>
      </w:r>
      <w:r>
        <w:t xml:space="preserve">increasingly popular.</w:t>
      </w:r>
      <w:r>
        <w:t xml:space="preserve"> </w:t>
      </w:r>
      <w:r>
        <w:t xml:space="preserve"> Volume of sales reportedly decreased slightly in 2020; however, this was</w:t>
      </w:r>
      <w:r>
        <w:t xml:space="preserve"> </w:t>
      </w:r>
      <w:r>
        <w:t xml:space="preserve">accompanied by an increase in average prices.</w:t>
      </w:r>
    </w:p>
    <w:p>
      <w:pPr>
        <w:pStyle w:val="BodyText"/>
      </w:pPr>
      <w:r>
        <w:t xml:space="preserve">245 https://globaltoynews.com/2021/02/05/the-european-toy-market-2020-and-digital-trends-2021/</w:t>
      </w:r>
      <w:r>
        <w:t xml:space="preserve"> </w:t>
      </w:r>
      <w:r>
        <w:t xml:space="preserve">246 https://globaltoynews.com/2021/02/05/the-european-toy-market-2020-and-digital-trends-2021/</w:t>
      </w:r>
      <w:r>
        <w:t xml:space="preserve"> </w:t>
      </w:r>
      <w:r>
        <w:t xml:space="preserve">247 https://globaltoynews.com/2021/02/05/the-european-toy-market-2020-and-digital-trends-2021/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118</w:t>
      </w:r>
      <w:r>
        <w:t xml:space="preserve"> </w:t>
      </w:r>
      <w:r>
        <w:t xml:space="preserve">EN</w:t>
      </w:r>
      <w:r>
        <w:t xml:space="preserve"> </w:t>
      </w:r>
      <w:r>
        <w:t xml:space="preserve">3. Estimates of online sales of toys in Europe</w:t>
      </w:r>
      <w:r>
        <w:t xml:space="preserve"> </w:t>
      </w:r>
      <w:r>
        <w:t xml:space="preserve">Consumers are increasingly buying toys online instead of in retail stores. For instance,</w:t>
      </w:r>
      <w:r>
        <w:t xml:space="preserve"> </w:t>
      </w:r>
      <w:r>
        <w:t xml:space="preserve">according to a study by a market research firm, all national markets in the EU recorded</w:t>
      </w:r>
      <w:r>
        <w:t xml:space="preserve"> </w:t>
      </w:r>
      <w:r>
        <w:t xml:space="preserve">growth in online toy sales in 2020-2021. At the global level, online sales of toys were</w:t>
      </w:r>
      <w:r>
        <w:t xml:space="preserve"> </w:t>
      </w:r>
      <w:r>
        <w:t xml:space="preserve">estimated to have increased markedly, by an estimated 20%, in 2020-2021.248</w:t>
      </w:r>
      <w:r>
        <w:br/>
      </w:r>
      <w:r>
        <w:t xml:space="preserve">The main drivers of increased sales of online toys are now considered:</w:t>
      </w:r>
      <w:r>
        <w:br/>
      </w:r>
      <w:r>
        <w:t xml:space="preserve"> Digitalisation trends, including the increase in e-commerce and role of online</w:t>
      </w:r>
      <w:r>
        <w:t xml:space="preserve"> </w:t>
      </w:r>
      <w:r>
        <w:t xml:space="preserve">marketplaces. In common with other types of products, there is a general trend</w:t>
      </w:r>
      <w:r>
        <w:t xml:space="preserve"> </w:t>
      </w:r>
      <w:r>
        <w:t xml:space="preserve">towards e-commerce and click and collect away from physical stores. In the EU’s</w:t>
      </w:r>
      <w:r>
        <w:t xml:space="preserve"> </w:t>
      </w:r>
      <w:r>
        <w:t xml:space="preserve">Market Monitoring Reports, there is an increased tendency towards e-commerce</w:t>
      </w:r>
      <w:r>
        <w:t xml:space="preserve"> </w:t>
      </w:r>
      <w:r>
        <w:t xml:space="preserve">across a range of industry sectors, even in Member States where online transactions</w:t>
      </w:r>
      <w:r>
        <w:t xml:space="preserve"> </w:t>
      </w:r>
      <w:r>
        <w:t xml:space="preserve">were historically less prevalent (e.g. in some Southern European and Central and</w:t>
      </w:r>
      <w:r>
        <w:t xml:space="preserve"> </w:t>
      </w:r>
      <w:r>
        <w:t xml:space="preserve">Eastern European Member States).</w:t>
      </w:r>
      <w:r>
        <w:t xml:space="preserve"> </w:t>
      </w:r>
      <w:r>
        <w:t xml:space="preserve"> COVID-19 pandemic. As a response to the pandemic, consumers sought</w:t>
      </w:r>
      <w:r>
        <w:t xml:space="preserve"> </w:t>
      </w:r>
      <w:r>
        <w:t xml:space="preserve">alternative retail channels through which to purchase toys and the trend towards</w:t>
      </w:r>
      <w:r>
        <w:t xml:space="preserve"> </w:t>
      </w:r>
      <w:r>
        <w:t xml:space="preserve">buying toys online accelerated. For instance, in the US between January and</w:t>
      </w:r>
      <w:r>
        <w:t xml:space="preserve"> </w:t>
      </w:r>
      <w:r>
        <w:t xml:space="preserve">September 2020, online sales reportedly gained 10% share points, growing from a</w:t>
      </w:r>
      <w:r>
        <w:t xml:space="preserve"> </w:t>
      </w:r>
      <w:r>
        <w:t xml:space="preserve">23% share in 2019. This ultimately brought a 75% increase in online toy sales</w:t>
      </w:r>
      <w:r>
        <w:t xml:space="preserve"> </w:t>
      </w:r>
      <w:r>
        <w:t xml:space="preserve">overall, year-on-year. Over a similar time-period, the average 2020 traffic growth</w:t>
      </w:r>
      <w:r>
        <w:t xml:space="preserve"> </w:t>
      </w:r>
      <w:r>
        <w:t xml:space="preserve">in online shops for the EU-27 rose by 13% in the area of ‘sporting goods, toys &amp;</w:t>
      </w:r>
      <w:r>
        <w:t xml:space="preserve"> </w:t>
      </w:r>
      <w:r>
        <w:t xml:space="preserve">hobbies’ in comparison to the pre-pandemic year of 2019. Based on Eurostat data,</w:t>
      </w:r>
      <w:r>
        <w:t xml:space="preserve"> </w:t>
      </w:r>
      <w:r>
        <w:t xml:space="preserve">the authors of the European E-Commerce Report for 2021 estimated that, for the</w:t>
      </w:r>
      <w:r>
        <w:t xml:space="preserve"> </w:t>
      </w:r>
      <w:r>
        <w:t xml:space="preserve">analysed period of 3 months, online purchases comprised 17% of EU-27</w:t>
      </w:r>
      <w:r>
        <w:t xml:space="preserve"> </w:t>
      </w:r>
      <w:r>
        <w:t xml:space="preserve">purchasing of children toys and childcare items.249</w:t>
      </w:r>
      <w:r>
        <w:t xml:space="preserve"> </w:t>
      </w:r>
      <w:r>
        <w:t xml:space="preserve">There is an apparent correlation between different geographies within the EU-27 and</w:t>
      </w:r>
      <w:r>
        <w:t xml:space="preserve"> </w:t>
      </w:r>
      <w:r>
        <w:t xml:space="preserve">online sales, with a bigger e-commerce market for toys in northern European countries</w:t>
      </w:r>
      <w:r>
        <w:t xml:space="preserve"> </w:t>
      </w:r>
      <w:r>
        <w:t xml:space="preserve">(e.g. Germany, Netherlands, and the Nordic countries). During the pandemic, the same</w:t>
      </w:r>
      <w:r>
        <w:t xml:space="preserve"> </w:t>
      </w:r>
      <w:r>
        <w:t xml:space="preserve">countries also experienced the strongest increase in online revenues of around 50%.250 In</w:t>
      </w:r>
      <w:r>
        <w:t xml:space="preserve"> </w:t>
      </w:r>
      <w:r>
        <w:t xml:space="preserve">southern Europe (France, Spain, Italy, and Portugal), the online toys market is still</w:t>
      </w:r>
      <w:r>
        <w:t xml:space="preserve"> </w:t>
      </w:r>
      <w:r>
        <w:t xml:space="preserve">growing (by a reported 30-35% in 2020251), but it is smaller overall.</w:t>
      </w:r>
      <w:r>
        <w:t xml:space="preserve"> </w:t>
      </w:r>
      <w:r>
        <w:t xml:space="preserve">This mirrors the findings in EU-funded market monitoring reports on a range of product</w:t>
      </w:r>
      <w:r>
        <w:t xml:space="preserve"> </w:t>
      </w:r>
      <w:r>
        <w:t xml:space="preserve">markets, as well as consumer attitudes, where online sales are catching up in southern</w:t>
      </w:r>
      <w:r>
        <w:t xml:space="preserve"> </w:t>
      </w:r>
      <w:r>
        <w:t xml:space="preserve">Europe, but from a much lower baseline than in northern European countries.</w:t>
      </w:r>
      <w:r>
        <w:t xml:space="preserve"> </w:t>
      </w:r>
      <w:r>
        <w:t xml:space="preserve">At a general level, there has been a major shift in purchasing trends in recent years, with</w:t>
      </w:r>
      <w:r>
        <w:t xml:space="preserve"> </w:t>
      </w:r>
      <w:r>
        <w:t xml:space="preserve">consumers moving towards e-commerce in search of time-savings and lower prices.</w:t>
      </w:r>
      <w:r>
        <w:t xml:space="preserve"> </w:t>
      </w:r>
      <w:r>
        <w:t xml:space="preserve">Overall, in the several years prior to 2020, the number of European online shoppers had</w:t>
      </w:r>
      <w:r>
        <w:t xml:space="preserve"> </w:t>
      </w:r>
      <w:r>
        <w:t xml:space="preserve">risen by 85%, and it is now expected to reach around 36% of overall world trade in less</w:t>
      </w:r>
      <w:r>
        <w:t xml:space="preserve"> </w:t>
      </w:r>
      <w:r>
        <w:t xml:space="preserve">than a decade.252 According to the 2021 European E-commerce Report, between 2017 and</w:t>
      </w:r>
    </w:p>
    <w:p>
      <w:pPr>
        <w:pStyle w:val="BodyText"/>
      </w:pPr>
      <w:r>
        <w:t xml:space="preserve">248 https://www.npd.com/news/thought-leadership/2021/whats-driving-online-toy-sales/</w:t>
      </w:r>
      <w:r>
        <w:br/>
      </w:r>
      <w:r>
        <w:t xml:space="preserve">249</w:t>
      </w:r>
      <w:r>
        <w:t xml:space="preserve"> </w:t>
      </w:r>
      <w:r>
        <w:t xml:space="preserve">https://ecommerce-europe.eu/wp-content/uploads/2021/09/2021-European-E-commerce-Report-</w:t>
      </w:r>
      <w:r>
        <w:t xml:space="preserve"> </w:t>
      </w:r>
      <w:r>
        <w:t xml:space="preserve">LIGHT-VERSION.pdf</w:t>
      </w:r>
      <w:r>
        <w:t xml:space="preserve"> </w:t>
      </w:r>
      <w:r>
        <w:t xml:space="preserve">250 https://globaltoynews.com/2021/02/05/the-european-toy-market-2020-and-digital-trends-2021/</w:t>
      </w:r>
      <w:r>
        <w:t xml:space="preserve"> </w:t>
      </w:r>
      <w:r>
        <w:t xml:space="preserve">251 https://globaltoynews.com/2021/02/05/the-european-toy-market-2020-and-digital-trends-2021/</w:t>
      </w:r>
      <w:r>
        <w:t xml:space="preserve"> </w:t>
      </w:r>
      <w:r>
        <w:t xml:space="preserve">252 Bjerkan, K. Y., Bjørgen, A., Hjelkrem, O. A. (2020). E-commerce and prevalence of last mile practices,</w:t>
      </w:r>
      <w:r>
        <w:t xml:space="preserve"> </w:t>
      </w:r>
      <w:r>
        <w:t xml:space="preserve">[in:] “Transportation Research Procedia”, vol. 46, DOI: 10.1016/j.trpro.2020.03.193, p. 293.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119</w:t>
      </w:r>
      <w:r>
        <w:t xml:space="preserve"> </w:t>
      </w:r>
      <w:r>
        <w:t xml:space="preserve">EN</w:t>
      </w:r>
      <w:r>
        <w:t xml:space="preserve"> </w:t>
      </w:r>
      <w:r>
        <w:t xml:space="preserve">2021, the share of EU-27 internet users involved in e-commerce as customers rose from</w:t>
      </w:r>
      <w:r>
        <w:t xml:space="preserve"> </w:t>
      </w:r>
      <w:r>
        <w:t xml:space="preserve">65% to 75%.253 This growth pattern has been additionally reinforced by the impact of the</w:t>
      </w:r>
      <w:r>
        <w:t xml:space="preserve"> </w:t>
      </w:r>
      <w:r>
        <w:t xml:space="preserve">COVID-19 pandemic, which is expected to shift EUR 650 billion of non-food spending</w:t>
      </w:r>
      <w:r>
        <w:t xml:space="preserve"> </w:t>
      </w:r>
      <w:r>
        <w:t xml:space="preserve">towards online sales by 2025, with 20% of consumers (and 42.2% of home-working</w:t>
      </w:r>
      <w:r>
        <w:t xml:space="preserve"> </w:t>
      </w:r>
      <w:r>
        <w:t xml:space="preserve">consumers) permanently increasing the volume of online purchases in their daily habits.254</w:t>
      </w:r>
      <w:r>
        <w:br/>
      </w:r>
      <w:r>
        <w:t xml:space="preserve">The negative impact of the increasing trend in online sales in the context of the European</w:t>
      </w:r>
      <w:r>
        <w:t xml:space="preserve"> </w:t>
      </w:r>
      <w:r>
        <w:t xml:space="preserve">toy market is that online shopping enables customers not only to purchase products directly</w:t>
      </w:r>
      <w:r>
        <w:t xml:space="preserve"> </w:t>
      </w:r>
      <w:r>
        <w:t xml:space="preserve">from the websites of economic operators, but also from secondary sources, such as</w:t>
      </w:r>
      <w:r>
        <w:t xml:space="preserve"> </w:t>
      </w:r>
      <w:r>
        <w:t xml:space="preserve">Amazon, AliExpress or Alibaba. This makes it much more difficult to ensure the correct</w:t>
      </w:r>
      <w:r>
        <w:t xml:space="preserve"> </w:t>
      </w:r>
      <w:r>
        <w:t xml:space="preserve">application of the product safety requirements stipulated through EU legislation. That is,</w:t>
      </w:r>
      <w:r>
        <w:t xml:space="preserve"> </w:t>
      </w:r>
      <w:r>
        <w:t xml:space="preserve">because many of those online purchases are made internationally from markets where the</w:t>
      </w:r>
      <w:r>
        <w:t xml:space="preserve"> </w:t>
      </w:r>
      <w:r>
        <w:t xml:space="preserve">relevant, precautionary regulations are not (yet) introduced.255 However, even though</w:t>
      </w:r>
      <w:r>
        <w:t xml:space="preserve"> </w:t>
      </w:r>
      <w:r>
        <w:t xml:space="preserve">online customers are able to purchase considerably cheaper products via online shopping</w:t>
      </w:r>
      <w:r>
        <w:t xml:space="preserve"> </w:t>
      </w:r>
      <w:r>
        <w:t xml:space="preserve">platforms, it needs to be acknowledged, based on the recent study on Amazon’s practices</w:t>
      </w:r>
      <w:r>
        <w:t xml:space="preserve"> </w:t>
      </w:r>
      <w:r>
        <w:t xml:space="preserve">connected to toy sales, that online shopping platforms might increase the prices of the</w:t>
      </w:r>
      <w:r>
        <w:t xml:space="preserve"> </w:t>
      </w:r>
      <w:r>
        <w:t xml:space="preserve">products they sell once they gain enough market power to do so, hence reducing the price</w:t>
      </w:r>
      <w:r>
        <w:t xml:space="preserve"> </w:t>
      </w:r>
      <w:r>
        <w:t xml:space="preserve">difference between toys sold online and in the physical world.256</w:t>
      </w:r>
      <w:r>
        <w:t xml:space="preserve"> </w:t>
      </w:r>
      <w:r>
        <w:t xml:space="preserve">In addition, through the current IA study, toy manufacturers, including both SMEs and</w:t>
      </w:r>
      <w:r>
        <w:t xml:space="preserve"> </w:t>
      </w:r>
      <w:r>
        <w:t xml:space="preserve">leading global firms were asked to estimate the percentage of their sales that were online.</w:t>
      </w:r>
      <w:r>
        <w:t xml:space="preserve"> </w:t>
      </w:r>
      <w:r>
        <w:t xml:space="preserve">Although one large toy manufacturer noted that almost all products are available for sale</w:t>
      </w:r>
      <w:r>
        <w:t xml:space="preserve"> </w:t>
      </w:r>
      <w:r>
        <w:t xml:space="preserve">online, manufacturers in general were unable to provide further information on the</w:t>
      </w:r>
      <w:r>
        <w:t xml:space="preserve"> </w:t>
      </w:r>
      <w:r>
        <w:t xml:space="preserve">percentage of their sales that were conducted online.</w:t>
      </w:r>
    </w:p>
    <w:p>
      <w:pPr>
        <w:pStyle w:val="BodyText"/>
      </w:pPr>
      <w:r>
        <w:t xml:space="preserve">253 Lone, S., Harboul, N., &amp; Weltevreden, J. W. J. (2021). 2021 European E-commerce Report, online:</w:t>
      </w:r>
      <w:r>
        <w:t xml:space="preserve"> </w:t>
      </w:r>
      <w:r>
        <w:t xml:space="preserve">https://www.cmihva.nl/wp-content/uploads/2021/09/EuropeanEcommerce-Report-2021.pdf, p. 13.</w:t>
      </w:r>
      <w:r>
        <w:t xml:space="preserve"> </w:t>
      </w:r>
      <w:r>
        <w:t xml:space="preserve">254 Metapack (2022). Ecommerce Delivery Benchmark Report 2022. Welcome to the age of ecommerce,</w:t>
      </w:r>
      <w:r>
        <w:t xml:space="preserve"> </w:t>
      </w:r>
      <w:r>
        <w:t xml:space="preserve">online:https://info.metapack.com/rs/700-ZMT-</w:t>
      </w:r>
      <w:r>
        <w:t xml:space="preserve"> </w:t>
      </w:r>
      <w:r>
        <w:t xml:space="preserve">762/images/Ecommerce%20Delivery%20Benchmark%20Report%202022%20%282%29.pdf, p. 6.</w:t>
      </w:r>
      <w:r>
        <w:t xml:space="preserve"> </w:t>
      </w:r>
      <w:r>
        <w:t xml:space="preserve">255 Negev, M. et al. (2018). Regulation of Chemicals in Children’s Products: How U.S. and EU Regulation</w:t>
      </w:r>
      <w:r>
        <w:t xml:space="preserve"> </w:t>
      </w:r>
      <w:r>
        <w:t xml:space="preserve">Impacts</w:t>
      </w:r>
      <w:r>
        <w:t xml:space="preserve"> </w:t>
      </w:r>
      <w:r>
        <w:t xml:space="preserve">Small</w:t>
      </w:r>
      <w:r>
        <w:t xml:space="preserve"> </w:t>
      </w:r>
      <w:r>
        <w:t xml:space="preserve">Markets</w:t>
      </w:r>
      <w:r>
        <w:t xml:space="preserve"> </w:t>
      </w:r>
      <w:r>
        <w:t xml:space="preserve">[in:]</w:t>
      </w:r>
      <w:r>
        <w:t xml:space="preserve"> </w:t>
      </w:r>
      <w:r>
        <w:t xml:space="preserve">“Science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Total</w:t>
      </w:r>
      <w:r>
        <w:t xml:space="preserve"> </w:t>
      </w:r>
      <w:r>
        <w:t xml:space="preserve">Environment”,</w:t>
      </w:r>
      <w:r>
        <w:t xml:space="preserve"> </w:t>
      </w:r>
      <w:r>
        <w:t xml:space="preserve">vol. </w:t>
      </w:r>
      <w:r>
        <w:t xml:space="preserve"> </w:t>
      </w:r>
      <w:r>
        <w:t xml:space="preserve">616-617,</w:t>
      </w:r>
      <w:r>
        <w:t xml:space="preserve"> </w:t>
      </w:r>
      <w:r>
        <w:t xml:space="preserve">DOI:</w:t>
      </w:r>
      <w:r>
        <w:t xml:space="preserve"> </w:t>
      </w:r>
      <w:r>
        <w:t xml:space="preserve">https://doi.org/10.1016/j.scitotenv.2017.10.198, p. 469.</w:t>
      </w:r>
      <w:r>
        <w:t xml:space="preserve"> </w:t>
      </w:r>
      <w:r>
        <w:t xml:space="preserve">256 He, L., Reimers, I., &amp; Shiller, B. (2021) Does Amazon Exercise its Market Power? Evidence from Toys</w:t>
      </w:r>
      <w:r>
        <w:t xml:space="preserve"> </w:t>
      </w:r>
      <w:r>
        <w:t xml:space="preserve">R Us. Online: http://dx.doi.org/10.2139/ssrn.3910636, p. 16.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120</w:t>
      </w:r>
      <w:r>
        <w:t xml:space="preserve"> </w:t>
      </w:r>
      <w:r>
        <w:t xml:space="preserve">EN</w:t>
      </w:r>
      <w:r>
        <w:t xml:space="preserve"> </w:t>
      </w:r>
      <w:r>
        <w:t xml:space="preserve">ANNEX 8: CONCLUSIONS OF THE EVALUATION OF THE TSD257</w:t>
      </w:r>
      <w:r>
        <w:t xml:space="preserve"> </w:t>
      </w:r>
      <w:r>
        <w:t xml:space="preserve">Toys have to be safe when children play with them. The Toy Safety Directive (Directive</w:t>
      </w:r>
      <w:r>
        <w:t xml:space="preserve"> </w:t>
      </w:r>
      <w:r>
        <w:t xml:space="preserve">2009/48/EC) therefore lays down rules to make toys safe, including when they are exposed</w:t>
      </w:r>
      <w:r>
        <w:t xml:space="preserve"> </w:t>
      </w:r>
      <w:r>
        <w:t xml:space="preserve">to children’s sometimes ‘unforeseeable’ behaviour.</w:t>
      </w:r>
      <w:r>
        <w:t xml:space="preserve"> </w:t>
      </w:r>
      <w:r>
        <w:t xml:space="preserve">At the same time, the Directive ensures the successful functioning of the internal market</w:t>
      </w:r>
      <w:r>
        <w:t xml:space="preserve"> </w:t>
      </w:r>
      <w:r>
        <w:t xml:space="preserve">for toys, worth almost EUR 20 billion a year. The toy industry is dynamic and innovative:</w:t>
      </w:r>
      <w:r>
        <w:t xml:space="preserve"> </w:t>
      </w:r>
      <w:r>
        <w:t xml:space="preserve">around one third of the toys on the market each year have new features or are newly</w:t>
      </w:r>
      <w:r>
        <w:t xml:space="preserve"> </w:t>
      </w:r>
      <w:r>
        <w:t xml:space="preserve">developed.</w:t>
      </w:r>
      <w:r>
        <w:t xml:space="preserve"> </w:t>
      </w:r>
      <w:r>
        <w:t xml:space="preserve">The Toy Safety Directive had been adapted 12 times since its adoption at the time of the</w:t>
      </w:r>
      <w:r>
        <w:t xml:space="preserve"> </w:t>
      </w:r>
      <w:r>
        <w:t xml:space="preserve">Evaluation, resulting most often in strict(er) limit values for hazardous chemicals that</w:t>
      </w:r>
      <w:r>
        <w:t xml:space="preserve"> </w:t>
      </w:r>
      <w:r>
        <w:t xml:space="preserve">might be present in toys, such as for chromium VI, lead, phenol and bisphenol A. There is</w:t>
      </w:r>
      <w:r>
        <w:t xml:space="preserve"> </w:t>
      </w:r>
      <w:r>
        <w:t xml:space="preserve">a focus on chemicals because knowledge about their toxicity evolves more often than</w:t>
      </w:r>
      <w:r>
        <w:t xml:space="preserve"> </w:t>
      </w:r>
      <w:r>
        <w:t xml:space="preserve">knowledge about other hazards in toys; chemicals are more often recognised to be more</w:t>
      </w:r>
      <w:r>
        <w:t xml:space="preserve"> </w:t>
      </w:r>
      <w:r>
        <w:t xml:space="preserve">hazardous than previously known.</w:t>
      </w:r>
      <w:r>
        <w:t xml:space="preserve"> </w:t>
      </w:r>
      <w:r>
        <w:t xml:space="preserve">The evaluation of the Toy Safety Directive assessed the functioning of the Directive since</w:t>
      </w:r>
      <w:r>
        <w:t xml:space="preserve"> </w:t>
      </w:r>
      <w:r>
        <w:t xml:space="preserve">its entry into force. It is based on the following sources:</w:t>
      </w:r>
      <w:r>
        <w:t xml:space="preserve"> </w:t>
      </w:r>
      <w:r>
        <w:t xml:space="preserve"> a 2015 external study evaluating the Directive;</w:t>
      </w:r>
      <w:r>
        <w:t xml:space="preserve"> </w:t>
      </w:r>
      <w:r>
        <w:t xml:space="preserve"> online questionnaires addressed to Member States and stakeholders (a public</w:t>
      </w:r>
      <w:r>
        <w:t xml:space="preserve"> </w:t>
      </w:r>
      <w:r>
        <w:t xml:space="preserve">consultation and a specific consultation of economic operators on the costs caused</w:t>
      </w:r>
      <w:r>
        <w:t xml:space="preserve"> </w:t>
      </w:r>
      <w:r>
        <w:t xml:space="preserve">by the Directive);</w:t>
      </w:r>
      <w:r>
        <w:br/>
      </w:r>
      <w:r>
        <w:t xml:space="preserve"> the Member States’ reports on the application of the Directive in their national</w:t>
      </w:r>
      <w:r>
        <w:t xml:space="preserve"> </w:t>
      </w:r>
      <w:r>
        <w:t xml:space="preserve">territory; these are due every 5 years, covering 2009–2013 and 2014–2018;</w:t>
      </w:r>
      <w:r>
        <w:t xml:space="preserve"> </w:t>
      </w:r>
      <w:r>
        <w:t xml:space="preserve"> a study on the Directive’s costs and benefits, supplied by the Commission’s Joint</w:t>
      </w:r>
      <w:r>
        <w:t xml:space="preserve"> </w:t>
      </w:r>
      <w:r>
        <w:t xml:space="preserve">Research Centre (JRC); and</w:t>
      </w:r>
      <w:r>
        <w:br/>
      </w:r>
      <w:r>
        <w:t xml:space="preserve"> several Commission fitness checks and related studies on chemicals legislation,</w:t>
      </w:r>
      <w:r>
        <w:t xml:space="preserve"> </w:t>
      </w:r>
      <w:r>
        <w:t xml:space="preserve">insofar as they refer to toys;</w:t>
      </w:r>
      <w:r>
        <w:br/>
      </w:r>
      <w:r>
        <w:t xml:space="preserve"> a 2013 external report on the toy industry prepared on behalf of the Commission;</w:t>
      </w:r>
      <w:r>
        <w:br/>
      </w:r>
      <w:r>
        <w:t xml:space="preserve"> knowledge and experience acquired in the Directive’s day-to-day management,</w:t>
      </w:r>
      <w:r>
        <w:t xml:space="preserve"> </w:t>
      </w:r>
      <w:r>
        <w:t xml:space="preserve">including from discussions with Member States and stakeholders.</w:t>
      </w:r>
      <w:r>
        <w:t xml:space="preserve"> </w:t>
      </w:r>
      <w:r>
        <w:t xml:space="preserve">1.</w:t>
      </w:r>
      <w:r>
        <w:t xml:space="preserve"> </w:t>
      </w:r>
      <w:r>
        <w:t xml:space="preserve">Effectiveness</w:t>
      </w:r>
      <w:r>
        <w:t xml:space="preserve"> </w:t>
      </w:r>
      <w:r>
        <w:t xml:space="preserve">The scope of the Toy Safety Directive is effectively defined: a toy is defined as a product</w:t>
      </w:r>
      <w:r>
        <w:t xml:space="preserve"> </w:t>
      </w:r>
      <w:r>
        <w:t xml:space="preserve">that has a play value for children under 14 years of age, even if it may have other uses.</w:t>
      </w:r>
      <w:r>
        <w:t xml:space="preserve"> </w:t>
      </w:r>
      <w:r>
        <w:t xml:space="preserve">Products that fall into a ‘grey zone’ of ‘toy or not a toy?’ are classified through guidance</w:t>
      </w:r>
      <w:r>
        <w:t xml:space="preserve"> </w:t>
      </w:r>
      <w:r>
        <w:t xml:space="preserve">documents, which are continuously being updated, and email exchanges between Member</w:t>
      </w:r>
      <w:r>
        <w:t xml:space="preserve"> </w:t>
      </w:r>
      <w:r>
        <w:t xml:space="preserve">State authorities. These documents and exchanges also make it possible to distinguish</w:t>
      </w:r>
      <w:r>
        <w:t xml:space="preserve"> </w:t>
      </w:r>
      <w:r>
        <w:t xml:space="preserve">between toys for children under 3 years of age, who are particularly vulnerable to harm</w:t>
      </w:r>
      <w:r>
        <w:t xml:space="preserve"> </w:t>
      </w:r>
      <w:r>
        <w:t xml:space="preserve">since they regularly put objects in their mouth, and toys for older children.</w:t>
      </w:r>
      <w:r>
        <w:t xml:space="preserve"> </w:t>
      </w:r>
      <w:r>
        <w:t xml:space="preserve">The Directive is more effective than its predecessor regarding protecting children from</w:t>
      </w:r>
      <w:r>
        <w:t xml:space="preserve"> </w:t>
      </w:r>
      <w:r>
        <w:t xml:space="preserve">chemicals in toys. This is due to a higher number of restrictions on specific (groups of)</w:t>
      </w:r>
    </w:p>
    <w:p>
      <w:pPr>
        <w:pStyle w:val="BodyText"/>
      </w:pPr>
      <w:r>
        <w:t xml:space="preserve">257 Commission Staff Working Document (2020) 287 final – Evaluation of Directive 2009/48/EC of the</w:t>
      </w:r>
      <w:r>
        <w:t xml:space="preserve"> </w:t>
      </w:r>
      <w:r>
        <w:t xml:space="preserve">European Parliament and of the Council on the safety of toys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121</w:t>
      </w:r>
      <w:r>
        <w:t xml:space="preserve"> </w:t>
      </w:r>
      <w:r>
        <w:t xml:space="preserve">EN</w:t>
      </w:r>
      <w:r>
        <w:t xml:space="preserve"> </w:t>
      </w:r>
      <w:r>
        <w:t xml:space="preserve">dangerous chemicals. However, the Directive’s effectiveness as regards the protection of</w:t>
      </w:r>
      <w:r>
        <w:t xml:space="preserve"> </w:t>
      </w:r>
      <w:r>
        <w:t xml:space="preserve">children is limited in the following aspects that require urgent attention:</w:t>
      </w:r>
      <w:r>
        <w:t xml:space="preserve"> </w:t>
      </w:r>
      <w:r>
        <w:t xml:space="preserve"> Under the Directive, specific limit values for chemicals can only be set for toys for</w:t>
      </w:r>
      <w:r>
        <w:t xml:space="preserve"> </w:t>
      </w:r>
      <w:r>
        <w:t xml:space="preserve">children under 36 months of age and toys that are intended to be placed in the mouth,</w:t>
      </w:r>
      <w:r>
        <w:t xml:space="preserve"> </w:t>
      </w:r>
      <w:r>
        <w:t xml:space="preserve">instead of for all toys.</w:t>
      </w:r>
      <w:r>
        <w:t xml:space="preserve"> </w:t>
      </w:r>
      <w:r>
        <w:t xml:space="preserve"> The Directive makes it possible to derogate from the prohibition on using chemicals</w:t>
      </w:r>
      <w:r>
        <w:t xml:space="preserve"> </w:t>
      </w:r>
      <w:r>
        <w:t xml:space="preserve">that are carcinogenic, mutagenic or toxic for reproduction (CMR). In particular, CMR</w:t>
      </w:r>
      <w:r>
        <w:t xml:space="preserve"> </w:t>
      </w:r>
      <w:r>
        <w:t xml:space="preserve">chemicals may be present in toys if they do not exceed certain concentrations, which</w:t>
      </w:r>
      <w:r>
        <w:t xml:space="preserve"> </w:t>
      </w:r>
      <w:r>
        <w:t xml:space="preserve">are set in a separate piece of legislation and which are useful to classify chemical</w:t>
      </w:r>
      <w:r>
        <w:t xml:space="preserve"> </w:t>
      </w:r>
      <w:r>
        <w:t xml:space="preserve">mixtures as dangerous. The concentrations allowed however appear to be too high and</w:t>
      </w:r>
      <w:r>
        <w:t xml:space="preserve"> </w:t>
      </w:r>
      <w:r>
        <w:t xml:space="preserve">can still pose a risk to children.</w:t>
      </w:r>
      <w:r>
        <w:t xml:space="preserve"> </w:t>
      </w:r>
      <w:r>
        <w:t xml:space="preserve"> The Directive sets limit values for carcinogenic nitrosamines and nitrosatable</w:t>
      </w:r>
      <w:r>
        <w:t xml:space="preserve"> </w:t>
      </w:r>
      <w:r>
        <w:t xml:space="preserve">substances (that may convert into nitrosamines). However, a Commission Decision of</w:t>
      </w:r>
      <w:r>
        <w:t xml:space="preserve"> </w:t>
      </w:r>
      <w:r>
        <w:t xml:space="preserve">2012 has recognised that these limit values are too high and can still pose a risk to</w:t>
      </w:r>
      <w:r>
        <w:t xml:space="preserve"> </w:t>
      </w:r>
      <w:r>
        <w:t xml:space="preserve">children.</w:t>
      </w:r>
      <w:r>
        <w:t xml:space="preserve"> </w:t>
      </w:r>
      <w:r>
        <w:t xml:space="preserve"> The Directive provides labelling requirements for specific allergenic substances in</w:t>
      </w:r>
      <w:r>
        <w:t xml:space="preserve"> </w:t>
      </w:r>
      <w:r>
        <w:t xml:space="preserve">certain ‘experimental’ toy sets. However, these requirements cannot be easily updated</w:t>
      </w:r>
      <w:r>
        <w:t xml:space="preserve"> </w:t>
      </w:r>
      <w:r>
        <w:t xml:space="preserve">when the related lists of allergenic substances are being updated.</w:t>
      </w:r>
      <w:r>
        <w:t xml:space="preserve"> </w:t>
      </w:r>
      <w:r>
        <w:t xml:space="preserve">For risks other than those related to chemicals, the Directive appears to be sufficiently</w:t>
      </w:r>
      <w:r>
        <w:t xml:space="preserve"> </w:t>
      </w:r>
      <w:r>
        <w:t xml:space="preserve">effective. There is no reason to doubt any of the non-chemical safety requirements, there</w:t>
      </w:r>
      <w:r>
        <w:t xml:space="preserve"> </w:t>
      </w:r>
      <w:r>
        <w:t xml:space="preserve">have been no discussions about their application. The ‘small parts requirement’ is an</w:t>
      </w:r>
      <w:r>
        <w:t xml:space="preserve"> </w:t>
      </w:r>
      <w:r>
        <w:t xml:space="preserve">exception and is discussed almost permanently. It requires that toys must not be or release</w:t>
      </w:r>
      <w:r>
        <w:t xml:space="preserve"> </w:t>
      </w:r>
      <w:r>
        <w:t xml:space="preserve">small parts that children under 36 months of age could easily swallow and choke on. Since</w:t>
      </w:r>
      <w:r>
        <w:t xml:space="preserve"> </w:t>
      </w:r>
      <w:r>
        <w:t xml:space="preserve">the requirement is demanding in the eyes of manufacturers, some rogue manufacturers try</w:t>
      </w:r>
      <w:r>
        <w:t xml:space="preserve"> </w:t>
      </w:r>
      <w:r>
        <w:t xml:space="preserve">to circumvent it by claiming that their toys are intended for children of 36 months and over.</w:t>
      </w:r>
      <w:r>
        <w:t xml:space="preserve"> </w:t>
      </w:r>
      <w:r>
        <w:t xml:space="preserve">However, guidance documents and exchanges of views between market surveillance</w:t>
      </w:r>
      <w:r>
        <w:t xml:space="preserve"> </w:t>
      </w:r>
      <w:r>
        <w:t xml:space="preserve">authorities have so far ensured a consistent (and protective) approach in such cases.</w:t>
      </w:r>
      <w:r>
        <w:t xml:space="preserve"> </w:t>
      </w:r>
      <w:r>
        <w:t xml:space="preserve">Standards appear to effectively support the requirements of the Directive through their</w:t>
      </w:r>
      <w:r>
        <w:t xml:space="preserve"> </w:t>
      </w:r>
      <w:r>
        <w:t xml:space="preserve">detailed technical specifications. There have been no major incidents with toys, formal</w:t>
      </w:r>
      <w:r>
        <w:t xml:space="preserve"> </w:t>
      </w:r>
      <w:r>
        <w:t xml:space="preserve">objections highlighting insufficiencies of standards have been rare, and standards newly</w:t>
      </w:r>
      <w:r>
        <w:t xml:space="preserve"> </w:t>
      </w:r>
      <w:r>
        <w:t xml:space="preserve">adopted by the standardisation organisations can be promptly referenced in the Official</w:t>
      </w:r>
      <w:r>
        <w:t xml:space="preserve"> </w:t>
      </w:r>
      <w:r>
        <w:t xml:space="preserve">Journal in virtually all cases.</w:t>
      </w:r>
      <w:r>
        <w:t xml:space="preserve"> </w:t>
      </w:r>
      <w:r>
        <w:t xml:space="preserve">The Directive’s effectiveness as regards the enforcement of its rules appears to be only</w:t>
      </w:r>
      <w:r>
        <w:t xml:space="preserve"> </w:t>
      </w:r>
      <w:r>
        <w:t xml:space="preserve">partially satisfactory. The Directive only provides for a general obligation for Member</w:t>
      </w:r>
      <w:r>
        <w:t xml:space="preserve"> </w:t>
      </w:r>
      <w:r>
        <w:t xml:space="preserve">States to carry out market surveillance, however detailed (and binding) EU-wide market</w:t>
      </w:r>
      <w:r>
        <w:t xml:space="preserve"> </w:t>
      </w:r>
      <w:r>
        <w:t xml:space="preserve">surveillance rules have recently been set in the Regulation on market surveillance and</w:t>
      </w:r>
      <w:r>
        <w:t xml:space="preserve"> </w:t>
      </w:r>
      <w:r>
        <w:t xml:space="preserve">compliance of products. It can be expected that these detailed rules will make the</w:t>
      </w:r>
      <w:r>
        <w:t xml:space="preserve"> </w:t>
      </w:r>
      <w:r>
        <w:t xml:space="preserve">enforcement of the Directive’s provisions more effective. 258</w:t>
      </w:r>
      <w:r>
        <w:t xml:space="preserve"> </w:t>
      </w:r>
      <w:r>
        <w:t xml:space="preserve">The Directive’s effectiveness as regards the free movement of toys was analysed by looking</w:t>
      </w:r>
      <w:r>
        <w:t xml:space="preserve"> </w:t>
      </w:r>
      <w:r>
        <w:t xml:space="preserve">at the intra-EU trade of toys and its evolution over the years, as well as stakeholder</w:t>
      </w:r>
    </w:p>
    <w:p>
      <w:pPr>
        <w:pStyle w:val="BodyText"/>
      </w:pPr>
      <w:r>
        <w:t xml:space="preserve">258 See Regulation (EU) 2019/1020 of the European Parliament and of the Council of 20 June 2019 on market</w:t>
      </w:r>
      <w:r>
        <w:t xml:space="preserve"> </w:t>
      </w:r>
      <w:r>
        <w:t xml:space="preserve">surveillance and compliance of products and amending Directive 2004/42/EC, and Regulations (EC) No</w:t>
      </w:r>
      <w:r>
        <w:t xml:space="preserve"> </w:t>
      </w:r>
      <w:r>
        <w:t xml:space="preserve">765/2008 and (EU) No 305/2011, Article 2.1 (“Scope”): “This Regulation shall apply to products that are</w:t>
      </w:r>
      <w:r>
        <w:t xml:space="preserve"> </w:t>
      </w:r>
      <w:r>
        <w:t xml:space="preserve">subject to the Union harmonisation legislation listed in Annex I (‘Union harmonisation legislation’), in so</w:t>
      </w:r>
      <w:r>
        <w:t xml:space="preserve"> </w:t>
      </w:r>
      <w:r>
        <w:t xml:space="preserve">far as there are no specific provisions with the same objective in the Union harmonisation legislation, which</w:t>
      </w:r>
      <w:r>
        <w:t xml:space="preserve"> </w:t>
      </w:r>
      <w:r>
        <w:t xml:space="preserve">regulate in a more specific manner particular aspects of market surveillance and enforcement.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122</w:t>
      </w:r>
      <w:r>
        <w:t xml:space="preserve"> </w:t>
      </w:r>
      <w:r>
        <w:t xml:space="preserve">EN</w:t>
      </w:r>
      <w:r>
        <w:t xml:space="preserve"> </w:t>
      </w:r>
      <w:r>
        <w:t xml:space="preserve">feedback. The figures on intra-EU export of toys covered by the Toy Safety Directive, and</w:t>
      </w:r>
      <w:r>
        <w:t xml:space="preserve"> </w:t>
      </w:r>
      <w:r>
        <w:t xml:space="preserve">in particular on the remarkable increase since 2012/2013, suggest that applying the</w:t>
      </w:r>
      <w:r>
        <w:t xml:space="preserve"> </w:t>
      </w:r>
      <w:r>
        <w:t xml:space="preserve">Directive and all its requirements since mid-2013 did not hamper growth in this area.</w:t>
      </w:r>
      <w:r>
        <w:t xml:space="preserve"> </w:t>
      </w:r>
      <w:r>
        <w:t xml:space="preserve">The Directive is a maximum harmonisation directive: toys that comply with all of its</w:t>
      </w:r>
      <w:r>
        <w:t xml:space="preserve"> </w:t>
      </w:r>
      <w:r>
        <w:t xml:space="preserve">applicable requirements can move freely and be made available throughout the EU. There</w:t>
      </w:r>
      <w:r>
        <w:t xml:space="preserve"> </w:t>
      </w:r>
      <w:r>
        <w:t xml:space="preserve">is therefore no need for other provisions on free movement: the current provisions have</w:t>
      </w:r>
      <w:r>
        <w:t xml:space="preserve"> </w:t>
      </w:r>
      <w:r>
        <w:t xml:space="preserve">proven to be effective in ensuring the smooth functioning of the internal market for toys.</w:t>
      </w:r>
      <w:r>
        <w:t xml:space="preserve"> </w:t>
      </w:r>
      <w:r>
        <w:t xml:space="preserve">The Directive could possibly be more effective if it were converted into a Regulation, as</w:t>
      </w:r>
      <w:r>
        <w:t xml:space="preserve"> </w:t>
      </w:r>
      <w:r>
        <w:t xml:space="preserve">this would free up staff in Member States working on transposing the repeated amendments</w:t>
      </w:r>
      <w:r>
        <w:t xml:space="preserve"> </w:t>
      </w:r>
      <w:r>
        <w:t xml:space="preserve">of the Directive into national legislation, and free up staff in the Commission from the</w:t>
      </w:r>
      <w:r>
        <w:t xml:space="preserve"> </w:t>
      </w:r>
      <w:r>
        <w:t xml:space="preserve">required transposition and conformity checks necessary to detect possible infringements.</w:t>
      </w:r>
      <w:r>
        <w:t xml:space="preserve"> </w:t>
      </w:r>
      <w:r>
        <w:t xml:space="preserve">Moreover, since the Directive provides for maximum harmonisation of the provisions on</w:t>
      </w:r>
      <w:r>
        <w:t xml:space="preserve"> </w:t>
      </w:r>
      <w:r>
        <w:t xml:space="preserve">toys, it leaves no room for Member States to deviate and could thus appear to be a ‘de facto</w:t>
      </w:r>
      <w:r>
        <w:t xml:space="preserve"> </w:t>
      </w:r>
      <w:r>
        <w:t xml:space="preserve">regulation’.</w:t>
      </w:r>
      <w:r>
        <w:br/>
      </w:r>
      <w:r>
        <w:t xml:space="preserve">2.</w:t>
      </w:r>
      <w:r>
        <w:t xml:space="preserve"> </w:t>
      </w:r>
      <w:r>
        <w:t xml:space="preserve">Efficiency</w:t>
      </w:r>
      <w:r>
        <w:t xml:space="preserve"> </w:t>
      </w:r>
      <w:r>
        <w:t xml:space="preserve">Complying with the Toy Safety Directive when it became applicable in mid-2009 (and</w:t>
      </w:r>
      <w:r>
        <w:t xml:space="preserve"> </w:t>
      </w:r>
      <w:r>
        <w:t xml:space="preserve">when new chemical requirements were introduced in mid-2013) has reportedly caused one-</w:t>
      </w:r>
      <w:r>
        <w:t xml:space="preserve"> </w:t>
      </w:r>
      <w:r>
        <w:t xml:space="preserve">off costs to economic operators, in particular manufacturers, due to the many new</w:t>
      </w:r>
      <w:r>
        <w:t xml:space="preserve"> </w:t>
      </w:r>
      <w:r>
        <w:t xml:space="preserve">requirements. These one-off costs were reported to be between 1% and 3% of turnover.</w:t>
      </w:r>
      <w:r>
        <w:t xml:space="preserve"> </w:t>
      </w:r>
      <w:r>
        <w:t xml:space="preserve">The ongoing costs for producing toys are considered to be higher than under the previous</w:t>
      </w:r>
      <w:r>
        <w:t xml:space="preserve"> </w:t>
      </w:r>
      <w:r>
        <w:t xml:space="preserve">Directive, since there are now more requirements to be met.</w:t>
      </w:r>
      <w:r>
        <w:t xml:space="preserve"> </w:t>
      </w:r>
      <w:r>
        <w:t xml:space="preserve">On the other hand, costs did not prevent several hundred companies from entering the</w:t>
      </w:r>
      <w:r>
        <w:t xml:space="preserve"> </w:t>
      </w:r>
      <w:r>
        <w:t xml:space="preserve">market, increasing the total number of companies by some 10% between 2013 and 2017.</w:t>
      </w:r>
      <w:r>
        <w:t xml:space="preserve"> </w:t>
      </w:r>
      <w:r>
        <w:t xml:space="preserve">– To note that 99% of the companies in the toy sector are SMEs.</w:t>
      </w:r>
      <w:r>
        <w:t xml:space="preserve"> </w:t>
      </w:r>
      <w:r>
        <w:t xml:space="preserve">Furthermore, the Toy Safety Directive does not appear to have hindered the cost</w:t>
      </w:r>
      <w:r>
        <w:t xml:space="preserve"> </w:t>
      </w:r>
      <w:r>
        <w:t xml:space="preserve">competitiveness of the toy industry. Profits dropped in 2009, probably due to the financial</w:t>
      </w:r>
      <w:r>
        <w:t xml:space="preserve"> </w:t>
      </w:r>
      <w:r>
        <w:t xml:space="preserve">crisis of 2008 and perhaps also due to companies internalising some of the one-off costs.</w:t>
      </w:r>
      <w:r>
        <w:t xml:space="preserve"> </w:t>
      </w:r>
      <w:r>
        <w:t xml:space="preserve">However the EU toy industry recovered during the following years, its turnover growing</w:t>
      </w:r>
      <w:r>
        <w:t xml:space="preserve"> </w:t>
      </w:r>
      <w:r>
        <w:t xml:space="preserve">steadily since 2009 by a total of 16% and its profits being almost 15% higher in 2017 than</w:t>
      </w:r>
      <w:r>
        <w:t xml:space="preserve"> </w:t>
      </w:r>
      <w:r>
        <w:t xml:space="preserve">in 2008.</w:t>
      </w:r>
      <w:r>
        <w:t xml:space="preserve"> </w:t>
      </w:r>
      <w:r>
        <w:t xml:space="preserve">Furthermore, manufacturers are only exceptionally required to request the intervention of</w:t>
      </w:r>
      <w:r>
        <w:t xml:space="preserve"> </w:t>
      </w:r>
      <w:r>
        <w:t xml:space="preserve">a third party (a</w:t>
      </w:r>
      <w:r>
        <w:t xml:space="preserve"> </w:t>
      </w:r>
      <w:r>
        <w:t xml:space="preserve">‘notified body’</w:t>
      </w:r>
      <w:r>
        <w:t xml:space="preserve">), namely when producing novel toys that have hazardous</w:t>
      </w:r>
      <w:r>
        <w:t xml:space="preserve"> </w:t>
      </w:r>
      <w:r>
        <w:t xml:space="preserve">features not covered by the existing toy safety standards, the references of which have been</w:t>
      </w:r>
      <w:r>
        <w:t xml:space="preserve"> </w:t>
      </w:r>
      <w:r>
        <w:t xml:space="preserve">published in the Official Journal.</w:t>
      </w:r>
      <w:r>
        <w:t xml:space="preserve"> </w:t>
      </w:r>
      <w:r>
        <w:t xml:space="preserve">Whereas the costs related to the Toy Safety Directive have been quantified to a certain</w:t>
      </w:r>
      <w:r>
        <w:t xml:space="preserve"> </w:t>
      </w:r>
      <w:r>
        <w:t xml:space="preserve">extent, it does not appear possible to quantify the benefits due to missing data. The 2008</w:t>
      </w:r>
      <w:r>
        <w:t xml:space="preserve"> </w:t>
      </w:r>
      <w:r>
        <w:t xml:space="preserve">impact assessment on the then-proposal for the current Toy Safety Directive already noted</w:t>
      </w:r>
      <w:r>
        <w:t xml:space="preserve"> </w:t>
      </w:r>
      <w:r>
        <w:t xml:space="preserve">that ‘[t]hese benefits cannot be quantified based on the available data.’ Nevertheless,</w:t>
      </w:r>
      <w:r>
        <w:t xml:space="preserve"> </w:t>
      </w:r>
      <w:r>
        <w:t xml:space="preserve">stakeholders see benefits in the Directive’s detailed provisions, whether regarding the</w:t>
      </w:r>
      <w:r>
        <w:t xml:space="preserve"> </w:t>
      </w:r>
      <w:r>
        <w:t xml:space="preserve">definition of ‘toy’ or the roles of economic operators, because they ensure legal certainty</w:t>
      </w:r>
      <w:r>
        <w:t xml:space="preserve"> </w:t>
      </w:r>
      <w:r>
        <w:t xml:space="preserve">and a level playing field.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123</w:t>
      </w:r>
      <w:r>
        <w:t xml:space="preserve"> </w:t>
      </w:r>
      <w:r>
        <w:t xml:space="preserve">EN</w:t>
      </w:r>
      <w:r>
        <w:t xml:space="preserve"> </w:t>
      </w:r>
      <w:r>
        <w:t xml:space="preserve">In addition, although it is not possible to provide a quantitative balance of benefits and</w:t>
      </w:r>
      <w:r>
        <w:t xml:space="preserve"> </w:t>
      </w:r>
      <w:r>
        <w:t xml:space="preserve">costs, some 50% of the companies and business associations that took part in the 2018</w:t>
      </w:r>
      <w:r>
        <w:t xml:space="preserve"> </w:t>
      </w:r>
      <w:r>
        <w:t xml:space="preserve">public consultation considered the benefits of the Toy Safety Directive to outweigh the</w:t>
      </w:r>
      <w:r>
        <w:t xml:space="preserve"> </w:t>
      </w:r>
      <w:r>
        <w:t xml:space="preserve">costs, sometimes even by far; a further 20% of participating companies considered the</w:t>
      </w:r>
      <w:r>
        <w:t xml:space="preserve"> </w:t>
      </w:r>
      <w:r>
        <w:t xml:space="preserve">costs proportionate to the benefits. Public authorities, consumer organisations and notified</w:t>
      </w:r>
      <w:r>
        <w:t xml:space="preserve"> </w:t>
      </w:r>
      <w:r>
        <w:t xml:space="preserve">bodies responded that the benefits outweigh the costs even by 60% to 80% (or outweigh</w:t>
      </w:r>
      <w:r>
        <w:t xml:space="preserve"> </w:t>
      </w:r>
      <w:r>
        <w:t xml:space="preserve">them by far).</w:t>
      </w:r>
      <w:r>
        <w:t xml:space="preserve"> </w:t>
      </w:r>
      <w:r>
        <w:t xml:space="preserve">The efficiency of the Toy Safety Directive is limited because chemical limit values for toys</w:t>
      </w:r>
      <w:r>
        <w:t xml:space="preserve"> </w:t>
      </w:r>
      <w:r>
        <w:t xml:space="preserve">are currently also provided in other pieces of legislation, such as REACH. This means that</w:t>
      </w:r>
      <w:r>
        <w:t xml:space="preserve"> </w:t>
      </w:r>
      <w:r>
        <w:t xml:space="preserve">economic operators, Member States’ market surveillance authorities and other</w:t>
      </w:r>
      <w:r>
        <w:t xml:space="preserve"> </w:t>
      </w:r>
      <w:r>
        <w:t xml:space="preserve">stakeholders cannot find all applicable limit values in the Directive.</w:t>
      </w:r>
      <w:r>
        <w:t xml:space="preserve"> </w:t>
      </w:r>
      <w:r>
        <w:t xml:space="preserve">3.</w:t>
      </w:r>
      <w:r>
        <w:t xml:space="preserve"> </w:t>
      </w:r>
      <w:r>
        <w:t xml:space="preserve">Relevance</w:t>
      </w:r>
      <w:r>
        <w:t xml:space="preserve"> </w:t>
      </w:r>
      <w:r>
        <w:t xml:space="preserve">The requirement that all toys be safe in order to protect children – which is one of the two</w:t>
      </w:r>
      <w:r>
        <w:t xml:space="preserve"> </w:t>
      </w:r>
      <w:r>
        <w:t xml:space="preserve">key objectives of the Toy Safety Directive – is undoubtedly still relevant, in particular in</w:t>
      </w:r>
      <w:r>
        <w:t xml:space="preserve"> </w:t>
      </w:r>
      <w:r>
        <w:t xml:space="preserve">light of the weekly notifications on dangerous toys in the EU’s safety gate RAPEX.</w:t>
      </w:r>
      <w:r>
        <w:t xml:space="preserve"> </w:t>
      </w:r>
      <w:r>
        <w:t xml:space="preserve">Member States and stakeholders also confirmed this requirement as relevant. The Toy</w:t>
      </w:r>
      <w:r>
        <w:t xml:space="preserve"> </w:t>
      </w:r>
      <w:r>
        <w:t xml:space="preserve">Safety Directive is, therefore, still a relevant policy measure for ensuring the safety of toys,</w:t>
      </w:r>
      <w:r>
        <w:t xml:space="preserve"> </w:t>
      </w:r>
      <w:r>
        <w:t xml:space="preserve">in that it requires that all toys placed on the EU market comply with its safety provisions.</w:t>
      </w:r>
      <w:r>
        <w:br/>
      </w:r>
      <w:r>
        <w:t xml:space="preserve">However, there have been doubts about the speed with which the Toy Safety Directive is</w:t>
      </w:r>
      <w:r>
        <w:t xml:space="preserve"> </w:t>
      </w:r>
      <w:r>
        <w:t xml:space="preserve">being adapted to technical and scientific developments; this is in contrast to the 2015</w:t>
      </w:r>
      <w:r>
        <w:t xml:space="preserve"> </w:t>
      </w:r>
      <w:r>
        <w:t xml:space="preserve">external study, where authorities had generally confirmed the relevance of the adaptation</w:t>
      </w:r>
      <w:r>
        <w:t xml:space="preserve"> </w:t>
      </w:r>
      <w:r>
        <w:t xml:space="preserve">mechanisms. In the 2018 public consultation, public authorities complained mostly about</w:t>
      </w:r>
      <w:r>
        <w:t xml:space="preserve"> </w:t>
      </w:r>
      <w:r>
        <w:t xml:space="preserve">the slow adaptation process in general, compared to the rapidly evolving market. However,</w:t>
      </w:r>
      <w:r>
        <w:t xml:space="preserve"> </w:t>
      </w:r>
      <w:r>
        <w:t xml:space="preserve">the allegedly slow adaptation progress was due to the need to collect sufficient data to</w:t>
      </w:r>
      <w:r>
        <w:t xml:space="preserve"> </w:t>
      </w:r>
      <w:r>
        <w:t xml:space="preserve">ensure the quality of the adaptation directives, so that they could be resistant to any</w:t>
      </w:r>
      <w:r>
        <w:t xml:space="preserve"> </w:t>
      </w:r>
      <w:r>
        <w:t xml:space="preserve">potential legal challenge, including before the WTO.</w:t>
      </w:r>
      <w:r>
        <w:t xml:space="preserve"> </w:t>
      </w:r>
      <w:r>
        <w:t xml:space="preserve">The recent issue of the security of internet-connected toys and the related protection of</w:t>
      </w:r>
      <w:r>
        <w:t xml:space="preserve"> </w:t>
      </w:r>
      <w:r>
        <w:t xml:space="preserve">privacy (cybersecurity) emerged as a concern: the security threats that new technologies</w:t>
      </w:r>
      <w:r>
        <w:t xml:space="preserve"> </w:t>
      </w:r>
      <w:r>
        <w:t xml:space="preserve">(including toys) pose cannot be addressed by the Directive in force, because of its limited</w:t>
      </w:r>
      <w:r>
        <w:t xml:space="preserve"> </w:t>
      </w:r>
      <w:r>
        <w:t xml:space="preserve">scope, which focuses on health and safety, but not on privacy and security issues. In order</w:t>
      </w:r>
      <w:r>
        <w:t xml:space="preserve"> </w:t>
      </w:r>
      <w:r>
        <w:t xml:space="preserve">to increase the security of internet-connected toys whilst ensuring a level-playing field for</w:t>
      </w:r>
      <w:r>
        <w:t xml:space="preserve"> </w:t>
      </w:r>
      <w:r>
        <w:t xml:space="preserve">businesses, these issues could be (and are being) addressed under the Radio Equipment</w:t>
      </w:r>
      <w:r>
        <w:t xml:space="preserve"> </w:t>
      </w:r>
      <w:r>
        <w:t xml:space="preserve">Directive, as they are not only relevant for toys but also for other Internet of Things (IoT)</w:t>
      </w:r>
      <w:r>
        <w:t xml:space="preserve"> </w:t>
      </w:r>
      <w:r>
        <w:t xml:space="preserve">devices for many daily-use products. Covering toy-related aspects of security and privacy</w:t>
      </w:r>
      <w:r>
        <w:t xml:space="preserve"> </w:t>
      </w:r>
      <w:r>
        <w:t xml:space="preserve">risks separately could lead to a fragmentation of privacy and cyber security rules and thus</w:t>
      </w:r>
      <w:r>
        <w:t xml:space="preserve"> </w:t>
      </w:r>
      <w:r>
        <w:t xml:space="preserve">undermine the internal market.</w:t>
      </w:r>
      <w:r>
        <w:br/>
      </w:r>
      <w:r>
        <w:t xml:space="preserve">The requirement that toys move freely in the EU market – the second key objective of the</w:t>
      </w:r>
      <w:r>
        <w:t xml:space="preserve"> </w:t>
      </w:r>
      <w:r>
        <w:t xml:space="preserve">Toy Safety Directive – is equally relevant, as confirmed by a very large majority of</w:t>
      </w:r>
      <w:r>
        <w:t xml:space="preserve"> </w:t>
      </w:r>
      <w:r>
        <w:t xml:space="preserve">Member States and stakeholders. Harmonising national requirements is crucial in order to</w:t>
      </w:r>
      <w:r>
        <w:t xml:space="preserve"> </w:t>
      </w:r>
      <w:r>
        <w:t xml:space="preserve">eliminate any possible barriers that would stem from different regulatory systems in the</w:t>
      </w:r>
      <w:r>
        <w:t xml:space="preserve"> </w:t>
      </w:r>
      <w:r>
        <w:t xml:space="preserve">Member States, and to ensure a level playing field for all toys placed in the EU market.</w:t>
      </w:r>
      <w:r>
        <w:t xml:space="preserve"> </w:t>
      </w:r>
      <w:r>
        <w:t xml:space="preserve">The current data monitoring system does not seem to make it possible to clearly relate the</w:t>
      </w:r>
      <w:r>
        <w:t xml:space="preserve"> </w:t>
      </w:r>
      <w:r>
        <w:t xml:space="preserve">Toy Safety Directive to effects on health protection or the internal market. The available</w:t>
      </w:r>
      <w:r>
        <w:t xml:space="preserve"> </w:t>
      </w:r>
      <w:r>
        <w:t xml:space="preserve">data are often incomplete or not representative, or there are too many confounding factors.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124</w:t>
      </w:r>
      <w:r>
        <w:t xml:space="preserve"> </w:t>
      </w:r>
      <w:r>
        <w:t xml:space="preserve">EN</w:t>
      </w:r>
      <w:r>
        <w:t xml:space="preserve"> </w:t>
      </w:r>
      <w:r>
        <w:t xml:space="preserve">As a consequence the data available did not make it possible to draw firm conclusions on</w:t>
      </w:r>
      <w:r>
        <w:t xml:space="preserve"> </w:t>
      </w:r>
      <w:r>
        <w:t xml:space="preserve">the effects of the Toy Safety Directive, whether with regard to safety or the free movement</w:t>
      </w:r>
      <w:r>
        <w:t xml:space="preserve"> </w:t>
      </w:r>
      <w:r>
        <w:t xml:space="preserve">of toys. Only information on implementation costs for the toy industry could be considered</w:t>
      </w:r>
      <w:r>
        <w:t xml:space="preserve"> </w:t>
      </w:r>
      <w:r>
        <w:t xml:space="preserve">as data on the effects of the Directive, but this was collected as part of a non-representative</w:t>
      </w:r>
      <w:r>
        <w:t xml:space="preserve"> </w:t>
      </w:r>
      <w:r>
        <w:t xml:space="preserve">consultation.</w:t>
      </w:r>
      <w:r>
        <w:t xml:space="preserve"> </w:t>
      </w:r>
      <w:r>
        <w:t xml:space="preserve">The Toy Safety Directive provides for only a general reporting obligation for Member</w:t>
      </w:r>
      <w:r>
        <w:t xml:space="preserve"> </w:t>
      </w:r>
      <w:r>
        <w:t xml:space="preserve">States. It does not identify the indicators and related data needs for future monitoring and</w:t>
      </w:r>
      <w:r>
        <w:t xml:space="preserve"> </w:t>
      </w:r>
      <w:r>
        <w:t xml:space="preserve">evaluation that could help draw a detailed picture of the Directive’s effects or identify</w:t>
      </w:r>
      <w:r>
        <w:t xml:space="preserve"> </w:t>
      </w:r>
      <w:r>
        <w:t xml:space="preserve">impediments to its functioning. The data reported are not always comparable, for example</w:t>
      </w:r>
      <w:r>
        <w:t xml:space="preserve"> </w:t>
      </w:r>
      <w:r>
        <w:t xml:space="preserve">those on the number of non-compliant toys vis-à-vis the total number of inspections carried</w:t>
      </w:r>
      <w:r>
        <w:t xml:space="preserve"> </w:t>
      </w:r>
      <w:r>
        <w:t xml:space="preserve">out or the total number of toys traded in each Member State. Furthermore, Member States</w:t>
      </w:r>
      <w:r>
        <w:t xml:space="preserve"> </w:t>
      </w:r>
      <w:r>
        <w:t xml:space="preserve">are not obliged to report on their measures relating to specific (categories of) toys, novel</w:t>
      </w:r>
      <w:r>
        <w:t xml:space="preserve"> </w:t>
      </w:r>
      <w:r>
        <w:t xml:space="preserve">toys ‘flooding’ the market, blockages of toys at the EU border, or similar matters.</w:t>
      </w:r>
      <w:r>
        <w:t xml:space="preserve"> </w:t>
      </w:r>
      <w:r>
        <w:t xml:space="preserve">4.</w:t>
      </w:r>
      <w:r>
        <w:t xml:space="preserve"> </w:t>
      </w:r>
      <w:r>
        <w:t xml:space="preserve">Coherence</w:t>
      </w:r>
      <w:r>
        <w:t xml:space="preserve"> </w:t>
      </w:r>
      <w:r>
        <w:t xml:space="preserve">In their daily management of the Directive, the Commission has not identified any areas</w:t>
      </w:r>
      <w:r>
        <w:t xml:space="preserve"> </w:t>
      </w:r>
      <w:r>
        <w:t xml:space="preserve">in which the Toy Safety Directive is incoherent with other EU or national legislation, with</w:t>
      </w:r>
      <w:r>
        <w:t xml:space="preserve"> </w:t>
      </w:r>
      <w:r>
        <w:t xml:space="preserve">the exception of the limit values for nitrosamines and nitrosatable substances (see section</w:t>
      </w:r>
      <w:r>
        <w:t xml:space="preserve"> </w:t>
      </w:r>
      <w:r>
        <w:t xml:space="preserve">on ‘effectiveness’). Where Member States and stakeholders claimed that ‘different limit</w:t>
      </w:r>
      <w:r>
        <w:t xml:space="preserve"> </w:t>
      </w:r>
      <w:r>
        <w:t xml:space="preserve">values for chemicals’ exist, they may have been referring to the existence of migration and</w:t>
      </w:r>
      <w:r>
        <w:t xml:space="preserve"> </w:t>
      </w:r>
      <w:r>
        <w:t xml:space="preserve">content limit values for the same chemical, which can be confusing but does not signal</w:t>
      </w:r>
      <w:r>
        <w:t xml:space="preserve"> </w:t>
      </w:r>
      <w:r>
        <w:t xml:space="preserve">incoherence, and other similar situations.</w:t>
      </w:r>
      <w:r>
        <w:t xml:space="preserve"> </w:t>
      </w:r>
      <w:r>
        <w:t xml:space="preserve">5.</w:t>
      </w:r>
      <w:r>
        <w:t xml:space="preserve"> </w:t>
      </w:r>
      <w:r>
        <w:t xml:space="preserve">EU added value</w:t>
      </w:r>
      <w:r>
        <w:t xml:space="preserve"> </w:t>
      </w:r>
      <w:r>
        <w:t xml:space="preserve">In terms of toy safety and the creation of a large internal market for safe toys, the current</w:t>
      </w:r>
      <w:r>
        <w:t xml:space="preserve"> </w:t>
      </w:r>
      <w:r>
        <w:t xml:space="preserve">evaluation has confirmed the EU added value of the Toy Safety Directive. In particular,</w:t>
      </w:r>
      <w:r>
        <w:t xml:space="preserve"> </w:t>
      </w:r>
      <w:r>
        <w:t xml:space="preserve">without the Directive, Member States could set diverging limit values for chemicals, which</w:t>
      </w:r>
      <w:r>
        <w:t xml:space="preserve"> </w:t>
      </w:r>
      <w:r>
        <w:t xml:space="preserve">would be to the detriment of the internal market.</w:t>
      </w:r>
      <w:r>
        <w:t xml:space="preserve"> </w:t>
      </w:r>
      <w:r>
        <w:t xml:space="preserve">All categories of stakeholders highly appreciated the existence of the same safety</w:t>
      </w:r>
      <w:r>
        <w:t xml:space="preserve"> </w:t>
      </w:r>
      <w:r>
        <w:t xml:space="preserve">requirements across the EU, and companies valued the creation of a large market for toys</w:t>
      </w:r>
      <w:r>
        <w:t xml:space="preserve"> </w:t>
      </w:r>
      <w:r>
        <w:t xml:space="preserve">and the simplification of trade as major achievements. Possibly diverging national rules</w:t>
      </w:r>
      <w:r>
        <w:t xml:space="preserve"> </w:t>
      </w:r>
      <w:r>
        <w:t xml:space="preserve">were not considered as being more beneficial. Notified bodies in particular agreed that the</w:t>
      </w:r>
      <w:r>
        <w:t xml:space="preserve"> </w:t>
      </w:r>
      <w:r>
        <w:t xml:space="preserve">Directive contributes to streamlining testing and standards, and public authorities</w:t>
      </w:r>
      <w:r>
        <w:t xml:space="preserve"> </w:t>
      </w:r>
      <w:r>
        <w:t xml:space="preserve">welcomed the harmonisation of testing and standards and the opportunity to work together</w:t>
      </w:r>
      <w:r>
        <w:t xml:space="preserve"> </w:t>
      </w:r>
      <w:r>
        <w:t xml:space="preserve">with authorities from other Member States.</w:t>
      </w:r>
      <w:r>
        <w:t xml:space="preserve"> </w:t>
      </w:r>
      <w:r>
        <w:t xml:space="preserve">Therefore, the Directive clearly provides EU added value by harmonising the rules on toy</w:t>
      </w:r>
      <w:r>
        <w:t xml:space="preserve"> </w:t>
      </w:r>
      <w:r>
        <w:t xml:space="preserve">safety and facilitating the free movement of safe toys in the internal market.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125</w:t>
      </w:r>
      <w:r>
        <w:t xml:space="preserve"> </w:t>
      </w:r>
      <w:r>
        <w:t xml:space="preserve">EN</w:t>
      </w:r>
      <w:r>
        <w:t xml:space="preserve"> </w:t>
      </w:r>
      <w:r>
        <w:t xml:space="preserve">ANNEX 9: EU CHEMICALS LEGISLATION</w:t>
      </w:r>
      <w:r>
        <w:t xml:space="preserve"> </w:t>
      </w:r>
      <w:r>
        <w:t xml:space="preserve">1. THE CLP REGULATION</w:t>
      </w:r>
      <w:r>
        <w:t xml:space="preserve"> </w:t>
      </w:r>
      <w:r>
        <w:t xml:space="preserve">CLP requires manufacturers, importers and downstream users to classify hazardous</w:t>
      </w:r>
      <w:r>
        <w:t xml:space="preserve"> </w:t>
      </w:r>
      <w:r>
        <w:t xml:space="preserve">substances and mixtures. CLP contains rules on how to classify chemicals. A classification</w:t>
      </w:r>
      <w:r>
        <w:t xml:space="preserve"> </w:t>
      </w:r>
      <w:r>
        <w:t xml:space="preserve">can be harmonised and applied across the EU to all duty holders. Such classification is</w:t>
      </w:r>
      <w:r>
        <w:t xml:space="preserve"> </w:t>
      </w:r>
      <w:r>
        <w:t xml:space="preserve">adopted at EU level according to a regulatory procedure. Where such harmonised</w:t>
      </w:r>
      <w:r>
        <w:t xml:space="preserve"> </w:t>
      </w:r>
      <w:r>
        <w:t xml:space="preserve">classification does not exist, duty holders have to assess and classify according to available</w:t>
      </w:r>
      <w:r>
        <w:t xml:space="preserve"> </w:t>
      </w:r>
      <w:r>
        <w:t xml:space="preserve">data (‘self-classification’).</w:t>
      </w:r>
      <w:r>
        <w:t xml:space="preserve"> </w:t>
      </w:r>
      <w:r>
        <w:t xml:space="preserve">The hazard classification determines, amongst others, the appropriate labelling and</w:t>
      </w:r>
      <w:r>
        <w:t xml:space="preserve"> </w:t>
      </w:r>
      <w:r>
        <w:t xml:space="preserve">packaging of the chemicals in the supply chain, in particular to protect workers, consumers</w:t>
      </w:r>
      <w:r>
        <w:t xml:space="preserve"> </w:t>
      </w:r>
      <w:r>
        <w:t xml:space="preserve">and the environment. Hazard communication also relies on notifications of substances</w:t>
      </w:r>
      <w:r>
        <w:t xml:space="preserve"> </w:t>
      </w:r>
      <w:r>
        <w:t xml:space="preserve">which are self-classified by industry and included in the CLP classification and labelling</w:t>
      </w:r>
      <w:r>
        <w:t xml:space="preserve"> </w:t>
      </w:r>
      <w:r>
        <w:t xml:space="preserve">inventory, a public database managed by ECHA. CLP also covers the notifications self-</w:t>
      </w:r>
      <w:r>
        <w:t xml:space="preserve"> </w:t>
      </w:r>
      <w:r>
        <w:t xml:space="preserve">classifications of mixtures of chemicals to poison centres, to provide adequate emergency</w:t>
      </w:r>
      <w:r>
        <w:t xml:space="preserve"> </w:t>
      </w:r>
      <w:r>
        <w:t xml:space="preserve">health response.</w:t>
      </w:r>
      <w:r>
        <w:br/>
      </w:r>
      <w:r>
        <w:t xml:space="preserve">CLP focuses on the identification and classification of the intrinsic hazards of chemicals,</w:t>
      </w:r>
      <w:r>
        <w:t xml:space="preserve"> </w:t>
      </w:r>
      <w:r>
        <w:t xml:space="preserve">i.e. the hazardous effects of chemicals on human health or the environment, and on</w:t>
      </w:r>
      <w:r>
        <w:t xml:space="preserve"> </w:t>
      </w:r>
      <w:r>
        <w:t xml:space="preserve">communicating them to users of chemicals and decision makers (consumers, industry and</w:t>
      </w:r>
      <w:r>
        <w:t xml:space="preserve"> </w:t>
      </w:r>
      <w:r>
        <w:t xml:space="preserve">authorities). Identifying the intrinsic hazardous properties of substances to derive a hazard</w:t>
      </w:r>
      <w:r>
        <w:t xml:space="preserve"> </w:t>
      </w:r>
      <w:r>
        <w:t xml:space="preserve">classification is the first step in assessing chemical risks. The second step aims at</w:t>
      </w:r>
      <w:r>
        <w:t xml:space="preserve"> </w:t>
      </w:r>
      <w:r>
        <w:t xml:space="preserve">quantifying at which dose the adverse effects happen, whose outcome is a reference value,</w:t>
      </w:r>
      <w:r>
        <w:t xml:space="preserve"> </w:t>
      </w:r>
      <w:r>
        <w:t xml:space="preserve">and is currently performed outside CLP. Risk management measures are adopted under</w:t>
      </w:r>
      <w:r>
        <w:t xml:space="preserve"> </w:t>
      </w:r>
      <w:r>
        <w:t xml:space="preserve">REACH and relevant sectorial pieces of legislation (e.g. cosmetics, toys, waste, detergents</w:t>
      </w:r>
      <w:r>
        <w:t xml:space="preserve"> </w:t>
      </w:r>
      <w:r>
        <w:t xml:space="preserve">etc.), see Figure 7 and Figure 8 below.</w:t>
      </w:r>
    </w:p>
    <w:p>
      <w:pPr>
        <w:pStyle w:val="BodyText"/>
      </w:pPr>
      <w:r>
        <w:t xml:space="preserve">Figure 7: Steps in risk assessment and related EU regulations. Steps in dark green are based on the intrinsic</w:t>
      </w:r>
      <w:r>
        <w:t xml:space="preserve"> </w:t>
      </w:r>
      <w:r>
        <w:t xml:space="preserve">properties of a chemical (hence covered by CLP), whereas the blue ones relate to the context of use (relevant for</w:t>
      </w:r>
      <w:r>
        <w:t xml:space="preserve"> </w:t>
      </w:r>
      <w:r>
        <w:t xml:space="preserve">REACH and other sectorial regulations). Deliverables are displayed in bubbles.259</w:t>
      </w:r>
    </w:p>
    <w:p>
      <w:pPr>
        <w:pStyle w:val="BodyText"/>
      </w:pPr>
      <w:r>
        <w:t xml:space="preserve">259 Source: Commission Staff Working Document - Impact Assessment Report - Accompanying the</w:t>
      </w:r>
      <w:r>
        <w:t xml:space="preserve"> </w:t>
      </w:r>
      <w:r>
        <w:t xml:space="preserve">document Proposal for a Regulation of the European Parliament and of the Council amending Regulation</w:t>
      </w:r>
      <w:r>
        <w:t xml:space="preserve"> </w:t>
      </w:r>
      <w:r>
        <w:t xml:space="preserve">(EC) No 1272/2008 of the European Parliament and of the Council on classification, labelling and packaging</w:t>
      </w:r>
      <w:r>
        <w:t xml:space="preserve"> </w:t>
      </w:r>
      <w:r>
        <w:t xml:space="preserve">of substances and mixtures {COM(2022) 748 final} - {SEC(2022) 452 final} - {SWD(2022) 434 final} -</w:t>
      </w:r>
      <w:r>
        <w:t xml:space="preserve"> </w:t>
      </w:r>
      <w:r>
        <w:t xml:space="preserve">{SWD(2022) 436 final}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126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CLP follows the United Nations’ Globally Harmonized System (GHS) of classification</w:t>
      </w:r>
      <w:r>
        <w:t xml:space="preserve"> </w:t>
      </w:r>
      <w:r>
        <w:t xml:space="preserve">and labelling of chemicals setting up criteria for classification and communication of</w:t>
      </w:r>
      <w:r>
        <w:t xml:space="preserve"> </w:t>
      </w:r>
      <w:r>
        <w:t xml:space="preserve">physicochemical, health, and environmental hazards. GHS is partly established on a</w:t>
      </w:r>
      <w:r>
        <w:t xml:space="preserve"> </w:t>
      </w:r>
      <w:r>
        <w:t xml:space="preserve">“building blocks” approach, whereby each jurisdiction has the option to implement a GHS</w:t>
      </w:r>
      <w:r>
        <w:t xml:space="preserve"> </w:t>
      </w:r>
      <w:r>
        <w:t xml:space="preserve">block into its own legislation260. So far, 83 countries worldwide implement the GHS261.</w:t>
      </w:r>
      <w:r>
        <w:t xml:space="preserve"> </w:t>
      </w:r>
      <w:r>
        <w:t xml:space="preserve">CLP implements the GHS criteria into EU legislation, but complements them with certain</w:t>
      </w:r>
      <w:r>
        <w:t xml:space="preserve"> </w:t>
      </w:r>
      <w:r>
        <w:t xml:space="preserve">elements from former EU legislation (Dangerous Substances Directive262 and Dangerous</w:t>
      </w:r>
      <w:r>
        <w:t xml:space="preserve"> </w:t>
      </w:r>
      <w:r>
        <w:t xml:space="preserve">Preparations Directive263).</w:t>
      </w:r>
    </w:p>
    <w:p>
      <w:pPr>
        <w:pStyle w:val="BodyText"/>
      </w:pPr>
      <w:r>
        <w:t xml:space="preserve">Figure 8: Mapping of the pieces of legislation according to the different steps of hazard and risk assessments264</w:t>
      </w:r>
      <w:r>
        <w:t xml:space="preserve"> </w:t>
      </w:r>
      <w:r>
        <w:t xml:space="preserve">2. MAIN STEPS IN LEGISLATING CHEMICALS: FROM HAZARD IDENTIFICATION TO</w:t>
      </w:r>
      <w:r>
        <w:t xml:space="preserve"> </w:t>
      </w:r>
      <w:r>
        <w:t xml:space="preserve">RISK MANAGEMENT MEASURE</w:t>
      </w:r>
      <w:r>
        <w:br/>
      </w:r>
      <w:r>
        <w:t xml:space="preserve">Chemical risk assessment involves the analysis of the inherent hazardous properties of a</w:t>
      </w:r>
      <w:r>
        <w:t xml:space="preserve"> </w:t>
      </w:r>
      <w:r>
        <w:t xml:space="preserve">substance or a mixture and the extent of exposure to that substance or mixture. The human</w:t>
      </w:r>
      <w:r>
        <w:t xml:space="preserve"> </w:t>
      </w:r>
      <w:r>
        <w:t xml:space="preserve">health and environmental risks related to exposure to hazardous chemicals are addressed</w:t>
      </w:r>
      <w:r>
        <w:t xml:space="preserve"> </w:t>
      </w:r>
      <w:r>
        <w:t xml:space="preserve">via the hazard and risk assessment procedures and requirements set out in the different key</w:t>
      </w:r>
      <w:r>
        <w:t xml:space="preserve"> </w:t>
      </w:r>
      <w:r>
        <w:t xml:space="preserve">pieces of the EU chemicals legislation such as the CLP, the Plant Protection Products and</w:t>
      </w:r>
      <w:r>
        <w:t xml:space="preserve"> </w:t>
      </w:r>
      <w:r>
        <w:t xml:space="preserve">Biocidal Products Regulations, etc.</w:t>
      </w:r>
      <w:r>
        <w:br/>
      </w:r>
      <w:r>
        <w:t xml:space="preserve">The main steps of these procedures involve (see figure 7 above):</w:t>
      </w:r>
      <w:r>
        <w:br/>
      </w:r>
      <w:r>
        <w:t xml:space="preserve"> hazard identification (based on toxicity tests and other relevant information);</w:t>
      </w:r>
      <w:r>
        <w:br/>
      </w:r>
      <w:r>
        <w:t xml:space="preserve"> dose (concentration) – response (effect) assessment;</w:t>
      </w:r>
      <w:r>
        <w:br/>
      </w:r>
      <w:r>
        <w:t xml:space="preserve"> exposure assessment – exposure scenarios (based on models and measurements of the</w:t>
      </w:r>
      <w:r>
        <w:t xml:space="preserve"> </w:t>
      </w:r>
      <w:r>
        <w:t xml:space="preserve">occurrence of the chemical);</w:t>
      </w:r>
      <w:r>
        <w:br/>
      </w:r>
      <w:r>
        <w:t xml:space="preserve"> risk characterisation; and</w:t>
      </w:r>
      <w:r>
        <w:br/>
      </w:r>
      <w:r>
        <w:t xml:space="preserve"> risk estimation.</w:t>
      </w:r>
    </w:p>
    <w:p>
      <w:pPr>
        <w:pStyle w:val="BodyText"/>
      </w:pPr>
      <w:r>
        <w:t xml:space="preserve">260 Global implementation map of GHS, September 2021.</w:t>
      </w:r>
      <w:r>
        <w:br/>
      </w:r>
      <w:r>
        <w:t xml:space="preserve">261 GHS Implementation, last updated 19 October 2021.</w:t>
      </w:r>
      <w:r>
        <w:br/>
      </w:r>
      <w:r>
        <w:t xml:space="preserve">262 Directive 67/548/EEC.</w:t>
      </w:r>
      <w:r>
        <w:t xml:space="preserve"> </w:t>
      </w:r>
      <w:r>
        <w:t xml:space="preserve">263 Directive 1999/45/EC.</w:t>
      </w:r>
      <w:r>
        <w:t xml:space="preserve"> </w:t>
      </w:r>
      <w:r>
        <w:t xml:space="preserve">264 Commission SWD- Impact assessment report on the revision of the CLP Regulation, see footnote 259</w:t>
      </w:r>
      <w:r>
        <w:t xml:space="preserve"> </w:t>
      </w:r>
      <w:r>
        <w:t xml:space="preserve">above.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127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Risk management measures – which can be policy-based and/or technical in nature - are</w:t>
      </w:r>
      <w:r>
        <w:t xml:space="preserve"> </w:t>
      </w:r>
      <w:r>
        <w:t xml:space="preserve">then decided in light of the identified hazards and/or risks. Risk management measures can</w:t>
      </w:r>
      <w:r>
        <w:t xml:space="preserve"> </w:t>
      </w:r>
      <w:r>
        <w:t xml:space="preserve">range from (and involve a mix of) a total ban to any condition to the manufacture, use or</w:t>
      </w:r>
      <w:r>
        <w:t xml:space="preserve"> </w:t>
      </w:r>
      <w:r>
        <w:t xml:space="preserve">placing on the market of chemicals (such as setting emission/concentration/migration</w:t>
      </w:r>
      <w:r>
        <w:t xml:space="preserve"> </w:t>
      </w:r>
      <w:r>
        <w:t xml:space="preserve">limits, obligations to communicate hazards and risks, labelling requirements, obligations</w:t>
      </w:r>
      <w:r>
        <w:t xml:space="preserve"> </w:t>
      </w:r>
      <w:r>
        <w:t xml:space="preserve">to use personal protection equipment, etc.).</w:t>
      </w:r>
      <w:r>
        <w:br/>
      </w:r>
      <w:r>
        <w:t xml:space="preserve">3. RISK MANAGEMENT APPROACHES</w:t>
      </w:r>
      <w:r>
        <w:br/>
      </w:r>
      <w:r>
        <w:t xml:space="preserve">There are two basic approaches to risk management often used in combination, in the EU</w:t>
      </w:r>
      <w:r>
        <w:t xml:space="preserve"> </w:t>
      </w:r>
      <w:r>
        <w:t xml:space="preserve">chemicals acquis: one based on specific risk assessment (SRA) and the other one based on</w:t>
      </w:r>
      <w:r>
        <w:t xml:space="preserve"> </w:t>
      </w:r>
      <w:r>
        <w:t xml:space="preserve">generic risk management approach (GRA). The main difference between these two</w:t>
      </w:r>
      <w:r>
        <w:t xml:space="preserve"> </w:t>
      </w:r>
      <w:r>
        <w:t xml:space="preserve">approaches is the point in time when the exposure assessment is considered and the</w:t>
      </w:r>
      <w:r>
        <w:t xml:space="preserve"> </w:t>
      </w:r>
      <w:r>
        <w:t xml:space="preserve">specificity of the exposure assessment. For risk management based on GRA, the potential</w:t>
      </w:r>
      <w:r>
        <w:t xml:space="preserve"> </w:t>
      </w:r>
      <w:r>
        <w:t xml:space="preserve">exposures and risks are considered generically, prior to the adoption of legislation. The</w:t>
      </w:r>
      <w:r>
        <w:t xml:space="preserve"> </w:t>
      </w:r>
      <w:r>
        <w:t xml:space="preserve">GRA is built into the legislation in the form of an automatic trigger of pre-determined risk</w:t>
      </w:r>
      <w:r>
        <w:t xml:space="preserve"> </w:t>
      </w:r>
      <w:r>
        <w:t xml:space="preserve">management measures (e.g. packaging requirement, communication requirement,</w:t>
      </w:r>
      <w:r>
        <w:t xml:space="preserve"> </w:t>
      </w:r>
      <w:r>
        <w:t xml:space="preserve">restrictions, bans, etc.) based on the hazardous properties of the chemical, without the need</w:t>
      </w:r>
      <w:r>
        <w:t xml:space="preserve"> </w:t>
      </w:r>
      <w:r>
        <w:t xml:space="preserve">or possibility to assess and take into account specific exposure levels for a specific situation</w:t>
      </w:r>
      <w:r>
        <w:t xml:space="preserve"> </w:t>
      </w:r>
      <w:r>
        <w:t xml:space="preserve">or use. One could also note that even when the GRC approach is applied, a specific risk</w:t>
      </w:r>
      <w:r>
        <w:t xml:space="preserve"> </w:t>
      </w:r>
      <w:r>
        <w:t xml:space="preserve">assessment in some cases will still be carried out including when considering a possible</w:t>
      </w:r>
      <w:r>
        <w:t xml:space="preserve"> </w:t>
      </w:r>
      <w:r>
        <w:t xml:space="preserve">derogation from an automatically triggered measure. For example, this is the approach the</w:t>
      </w:r>
      <w:r>
        <w:t xml:space="preserve"> </w:t>
      </w:r>
      <w:r>
        <w:t xml:space="preserve">TSD currently follows as regards any substance classified as CMR 11 categories 1A/B and</w:t>
      </w:r>
      <w:r>
        <w:t xml:space="preserve"> </w:t>
      </w:r>
      <w:r>
        <w:t xml:space="preserve">2 which is banned from use in toys (subject to strict derogations). Similar approaches have</w:t>
      </w:r>
      <w:r>
        <w:t xml:space="preserve"> </w:t>
      </w:r>
      <w:r>
        <w:t xml:space="preserve">been taken for active ingredients in plant protection products and biocides, in cosmetics,</w:t>
      </w:r>
      <w:r>
        <w:t xml:space="preserve"> </w:t>
      </w:r>
      <w:r>
        <w:t xml:space="preserve">etc.</w:t>
      </w:r>
      <w:r>
        <w:br/>
      </w:r>
      <w:r>
        <w:t xml:space="preserve">The decision to link particular hazard properties (e.g. CMR, persistent bioaccumulative</w:t>
      </w:r>
      <w:r>
        <w:t xml:space="preserve"> </w:t>
      </w:r>
      <w:r>
        <w:t xml:space="preserve">and toxic substances (PBTs), endocrine disruptors (EDs)) to automatic risk management</w:t>
      </w:r>
      <w:r>
        <w:t xml:space="preserve"> </w:t>
      </w:r>
      <w:r>
        <w:t xml:space="preserve">measures without the intervening step of a specific risk assessment is done on the basis of</w:t>
      </w:r>
      <w:r>
        <w:t xml:space="preserve"> </w:t>
      </w:r>
      <w:r>
        <w:t xml:space="preserve">generic risk consideration without prejudice to performing also a full risk assessment for</w:t>
      </w:r>
      <w:r>
        <w:t xml:space="preserve"> </w:t>
      </w:r>
      <w:r>
        <w:t xml:space="preserve">the other properties of the substances which are not linked to the related hazard properties.</w:t>
      </w:r>
      <w:r>
        <w:br/>
      </w:r>
      <w:r>
        <w:t xml:space="preserve">In the legislation evaluated in the Fitness Check on chemicals legislation excluding</w:t>
      </w:r>
      <w:r>
        <w:t xml:space="preserve"> </w:t>
      </w:r>
      <w:r>
        <w:t xml:space="preserve">REACH265, the generic risk consideration approach was found to be typically applied for</w:t>
      </w:r>
      <w:r>
        <w:t xml:space="preserve"> </w:t>
      </w:r>
      <w:r>
        <w:t xml:space="preserve">the following use applications and the following substances:</w:t>
      </w:r>
      <w:r>
        <w:br/>
      </w:r>
      <w:r>
        <w:t xml:space="preserve">Use applications:</w:t>
      </w:r>
      <w:r>
        <w:br/>
      </w:r>
      <w:r>
        <w:t xml:space="preserve"> when there is a need to obtain and pass on information to enable [further/specific] risk</w:t>
      </w:r>
      <w:r>
        <w:t xml:space="preserve"> </w:t>
      </w:r>
      <w:r>
        <w:t xml:space="preserve">assessment or risk management (e.g. labelling obligations under the CLP, labelling</w:t>
      </w:r>
      <w:r>
        <w:t xml:space="preserve"> </w:t>
      </w:r>
      <w:r>
        <w:t xml:space="preserve">requirements and use instructions under the Plant Protection Products and the Biocidal</w:t>
      </w:r>
      <w:r>
        <w:t xml:space="preserve"> </w:t>
      </w:r>
      <w:r>
        <w:t xml:space="preserve">Products Regulations).</w:t>
      </w:r>
      <w:r>
        <w:br/>
      </w:r>
      <w:r>
        <w:t xml:space="preserve"> for use in widely dispersive or open applications which result in a significant exposure</w:t>
      </w:r>
      <w:r>
        <w:t xml:space="preserve"> </w:t>
      </w:r>
      <w:r>
        <w:t xml:space="preserve">of humans or the environment (e.g. plant protection products).</w:t>
      </w:r>
    </w:p>
    <w:p>
      <w:pPr>
        <w:pStyle w:val="BodyText"/>
      </w:pPr>
      <w:r>
        <w:t xml:space="preserve">265 SWD(2019) 199. See section 2.1.5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128</w:t>
      </w:r>
      <w:r>
        <w:t xml:space="preserve"> </w:t>
      </w:r>
      <w:r>
        <w:t xml:space="preserve">EN</w:t>
      </w:r>
      <w:r>
        <w:t xml:space="preserve"> </w:t>
      </w:r>
      <w:r>
        <w:t xml:space="preserve"> for use in applications where the exposure is considered to be more difficult to control</w:t>
      </w:r>
      <w:r>
        <w:t xml:space="preserve"> </w:t>
      </w:r>
      <w:r>
        <w:t xml:space="preserve">and monitor (e.g. plant protection products).</w:t>
      </w:r>
      <w:r>
        <w:br/>
      </w:r>
      <w:r>
        <w:t xml:space="preserve"> for use in applications resulting in exposure of vulnerable groups (e.g. children).</w:t>
      </w:r>
      <w:r>
        <w:br/>
      </w:r>
      <w:r>
        <w:t xml:space="preserve"> for use to prioritise the risk assessment of certain chemicals and under certain conditions</w:t>
      </w:r>
      <w:r>
        <w:t xml:space="preserve"> </w:t>
      </w:r>
      <w:r>
        <w:t xml:space="preserve">(e.g. food contact materials)</w:t>
      </w:r>
    </w:p>
    <w:p>
      <w:pPr>
        <w:pStyle w:val="BodyText"/>
      </w:pPr>
      <w:r>
        <w:t xml:space="preserve">Substances:</w:t>
      </w:r>
      <w:r>
        <w:br/>
      </w:r>
      <w:r>
        <w:t xml:space="preserve"> for substances with hazard properties that result in severe adverse effects on human health</w:t>
      </w:r>
      <w:r>
        <w:t xml:space="preserve"> </w:t>
      </w:r>
      <w:r>
        <w:t xml:space="preserve">or the environment should exposures occur (e.g. CMRs, PBTs, EDs, chemicals with Single</w:t>
      </w:r>
      <w:r>
        <w:t xml:space="preserve"> </w:t>
      </w:r>
      <w:r>
        <w:t xml:space="preserve">Target Organ Toxicity (STOT) properties); and</w:t>
      </w:r>
      <w:r>
        <w:br/>
      </w:r>
      <w:r>
        <w:t xml:space="preserve"> for substances where it is difficult/impossible to identify a safe threshold and, therefore,</w:t>
      </w:r>
      <w:r>
        <w:t xml:space="preserve"> </w:t>
      </w:r>
      <w:r>
        <w:t xml:space="preserve">where most specific risk assessments are likely to identify risks that lead to a need for risk</w:t>
      </w:r>
      <w:r>
        <w:t xml:space="preserve"> </w:t>
      </w:r>
      <w:r>
        <w:t xml:space="preserve">management measures (e.g. PBTs, vPvBs, respiratory sensitizers).</w:t>
      </w:r>
    </w:p>
    <w:p>
      <w:pPr>
        <w:pStyle w:val="BodyText"/>
      </w:pPr>
      <w:r>
        <w:t xml:space="preserve">On the other hand, in the case of the specific risk assessment approach, the exposure</w:t>
      </w:r>
      <w:r>
        <w:t xml:space="preserve"> </w:t>
      </w:r>
      <w:r>
        <w:t xml:space="preserve">assessment is performed on a case-by-case basis when each substance is risk assessed</w:t>
      </w:r>
      <w:r>
        <w:t xml:space="preserve"> </w:t>
      </w:r>
      <w:r>
        <w:t xml:space="preserve">under a specific legal framework. The risk management measures are triggered based on</w:t>
      </w:r>
      <w:r>
        <w:t xml:space="preserve"> </w:t>
      </w:r>
      <w:r>
        <w:t xml:space="preserve">the outcomes of the specific risk assessment which considers the use of the substances and</w:t>
      </w:r>
      <w:r>
        <w:t xml:space="preserve"> </w:t>
      </w:r>
      <w:r>
        <w:t xml:space="preserve">in which both the hazards and the potential specific exposure scenarios for humans and the</w:t>
      </w:r>
      <w:r>
        <w:t xml:space="preserve"> </w:t>
      </w:r>
      <w:r>
        <w:t xml:space="preserve">environment to the hazardous substance or mixture in question are assessed at the same</w:t>
      </w:r>
      <w:r>
        <w:t xml:space="preserve"> </w:t>
      </w:r>
      <w:r>
        <w:t xml:space="preserve">time. The specific risk assessment approach is used more widely for uses which are not</w:t>
      </w:r>
      <w:r>
        <w:t xml:space="preserve"> </w:t>
      </w:r>
      <w:r>
        <w:t xml:space="preserve">necessarily or obviously going to lead to widespread and difficult to control exposures</w:t>
      </w:r>
      <w:r>
        <w:t xml:space="preserve"> </w:t>
      </w:r>
      <w:r>
        <w:t xml:space="preserve">and/or where the hazard properties of a substance are of less concern. In many instances,</w:t>
      </w:r>
      <w:r>
        <w:t xml:space="preserve"> </w:t>
      </w:r>
      <w:r>
        <w:t xml:space="preserve">individual pieces of chemicals legislation use a combination of both of these approaches.</w:t>
      </w:r>
      <w:r>
        <w:t xml:space="preserve"> </w:t>
      </w:r>
      <w:r>
        <w:t xml:space="preserve">For example, the current TSD applies the specific risk management approach to establish</w:t>
      </w:r>
      <w:r>
        <w:t xml:space="preserve"> </w:t>
      </w:r>
      <w:r>
        <w:t xml:space="preserve">limit values for certain substances in toys intended for children under 36 months or to be</w:t>
      </w:r>
      <w:r>
        <w:t xml:space="preserve"> </w:t>
      </w:r>
      <w:r>
        <w:t xml:space="preserve">put in the mouth. In addition, for substances identified and classified as a CMRs categories</w:t>
      </w:r>
      <w:r>
        <w:t xml:space="preserve"> </w:t>
      </w:r>
      <w:r>
        <w:t xml:space="preserve">1A/B and 2, the generic risk management approach is applied (such substances shall be</w:t>
      </w:r>
      <w:r>
        <w:t xml:space="preserve"> </w:t>
      </w:r>
      <w:r>
        <w:t xml:space="preserve">banned and cannot, therefore, be used in toys subject to strict derogations).</w:t>
      </w:r>
      <w:r>
        <w:t xml:space="preserve"> </w:t>
      </w:r>
      <w:r>
        <w:t xml:space="preserve">Overall, findings of the Fitness Check in section 5.2.7 show that both the GRC and SRA</w:t>
      </w:r>
      <w:r>
        <w:t xml:space="preserve"> </w:t>
      </w:r>
      <w:r>
        <w:t xml:space="preserve">have their role to play in the EU chemicals legislative framework and that the current</w:t>
      </w:r>
      <w:r>
        <w:t xml:space="preserve"> </w:t>
      </w:r>
      <w:r>
        <w:t xml:space="preserve">balance between the use of generic and specific risk management approaches works well,</w:t>
      </w:r>
      <w:r>
        <w:t xml:space="preserve"> </w:t>
      </w:r>
      <w:r>
        <w:t xml:space="preserve">each under particular circumstances:</w:t>
      </w:r>
    </w:p>
    <w:p>
      <w:pPr>
        <w:pStyle w:val="BodyText"/>
      </w:pPr>
      <w:r>
        <w:t xml:space="preserve">Advantages</w:t>
      </w:r>
      <w:r>
        <w:t xml:space="preserve"> </w:t>
      </w:r>
      <w:r>
        <w:t xml:space="preserve">Drawbacks</w:t>
      </w:r>
      <w:r>
        <w:t xml:space="preserve"> </w:t>
      </w:r>
      <w:r>
        <w:t xml:space="preserve">Generic</w:t>
      </w:r>
      <w:r>
        <w:t xml:space="preserve"> </w:t>
      </w:r>
      <w:r>
        <w:t xml:space="preserve">Risk</w:t>
      </w:r>
      <w:r>
        <w:t xml:space="preserve"> </w:t>
      </w:r>
      <w:r>
        <w:t xml:space="preserve">Approach (GRA)</w:t>
      </w:r>
      <w:r>
        <w:t xml:space="preserve"> </w:t>
      </w:r>
      <w:r>
        <w:t xml:space="preserve">Provide a clear signal to all the</w:t>
      </w:r>
      <w:r>
        <w:t xml:space="preserve"> </w:t>
      </w:r>
      <w:r>
        <w:t xml:space="preserve">actors involved (enforcement</w:t>
      </w:r>
      <w:r>
        <w:t xml:space="preserve"> </w:t>
      </w:r>
      <w:r>
        <w:t xml:space="preserve">authorities,</w:t>
      </w:r>
      <w:r>
        <w:t xml:space="preserve"> </w:t>
      </w:r>
      <w:r>
        <w:t xml:space="preserve">industry</w:t>
      </w:r>
      <w:r>
        <w:t xml:space="preserve"> </w:t>
      </w:r>
      <w:r>
        <w:t xml:space="preserve">and</w:t>
      </w:r>
      <w:r>
        <w:t xml:space="preserve"> </w:t>
      </w:r>
      <w:r>
        <w:t xml:space="preserve">downstream users) on the types</w:t>
      </w:r>
      <w:r>
        <w:t xml:space="preserve"> </w:t>
      </w:r>
      <w:r>
        <w:t xml:space="preserve">of hazardous substances which</w:t>
      </w:r>
      <w:r>
        <w:t xml:space="preserve"> </w:t>
      </w:r>
      <w:r>
        <w:t xml:space="preserve">should be avoided</w:t>
      </w:r>
      <w:r>
        <w:t xml:space="preserve"> </w:t>
      </w:r>
      <w:r>
        <w:t xml:space="preserve">Automatically triggered risk</w:t>
      </w:r>
      <w:r>
        <w:t xml:space="preserve"> </w:t>
      </w:r>
      <w:r>
        <w:t xml:space="preserve">management measures may</w:t>
      </w:r>
      <w:r>
        <w:t xml:space="preserve"> </w:t>
      </w:r>
      <w:r>
        <w:t xml:space="preserve">lead</w:t>
      </w:r>
      <w:r>
        <w:t xml:space="preserve"> </w:t>
      </w:r>
      <w:r>
        <w:t xml:space="preserve">to</w:t>
      </w:r>
      <w:r>
        <w:t xml:space="preserve"> </w:t>
      </w:r>
      <w:r>
        <w:t xml:space="preserve">disproportionate</w:t>
      </w:r>
      <w:r>
        <w:t xml:space="preserve"> </w:t>
      </w:r>
      <w:r>
        <w:t xml:space="preserve">outcomes</w:t>
      </w:r>
      <w:r>
        <w:t xml:space="preserve"> </w:t>
      </w:r>
      <w:r>
        <w:t xml:space="preserve">and</w:t>
      </w:r>
      <w:r>
        <w:t xml:space="preserve"> </w:t>
      </w:r>
      <w:r>
        <w:t xml:space="preserve">unintended</w:t>
      </w:r>
      <w:r>
        <w:t xml:space="preserve"> </w:t>
      </w:r>
      <w:r>
        <w:t xml:space="preserve">(legal and/or socio-economic)</w:t>
      </w:r>
      <w:r>
        <w:t xml:space="preserve"> </w:t>
      </w:r>
      <w:r>
        <w:t xml:space="preserve">consequences if a mechanism</w:t>
      </w:r>
      <w:r>
        <w:t xml:space="preserve"> </w:t>
      </w:r>
      <w:r>
        <w:t xml:space="preserve">for derogation is absent or not</w:t>
      </w:r>
      <w:r>
        <w:t xml:space="preserve"> </w:t>
      </w:r>
      <w:r>
        <w:t xml:space="preserve">appropriate</w:t>
      </w:r>
      <w:r>
        <w:t xml:space="preserve"> </w:t>
      </w:r>
      <w:r>
        <w:t xml:space="preserve">The outcome of the risk</w:t>
      </w:r>
      <w:r>
        <w:t xml:space="preserve"> </w:t>
      </w:r>
      <w:r>
        <w:t xml:space="preserve">management decision making</w:t>
      </w:r>
      <w:r>
        <w:t xml:space="preserve"> </w:t>
      </w:r>
      <w:r>
        <w:t xml:space="preserve">process is more predictable</w:t>
      </w:r>
      <w:r>
        <w:t xml:space="preserve"> </w:t>
      </w:r>
      <w:r>
        <w:t xml:space="preserve">(compared to SRA)</w:t>
      </w:r>
      <w:r>
        <w:t xml:space="preserve"> </w:t>
      </w:r>
      <w:r>
        <w:t xml:space="preserve">Potential</w:t>
      </w:r>
      <w:r>
        <w:t xml:space="preserve"> </w:t>
      </w:r>
      <w:r>
        <w:t xml:space="preserve">consequences</w:t>
      </w:r>
      <w:r>
        <w:t xml:space="preserve"> </w:t>
      </w:r>
      <w:r>
        <w:t xml:space="preserve">of</w:t>
      </w:r>
      <w:r>
        <w:t xml:space="preserve"> </w:t>
      </w:r>
      <w:r>
        <w:t xml:space="preserve">automatically</w:t>
      </w:r>
      <w:r>
        <w:t xml:space="preserve"> </w:t>
      </w:r>
      <w:r>
        <w:t xml:space="preserve">triggered</w:t>
      </w:r>
      <w:r>
        <w:t xml:space="preserve"> </w:t>
      </w:r>
      <w:r>
        <w:t xml:space="preserve">measures</w:t>
      </w:r>
      <w:r>
        <w:t xml:space="preserve"> </w:t>
      </w:r>
      <w:r>
        <w:t xml:space="preserve">in</w:t>
      </w:r>
      <w:r>
        <w:t xml:space="preserve"> </w:t>
      </w:r>
      <w:r>
        <w:t xml:space="preserve">downstream</w:t>
      </w:r>
      <w:r>
        <w:t xml:space="preserve"> </w:t>
      </w:r>
      <w:r>
        <w:t xml:space="preserve">legislation might influence the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129</w:t>
      </w:r>
      <w:r>
        <w:t xml:space="preserve"> </w:t>
      </w:r>
      <w:r>
        <w:t xml:space="preserve">EN</w:t>
      </w:r>
      <w:r>
        <w:t xml:space="preserve"> </w:t>
      </w:r>
      <w:r>
        <w:t xml:space="preserve">upstream</w:t>
      </w:r>
      <w:r>
        <w:t xml:space="preserve"> </w:t>
      </w:r>
      <w:r>
        <w:t xml:space="preserve">scientific</w:t>
      </w:r>
      <w:r>
        <w:t xml:space="preserve"> </w:t>
      </w:r>
      <w:r>
        <w:t xml:space="preserve">debate</w:t>
      </w:r>
      <w:r>
        <w:t xml:space="preserve"> </w:t>
      </w:r>
      <w:r>
        <w:t xml:space="preserve">leading to the classification</w:t>
      </w:r>
      <w:r>
        <w:t xml:space="preserve"> </w:t>
      </w:r>
      <w:r>
        <w:t xml:space="preserve">Might be more appropriate for</w:t>
      </w:r>
      <w:r>
        <w:t xml:space="preserve"> </w:t>
      </w:r>
      <w:r>
        <w:t xml:space="preserve">substances of higher concern</w:t>
      </w:r>
      <w:r>
        <w:t xml:space="preserve"> </w:t>
      </w:r>
      <w:r>
        <w:t xml:space="preserve">and</w:t>
      </w:r>
      <w:r>
        <w:t xml:space="preserve"> </w:t>
      </w:r>
      <w:r>
        <w:t xml:space="preserve">where</w:t>
      </w:r>
      <w:r>
        <w:t xml:space="preserve"> </w:t>
      </w:r>
      <w:r>
        <w:t xml:space="preserve">vulnerable</w:t>
      </w:r>
      <w:r>
        <w:t xml:space="preserve"> </w:t>
      </w:r>
      <w:r>
        <w:t xml:space="preserve">populations are at risk and/or</w:t>
      </w:r>
      <w:r>
        <w:t xml:space="preserve"> </w:t>
      </w:r>
      <w:r>
        <w:t xml:space="preserve">cannot be protected through</w:t>
      </w:r>
      <w:r>
        <w:t xml:space="preserve"> </w:t>
      </w:r>
      <w:r>
        <w:t xml:space="preserve">e.g. training or protection</w:t>
      </w:r>
      <w:r>
        <w:t xml:space="preserve"> </w:t>
      </w:r>
      <w:r>
        <w:t xml:space="preserve">equipment (e.g. children under</w:t>
      </w:r>
      <w:r>
        <w:t xml:space="preserve"> </w:t>
      </w:r>
      <w:r>
        <w:t xml:space="preserve">the Toy Safety Directive)</w:t>
      </w:r>
      <w:r>
        <w:t xml:space="preserve"> </w:t>
      </w:r>
      <w:r>
        <w:t xml:space="preserve">Less</w:t>
      </w:r>
      <w:r>
        <w:t xml:space="preserve"> </w:t>
      </w:r>
      <w:r>
        <w:t xml:space="preserve">appropriate</w:t>
      </w:r>
      <w:r>
        <w:t xml:space="preserve"> </w:t>
      </w:r>
      <w:r>
        <w:t xml:space="preserve">where</w:t>
      </w:r>
      <w:r>
        <w:t xml:space="preserve"> </w:t>
      </w:r>
      <w:r>
        <w:t xml:space="preserve">exposures are minimal or</w:t>
      </w:r>
      <w:r>
        <w:t xml:space="preserve"> </w:t>
      </w:r>
      <w:r>
        <w:t xml:space="preserve">would not occur through the</w:t>
      </w:r>
      <w:r>
        <w:t xml:space="preserve"> </w:t>
      </w:r>
      <w:r>
        <w:t xml:space="preserve">route of exposure of concern</w:t>
      </w:r>
      <w:r>
        <w:t xml:space="preserve"> </w:t>
      </w:r>
      <w:r>
        <w:t xml:space="preserve">and therefore can lead to over-</w:t>
      </w:r>
      <w:r>
        <w:t xml:space="preserve"> </w:t>
      </w:r>
      <w:r>
        <w:t xml:space="preserve">regulation</w:t>
      </w:r>
      <w:r>
        <w:t xml:space="preserve"> </w:t>
      </w:r>
      <w:r>
        <w:t xml:space="preserve">for</w:t>
      </w:r>
      <w:r>
        <w:t xml:space="preserve"> </w:t>
      </w:r>
      <w:r>
        <w:t xml:space="preserve">non-relevant</w:t>
      </w:r>
      <w:r>
        <w:t xml:space="preserve"> </w:t>
      </w:r>
      <w:r>
        <w:t xml:space="preserve">routes of exposure</w:t>
      </w:r>
      <w:r>
        <w:t xml:space="preserve"> </w:t>
      </w:r>
      <w:r>
        <w:t xml:space="preserve">Specific</w:t>
      </w:r>
      <w:r>
        <w:t xml:space="preserve"> </w:t>
      </w:r>
      <w:r>
        <w:t xml:space="preserve">Risk</w:t>
      </w:r>
      <w:r>
        <w:t xml:space="preserve"> </w:t>
      </w:r>
      <w:r>
        <w:t xml:space="preserve">Assessments (SRA)</w:t>
      </w:r>
      <w:r>
        <w:t xml:space="preserve"> </w:t>
      </w:r>
      <w:r>
        <w:t xml:space="preserve">Allow</w:t>
      </w:r>
      <w:r>
        <w:t xml:space="preserve"> </w:t>
      </w:r>
      <w:r>
        <w:t xml:space="preserve">more</w:t>
      </w:r>
      <w:r>
        <w:t xml:space="preserve"> </w:t>
      </w:r>
      <w:r>
        <w:t xml:space="preserve">targeted</w:t>
      </w:r>
      <w:r>
        <w:t xml:space="preserve"> </w:t>
      </w:r>
      <w:r>
        <w:t xml:space="preserve">and</w:t>
      </w:r>
      <w:r>
        <w:t xml:space="preserve"> </w:t>
      </w:r>
      <w:r>
        <w:t xml:space="preserve">differentiated consideration of</w:t>
      </w:r>
      <w:r>
        <w:t xml:space="preserve"> </w:t>
      </w:r>
      <w:r>
        <w:t xml:space="preserve">exposures and thus risks and</w:t>
      </w:r>
      <w:r>
        <w:t xml:space="preserve"> </w:t>
      </w:r>
      <w:r>
        <w:t xml:space="preserve">therefore</w:t>
      </w:r>
      <w:r>
        <w:t xml:space="preserve"> </w:t>
      </w:r>
      <w:r>
        <w:t xml:space="preserve">more</w:t>
      </w:r>
      <w:r>
        <w:t xml:space="preserve"> </w:t>
      </w:r>
      <w:r>
        <w:t xml:space="preserve">appropriate</w:t>
      </w:r>
      <w:r>
        <w:t xml:space="preserve"> </w:t>
      </w:r>
      <w:r>
        <w:t xml:space="preserve">identification of actual risks</w:t>
      </w:r>
      <w:r>
        <w:t xml:space="preserve"> </w:t>
      </w:r>
      <w:r>
        <w:t xml:space="preserve">and</w:t>
      </w:r>
      <w:r>
        <w:t xml:space="preserve"> </w:t>
      </w:r>
      <w:r>
        <w:t xml:space="preserve">of</w:t>
      </w:r>
      <w:r>
        <w:t xml:space="preserve"> </w:t>
      </w:r>
      <w:r>
        <w:t xml:space="preserve">risk</w:t>
      </w:r>
      <w:r>
        <w:t xml:space="preserve"> </w:t>
      </w:r>
      <w:r>
        <w:t xml:space="preserve">management</w:t>
      </w:r>
      <w:r>
        <w:t xml:space="preserve"> </w:t>
      </w:r>
      <w:r>
        <w:t xml:space="preserve">measures</w:t>
      </w:r>
      <w:r>
        <w:t xml:space="preserve"> </w:t>
      </w:r>
      <w:r>
        <w:t xml:space="preserve">The process might be slower</w:t>
      </w:r>
      <w:r>
        <w:t xml:space="preserve"> </w:t>
      </w:r>
      <w:r>
        <w:t xml:space="preserve">compared to GRA and often</w:t>
      </w:r>
      <w:r>
        <w:t xml:space="preserve"> </w:t>
      </w:r>
      <w:r>
        <w:t xml:space="preserve">more costly</w:t>
      </w:r>
      <w:r>
        <w:t xml:space="preserve"> </w:t>
      </w:r>
      <w:r>
        <w:t xml:space="preserve">Allow</w:t>
      </w:r>
      <w:r>
        <w:t xml:space="preserve"> </w:t>
      </w:r>
      <w:r>
        <w:t xml:space="preserve">more</w:t>
      </w:r>
      <w:r>
        <w:t xml:space="preserve"> </w:t>
      </w:r>
      <w:r>
        <w:t xml:space="preserve">targeted</w:t>
      </w:r>
      <w:r>
        <w:t xml:space="preserve"> </w:t>
      </w:r>
      <w:r>
        <w:t xml:space="preserve">consideration of costs and</w:t>
      </w:r>
      <w:r>
        <w:t xml:space="preserve"> </w:t>
      </w:r>
      <w:r>
        <w:t xml:space="preserve">benefits</w:t>
      </w:r>
      <w:r>
        <w:t xml:space="preserve"> </w:t>
      </w:r>
      <w:r>
        <w:t xml:space="preserve">of</w:t>
      </w:r>
      <w:r>
        <w:t xml:space="preserve"> </w:t>
      </w:r>
      <w:r>
        <w:t xml:space="preserve">various</w:t>
      </w:r>
      <w:r>
        <w:t xml:space="preserve"> </w:t>
      </w:r>
      <w:r>
        <w:t xml:space="preserve">risk</w:t>
      </w:r>
      <w:r>
        <w:t xml:space="preserve"> </w:t>
      </w:r>
      <w:r>
        <w:t xml:space="preserve">management options</w:t>
      </w:r>
      <w:r>
        <w:t xml:space="preserve"> </w:t>
      </w:r>
      <w:r>
        <w:t xml:space="preserve">Predictability</w:t>
      </w:r>
      <w:r>
        <w:t xml:space="preserve"> </w:t>
      </w:r>
      <w:r>
        <w:t xml:space="preserve">of</w:t>
      </w:r>
      <w:r>
        <w:t xml:space="preserve"> </w:t>
      </w:r>
      <w:r>
        <w:t xml:space="preserve">risk</w:t>
      </w:r>
      <w:r>
        <w:t xml:space="preserve"> </w:t>
      </w:r>
      <w:r>
        <w:t xml:space="preserve">management decisions can be</w:t>
      </w:r>
      <w:r>
        <w:t xml:space="preserve"> </w:t>
      </w:r>
      <w:r>
        <w:t xml:space="preserve">more difficult</w:t>
      </w:r>
    </w:p>
    <w:p>
      <w:pPr>
        <w:pStyle w:val="BodyText"/>
      </w:pPr>
      <w:r>
        <w:t xml:space="preserve">Table 16: Main comments received from stakeholders regarding the GRA and SRA</w:t>
      </w:r>
      <w:r>
        <w:t xml:space="preserve"> </w:t>
      </w:r>
      <w:r>
        <w:t xml:space="preserve">application in the context of the Fitness check</w:t>
      </w:r>
      <w:r>
        <w:br/>
      </w:r>
      <w:r>
        <w:t xml:space="preserve">Where a derogation mechanism is connected to the GRA approach (i.e. a derogation from</w:t>
      </w:r>
      <w:r>
        <w:t xml:space="preserve"> </w:t>
      </w:r>
      <w:r>
        <w:t xml:space="preserve">e.g. an automatic restriction or ban if certain conditions are fulfilled, such as demonstration</w:t>
      </w:r>
      <w:r>
        <w:t xml:space="preserve"> </w:t>
      </w:r>
      <w:r>
        <w:t xml:space="preserve">of negligible exposure), industry stakeholders stated that it helps to ensure that the risk</w:t>
      </w:r>
      <w:r>
        <w:t xml:space="preserve"> </w:t>
      </w:r>
      <w:r>
        <w:t xml:space="preserve">management measure stipulated will not lead to disproportionate costs or unintended</w:t>
      </w:r>
      <w:r>
        <w:t xml:space="preserve"> </w:t>
      </w:r>
      <w:r>
        <w:t xml:space="preserve">effects e.g. regrettable substitution.</w:t>
      </w:r>
      <w:r>
        <w:t xml:space="preserve"> </w:t>
      </w:r>
      <w:r>
        <w:t xml:space="preserve">CLP, together with other pieces of EU legislation, was evaluated in 2019266. An additional</w:t>
      </w:r>
      <w:r>
        <w:t xml:space="preserve"> </w:t>
      </w:r>
      <w:r>
        <w:t xml:space="preserve">and more targeted Fitness Check was also published on endocrine disruptors267. Those</w:t>
      </w:r>
      <w:r>
        <w:t xml:space="preserve"> </w:t>
      </w:r>
      <w:r>
        <w:t xml:space="preserve">evaluations, identified important issues and weaknesses holding CLP back from delivering</w:t>
      </w:r>
      <w:r>
        <w:t xml:space="preserve"> </w:t>
      </w:r>
      <w:r>
        <w:t xml:space="preserve">its full potential. These evaluations pinpointed nine potential areas of intervention:</w:t>
      </w:r>
      <w:r>
        <w:t xml:space="preserve"> </w:t>
      </w:r>
      <w:r>
        <w:t xml:space="preserve"> Introducing criteria for five outstanding new hazard classes</w:t>
      </w:r>
      <w:r>
        <w:br/>
      </w:r>
      <w:r>
        <w:t xml:space="preserve"> Providing harmonised reference values in addition to harmonised classification</w:t>
      </w:r>
      <w:r>
        <w:br/>
      </w:r>
      <w:r>
        <w:t xml:space="preserve"> Improving harmonised classification</w:t>
      </w:r>
      <w:r>
        <w:br/>
      </w:r>
      <w:r>
        <w:t xml:space="preserve"> Improving and streamlining industry’s self-classifications</w:t>
      </w:r>
      <w:r>
        <w:br/>
      </w:r>
      <w:r>
        <w:t xml:space="preserve"> Clarifying rules for hazard (physical) labelling</w:t>
      </w:r>
      <w:r>
        <w:br/>
      </w:r>
      <w:r>
        <w:t xml:space="preserve"> Introducing digital labelling</w:t>
      </w:r>
      <w:r>
        <w:br/>
      </w:r>
      <w:r>
        <w:t xml:space="preserve"> Reviewing the exemption of a number of chemical products from CLP</w:t>
      </w:r>
      <w:r>
        <w:br/>
      </w:r>
      <w:r>
        <w:t xml:space="preserve"> Addressing low compliance rate for online sales of chemicals</w:t>
      </w:r>
      <w:r>
        <w:br/>
      </w:r>
      <w:r>
        <w:t xml:space="preserve"> Closing notification gaps for poison centres</w:t>
      </w:r>
    </w:p>
    <w:p>
      <w:pPr>
        <w:pStyle w:val="BodyText"/>
      </w:pPr>
      <w:r>
        <w:t xml:space="preserve">266 SWD(2019) 199.</w:t>
      </w:r>
      <w:r>
        <w:br/>
      </w:r>
      <w:r>
        <w:t xml:space="preserve">267 SWD(2020) 251.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130</w:t>
      </w:r>
      <w:r>
        <w:t xml:space="preserve"> </w:t>
      </w:r>
      <w:r>
        <w:t xml:space="preserve">EN</w:t>
      </w:r>
      <w:r>
        <w:t xml:space="preserve"> </w:t>
      </w:r>
      <w:r>
        <w:t xml:space="preserve">Accordingly, the CLP Regulation is currently under revision. In particular, new hazard</w:t>
      </w:r>
      <w:r>
        <w:t xml:space="preserve"> </w:t>
      </w:r>
      <w:r>
        <w:t xml:space="preserve">classes will be added in the CLP Regulation for endocrine disruptors.</w:t>
      </w:r>
      <w:r>
        <w:br/>
      </w:r>
      <w:r>
        <w:t xml:space="preserve">4. LINK BETWEEN THE TSD AND REACH</w:t>
      </w:r>
      <w:r>
        <w:t xml:space="preserve"> </w:t>
      </w:r>
      <w:r>
        <w:t xml:space="preserve">REACH aims at improving the protection of human health and the environment from the</w:t>
      </w:r>
      <w:r>
        <w:t xml:space="preserve"> </w:t>
      </w:r>
      <w:r>
        <w:t xml:space="preserve">risks that can be posed by chemicals, while enhancing the competitiveness of the EU</w:t>
      </w:r>
      <w:r>
        <w:t xml:space="preserve"> </w:t>
      </w:r>
      <w:r>
        <w:t xml:space="preserve">chemicals industry. It also promotes alternative methods for the hazard assessment of</w:t>
      </w:r>
      <w:r>
        <w:t xml:space="preserve"> </w:t>
      </w:r>
      <w:r>
        <w:t xml:space="preserve">substances in order to reduce the number of tests on animals.</w:t>
      </w:r>
      <w:r>
        <w:br/>
      </w:r>
      <w:r>
        <w:t xml:space="preserve">In principle, REACH applies to all chemical substances; not only those used in industrial</w:t>
      </w:r>
      <w:r>
        <w:t xml:space="preserve"> </w:t>
      </w:r>
      <w:r>
        <w:t xml:space="preserve">processes but also in our day-to-day lives, for example in cleaning products, paints as well</w:t>
      </w:r>
      <w:r>
        <w:t xml:space="preserve"> </w:t>
      </w:r>
      <w:r>
        <w:t xml:space="preserve">as in articles such as clothes, furniture and electrical appliances. Therefore, REACH has</w:t>
      </w:r>
      <w:r>
        <w:t xml:space="preserve"> </w:t>
      </w:r>
      <w:r>
        <w:t xml:space="preserve">an impact on most companies across the EU.</w:t>
      </w:r>
      <w:r>
        <w:t xml:space="preserve"> </w:t>
      </w:r>
      <w:r>
        <w:t xml:space="preserve">REACH places the burden of proof on companies. To comply with the regulation,</w:t>
      </w:r>
      <w:r>
        <w:t xml:space="preserve"> </w:t>
      </w:r>
      <w:r>
        <w:t xml:space="preserve">companies must identify and manage the risks linked to the substances they manufacture</w:t>
      </w:r>
      <w:r>
        <w:t xml:space="preserve"> </w:t>
      </w:r>
      <w:r>
        <w:t xml:space="preserve">and market in the EU. They have to demonstrate to the European Chemicals Agency</w:t>
      </w:r>
      <w:r>
        <w:t xml:space="preserve"> </w:t>
      </w:r>
      <w:r>
        <w:t xml:space="preserve">(ECHA) how the substance can be safely used, and they must communicate the risk</w:t>
      </w:r>
      <w:r>
        <w:t xml:space="preserve"> </w:t>
      </w:r>
      <w:r>
        <w:t xml:space="preserve">management measures to the users.</w:t>
      </w:r>
      <w:r>
        <w:t xml:space="preserve"> </w:t>
      </w:r>
      <w:r>
        <w:t xml:space="preserve">If the risks cannot be managed, authorities can restrict the use of substances in different</w:t>
      </w:r>
      <w:r>
        <w:t xml:space="preserve"> </w:t>
      </w:r>
      <w:r>
        <w:t xml:space="preserve">ways. In the long run, the most hazardous substances should be substituted with less</w:t>
      </w:r>
      <w:r>
        <w:t xml:space="preserve"> </w:t>
      </w:r>
      <w:r>
        <w:t xml:space="preserve">dangerous ones.</w:t>
      </w:r>
      <w:r>
        <w:t xml:space="preserve"> </w:t>
      </w:r>
      <w:r>
        <w:t xml:space="preserve">REACH applies to a great variety of products supplied and used in the form of chemical</w:t>
      </w:r>
      <w:r>
        <w:t xml:space="preserve"> </w:t>
      </w:r>
      <w:r>
        <w:t xml:space="preserve">substances, mixtures and articles. REACH and CLP define a substance, mixture and article</w:t>
      </w:r>
      <w:r>
        <w:t xml:space="preserve"> </w:t>
      </w:r>
      <w:r>
        <w:t xml:space="preserve">as follows: Substance means a chemical element and its compounds in the natural state or</w:t>
      </w:r>
      <w:r>
        <w:t xml:space="preserve"> </w:t>
      </w:r>
      <w:r>
        <w:t xml:space="preserve">obtained by any manufacturing process, including any additive necessary to preserve its</w:t>
      </w:r>
      <w:r>
        <w:t xml:space="preserve"> </w:t>
      </w:r>
      <w:r>
        <w:t xml:space="preserve">stability and any impurity deriving from the process used, but excluding any solvent which</w:t>
      </w:r>
      <w:r>
        <w:t xml:space="preserve"> </w:t>
      </w:r>
      <w:r>
        <w:t xml:space="preserve">may be separated without affecting the stability of the substance or changing its</w:t>
      </w:r>
      <w:r>
        <w:t xml:space="preserve"> </w:t>
      </w:r>
      <w:r>
        <w:t xml:space="preserve">composition: examples: metals (aluminium, zinc, iron, chromium, etc.), acetone,</w:t>
      </w:r>
      <w:r>
        <w:t xml:space="preserve"> </w:t>
      </w:r>
      <w:r>
        <w:t xml:space="preserve">phthalates, ethanol. Substances are very exceptionally classified as toys; only if they are</w:t>
      </w:r>
      <w:r>
        <w:t xml:space="preserve"> </w:t>
      </w:r>
      <w:r>
        <w:t xml:space="preserve">supplied for example as part of a chemistry set.</w:t>
      </w:r>
      <w:r>
        <w:t xml:space="preserve"> </w:t>
      </w:r>
      <w:r>
        <w:t xml:space="preserve">Mixture means a mixture or solution composed of two or more substances: examples:</w:t>
      </w:r>
      <w:r>
        <w:t xml:space="preserve"> </w:t>
      </w:r>
      <w:r>
        <w:t xml:space="preserve">paint, glue, ink, metal alloys, household cleaners. Certain toys are considered to be</w:t>
      </w:r>
      <w:r>
        <w:t xml:space="preserve"> </w:t>
      </w:r>
      <w:r>
        <w:t xml:space="preserve">mixtures, for example finger paints, modelling clay or bubble solutions.</w:t>
      </w:r>
      <w:r>
        <w:br/>
      </w:r>
      <w:r>
        <w:t xml:space="preserve">Article means an object given a special shape, surface or design that determines its</w:t>
      </w:r>
      <w:r>
        <w:t xml:space="preserve"> </w:t>
      </w:r>
      <w:r>
        <w:t xml:space="preserve">function to a greater degree than its chemical composition does: examples: clothing,</w:t>
      </w:r>
      <w:r>
        <w:t xml:space="preserve"> </w:t>
      </w:r>
      <w:r>
        <w:t xml:space="preserve">furniture, electronics and practically all objects of modern life. Most toys are considered</w:t>
      </w:r>
      <w:r>
        <w:t xml:space="preserve"> </w:t>
      </w:r>
      <w:r>
        <w:t xml:space="preserve">to be articles under REACH.</w:t>
      </w:r>
      <w:r>
        <w:t xml:space="preserve"> </w:t>
      </w:r>
      <w:r>
        <w:t xml:space="preserve">Some substances or mixtures which pose unacceptable risks can be totally banned on the</w:t>
      </w:r>
      <w:r>
        <w:t xml:space="preserve"> </w:t>
      </w:r>
      <w:r>
        <w:t xml:space="preserve">EU market (e.g. asbestos), have restrictions on specific uses (e.g. phthalates in toys and</w:t>
      </w:r>
      <w:r>
        <w:t xml:space="preserve"> </w:t>
      </w:r>
      <w:r>
        <w:t xml:space="preserve">childcare articles), or have limits on the concentration of the substance (e.g. in consumer</w:t>
      </w:r>
      <w:r>
        <w:t xml:space="preserve"> </w:t>
      </w:r>
      <w:r>
        <w:t xml:space="preserve">products such as tyres, clothing or jewellery). When certain uses are restricted or the</w:t>
      </w:r>
      <w:r>
        <w:t xml:space="preserve"> </w:t>
      </w:r>
      <w:r>
        <w:t xml:space="preserve">substance is banned on the EU market, substitution is a must. Restrictions are not linked</w:t>
      </w:r>
      <w:r>
        <w:t xml:space="preserve"> </w:t>
      </w:r>
      <w:r>
        <w:t xml:space="preserve">to the procedure of registration.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131</w:t>
      </w:r>
      <w:r>
        <w:t xml:space="preserve"> </w:t>
      </w:r>
      <w:r>
        <w:t xml:space="preserve">EN</w:t>
      </w:r>
      <w:r>
        <w:t xml:space="preserve"> </w:t>
      </w:r>
      <w:r>
        <w:t xml:space="preserve">Restrictions are designed to manage unacceptable risks that are not addressed by the other</w:t>
      </w:r>
      <w:r>
        <w:t xml:space="preserve"> </w:t>
      </w:r>
      <w:r>
        <w:t xml:space="preserve">REACH processes or by other EU legislation. These restrictions therefore co-exist with</w:t>
      </w:r>
      <w:r>
        <w:t xml:space="preserve"> </w:t>
      </w:r>
      <w:r>
        <w:t xml:space="preserve">those set out in the product safety and sector specific legislation, for example, on</w:t>
      </w:r>
      <w:r>
        <w:t xml:space="preserve"> </w:t>
      </w:r>
      <w:r>
        <w:t xml:space="preserve">detergents, cosmetics, toys, electronics. In order to ensure a high level of protection of</w:t>
      </w:r>
      <w:r>
        <w:t xml:space="preserve"> </w:t>
      </w:r>
      <w:r>
        <w:t xml:space="preserve">children against risks caused by chemical substances in toys, the TSD specifies that toys</w:t>
      </w:r>
      <w:r>
        <w:t xml:space="preserve"> </w:t>
      </w:r>
      <w:r>
        <w:t xml:space="preserve">should comply with general chemicals legislation, in particular Regulation (EC) No</w:t>
      </w:r>
      <w:r>
        <w:t xml:space="preserve"> </w:t>
      </w:r>
      <w:r>
        <w:t xml:space="preserve">1907/2006 of the European Parliament and of the Council of 18 December 2006</w:t>
      </w:r>
      <w:r>
        <w:t xml:space="preserve"> </w:t>
      </w:r>
      <w:r>
        <w:t xml:space="preserve">concerning the Registration, Evaluation, Authorisation and Restriction of Chemicals</w:t>
      </w:r>
      <w:r>
        <w:t xml:space="preserve"> </w:t>
      </w:r>
      <w:r>
        <w:t xml:space="preserve">(REACH). By means of the TSD, these provisions are adapted to the particular needs of</w:t>
      </w:r>
      <w:r>
        <w:t xml:space="preserve"> </w:t>
      </w:r>
      <w:r>
        <w:t xml:space="preserve">children, who are a vulnerable group of consumers.</w:t>
      </w:r>
      <w:r>
        <w:br/>
      </w:r>
      <w:r>
        <w:t xml:space="preserve">Accordingly, toys are covered by REACH and restrictions can be applied to them as</w:t>
      </w:r>
      <w:r>
        <w:t xml:space="preserve"> </w:t>
      </w:r>
      <w:r>
        <w:t xml:space="preserve">articles, for the purposes of protection of human health or the environment. In addition, the</w:t>
      </w:r>
      <w:r>
        <w:t xml:space="preserve"> </w:t>
      </w:r>
      <w:r>
        <w:t xml:space="preserve">TSD provides for a more complete and targeted approach for toys to protect the safety and</w:t>
      </w:r>
      <w:r>
        <w:t xml:space="preserve"> </w:t>
      </w:r>
      <w:r>
        <w:t xml:space="preserve">health of children. Coherence between the two has been assured in the past for example by</w:t>
      </w:r>
      <w:r>
        <w:t xml:space="preserve"> </w:t>
      </w:r>
      <w:r>
        <w:t xml:space="preserve">exempting toys from a REACH restriction if the limits in the TSD were more protective.</w:t>
      </w:r>
      <w:r>
        <w:t xml:space="preserve"> </w:t>
      </w:r>
      <w:r>
        <w:t xml:space="preserve">Around 40% of businesses or business associations and 45% of SMEs considered that the</w:t>
      </w:r>
      <w:r>
        <w:t xml:space="preserve"> </w:t>
      </w:r>
      <w:r>
        <w:t xml:space="preserve">limit values in other pieces of legislation beyond the TSD were not problematic at all or to</w:t>
      </w:r>
      <w:r>
        <w:t xml:space="preserve"> </w:t>
      </w:r>
      <w:r>
        <w:t xml:space="preserve">a small extent.</w:t>
      </w:r>
    </w:p>
    <w:p>
      <w:pPr>
        <w:pStyle w:val="BodyText"/>
      </w:pPr>
      <w:r>
        <w:t xml:space="preserve">Figure 9: Hazard identification and risk management in EU legislation</w:t>
      </w:r>
      <w:r>
        <w:t xml:space="preserve"> </w:t>
      </w:r>
      <w:r>
        <w:t xml:space="preserve">A central aspect of the revision of REACH is reforming the processes of risk management</w:t>
      </w:r>
      <w:r>
        <w:t xml:space="preserve"> </w:t>
      </w:r>
      <w:r>
        <w:t xml:space="preserve">for both REACH authorisations and restrictions. One option envisaged especially for</w:t>
      </w:r>
      <w:r>
        <w:t xml:space="preserve"> </w:t>
      </w:r>
      <w:r>
        <w:t xml:space="preserve">REACH restrictions is the extension of the generic approach to risk management for which</w:t>
      </w:r>
      <w:r>
        <w:t xml:space="preserve"> </w:t>
      </w:r>
      <w:r>
        <w:t xml:space="preserve">REACH will rely on the hazard classes in the CLP Regulation. Currently, the faster, more</w:t>
      </w:r>
      <w:r>
        <w:t xml:space="preserve"> </w:t>
      </w:r>
      <w:r>
        <w:t xml:space="preserve">preventive REACH restriction procedure is available for consumer uses to substances</w:t>
      </w:r>
      <w:r>
        <w:t xml:space="preserve"> </w:t>
      </w:r>
      <w:r>
        <w:t xml:space="preserve">classified as carcinogenic, mutagenic or reprotoxic under CLP. The REACH revision</w:t>
      </w:r>
      <w:r>
        <w:t xml:space="preserve"> </w:t>
      </w:r>
      <w:r>
        <w:t xml:space="preserve">envisages extending this procedure to some of the newly introduced or existing hazard</w:t>
      </w:r>
      <w:r>
        <w:t xml:space="preserve"> </w:t>
      </w:r>
      <w:r>
        <w:t xml:space="preserve">classes such as endocrine disruptors or PBT/vPvB substances.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132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ANNEX 10: THE MOST HARMFUL CHEMICALS CURRENTLY NOT</w:t>
      </w:r>
      <w:r>
        <w:t xml:space="preserve"> </w:t>
      </w:r>
      <w:r>
        <w:t xml:space="preserve">ADDRESSED BY THE TSD</w:t>
      </w:r>
      <w:r>
        <w:t xml:space="preserve"> </w:t>
      </w:r>
      <w:r>
        <w:t xml:space="preserve">1. THE MOST HARMFUL CHEMICALS AND THEIR CONSEQUENCES ON HUMAN HEALTH</w:t>
      </w:r>
      <w:r>
        <w:t xml:space="preserve"> </w:t>
      </w:r>
      <w:r>
        <w:t xml:space="preserve">Endocrine disruption268</w:t>
      </w:r>
      <w:r>
        <w:t xml:space="preserve"> </w:t>
      </w:r>
      <w:r>
        <w:t xml:space="preserve">The World Health Organisation defines an endocrine disruptor (ED) as ‘an exogenous</w:t>
      </w:r>
      <w:r>
        <w:t xml:space="preserve"> </w:t>
      </w:r>
      <w:r>
        <w:t xml:space="preserve">substance or mixture that alters function(s) of the endocrine system and consequently</w:t>
      </w:r>
      <w:r>
        <w:t xml:space="preserve"> </w:t>
      </w:r>
      <w:r>
        <w:t xml:space="preserve">causes adverse health effects in an intact organism, or its progeny, or (sub)populations’.269</w:t>
      </w:r>
      <w:r>
        <w:t xml:space="preserve"> </w:t>
      </w:r>
      <w:r>
        <w:t xml:space="preserve">Over the last 30 years, the endocrine disrupting properties of chemicals have been the focus</w:t>
      </w:r>
      <w:r>
        <w:t xml:space="preserve"> </w:t>
      </w:r>
      <w:r>
        <w:t xml:space="preserve">of increasing scientific research, and the accumulated knowledge identifies EDs as a</w:t>
      </w:r>
      <w:r>
        <w:t xml:space="preserve"> </w:t>
      </w:r>
      <w:r>
        <w:t xml:space="preserve">concern to public and wildlife health270. The high and increasing incidence of many</w:t>
      </w:r>
      <w:r>
        <w:t xml:space="preserve"> </w:t>
      </w:r>
      <w:r>
        <w:t xml:space="preserve">endocrine-related disorders in humans – such as asthma, birth defects, neurodevelopmental</w:t>
      </w:r>
      <w:r>
        <w:t xml:space="preserve"> </w:t>
      </w:r>
      <w:r>
        <w:t xml:space="preserve">disorders, cancer, diabetes and obesity in children and cardiovascular diseases, cancer,</w:t>
      </w:r>
      <w:r>
        <w:t xml:space="preserve"> </w:t>
      </w:r>
      <w:r>
        <w:t xml:space="preserve">diabetes and obesity, allergic and autoimmune diseases in adults – have important parallels</w:t>
      </w:r>
      <w:r>
        <w:t xml:space="preserve"> </w:t>
      </w:r>
      <w:r>
        <w:t xml:space="preserve">in some wildlife populations. Evidence on the roles played in the disease outcomes by</w:t>
      </w:r>
      <w:r>
        <w:t xml:space="preserve"> </w:t>
      </w:r>
      <w:r>
        <w:t xml:space="preserve">environmental and other non-genetic factors, including chemical exposure, is growing.</w:t>
      </w:r>
      <w:r>
        <w:t xml:space="preserve"> </w:t>
      </w:r>
      <w:r>
        <w:t xml:space="preserve">Some links have become apparent (e.g. polychlorinated biphenyls’ exposure as a risk factor</w:t>
      </w:r>
      <w:r>
        <w:t xml:space="preserve"> </w:t>
      </w:r>
      <w:r>
        <w:t xml:space="preserve">in breast and prostate cancers; relationships between perfluoroalkyl substances and child</w:t>
      </w:r>
      <w:r>
        <w:t xml:space="preserve"> </w:t>
      </w:r>
      <w:r>
        <w:t xml:space="preserve">and adult obesity, impaired glucose tolerance, gestational diabetes, reduced birthweight,</w:t>
      </w:r>
      <w:r>
        <w:t xml:space="preserve"> </w:t>
      </w:r>
      <w:r>
        <w:t xml:space="preserve">reduced semen quality, polycystic ovarian syndrome, endometriosis, and breast cancer)</w:t>
      </w:r>
      <w:r>
        <w:t xml:space="preserve"> </w:t>
      </w:r>
      <w:r>
        <w:t xml:space="preserve">while more research is necessary on the associations between EDs and other endocrine-</w:t>
      </w:r>
      <w:r>
        <w:t xml:space="preserve"> </w:t>
      </w:r>
      <w:r>
        <w:t xml:space="preserve">related diseases271.</w:t>
      </w:r>
      <w:r>
        <w:br/>
      </w:r>
      <w:r>
        <w:t xml:space="preserve">Importantly, only a small proportion of the chemicals on the market have been tested for</w:t>
      </w:r>
      <w:r>
        <w:t xml:space="preserve"> </w:t>
      </w:r>
      <w:r>
        <w:t xml:space="preserve">endocrine effects and the disease risk due to EDs’ exposure may be significantly</w:t>
      </w:r>
      <w:r>
        <w:t xml:space="preserve"> </w:t>
      </w:r>
      <w:r>
        <w:t xml:space="preserve">underestimated272.</w:t>
      </w:r>
    </w:p>
    <w:p>
      <w:pPr>
        <w:pStyle w:val="BodyText"/>
      </w:pPr>
      <w:r>
        <w:t xml:space="preserve">268 See the Commission Staff Working Document – Impact Assessment report accompanying the Proposal</w:t>
      </w:r>
      <w:r>
        <w:t xml:space="preserve"> </w:t>
      </w:r>
      <w:r>
        <w:t xml:space="preserve">for a Regulation of the European Parliament and of the Council amending Regulation (EC) No 1272/2008</w:t>
      </w:r>
      <w:r>
        <w:t xml:space="preserve"> </w:t>
      </w:r>
      <w:r>
        <w:t xml:space="preserve">of the European Parliament and of the Council of 16 December 2008 on classification, labelling and</w:t>
      </w:r>
      <w:r>
        <w:t xml:space="preserve"> </w:t>
      </w:r>
      <w:r>
        <w:t xml:space="preserve">packaging of substances and mixtures, amending and repealing Directives 67/548/EEC and 1999/45/EC, and</w:t>
      </w:r>
      <w:r>
        <w:t xml:space="preserve"> </w:t>
      </w:r>
      <w:r>
        <w:t xml:space="preserve">amending Regulation (EC) No 1907/2006.</w:t>
      </w:r>
      <w:r>
        <w:t xml:space="preserve"> </w:t>
      </w:r>
      <w:r>
        <w:t xml:space="preserve">269 International Programme on Chemical Safety. (2002). Global assessment on the state of the science of</w:t>
      </w:r>
      <w:r>
        <w:t xml:space="preserve"> </w:t>
      </w:r>
      <w:r>
        <w:t xml:space="preserve">endocrine disruptors. World Health Organization. https://apps.who.int/iris/handle/10665/67357</w:t>
      </w:r>
      <w:r>
        <w:t xml:space="preserve"> </w:t>
      </w:r>
      <w:r>
        <w:t xml:space="preserve">270 UNEP State of the Science of Endocrine Disputing Chemicals - IPCP-2012, available at:</w:t>
      </w:r>
      <w:r>
        <w:t xml:space="preserve"> </w:t>
      </w:r>
      <w:r>
        <w:t xml:space="preserve">https://www.unep.org/resources/publication/state-science-endocrine-disputing-chemicals-ipcp-</w:t>
      </w:r>
      <w:r>
        <w:t xml:space="preserve"> </w:t>
      </w:r>
      <w:r>
        <w:t xml:space="preserve">2012?_ga=2.148289463.183897156.1643356524-1526509983.1643356524</w:t>
      </w:r>
      <w:r>
        <w:t xml:space="preserve"> </w:t>
      </w:r>
      <w:r>
        <w:t xml:space="preserve">271 UNEP State of the Science of Endocrine Disputing Chemicals - IPCP-2012, available at:</w:t>
      </w:r>
      <w:r>
        <w:t xml:space="preserve"> </w:t>
      </w:r>
      <w:r>
        <w:t xml:space="preserve">https://www.unep.org/resources/publication/state-science-endocrine-disputing-chemicals-ipcp-</w:t>
      </w:r>
      <w:r>
        <w:t xml:space="preserve"> </w:t>
      </w:r>
      <w:r>
        <w:t xml:space="preserve">2012?_ga=2.148289463.183897156.1643356524-1526509983.1643356524</w:t>
      </w:r>
      <w:r>
        <w:t xml:space="preserve"> </w:t>
      </w:r>
      <w:r>
        <w:t xml:space="preserve">272 UNEP State of the Science of Endocrine Disputing Chemicals - IPCP-2012, available at:</w:t>
      </w:r>
      <w:r>
        <w:t xml:space="preserve"> </w:t>
      </w:r>
      <w:r>
        <w:t xml:space="preserve">https://www.unep.org/resources/publication/state-science-endocrine-disputing-chemicals-ipcp-</w:t>
      </w:r>
      <w:r>
        <w:t xml:space="preserve"> </w:t>
      </w:r>
      <w:r>
        <w:t xml:space="preserve">2012?_ga=2.148289463.183897156.1643356524-1526509983.1643356524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133</w:t>
      </w:r>
      <w:r>
        <w:t xml:space="preserve"> </w:t>
      </w:r>
      <w:r>
        <w:t xml:space="preserve">EN</w:t>
      </w:r>
      <w:r>
        <w:t xml:space="preserve"> </w:t>
      </w:r>
      <w:r>
        <w:t xml:space="preserve">Since 1999, the European Commission has been working on prioritising suspected EDs for</w:t>
      </w:r>
      <w:r>
        <w:t xml:space="preserve"> </w:t>
      </w:r>
      <w:r>
        <w:t xml:space="preserve">evaluation, monitoring exposures and effects, develop and validate new testing methods</w:t>
      </w:r>
      <w:r>
        <w:t xml:space="preserve"> </w:t>
      </w:r>
      <w:r>
        <w:t xml:space="preserve">and increase public awareness on EDs273.</w:t>
      </w:r>
      <w:r>
        <w:br/>
      </w:r>
      <w:r>
        <w:t xml:space="preserve"> Identification of known or presumed EDs is required for actives substances by the</w:t>
      </w:r>
      <w:r>
        <w:t xml:space="preserve"> </w:t>
      </w:r>
      <w:r>
        <w:t xml:space="preserve">Plant Protection Products Regulation (PPPR)274 and for actives substances and</w:t>
      </w:r>
      <w:r>
        <w:t xml:space="preserve"> </w:t>
      </w:r>
      <w:r>
        <w:t xml:space="preserve">products by the Biocidal Products Regulation (BPR)275 according to criteria</w:t>
      </w:r>
      <w:r>
        <w:t xml:space="preserve"> </w:t>
      </w:r>
      <w:r>
        <w:t xml:space="preserve">established, respectively, in 2017 and 2018. REACH does not contain identification</w:t>
      </w:r>
      <w:r>
        <w:t xml:space="preserve"> </w:t>
      </w:r>
      <w:r>
        <w:t xml:space="preserve">criteria for EDs, but these are identified as substances of very high concern</w:t>
      </w:r>
      <w:r>
        <w:t xml:space="preserve"> </w:t>
      </w:r>
      <w:r>
        <w:t xml:space="preserve">(SVHCs) on a case-by-case basis following the IPCS/WHO definition and the</w:t>
      </w:r>
      <w:r>
        <w:t xml:space="preserve"> </w:t>
      </w:r>
      <w:r>
        <w:t xml:space="preserve">assessment of the “equivalent level of concern” carried out by the REACH Member</w:t>
      </w:r>
      <w:r>
        <w:t xml:space="preserve"> </w:t>
      </w:r>
      <w:r>
        <w:t xml:space="preserve">State Committee. It should be noted that the same definition and guidelines are</w:t>
      </w:r>
      <w:r>
        <w:t xml:space="preserve"> </w:t>
      </w:r>
      <w:r>
        <w:t xml:space="preserve">used by REACH, BPR and PPPR.</w:t>
      </w:r>
      <w:r>
        <w:t xml:space="preserve"> </w:t>
      </w:r>
      <w:r>
        <w:t xml:space="preserve"> Sector-specific legislation on toys but also cosmetic products, medical devices,</w:t>
      </w:r>
      <w:r>
        <w:t xml:space="preserve"> </w:t>
      </w:r>
      <w:r>
        <w:t xml:space="preserve">food contact materials or detergents does not require the identification of EDs.</w:t>
      </w:r>
      <w:r>
        <w:t xml:space="preserve"> </w:t>
      </w:r>
      <w:r>
        <w:t xml:space="preserve">However, the use of potential endocrine disrupting substances may be subject to</w:t>
      </w:r>
      <w:r>
        <w:t xml:space="preserve"> </w:t>
      </w:r>
      <w:r>
        <w:t xml:space="preserve">the scientific opinion of expert advisory bodies. For example, while the TSD does</w:t>
      </w:r>
      <w:r>
        <w:t xml:space="preserve"> </w:t>
      </w:r>
      <w:r>
        <w:t xml:space="preserve">not have specific provision for endocrine disruptors, it does ban the use of</w:t>
      </w:r>
      <w:r>
        <w:t xml:space="preserve"> </w:t>
      </w:r>
      <w:r>
        <w:t xml:space="preserve">substances that are toxic to reproduction (which may for some substances also be</w:t>
      </w:r>
      <w:r>
        <w:t xml:space="preserve"> </w:t>
      </w:r>
      <w:r>
        <w:t xml:space="preserve">toxic via an endocrine disrupting mode of action).</w:t>
      </w:r>
      <w:r>
        <w:t xml:space="preserve"> </w:t>
      </w:r>
      <w:r>
        <w:t xml:space="preserve"> Because the lack of CLP on EDs is not filled by systematic identification in other</w:t>
      </w:r>
      <w:r>
        <w:t xml:space="preserve"> </w:t>
      </w:r>
      <w:r>
        <w:t xml:space="preserve">regulations, there is incomplete information on the human health and</w:t>
      </w:r>
      <w:r>
        <w:t xml:space="preserve"> </w:t>
      </w:r>
      <w:r>
        <w:t xml:space="preserve">environmental hazards of these substances. It should also be noted that EDs are not</w:t>
      </w:r>
      <w:r>
        <w:t xml:space="preserve"> </w:t>
      </w:r>
      <w:r>
        <w:t xml:space="preserve">included at UN GHS. As substances and mixtures with ED properties are not</w:t>
      </w:r>
      <w:r>
        <w:t xml:space="preserve"> </w:t>
      </w:r>
      <w:r>
        <w:t xml:space="preserve">systematically identified and classified, this has been identified as resulting in the</w:t>
      </w:r>
      <w:r>
        <w:t xml:space="preserve"> </w:t>
      </w:r>
      <w:r>
        <w:t xml:space="preserve">failure to define risk management provisions in downstream sector-specific</w:t>
      </w:r>
      <w:r>
        <w:t xml:space="preserve"> </w:t>
      </w:r>
      <w:r>
        <w:t xml:space="preserve">regulations and directives referring to CLP hazard classification. Moreover,</w:t>
      </w:r>
      <w:r>
        <w:t xml:space="preserve"> </w:t>
      </w:r>
      <w:r>
        <w:t xml:space="preserve">substances suspected of having ED properties may be assessed multiple times</w:t>
      </w:r>
      <w:r>
        <w:t xml:space="preserve"> </w:t>
      </w:r>
      <w:r>
        <w:t xml:space="preserve">according to different regulations, contributing to the inefficient use of limited</w:t>
      </w:r>
      <w:r>
        <w:t xml:space="preserve"> </w:t>
      </w:r>
      <w:r>
        <w:t xml:space="preserve">resources.</w:t>
      </w:r>
      <w:r>
        <w:t xml:space="preserve"> </w:t>
      </w:r>
      <w:r>
        <w:t xml:space="preserve">The inclusion of horizontal criteria for the identification and classification of EDs was</w:t>
      </w:r>
      <w:r>
        <w:t xml:space="preserve"> </w:t>
      </w:r>
      <w:r>
        <w:t xml:space="preserve">identified as an area for action in the EU’s 7th EAP and their absence has been criticized</w:t>
      </w:r>
      <w:r>
        <w:t xml:space="preserve"> </w:t>
      </w:r>
      <w:r>
        <w:t xml:space="preserve">by many stakeholders276277.</w:t>
      </w:r>
      <w:r>
        <w:t xml:space="preserve"> </w:t>
      </w:r>
      <w:r>
        <w:t xml:space="preserve">Table 17 The number of substances expected to be identified as ED in the CLP Regulation</w:t>
      </w:r>
      <w:r>
        <w:t xml:space="preserve"> </w:t>
      </w:r>
      <w:r>
        <w:t xml:space="preserve">differentiated by ED category and impact area among all substances is set out below. The</w:t>
      </w:r>
      <w:r>
        <w:t xml:space="preserve"> </w:t>
      </w:r>
      <w:r>
        <w:t xml:space="preserve">last column shows the total number of substances identified as ED already reported above.</w:t>
      </w:r>
      <w:r>
        <w:t xml:space="preserve"> </w:t>
      </w:r>
      <w:r>
        <w:t xml:space="preserve">As noted earlier, the impact areas used here are not mutually exclusive: in other words,</w:t>
      </w:r>
      <w:r>
        <w:t xml:space="preserve"> </w:t>
      </w:r>
      <w:r>
        <w:t xml:space="preserve">any given substance may be counted in HH and ENV.</w:t>
      </w:r>
    </w:p>
    <w:p>
      <w:pPr>
        <w:pStyle w:val="BodyText"/>
      </w:pPr>
      <w:r>
        <w:t xml:space="preserve">273 COM(2018) 734 final.</w:t>
      </w:r>
      <w:r>
        <w:br/>
      </w:r>
      <w:r>
        <w:t xml:space="preserve">274 Regulation (EC) No 1107/2009 of the European Parliament and of the Council of 21 October 2009</w:t>
      </w:r>
      <w:r>
        <w:t xml:space="preserve"> </w:t>
      </w:r>
      <w:r>
        <w:t xml:space="preserve">concerning the placing of plant protection products on the market and repealing Council Directives</w:t>
      </w:r>
      <w:r>
        <w:t xml:space="preserve"> </w:t>
      </w:r>
      <w:r>
        <w:t xml:space="preserve">79/117/EEC and 91/414/EEC. OJ L 309, 24.11.2009.</w:t>
      </w:r>
      <w:r>
        <w:t xml:space="preserve"> </w:t>
      </w:r>
      <w:r>
        <w:t xml:space="preserve">275 Regulation (EU) No 528/2012 of the European Parliament and of the Council of 22 May 2012 concerning</w:t>
      </w:r>
      <w:r>
        <w:t xml:space="preserve"> </w:t>
      </w:r>
      <w:r>
        <w:t xml:space="preserve">the making available on the market and use of biocidal products. OJ L 167 27.6.2012.</w:t>
      </w:r>
      <w:r>
        <w:t xml:space="preserve"> </w:t>
      </w:r>
      <w:r>
        <w:t xml:space="preserve">276 SWD(2020) 251.</w:t>
      </w:r>
      <w:r>
        <w:br/>
      </w:r>
      <w:r>
        <w:t xml:space="preserve">277 SWD(2019) 199.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134</w:t>
      </w:r>
      <w:r>
        <w:t xml:space="preserve"> </w:t>
      </w:r>
      <w:r>
        <w:t xml:space="preserve">EN</w:t>
      </w:r>
      <w:r>
        <w:t xml:space="preserve"> </w:t>
      </w:r>
      <w:r>
        <w:t xml:space="preserve">Table 17: Estimated number of substances expected to be identified as ED with categorisation and</w:t>
      </w:r>
      <w:r>
        <w:t xml:space="preserve"> </w:t>
      </w:r>
      <w:r>
        <w:t xml:space="preserve">differentiation by impact area</w:t>
      </w:r>
      <w:r>
        <w:t xml:space="preserve"> </w:t>
      </w:r>
      <w:r>
        <w:t xml:space="preserve">Type of estimate</w:t>
      </w:r>
    </w:p>
    <w:p>
      <w:pPr>
        <w:pStyle w:val="BodyText"/>
      </w:pPr>
      <w:r>
        <w:t xml:space="preserve">ED Cat. 1</w:t>
      </w:r>
      <w:r>
        <w:t xml:space="preserve"> </w:t>
      </w:r>
      <w:r>
        <w:t xml:space="preserve">ED Cat. 2</w:t>
      </w:r>
      <w:r>
        <w:t xml:space="preserve"> </w:t>
      </w:r>
      <w:r>
        <w:t xml:space="preserve">ED Total</w:t>
      </w:r>
      <w:r>
        <w:t xml:space="preserve"> </w:t>
      </w:r>
      <w:r>
        <w:t xml:space="preserve">HH</w:t>
      </w:r>
      <w:r>
        <w:t xml:space="preserve"> </w:t>
      </w:r>
      <w:r>
        <w:t xml:space="preserve">ENV</w:t>
      </w:r>
      <w:r>
        <w:t xml:space="preserve"> </w:t>
      </w:r>
      <w:r>
        <w:t xml:space="preserve">HH</w:t>
      </w:r>
      <w:r>
        <w:t xml:space="preserve"> </w:t>
      </w:r>
      <w:r>
        <w:t xml:space="preserve">ENV</w:t>
      </w:r>
      <w:r>
        <w:t xml:space="preserve"> </w:t>
      </w:r>
      <w:r>
        <w:t xml:space="preserve">HH</w:t>
      </w:r>
      <w:r>
        <w:t xml:space="preserve"> </w:t>
      </w:r>
      <w:r>
        <w:t xml:space="preserve">ENV</w:t>
      </w:r>
      <w:r>
        <w:t xml:space="preserve"> </w:t>
      </w:r>
      <w:r>
        <w:t xml:space="preserve">All</w:t>
      </w:r>
      <w:r>
        <w:t xml:space="preserve"> </w:t>
      </w:r>
      <w:r>
        <w:t xml:space="preserve">Lower end (AA-1)</w:t>
      </w:r>
      <w:r>
        <w:t xml:space="preserve"> </w:t>
      </w:r>
      <w:r>
        <w:t xml:space="preserve">334</w:t>
      </w:r>
      <w:r>
        <w:t xml:space="preserve"> </w:t>
      </w:r>
      <w:r>
        <w:t xml:space="preserve">502</w:t>
      </w:r>
      <w:r>
        <w:t xml:space="preserve"> </w:t>
      </w:r>
      <w:r>
        <w:t xml:space="preserve">374</w:t>
      </w:r>
      <w:r>
        <w:t xml:space="preserve"> </w:t>
      </w:r>
      <w:r>
        <w:t xml:space="preserve">562</w:t>
      </w:r>
      <w:r>
        <w:t xml:space="preserve"> </w:t>
      </w:r>
      <w:r>
        <w:t xml:space="preserve">708</w:t>
      </w:r>
      <w:r>
        <w:t xml:space="preserve"> </w:t>
      </w:r>
      <w:r>
        <w:t xml:space="preserve">1,064</w:t>
      </w:r>
      <w:r>
        <w:t xml:space="preserve"> </w:t>
      </w:r>
      <w:r>
        <w:t xml:space="preserve">1,772</w:t>
      </w:r>
      <w:r>
        <w:t xml:space="preserve"> </w:t>
      </w:r>
      <w:r>
        <w:t xml:space="preserve">Central estimate (ECHA approach)* 405</w:t>
      </w:r>
      <w:r>
        <w:t xml:space="preserve"> </w:t>
      </w:r>
      <w:r>
        <w:t xml:space="preserve">607</w:t>
      </w:r>
      <w:r>
        <w:t xml:space="preserve"> </w:t>
      </w:r>
      <w:r>
        <w:t xml:space="preserve">453</w:t>
      </w:r>
      <w:r>
        <w:t xml:space="preserve"> </w:t>
      </w:r>
      <w:r>
        <w:t xml:space="preserve">680</w:t>
      </w:r>
      <w:r>
        <w:t xml:space="preserve"> </w:t>
      </w:r>
      <w:r>
        <w:t xml:space="preserve">858</w:t>
      </w:r>
      <w:r>
        <w:t xml:space="preserve"> </w:t>
      </w:r>
      <w:r>
        <w:t xml:space="preserve">1,287</w:t>
      </w:r>
      <w:r>
        <w:t xml:space="preserve"> </w:t>
      </w:r>
      <w:r>
        <w:t xml:space="preserve">2,145</w:t>
      </w:r>
      <w:r>
        <w:t xml:space="preserve"> </w:t>
      </w:r>
      <w:r>
        <w:t xml:space="preserve">Upper end (AA-2)</w:t>
      </w:r>
      <w:r>
        <w:t xml:space="preserve"> </w:t>
      </w:r>
      <w:r>
        <w:t xml:space="preserve">510</w:t>
      </w:r>
      <w:r>
        <w:t xml:space="preserve"> </w:t>
      </w:r>
      <w:r>
        <w:t xml:space="preserve">766</w:t>
      </w:r>
      <w:r>
        <w:t xml:space="preserve"> </w:t>
      </w:r>
      <w:r>
        <w:t xml:space="preserve">572</w:t>
      </w:r>
      <w:r>
        <w:t xml:space="preserve"> </w:t>
      </w:r>
      <w:r>
        <w:t xml:space="preserve">857</w:t>
      </w:r>
      <w:r>
        <w:t xml:space="preserve"> </w:t>
      </w:r>
      <w:r>
        <w:t xml:space="preserve">1,082</w:t>
      </w:r>
      <w:r>
        <w:t xml:space="preserve"> </w:t>
      </w:r>
      <w:r>
        <w:t xml:space="preserve">1,623</w:t>
      </w:r>
      <w:r>
        <w:t xml:space="preserve"> </w:t>
      </w:r>
      <w:r>
        <w:t xml:space="preserve">2,705</w:t>
      </w:r>
      <w:r>
        <w:t xml:space="preserve"> </w:t>
      </w:r>
      <w:r>
        <w:t xml:space="preserve">Notes: * Note again that ECHA only derives the ED Cat. 1 estimate and does not differentiate by impact area.</w:t>
      </w:r>
      <w:r>
        <w:t xml:space="preserve"> </w:t>
      </w:r>
      <w:r>
        <w:t xml:space="preserve">The sum of 1012 ED Cat. 1 substance is included in ECHA (2021a), but the assignment to HH (N=405) and</w:t>
      </w:r>
      <w:r>
        <w:t xml:space="preserve"> </w:t>
      </w:r>
      <w:r>
        <w:t xml:space="preserve">ENV (N=607) is performed in this study.</w:t>
      </w:r>
    </w:p>
    <w:p>
      <w:pPr>
        <w:pStyle w:val="BodyText"/>
      </w:pPr>
      <w:r>
        <w:t xml:space="preserve">Based on the total number of 23,751 unique substances in ECHA’s combined inventory,</w:t>
      </w:r>
      <w:r>
        <w:t xml:space="preserve"> </w:t>
      </w:r>
      <w:r>
        <w:t xml:space="preserve">the central estimate of 1,012 substances identified as ED Cat. 1 represents 4.3%. Using the</w:t>
      </w:r>
      <w:r>
        <w:t xml:space="preserve"> </w:t>
      </w:r>
      <w:r>
        <w:t xml:space="preserve">derived factor of 1.12, an additional 1,133 substances are estimated to be identified as ED</w:t>
      </w:r>
      <w:r>
        <w:t xml:space="preserve"> </w:t>
      </w:r>
      <w:r>
        <w:t xml:space="preserve">Cat. 2 (4.8% of the combined inventory). In total, 2,145 substances (9.0%) are identified</w:t>
      </w:r>
      <w:r>
        <w:t xml:space="preserve"> </w:t>
      </w:r>
      <w:r>
        <w:t xml:space="preserve">as ED in the central estimate.</w:t>
      </w:r>
      <w:r>
        <w:t xml:space="preserve"> </w:t>
      </w:r>
      <w:r>
        <w:t xml:space="preserve">Overall, the high uncertainty of the estimated figures reflects the fact that the data required</w:t>
      </w:r>
      <w:r>
        <w:t xml:space="preserve"> </w:t>
      </w:r>
      <w:r>
        <w:t xml:space="preserve">for the classification as ED (including categorisation and differentiation by impact area)</w:t>
      </w:r>
      <w:r>
        <w:t xml:space="preserve"> </w:t>
      </w:r>
      <w:r>
        <w:t xml:space="preserve">are not yet available. It must also be stressed that – even if the estimated numbers prove to</w:t>
      </w:r>
      <w:r>
        <w:t xml:space="preserve"> </w:t>
      </w:r>
      <w:r>
        <w:t xml:space="preserve">be close to the real numbers – they would only materialise if all necessary studies have</w:t>
      </w:r>
      <w:r>
        <w:t xml:space="preserve"> </w:t>
      </w:r>
      <w:r>
        <w:t xml:space="preserve">been conducted for all substances.</w:t>
      </w:r>
      <w:r>
        <w:t xml:space="preserve"> </w:t>
      </w:r>
      <w:r>
        <w:t xml:space="preserve">Human and environmental exposure to EDs — through multiple routes — is the result of</w:t>
      </w:r>
      <w:r>
        <w:t xml:space="preserve"> </w:t>
      </w:r>
      <w:r>
        <w:t xml:space="preserve">their presence in a wide variety of products, including food packaging, pharmaceuticals,</w:t>
      </w:r>
      <w:r>
        <w:t xml:space="preserve"> </w:t>
      </w:r>
      <w:r>
        <w:t xml:space="preserve">cosmetics and personal care products, pesticides, fabrics and upholstery, electronics,</w:t>
      </w:r>
      <w:r>
        <w:t xml:space="preserve"> </w:t>
      </w:r>
      <w:r>
        <w:t xml:space="preserve">plastic bottles, metal food cans, detergents and toys. EDs can mimic or interfere with the</w:t>
      </w:r>
      <w:r>
        <w:t xml:space="preserve"> </w:t>
      </w:r>
      <w:r>
        <w:t xml:space="preserve">body’s endocrine system, and associated effects include impacts on male and female</w:t>
      </w:r>
      <w:r>
        <w:t xml:space="preserve"> </w:t>
      </w:r>
      <w:r>
        <w:t xml:space="preserve">reproduction, breast development and cancer, prostate cancer, neuroendocrinology,</w:t>
      </w:r>
      <w:r>
        <w:t xml:space="preserve"> </w:t>
      </w:r>
      <w:r>
        <w:t xml:space="preserve">thyroid, metabolism and obesity, and cardiovascular endocrinology.278 Vulnerable groups,</w:t>
      </w:r>
      <w:r>
        <w:t xml:space="preserve"> </w:t>
      </w:r>
      <w:r>
        <w:t xml:space="preserve">such as young children, are particularly affected by exposure to EDs, which can have life-</w:t>
      </w:r>
      <w:r>
        <w:t xml:space="preserve"> </w:t>
      </w:r>
      <w:r>
        <w:t xml:space="preserve">long impacts and exhibit in adulthood. The table below reproduces health outcomes</w:t>
      </w:r>
      <w:r>
        <w:t xml:space="preserve"> </w:t>
      </w:r>
      <w:r>
        <w:t xml:space="preserve">attributable to exposure to specific EDs — with strength of human evidence and</w:t>
      </w:r>
      <w:r>
        <w:t xml:space="preserve"> </w:t>
      </w:r>
      <w:r>
        <w:t xml:space="preserve">probability of causation — as reported by Kahn et al. (2020).</w:t>
      </w:r>
      <w:r>
        <w:t xml:space="preserve"> </w:t>
      </w:r>
      <w:r>
        <w:t xml:space="preserve">Table 18: Strength of evidence and probability of causation for outcome-exposure associations</w:t>
      </w:r>
      <w:r>
        <w:t xml:space="preserve"> </w:t>
      </w:r>
      <w:r>
        <w:t xml:space="preserve">Outcome</w:t>
      </w:r>
      <w:r>
        <w:t xml:space="preserve"> </w:t>
      </w:r>
      <w:r>
        <w:t xml:space="preserve">Strength of human evidence</w:t>
      </w:r>
      <w:r>
        <w:t xml:space="preserve"> </w:t>
      </w:r>
      <w:r>
        <w:t xml:space="preserve">Probability of causation</w:t>
      </w:r>
      <w:r>
        <w:t xml:space="preserve"> </w:t>
      </w:r>
      <w:r>
        <w:t xml:space="preserve">Perinatal outcomes</w:t>
      </w:r>
      <w:r>
        <w:t xml:space="preserve"> </w:t>
      </w:r>
      <w:r>
        <w:t xml:space="preserve">Low birthweight</w:t>
      </w:r>
      <w:r>
        <w:t xml:space="preserve"> </w:t>
      </w:r>
      <w:r>
        <w:t xml:space="preserve">Not assessed</w:t>
      </w:r>
      <w:r>
        <w:t xml:space="preserve"> </w:t>
      </w:r>
      <w:r>
        <w:t xml:space="preserve">Not assessed</w:t>
      </w:r>
      <w:r>
        <w:t xml:space="preserve"> </w:t>
      </w:r>
      <w:r>
        <w:t xml:space="preserve">Preterm birth</w:t>
      </w:r>
      <w:r>
        <w:t xml:space="preserve"> </w:t>
      </w:r>
      <w:r>
        <w:t xml:space="preserve">Not assessed</w:t>
      </w:r>
      <w:r>
        <w:t xml:space="preserve"> </w:t>
      </w:r>
      <w:r>
        <w:t xml:space="preserve">Not assessed</w:t>
      </w:r>
      <w:r>
        <w:t xml:space="preserve"> </w:t>
      </w:r>
      <w:r>
        <w:t xml:space="preserve">Reduced anogenital distance</w:t>
      </w:r>
      <w:r>
        <w:t xml:space="preserve"> </w:t>
      </w:r>
      <w:r>
        <w:t xml:space="preserve">Not assessed</w:t>
      </w:r>
      <w:r>
        <w:t xml:space="preserve"> </w:t>
      </w:r>
      <w:r>
        <w:t xml:space="preserve">Not assessed</w:t>
      </w:r>
      <w:r>
        <w:t xml:space="preserve"> </w:t>
      </w:r>
      <w:r>
        <w:t xml:space="preserve">Neurodevelopmental</w:t>
      </w:r>
      <w:r>
        <w:t xml:space="preserve"> </w:t>
      </w:r>
      <w:r>
        <w:t xml:space="preserve">IQ loss and intellectual disability</w:t>
      </w:r>
      <w:r>
        <w:t xml:space="preserve"> </w:t>
      </w:r>
      <w:r>
        <w:t xml:space="preserve">Moderate to high</w:t>
      </w:r>
      <w:r>
        <w:t xml:space="preserve"> </w:t>
      </w:r>
      <w:r>
        <w:t xml:space="preserve">70-100%</w:t>
      </w:r>
      <w:r>
        <w:t xml:space="preserve"> </w:t>
      </w:r>
      <w:r>
        <w:t xml:space="preserve">Attention-deficit disorder</w:t>
      </w:r>
      <w:r>
        <w:t xml:space="preserve"> </w:t>
      </w:r>
      <w:r>
        <w:t xml:space="preserve">Low to moderate</w:t>
      </w:r>
      <w:r>
        <w:t xml:space="preserve"> </w:t>
      </w:r>
      <w:r>
        <w:t xml:space="preserve">20-69%</w:t>
      </w:r>
      <w:r>
        <w:t xml:space="preserve"> </w:t>
      </w:r>
      <w:r>
        <w:t xml:space="preserve">Autism spectrum disorder</w:t>
      </w:r>
      <w:r>
        <w:t xml:space="preserve"> </w:t>
      </w:r>
      <w:r>
        <w:t xml:space="preserve">Low</w:t>
      </w:r>
      <w:r>
        <w:t xml:space="preserve"> </w:t>
      </w:r>
      <w:r>
        <w:t xml:space="preserve">20-39%</w:t>
      </w:r>
      <w:r>
        <w:t xml:space="preserve"> </w:t>
      </w:r>
      <w:r>
        <w:t xml:space="preserve">Metabolic</w:t>
      </w:r>
      <w:r>
        <w:t xml:space="preserve"> </w:t>
      </w:r>
      <w:r>
        <w:t xml:space="preserve">Childhood obesity</w:t>
      </w:r>
      <w:r>
        <w:t xml:space="preserve"> </w:t>
      </w:r>
      <w:r>
        <w:t xml:space="preserve">Moderate</w:t>
      </w:r>
      <w:r>
        <w:t xml:space="preserve"> </w:t>
      </w:r>
      <w:r>
        <w:t xml:space="preserve">40-69%</w:t>
      </w:r>
      <w:r>
        <w:t xml:space="preserve"> </w:t>
      </w:r>
      <w:r>
        <w:t xml:space="preserve">Adult obesity</w:t>
      </w:r>
      <w:r>
        <w:t xml:space="preserve"> </w:t>
      </w:r>
      <w:r>
        <w:t xml:space="preserve">Low</w:t>
      </w:r>
      <w:r>
        <w:t xml:space="preserve"> </w:t>
      </w:r>
      <w:r>
        <w:t xml:space="preserve">40-69%</w:t>
      </w:r>
      <w:r>
        <w:t xml:space="preserve"> </w:t>
      </w:r>
      <w:r>
        <w:t xml:space="preserve">Adult diabetes</w:t>
      </w:r>
      <w:r>
        <w:t xml:space="preserve"> </w:t>
      </w:r>
      <w:r>
        <w:t xml:space="preserve">Low</w:t>
      </w:r>
      <w:r>
        <w:t xml:space="preserve"> </w:t>
      </w:r>
      <w:r>
        <w:t xml:space="preserve">40-69%</w:t>
      </w:r>
    </w:p>
    <w:p>
      <w:pPr>
        <w:pStyle w:val="BodyText"/>
      </w:pPr>
      <w:r>
        <w:t xml:space="preserve">278</w:t>
      </w:r>
      <w:r>
        <w:t xml:space="preserve"> </w:t>
      </w:r>
      <w:r>
        <w:t xml:space="preserve">National</w:t>
      </w:r>
      <w:r>
        <w:t xml:space="preserve"> </w:t>
      </w:r>
      <w:r>
        <w:t xml:space="preserve">Institute</w:t>
      </w:r>
      <w:r>
        <w:t xml:space="preserve"> </w:t>
      </w:r>
      <w:r>
        <w:t xml:space="preserve">of</w:t>
      </w:r>
      <w:r>
        <w:t xml:space="preserve"> </w:t>
      </w:r>
      <w:r>
        <w:t xml:space="preserve">Environmental</w:t>
      </w:r>
      <w:r>
        <w:t xml:space="preserve"> </w:t>
      </w:r>
      <w:r>
        <w:t xml:space="preserve">Health</w:t>
      </w:r>
      <w:r>
        <w:t xml:space="preserve"> </w:t>
      </w:r>
      <w:r>
        <w:t xml:space="preserve">Sciences.</w:t>
      </w:r>
      <w:r>
        <w:t xml:space="preserve"> </w:t>
      </w:r>
      <w:r>
        <w:t xml:space="preserve">(n.d.)</w:t>
      </w:r>
      <w:r>
        <w:t xml:space="preserve"> </w:t>
      </w:r>
      <w:r>
        <w:t xml:space="preserve">Endocrine</w:t>
      </w:r>
      <w:r>
        <w:t xml:space="preserve"> </w:t>
      </w:r>
      <w:r>
        <w:t xml:space="preserve">Disruptors.</w:t>
      </w:r>
      <w:r>
        <w:t xml:space="preserve"> </w:t>
      </w:r>
      <w:r>
        <w:t xml:space="preserve">https://www.niehs.nih.gov/health/topics/agents/endocrine/index.cfm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135</w:t>
      </w:r>
      <w:r>
        <w:t xml:space="preserve"> </w:t>
      </w:r>
      <w:r>
        <w:t xml:space="preserve">EN</w:t>
      </w:r>
      <w:r>
        <w:t xml:space="preserve"> </w:t>
      </w:r>
      <w:r>
        <w:t xml:space="preserve">Reproductive outcomes</w:t>
      </w:r>
      <w:r>
        <w:t xml:space="preserve"> </w:t>
      </w:r>
      <w:r>
        <w:t xml:space="preserve">Cryptorchidism</w:t>
      </w:r>
      <w:r>
        <w:t xml:space="preserve"> </w:t>
      </w:r>
      <w:r>
        <w:t xml:space="preserve">Low</w:t>
      </w:r>
      <w:r>
        <w:t xml:space="preserve"> </w:t>
      </w:r>
      <w:r>
        <w:t xml:space="preserve">40-69%</w:t>
      </w:r>
      <w:r>
        <w:t xml:space="preserve"> </w:t>
      </w:r>
      <w:r>
        <w:t xml:space="preserve">Low testosterone, resulting in</w:t>
      </w:r>
      <w:r>
        <w:t xml:space="preserve"> </w:t>
      </w:r>
      <w:r>
        <w:t xml:space="preserve">increased early mortality</w:t>
      </w:r>
      <w:r>
        <w:t xml:space="preserve"> </w:t>
      </w:r>
      <w:r>
        <w:t xml:space="preserve">Low</w:t>
      </w:r>
      <w:r>
        <w:t xml:space="preserve"> </w:t>
      </w:r>
      <w:r>
        <w:t xml:space="preserve">40-69%</w:t>
      </w:r>
      <w:r>
        <w:t xml:space="preserve"> </w:t>
      </w:r>
      <w:r>
        <w:t xml:space="preserve">Male</w:t>
      </w:r>
      <w:r>
        <w:t xml:space="preserve"> </w:t>
      </w:r>
      <w:r>
        <w:t xml:space="preserve">infertility,</w:t>
      </w:r>
      <w:r>
        <w:t xml:space="preserve"> </w:t>
      </w:r>
      <w:r>
        <w:t xml:space="preserve">resulting</w:t>
      </w:r>
      <w:r>
        <w:t xml:space="preserve"> </w:t>
      </w:r>
      <w:r>
        <w:t xml:space="preserve">in</w:t>
      </w:r>
      <w:r>
        <w:t xml:space="preserve"> </w:t>
      </w:r>
      <w:r>
        <w:t xml:space="preserve">increased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assisted</w:t>
      </w:r>
      <w:r>
        <w:t xml:space="preserve"> </w:t>
      </w:r>
      <w:r>
        <w:t xml:space="preserve">reproductive technology</w:t>
      </w:r>
      <w:r>
        <w:t xml:space="preserve"> </w:t>
      </w:r>
      <w:r>
        <w:t xml:space="preserve">Low</w:t>
      </w:r>
      <w:r>
        <w:t xml:space="preserve"> </w:t>
      </w:r>
      <w:r>
        <w:t xml:space="preserve">40-69%</w:t>
      </w:r>
      <w:r>
        <w:t xml:space="preserve"> </w:t>
      </w:r>
      <w:r>
        <w:t xml:space="preserve">Endometriosis</w:t>
      </w:r>
      <w:r>
        <w:t xml:space="preserve"> </w:t>
      </w:r>
      <w:r>
        <w:t xml:space="preserve">Low</w:t>
      </w:r>
      <w:r>
        <w:t xml:space="preserve"> </w:t>
      </w:r>
      <w:r>
        <w:t xml:space="preserve">20-39%</w:t>
      </w:r>
      <w:r>
        <w:t xml:space="preserve"> </w:t>
      </w:r>
      <w:r>
        <w:t xml:space="preserve">Fibroids</w:t>
      </w:r>
      <w:r>
        <w:t xml:space="preserve"> </w:t>
      </w:r>
      <w:r>
        <w:t xml:space="preserve">Low</w:t>
      </w:r>
      <w:r>
        <w:t xml:space="preserve"> </w:t>
      </w:r>
      <w:r>
        <w:t xml:space="preserve">20-39%</w:t>
      </w:r>
      <w:r>
        <w:t xml:space="preserve"> </w:t>
      </w:r>
      <w:r>
        <w:t xml:space="preserve">Testicular cancer</w:t>
      </w:r>
      <w:r>
        <w:t xml:space="preserve"> </w:t>
      </w:r>
      <w:r>
        <w:t xml:space="preserve">Very low to low</w:t>
      </w:r>
      <w:r>
        <w:t xml:space="preserve"> </w:t>
      </w:r>
      <w:r>
        <w:t xml:space="preserve">0-19%</w:t>
      </w:r>
      <w:r>
        <w:t xml:space="preserve"> </w:t>
      </w:r>
      <w:r>
        <w:t xml:space="preserve">Semen quality</w:t>
      </w:r>
      <w:r>
        <w:t xml:space="preserve"> </w:t>
      </w:r>
      <w:r>
        <w:t xml:space="preserve">Not assessed</w:t>
      </w:r>
      <w:r>
        <w:t xml:space="preserve"> </w:t>
      </w:r>
      <w:r>
        <w:t xml:space="preserve">Not assessed</w:t>
      </w:r>
      <w:r>
        <w:t xml:space="preserve"> </w:t>
      </w:r>
      <w:r>
        <w:t xml:space="preserve">Polycystic ovarian syndrome</w:t>
      </w:r>
      <w:r>
        <w:t xml:space="preserve"> </w:t>
      </w:r>
      <w:r>
        <w:t xml:space="preserve">Not assessed</w:t>
      </w:r>
      <w:r>
        <w:t xml:space="preserve"> </w:t>
      </w:r>
      <w:r>
        <w:t xml:space="preserve">Not assessed</w:t>
      </w:r>
      <w:r>
        <w:t xml:space="preserve"> </w:t>
      </w:r>
      <w:r>
        <w:t xml:space="preserve">Breast cancer</w:t>
      </w:r>
      <w:r>
        <w:t xml:space="preserve"> </w:t>
      </w:r>
      <w:r>
        <w:t xml:space="preserve">Not assessed</w:t>
      </w:r>
      <w:r>
        <w:t xml:space="preserve"> </w:t>
      </w:r>
      <w:r>
        <w:t xml:space="preserve">Not assessed</w:t>
      </w:r>
      <w:r>
        <w:t xml:space="preserve"> </w:t>
      </w:r>
      <w:r>
        <w:t xml:space="preserve">Notes: Kahn et al. (2020) report strength of evidence and probability of causation per specific EDs and time of exposure</w:t>
      </w:r>
      <w:r>
        <w:t xml:space="preserve"> </w:t>
      </w:r>
      <w:r>
        <w:t xml:space="preserve">(prenatal, pregnancy, adult, lifetime). This table reproduces only the highest strength of human evidence and probability</w:t>
      </w:r>
      <w:r>
        <w:t xml:space="preserve"> </w:t>
      </w:r>
      <w:r>
        <w:t xml:space="preserve">of causation among specific EDs and time of exposure.</w:t>
      </w:r>
      <w:r>
        <w:t xml:space="preserve"> </w:t>
      </w:r>
      <w:r>
        <w:t xml:space="preserve">Kahn et al. (2020) is part of a series of papers published by Trasande and colleagues</w:t>
      </w:r>
      <w:r>
        <w:t xml:space="preserve"> </w:t>
      </w:r>
      <w:r>
        <w:t xml:space="preserve">starting in 2015279 estimating the socioeconomic impacts of health outcomes attributable</w:t>
      </w:r>
      <w:r>
        <w:t xml:space="preserve"> </w:t>
      </w:r>
      <w:r>
        <w:t xml:space="preserve">to EDs’ exposure. These papers use the population attributable fraction methodology and</w:t>
      </w:r>
      <w:r>
        <w:t xml:space="preserve"> </w:t>
      </w:r>
      <w:r>
        <w:t xml:space="preserve">calculate the attributable costs as the product of disease rate, attributable fraction,</w:t>
      </w:r>
      <w:r>
        <w:t xml:space="preserve"> </w:t>
      </w:r>
      <w:r>
        <w:t xml:space="preserve">population size and cost per case. The cost per case includes health care direct costs,</w:t>
      </w:r>
      <w:r>
        <w:t xml:space="preserve"> </w:t>
      </w:r>
      <w:r>
        <w:t xml:space="preserve">rehabilitation costs and lost productivity. To establish the probability of causation, the</w:t>
      </w:r>
      <w:r>
        <w:t xml:space="preserve"> </w:t>
      </w:r>
      <w:r>
        <w:t xml:space="preserve">authors adapted the Intergovernmental Panel on Climate Change (IPCC) approach,</w:t>
      </w:r>
      <w:r>
        <w:t xml:space="preserve"> </w:t>
      </w:r>
      <w:r>
        <w:t xml:space="preserve">combining the assessment of the strength of the epidemiological and toxicological</w:t>
      </w:r>
      <w:r>
        <w:t xml:space="preserve"> </w:t>
      </w:r>
      <w:r>
        <w:t xml:space="preserve">evidence. Bond and Dietrich (2017) have criticised the methodology used in this series of</w:t>
      </w:r>
      <w:r>
        <w:t xml:space="preserve"> </w:t>
      </w:r>
      <w:r>
        <w:t xml:space="preserve">papers, pointing to a number of criticalities: skewed and non-transparent selection of</w:t>
      </w:r>
      <w:r>
        <w:t xml:space="preserve"> </w:t>
      </w:r>
      <w:r>
        <w:t xml:space="preserve">experts for the panels establishing probability causation for each outcome-exposure</w:t>
      </w:r>
      <w:r>
        <w:t xml:space="preserve"> </w:t>
      </w:r>
      <w:r>
        <w:t xml:space="preserve">association; limited evidence for certain outcome-exposure association; non-transparent</w:t>
      </w:r>
      <w:r>
        <w:t xml:space="preserve"> </w:t>
      </w:r>
      <w:r>
        <w:t xml:space="preserve">selection of the literature evaluated; monetisation of health outcomes with low to moderate</w:t>
      </w:r>
      <w:r>
        <w:t xml:space="preserve"> </w:t>
      </w:r>
      <w:r>
        <w:t xml:space="preserve">probability of causation; insufficient number of experts in the panels.</w:t>
      </w:r>
      <w:r>
        <w:t xml:space="preserve"> </w:t>
      </w:r>
      <w:r>
        <w:t xml:space="preserve">For the purpose of this assessment, one outcome for each outcome category has been</w:t>
      </w:r>
      <w:r>
        <w:t xml:space="preserve"> </w:t>
      </w:r>
      <w:r>
        <w:t xml:space="preserve">selected:</w:t>
      </w:r>
      <w:r>
        <w:t xml:space="preserve"> </w:t>
      </w:r>
      <w:r>
        <w:t xml:space="preserve"> Low birth weight (perinatal outcomes);</w:t>
      </w:r>
      <w:r>
        <w:t xml:space="preserve"> </w:t>
      </w:r>
      <w:r>
        <w:t xml:space="preserve"> IQ loss and intellectual disability (neurodevelopmental);</w:t>
      </w:r>
      <w:r>
        <w:t xml:space="preserve"> </w:t>
      </w:r>
      <w:r>
        <w:t xml:space="preserve"> Childhood obesity (metabolic);</w:t>
      </w:r>
      <w:r>
        <w:t xml:space="preserve"> </w:t>
      </w:r>
      <w:r>
        <w:t xml:space="preserve"> Male infertility (reproductive outcomes).</w:t>
      </w:r>
      <w:r>
        <w:t xml:space="preserve"> </w:t>
      </w:r>
      <w:r>
        <w:t xml:space="preserve">A very low weight at birth can have consequences on development, including an increased</w:t>
      </w:r>
      <w:r>
        <w:t xml:space="preserve"> </w:t>
      </w:r>
      <w:r>
        <w:t xml:space="preserve">prevalence of neurosensory problems, behavioural and social competence problems, and</w:t>
      </w:r>
      <w:r>
        <w:t xml:space="preserve"> </w:t>
      </w:r>
      <w:r>
        <w:t xml:space="preserve">intellectual and learning disabilities. As noted in ECHA (2016c), the actual outcomes</w:t>
      </w:r>
      <w:r>
        <w:t xml:space="preserve"> </w:t>
      </w:r>
      <w:r>
        <w:t xml:space="preserve">associated to very low birth weight cannot be known in advance. Alberini and Ščasný</w:t>
      </w:r>
      <w:r>
        <w:t xml:space="preserve"> </w:t>
      </w:r>
      <w:r>
        <w:t xml:space="preserve">(2014) value that the prevention of one case of very low birth weight at €2012405,000 (equal</w:t>
      </w:r>
      <w:r>
        <w:t xml:space="preserve"> </w:t>
      </w:r>
      <w:r>
        <w:t xml:space="preserve">to €2021450,000)280 from a public perspective.</w:t>
      </w:r>
    </w:p>
    <w:p>
      <w:pPr>
        <w:pStyle w:val="BodyText"/>
      </w:pPr>
      <w:r>
        <w:t xml:space="preserve">279 Trasande et al. (2015); Bellanger et al. (2015); Hauser et al. (2015); Legler et al. (2015); Hunt et al. (2016);</w:t>
      </w:r>
      <w:r>
        <w:t xml:space="preserve"> </w:t>
      </w:r>
      <w:r>
        <w:t xml:space="preserve">Trasande et al. (2016)</w:t>
      </w:r>
      <w:r>
        <w:t xml:space="preserve"> </w:t>
      </w:r>
      <w:r>
        <w:t xml:space="preserve">280 Rounded to the nearest ten thousand.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136</w:t>
      </w:r>
      <w:r>
        <w:t xml:space="preserve"> </w:t>
      </w:r>
      <w:r>
        <w:t xml:space="preserve">EN</w:t>
      </w:r>
      <w:r>
        <w:t xml:space="preserve"> </w:t>
      </w:r>
      <w:r>
        <w:t xml:space="preserve">Neurodevelopmental disabilities have been associated with IQ productivity losses and</w:t>
      </w:r>
      <w:r>
        <w:t xml:space="preserve"> </w:t>
      </w:r>
      <w:r>
        <w:t xml:space="preserve">other associated health and societal costs. A number of authors281 282 283 have estimated the</w:t>
      </w:r>
      <w:r>
        <w:t xml:space="preserve"> </w:t>
      </w:r>
      <w:r>
        <w:t xml:space="preserve">cost of an IQ point lost as USD201019,269 (equal to EUR202130,500) in discounted lifetime</w:t>
      </w:r>
      <w:r>
        <w:t xml:space="preserve"> </w:t>
      </w:r>
      <w:r>
        <w:t xml:space="preserve">costs. Honeycutt et al. (2004) report average lifetime costs per case of intellectual disability</w:t>
      </w:r>
      <w:r>
        <w:t xml:space="preserve"> </w:t>
      </w:r>
      <w:r>
        <w:t xml:space="preserve">of USD20031,014,000 (equal to €20211,690,000).284</w:t>
      </w:r>
      <w:r>
        <w:t xml:space="preserve"> </w:t>
      </w:r>
      <w:r>
        <w:t xml:space="preserve">Obesity presents significant healthcare costs to society and can result in various related</w:t>
      </w:r>
      <w:r>
        <w:t xml:space="preserve"> </w:t>
      </w:r>
      <w:r>
        <w:t xml:space="preserve">conditions and subsequent reductions in life expectancy. Direct costs considered include</w:t>
      </w:r>
      <w:r>
        <w:t xml:space="preserve"> </w:t>
      </w:r>
      <w:r>
        <w:t xml:space="preserve">drugs, hospitalisations, monitoring and obesity-associated pathologies. Indirect costs are</w:t>
      </w:r>
      <w:r>
        <w:t xml:space="preserve"> </w:t>
      </w:r>
      <w:r>
        <w:t xml:space="preserve">productivity losses, in terms of both presenteeism and absenteeism.285 Hamilton and Dee</w:t>
      </w:r>
      <w:r>
        <w:t xml:space="preserve"> </w:t>
      </w:r>
      <w:r>
        <w:t xml:space="preserve">(2017) value the total lifetime excess cost per obese child as €2021160,000.286</w:t>
      </w:r>
      <w:r>
        <w:t xml:space="preserve"> </w:t>
      </w:r>
      <w:r>
        <w:t xml:space="preserve">There are significant individual and societal costs associated with male reproductive health</w:t>
      </w:r>
      <w:r>
        <w:t xml:space="preserve"> </w:t>
      </w:r>
      <w:r>
        <w:t xml:space="preserve">problems, with costs including medical and fertility treatment. Alberini and Ščasný (2014)</w:t>
      </w:r>
      <w:r>
        <w:t xml:space="preserve"> </w:t>
      </w:r>
      <w:r>
        <w:t xml:space="preserve">estimated the value of a statistical pregnancy among the general population in €201237,900</w:t>
      </w:r>
      <w:r>
        <w:t xml:space="preserve"> </w:t>
      </w:r>
      <w:r>
        <w:t xml:space="preserve">(equal to €202142,000).</w:t>
      </w:r>
      <w:r>
        <w:t xml:space="preserve"> </w:t>
      </w:r>
      <w:r>
        <w:t xml:space="preserve">Single Target Organ Toxicity (STOT)</w:t>
      </w:r>
      <w:r>
        <w:t xml:space="preserve"> </w:t>
      </w:r>
      <w:r>
        <w:t xml:space="preserve">A substance will be classified as a Specific Target Organ Toxicant (STOT) under the CLP</w:t>
      </w:r>
      <w:r>
        <w:t xml:space="preserve"> </w:t>
      </w:r>
      <w:r>
        <w:t xml:space="preserve">Regulation if it produces target organ toxicity/systemic effects that are not specifically</w:t>
      </w:r>
      <w:r>
        <w:t xml:space="preserve"> </w:t>
      </w:r>
      <w:r>
        <w:t xml:space="preserve">addressed in any of the other hazard classes of the CLP Regulation. STOT substances cause</w:t>
      </w:r>
      <w:r>
        <w:t xml:space="preserve"> </w:t>
      </w:r>
      <w:r>
        <w:t xml:space="preserve">specific but non-lethal effects, reversible or irreversible, on organs or organ systems in the</w:t>
      </w:r>
      <w:r>
        <w:t xml:space="preserve"> </w:t>
      </w:r>
      <w:r>
        <w:t xml:space="preserve">body following exposure to a substance. All significant health effects that can impair</w:t>
      </w:r>
      <w:r>
        <w:t xml:space="preserve"> </w:t>
      </w:r>
      <w:r>
        <w:t xml:space="preserve">function, both reversible and irreversible, following single exposure or repeated exposure,</w:t>
      </w:r>
      <w:r>
        <w:t xml:space="preserve"> </w:t>
      </w:r>
      <w:r>
        <w:t xml:space="preserve">are included. Other specific toxic effects, such as acute lethality/toxicity, eye and skin</w:t>
      </w:r>
      <w:r>
        <w:t xml:space="preserve"> </w:t>
      </w:r>
      <w:r>
        <w:t xml:space="preserve">corrosivity/irritation, skin and respiratory sensitisation, carcinogenicity, mutagenicity and</w:t>
      </w:r>
      <w:r>
        <w:t xml:space="preserve"> </w:t>
      </w:r>
      <w:r>
        <w:t xml:space="preserve">reproductive toxicity are not considered since they are assessed by other hazard classes</w:t>
      </w:r>
      <w:r>
        <w:t xml:space="preserve"> </w:t>
      </w:r>
      <w:r>
        <w:t xml:space="preserve">under the CLP Regulation.</w:t>
      </w:r>
      <w:r>
        <w:br/>
      </w:r>
      <w:r>
        <w:t xml:space="preserve">There are two main classifications as STOT: Single Exposure and Repeated Exposure.</w:t>
      </w:r>
      <w:r>
        <w:t xml:space="preserve"> </w:t>
      </w:r>
      <w:r>
        <w:t xml:space="preserve">STOT Single Exposure is differentiated into:</w:t>
      </w:r>
      <w:r>
        <w:t xml:space="preserve"> </w:t>
      </w:r>
      <w:r>
        <w:t xml:space="preserve">—Specific target organ toxicity — single exposure, Category 1 and 2;</w:t>
      </w:r>
      <w:r>
        <w:t xml:space="preserve"> </w:t>
      </w:r>
      <w:r>
        <w:t xml:space="preserve">—Specific target organ toxicity — single exposure, Category 3.</w:t>
      </w:r>
      <w:r>
        <w:t xml:space="preserve"> </w:t>
      </w:r>
      <w:r>
        <w:t xml:space="preserve">Categories</w:t>
      </w:r>
      <w:r>
        <w:t xml:space="preserve"> </w:t>
      </w:r>
      <w:r>
        <w:t xml:space="preserve">Criteria</w:t>
      </w:r>
      <w:r>
        <w:t xml:space="preserve"> </w:t>
      </w:r>
      <w:r>
        <w:t xml:space="preserve">Category 1 Substances that have produced significant toxicity in humans or that, on the</w:t>
      </w:r>
      <w:r>
        <w:t xml:space="preserve"> </w:t>
      </w:r>
      <w:r>
        <w:t xml:space="preserve">basis of evidence from studies in experimental animals, can be presumed to</w:t>
      </w:r>
    </w:p>
    <w:p>
      <w:pPr>
        <w:pStyle w:val="BodyText"/>
      </w:pPr>
      <w:r>
        <w:t xml:space="preserve">281 Attina TM, Trasande L (2013): Economic costs of childhood lead exposure in low and middle-income</w:t>
      </w:r>
      <w:r>
        <w:t xml:space="preserve"> </w:t>
      </w:r>
      <w:r>
        <w:t xml:space="preserve">countries. Environ Health Perspect 121:1097-1102</w:t>
      </w:r>
      <w:r>
        <w:t xml:space="preserve"> </w:t>
      </w:r>
      <w:r>
        <w:t xml:space="preserve">282 Trasande L, Liu Y (2011): Reducing the Staggering Costs of Environmental Disease in Children,</w:t>
      </w:r>
      <w:r>
        <w:t xml:space="preserve"> </w:t>
      </w:r>
      <w:r>
        <w:t xml:space="preserve">Estimated at $76.6 Billion In 2008. Health Affairs 30:863-870</w:t>
      </w:r>
      <w:r>
        <w:t xml:space="preserve"> </w:t>
      </w:r>
      <w:r>
        <w:t xml:space="preserve">283 Bellanger et al. (2013): Economic benefits of methylmercury exposure control in Europe: monetary value</w:t>
      </w:r>
      <w:r>
        <w:t xml:space="preserve"> </w:t>
      </w:r>
      <w:r>
        <w:t xml:space="preserve">of neurotoxicity prevention Environmental Health 12</w:t>
      </w:r>
      <w:r>
        <w:t xml:space="preserve"> </w:t>
      </w:r>
      <w:r>
        <w:t xml:space="preserve">284 Converted using the purchasing power parities and inflation rates reported by the OECD</w:t>
      </w:r>
      <w:r>
        <w:t xml:space="preserve"> </w:t>
      </w:r>
      <w:r>
        <w:t xml:space="preserve">(https://data.oecd.org/conversion/purchasing-power-parities-ppp.htm)</w:t>
      </w:r>
      <w:r>
        <w:t xml:space="preserve"> </w:t>
      </w:r>
      <w:r>
        <w:t xml:space="preserve">and</w:t>
      </w:r>
      <w:r>
        <w:t xml:space="preserve"> </w:t>
      </w:r>
      <w:r>
        <w:t xml:space="preserve">(https://stats.oecd.org/index.aspx?queryid=82174)</w:t>
      </w:r>
      <w:r>
        <w:t xml:space="preserve"> </w:t>
      </w:r>
      <w:r>
        <w:t xml:space="preserve">285 Presenteeism refers to the lost productivity that occurs when employees are not fully functioning in the</w:t>
      </w:r>
      <w:r>
        <w:t xml:space="preserve"> </w:t>
      </w:r>
      <w:r>
        <w:t xml:space="preserve">workplace because of an illness, injury, or other condition. Absenteeism occurs when people are sick, injured,</w:t>
      </w:r>
      <w:r>
        <w:t xml:space="preserve"> </w:t>
      </w:r>
      <w:r>
        <w:t xml:space="preserve">unwell or are unable to come to work due to circumstances.</w:t>
      </w:r>
      <w:r>
        <w:t xml:space="preserve"> </w:t>
      </w:r>
      <w:r>
        <w:t xml:space="preserve">286 Rounded to the nearest ten thousand.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137</w:t>
      </w:r>
      <w:r>
        <w:t xml:space="preserve"> </w:t>
      </w:r>
      <w:r>
        <w:t xml:space="preserve">EN</w:t>
      </w:r>
      <w:r>
        <w:t xml:space="preserve"> </w:t>
      </w:r>
      <w:r>
        <w:t xml:space="preserve">have the potential to produce significant toxicity in humans following single</w:t>
      </w:r>
      <w:r>
        <w:t xml:space="preserve"> </w:t>
      </w:r>
      <w:r>
        <w:t xml:space="preserve">exposure</w:t>
      </w:r>
      <w:r>
        <w:t xml:space="preserve"> </w:t>
      </w:r>
      <w:r>
        <w:t xml:space="preserve">Substances are classified in Category 1 for specific target organ</w:t>
      </w:r>
      <w:r>
        <w:t xml:space="preserve"> </w:t>
      </w:r>
      <w:r>
        <w:t xml:space="preserve">toxicity (single exposure) on the basis of:</w:t>
      </w:r>
      <w:r>
        <w:t xml:space="preserve"> </w:t>
      </w:r>
      <w:r>
        <w:t xml:space="preserve">(a) reliable and good quality evidence from human cases or epidemiological</w:t>
      </w:r>
      <w:r>
        <w:t xml:space="preserve"> </w:t>
      </w:r>
      <w:r>
        <w:t xml:space="preserve">studies; or</w:t>
      </w:r>
      <w:r>
        <w:t xml:space="preserve"> </w:t>
      </w:r>
      <w:r>
        <w:t xml:space="preserve">(b) observations from appropriate studies in experimental animals in which</w:t>
      </w:r>
      <w:r>
        <w:t xml:space="preserve"> </w:t>
      </w:r>
      <w:r>
        <w:t xml:space="preserve">significant and/or severe toxic effects of relevance to human health were</w:t>
      </w:r>
      <w:r>
        <w:t xml:space="preserve"> </w:t>
      </w:r>
      <w:r>
        <w:t xml:space="preserve">produced at generally low exposure concentrations.</w:t>
      </w:r>
      <w:r>
        <w:br/>
      </w:r>
      <w:r>
        <w:t xml:space="preserve">Category 2 Substances that, on the basis of evidence from studies in experimental animals</w:t>
      </w:r>
      <w:r>
        <w:t xml:space="preserve"> </w:t>
      </w:r>
      <w:r>
        <w:t xml:space="preserve">can be presumed to have the potential to be harmful to human health</w:t>
      </w:r>
      <w:r>
        <w:t xml:space="preserve"> </w:t>
      </w:r>
      <w:r>
        <w:t xml:space="preserve">following single exposure</w:t>
      </w:r>
      <w:r>
        <w:t xml:space="preserve"> </w:t>
      </w:r>
      <w:r>
        <w:t xml:space="preserve">Substances are classified in Category 2 for specific target organ</w:t>
      </w:r>
      <w:r>
        <w:t xml:space="preserve"> </w:t>
      </w:r>
      <w:r>
        <w:t xml:space="preserve">toxicity (single exposure) on the basis of observations from appropriate studies</w:t>
      </w:r>
      <w:r>
        <w:t xml:space="preserve"> </w:t>
      </w:r>
      <w:r>
        <w:t xml:space="preserve">in experimental animals in which significant toxic effects, of relevance to</w:t>
      </w:r>
      <w:r>
        <w:t xml:space="preserve"> </w:t>
      </w:r>
      <w:r>
        <w:t xml:space="preserve">human health, were produced at generally moderate exposure concentrations.</w:t>
      </w:r>
      <w:r>
        <w:t xml:space="preserve"> </w:t>
      </w:r>
      <w:r>
        <w:t xml:space="preserve">Category 3 Transient target organ effects</w:t>
      </w:r>
      <w:r>
        <w:t xml:space="preserve"> </w:t>
      </w:r>
      <w:r>
        <w:t xml:space="preserve">This category only includes narcotic effects and respiratory tract irritation.</w:t>
      </w:r>
      <w:r>
        <w:t xml:space="preserve"> </w:t>
      </w:r>
      <w:r>
        <w:t xml:space="preserve">These are target organ effects for which a substance does not meet the criteria</w:t>
      </w:r>
      <w:r>
        <w:t xml:space="preserve"> </w:t>
      </w:r>
      <w:r>
        <w:t xml:space="preserve">to be classified in Categories 1 or 2 indicated above. These are effects which</w:t>
      </w:r>
      <w:r>
        <w:t xml:space="preserve"> </w:t>
      </w:r>
      <w:r>
        <w:t xml:space="preserve">adversely alter human function for a short duration after exposure and from</w:t>
      </w:r>
      <w:r>
        <w:t xml:space="preserve"> </w:t>
      </w:r>
      <w:r>
        <w:t xml:space="preserve">which humans may recover in a reasonable period without leaving significant</w:t>
      </w:r>
      <w:r>
        <w:t xml:space="preserve"> </w:t>
      </w:r>
      <w:r>
        <w:t xml:space="preserve">alteration of structure or function.</w:t>
      </w:r>
    </w:p>
    <w:p>
      <w:pPr>
        <w:pStyle w:val="BodyText"/>
      </w:pPr>
      <w:r>
        <w:t xml:space="preserve">From the unofficial information made available by ECHA, there appear to be currently</w:t>
      </w:r>
      <w:r>
        <w:t xml:space="preserve"> </w:t>
      </w:r>
      <w:r>
        <w:t xml:space="preserve">around 291 substances classified as STOT SE, in all three categories combined.</w:t>
      </w:r>
      <w:r>
        <w:br/>
      </w:r>
      <w:r>
        <w:t xml:space="preserve">Chemicals under STOT repeated exposure are differentiated into:</w:t>
      </w:r>
      <w:r>
        <w:t xml:space="preserve"> </w:t>
      </w:r>
      <w:r>
        <w:t xml:space="preserve">—Specific target organ toxicity — repeated exposure, Category 1;</w:t>
      </w:r>
      <w:r>
        <w:t xml:space="preserve"> </w:t>
      </w:r>
      <w:r>
        <w:t xml:space="preserve">—Specific target organ toxicity — repeated exposure, Category 2.</w:t>
      </w:r>
      <w:r>
        <w:t xml:space="preserve"> </w:t>
      </w:r>
      <w:r>
        <w:t xml:space="preserve">Categories</w:t>
      </w:r>
      <w:r>
        <w:t xml:space="preserve"> </w:t>
      </w:r>
      <w:r>
        <w:t xml:space="preserve">Criteria</w:t>
      </w:r>
      <w:r>
        <w:t xml:space="preserve"> </w:t>
      </w:r>
      <w:r>
        <w:t xml:space="preserve">Category 1 Substances that have produced significant toxicity in humans or that, on the</w:t>
      </w:r>
      <w:r>
        <w:t xml:space="preserve"> </w:t>
      </w:r>
      <w:r>
        <w:t xml:space="preserve">basis of evidence from studies in experimental animals, can be presumed to</w:t>
      </w:r>
      <w:r>
        <w:t xml:space="preserve"> </w:t>
      </w:r>
      <w:r>
        <w:t xml:space="preserve">have the potential to produce significant toxicity in humans</w:t>
      </w:r>
      <w:r>
        <w:t xml:space="preserve"> </w:t>
      </w:r>
      <w:r>
        <w:t xml:space="preserve">following repeated exposure.</w:t>
      </w:r>
      <w:r>
        <w:t xml:space="preserve"> </w:t>
      </w:r>
      <w:r>
        <w:t xml:space="preserve">Substances are classified in Category 1 for target organ toxicity</w:t>
      </w:r>
      <w:r>
        <w:t xml:space="preserve"> </w:t>
      </w:r>
      <w:r>
        <w:t xml:space="preserve">(repeat exposure) on the basis of:</w:t>
      </w:r>
      <w:r>
        <w:t xml:space="preserve"> </w:t>
      </w:r>
      <w:r>
        <w:t xml:space="preserve">— reliable and good quality evidence from human cases or epidemiological</w:t>
      </w:r>
      <w:r>
        <w:t xml:space="preserve"> </w:t>
      </w:r>
      <w:r>
        <w:t xml:space="preserve">studies; or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138</w:t>
      </w:r>
      <w:r>
        <w:t xml:space="preserve"> </w:t>
      </w:r>
      <w:r>
        <w:t xml:space="preserve">EN</w:t>
      </w:r>
      <w:r>
        <w:t xml:space="preserve"> </w:t>
      </w:r>
      <w:r>
        <w:t xml:space="preserve">— observations from appropriate studies in experimental animals in which</w:t>
      </w:r>
      <w:r>
        <w:t xml:space="preserve"> </w:t>
      </w:r>
      <w:r>
        <w:t xml:space="preserve">significant and/or severe toxic effects, of relevance to human health, were</w:t>
      </w:r>
      <w:r>
        <w:t xml:space="preserve"> </w:t>
      </w:r>
      <w:r>
        <w:t xml:space="preserve">produced at generally low exposure concentrations.</w:t>
      </w:r>
      <w:r>
        <w:br/>
      </w:r>
      <w:r>
        <w:t xml:space="preserve">Category 2 Substances that, on the basis of evidence from studies in experimental</w:t>
      </w:r>
      <w:r>
        <w:t xml:space="preserve"> </w:t>
      </w:r>
      <w:r>
        <w:t xml:space="preserve">animals can be presumed to have the potential to be harmful to human health</w:t>
      </w:r>
      <w:r>
        <w:t xml:space="preserve"> </w:t>
      </w:r>
      <w:r>
        <w:t xml:space="preserve">following repeated exposure.</w:t>
      </w:r>
      <w:r>
        <w:t xml:space="preserve"> </w:t>
      </w:r>
      <w:r>
        <w:t xml:space="preserve">Substances are classified in category 2 for target organ toxicity</w:t>
      </w:r>
      <w:r>
        <w:t xml:space="preserve"> </w:t>
      </w:r>
      <w:r>
        <w:t xml:space="preserve">(repeat exposure) on the basis of observations from appropriate studies in</w:t>
      </w:r>
      <w:r>
        <w:t xml:space="preserve"> </w:t>
      </w:r>
      <w:r>
        <w:t xml:space="preserve">experimental animals in which significant toxic effects, of relevance to</w:t>
      </w:r>
      <w:r>
        <w:t xml:space="preserve"> </w:t>
      </w:r>
      <w:r>
        <w:t xml:space="preserve">human health, were produced at generally moderate exposure concentrations.</w:t>
      </w:r>
    </w:p>
    <w:p>
      <w:pPr>
        <w:pStyle w:val="BodyText"/>
      </w:pPr>
      <w:r>
        <w:t xml:space="preserve">From the unofficial information made available by ECHA, there appear to be currently</w:t>
      </w:r>
      <w:r>
        <w:t xml:space="preserve"> </w:t>
      </w:r>
      <w:r>
        <w:t xml:space="preserve">around 542 substances classified as STOT repeated exposure, in both categories combined.</w:t>
      </w:r>
      <w:r>
        <w:t xml:space="preserve"> </w:t>
      </w:r>
      <w:r>
        <w:t xml:space="preserve">Under the Biocidal Products Regulation, substances classified as STOTs under the CLP</w:t>
      </w:r>
      <w:r>
        <w:t xml:space="preserve"> </w:t>
      </w:r>
      <w:r>
        <w:t xml:space="preserve">Regulation are subject to risk management measures based on generic risk considerations</w:t>
      </w:r>
      <w:r>
        <w:t xml:space="preserve"> </w:t>
      </w:r>
      <w:r>
        <w:t xml:space="preserve">(i.e. automatically prohibited from use by the general public). There are no equivalent</w:t>
      </w:r>
      <w:r>
        <w:t xml:space="preserve"> </w:t>
      </w:r>
      <w:r>
        <w:t xml:space="preserve">provisions under other product specific legislation within the scope of the Fitness Check</w:t>
      </w:r>
      <w:r>
        <w:t xml:space="preserve"> </w:t>
      </w:r>
      <w:r>
        <w:t xml:space="preserve">for Chemicals Legislation (excluding REACH).</w:t>
      </w:r>
      <w:r>
        <w:br/>
      </w:r>
      <w:r>
        <w:t xml:space="preserve">In the Fitness Check, NGOs and some Member State authorities pointed out a potential</w:t>
      </w:r>
      <w:r>
        <w:t xml:space="preserve"> </w:t>
      </w:r>
      <w:r>
        <w:t xml:space="preserve">gap for some</w:t>
      </w:r>
      <w:r>
        <w:t xml:space="preserve"> </w:t>
      </w:r>
      <w:r>
        <w:t xml:space="preserve">“new emerging endpoints”</w:t>
      </w:r>
      <w:r>
        <w:t xml:space="preserve"> </w:t>
      </w:r>
      <w:r>
        <w:t xml:space="preserve">e.g. neurotoxicity, immunotoxicity. These hazard</w:t>
      </w:r>
      <w:r>
        <w:t xml:space="preserve"> </w:t>
      </w:r>
      <w:r>
        <w:t xml:space="preserve">aspects present health and environmental risks of a similar level of concern to those</w:t>
      </w:r>
      <w:r>
        <w:t xml:space="preserve"> </w:t>
      </w:r>
      <w:r>
        <w:t xml:space="preserve">associated with CMRs, PBTs/vPvBs and EDs but are not always explicitly addressed by</w:t>
      </w:r>
      <w:r>
        <w:t xml:space="preserve"> </w:t>
      </w:r>
      <w:r>
        <w:t xml:space="preserve">the EU framework of chemicals legislation e.g. these do not constitute a hazard class under</w:t>
      </w:r>
      <w:r>
        <w:t xml:space="preserve"> </w:t>
      </w:r>
      <w:r>
        <w:t xml:space="preserve">the CLP Regulation. In principle, neurotoxicity can be addressed via the STOT hazard</w:t>
      </w:r>
      <w:r>
        <w:t xml:space="preserve"> </w:t>
      </w:r>
      <w:r>
        <w:t xml:space="preserve">class under CLP. However, in practice, expert stakeholders indicated that testing for</w:t>
      </w:r>
      <w:r>
        <w:t xml:space="preserve"> </w:t>
      </w:r>
      <w:r>
        <w:t xml:space="preserve">neurotoxicity is rarely undertaken despite the availability of internationally recognised test</w:t>
      </w:r>
      <w:r>
        <w:t xml:space="preserve"> </w:t>
      </w:r>
      <w:r>
        <w:t xml:space="preserve">methods. With respect to immunotoxicity, there are currently no internationally recognised</w:t>
      </w:r>
      <w:r>
        <w:t xml:space="preserve"> </w:t>
      </w:r>
      <w:r>
        <w:t xml:space="preserve">test methods to identify substances with this hazard characteristic. It requires further</w:t>
      </w:r>
      <w:r>
        <w:t xml:space="preserve"> </w:t>
      </w:r>
      <w:r>
        <w:t xml:space="preserve">research and development for legislation to be able to address the potential adverse effects</w:t>
      </w:r>
      <w:r>
        <w:t xml:space="preserve"> </w:t>
      </w:r>
      <w:r>
        <w:t xml:space="preserve">on human health.</w:t>
      </w:r>
      <w:r>
        <w:t xml:space="preserve"> </w:t>
      </w:r>
      <w:r>
        <w:t xml:space="preserve">Respiratory sensitizers</w:t>
      </w:r>
      <w:r>
        <w:t xml:space="preserve"> </w:t>
      </w:r>
      <w:r>
        <w:t xml:space="preserve">Respiratory sensitizer means a substance that will lead to hypersensitivity of the airways</w:t>
      </w:r>
      <w:r>
        <w:t xml:space="preserve"> </w:t>
      </w:r>
      <w:r>
        <w:t xml:space="preserve">following inhalation of the substance.</w:t>
      </w:r>
      <w:r>
        <w:t xml:space="preserve"> </w:t>
      </w:r>
      <w:r>
        <w:t xml:space="preserve">Sensitisation includes two phases: the first phase is induction of specialised immunological</w:t>
      </w:r>
      <w:r>
        <w:t xml:space="preserve"> </w:t>
      </w:r>
      <w:r>
        <w:t xml:space="preserve">memory in an individual by exposure to an allergen. The second phase is elicitation, i.e. </w:t>
      </w:r>
      <w:r>
        <w:t xml:space="preserve"> </w:t>
      </w:r>
      <w:r>
        <w:t xml:space="preserve">production of a cell-mediated or antibody-mediated allergic response by exposure of a</w:t>
      </w:r>
      <w:r>
        <w:t xml:space="preserve"> </w:t>
      </w:r>
      <w:r>
        <w:t xml:space="preserve">sensitised individual to an allergen.</w:t>
      </w:r>
      <w:r>
        <w:t xml:space="preserve"> </w:t>
      </w:r>
      <w:r>
        <w:t xml:space="preserve">For respiratory sensitisation, the pattern of induction followed by elicitation phases is</w:t>
      </w:r>
      <w:r>
        <w:t xml:space="preserve"> </w:t>
      </w:r>
      <w:r>
        <w:t xml:space="preserve">shared in common with skin sensitisation. For skin sensitisation, an induction phase is</w:t>
      </w:r>
      <w:r>
        <w:t xml:space="preserve"> </w:t>
      </w:r>
      <w:r>
        <w:t xml:space="preserve">required in which the immune system learns to react; clinical symptoms can then arise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139</w:t>
      </w:r>
      <w:r>
        <w:t xml:space="preserve"> </w:t>
      </w:r>
      <w:r>
        <w:t xml:space="preserve">EN</w:t>
      </w:r>
      <w:r>
        <w:t xml:space="preserve"> </w:t>
      </w:r>
      <w:r>
        <w:t xml:space="preserve">when subsequent exposure is sufficient to elicit a visible skin reaction (elicitation phase).</w:t>
      </w:r>
      <w:r>
        <w:t xml:space="preserve"> </w:t>
      </w:r>
      <w:r>
        <w:t xml:space="preserve">As a consequence, predictive tests usually follow this pattern in which there is an induction</w:t>
      </w:r>
      <w:r>
        <w:t xml:space="preserve"> </w:t>
      </w:r>
      <w:r>
        <w:t xml:space="preserve">phase, the response to which is measured by a standardised elicitation phase, typically</w:t>
      </w:r>
      <w:r>
        <w:t xml:space="preserve"> </w:t>
      </w:r>
      <w:r>
        <w:t xml:space="preserve">involving a patch test. The local lymph node assay is the exception, directly measuring the</w:t>
      </w:r>
      <w:r>
        <w:t xml:space="preserve"> </w:t>
      </w:r>
      <w:r>
        <w:t xml:space="preserve">induction response. Evidence of skin sensitisation in humans normally is assessed by a</w:t>
      </w:r>
      <w:r>
        <w:t xml:space="preserve"> </w:t>
      </w:r>
      <w:r>
        <w:t xml:space="preserve">diagnostic patch test.</w:t>
      </w:r>
      <w:r>
        <w:t xml:space="preserve"> </w:t>
      </w:r>
      <w:r>
        <w:t xml:space="preserve">Usually, for both skin and respiratory sensitisation, lower levels are necessary for</w:t>
      </w:r>
      <w:r>
        <w:t xml:space="preserve"> </w:t>
      </w:r>
      <w:r>
        <w:t xml:space="preserve">elicitation than are required for induction.</w:t>
      </w:r>
      <w:r>
        <w:t xml:space="preserve"> </w:t>
      </w:r>
      <w:r>
        <w:t xml:space="preserve">Hazard categories</w:t>
      </w:r>
      <w:r>
        <w:t xml:space="preserve"> </w:t>
      </w:r>
      <w:r>
        <w:t xml:space="preserve">Respiratory sensitisers are classified in Category 1 where data are not sufficient for sub-</w:t>
      </w:r>
      <w:r>
        <w:t xml:space="preserve"> </w:t>
      </w:r>
      <w:r>
        <w:t xml:space="preserve">categorisation.</w:t>
      </w:r>
      <w:r>
        <w:t xml:space="preserve"> </w:t>
      </w:r>
      <w:r>
        <w:t xml:space="preserve">Where data are sufficient a refined evaluation shall allow the allocation of respiratory</w:t>
      </w:r>
      <w:r>
        <w:t xml:space="preserve"> </w:t>
      </w:r>
      <w:r>
        <w:t xml:space="preserve">sensitisers into sub-category 1A, strong sensitisers, or sub-category 1B for other</w:t>
      </w:r>
      <w:r>
        <w:t xml:space="preserve"> </w:t>
      </w:r>
      <w:r>
        <w:t xml:space="preserve">respiratory sensitisers.</w:t>
      </w:r>
      <w:r>
        <w:t xml:space="preserve"> </w:t>
      </w:r>
      <w:r>
        <w:t xml:space="preserve">Effects seen in either humans or animals will normally justify classification in a weight of</w:t>
      </w:r>
      <w:r>
        <w:t xml:space="preserve"> </w:t>
      </w:r>
      <w:r>
        <w:t xml:space="preserve">evidence approach for respiratory sensitisers. Substances may be allocated to one of the</w:t>
      </w:r>
      <w:r>
        <w:t xml:space="preserve"> </w:t>
      </w:r>
      <w:r>
        <w:t xml:space="preserve">two sub-categories 1A or 1B using a weight of evidence approach in accordance with the</w:t>
      </w:r>
      <w:r>
        <w:t xml:space="preserve"> </w:t>
      </w:r>
      <w:r>
        <w:t xml:space="preserve">criteria given in Table 3.4.1 and on the basis of reliable and good quality evidence from</w:t>
      </w:r>
      <w:r>
        <w:t xml:space="preserve"> </w:t>
      </w:r>
      <w:r>
        <w:t xml:space="preserve">human cases or epidemiological studies and/or observations from appropriate studies in</w:t>
      </w:r>
      <w:r>
        <w:t xml:space="preserve"> </w:t>
      </w:r>
      <w:r>
        <w:t xml:space="preserve">experimental animals.</w:t>
      </w:r>
      <w:r>
        <w:t xml:space="preserve"> </w:t>
      </w:r>
      <w:r>
        <w:t xml:space="preserve">Substances shall be classified as respiratory sensitisers in accordance with the criteria in</w:t>
      </w:r>
      <w:r>
        <w:t xml:space="preserve"> </w:t>
      </w:r>
      <w:r>
        <w:t xml:space="preserve">Table 3.4.1 in the CLP Regulation:</w:t>
      </w:r>
      <w:r>
        <w:t xml:space="preserve"> </w:t>
      </w:r>
      <w:r>
        <w:t xml:space="preserve">Category Criteria</w:t>
      </w:r>
      <w:r>
        <w:t xml:space="preserve"> </w:t>
      </w:r>
      <w:r>
        <w:t xml:space="preserve">Category 1 Substances shall be classified as respiratory sensitisers (Category 1) where</w:t>
      </w:r>
      <w:r>
        <w:t xml:space="preserve"> </w:t>
      </w:r>
      <w:r>
        <w:t xml:space="preserve">data are not sufficient for sub-categorisation in accordance with the following</w:t>
      </w:r>
      <w:r>
        <w:t xml:space="preserve"> </w:t>
      </w:r>
      <w:r>
        <w:t xml:space="preserve">criteria:</w:t>
      </w:r>
      <w:r>
        <w:t xml:space="preserve"> </w:t>
      </w:r>
      <w:r>
        <w:t xml:space="preserve">(a) if there is evidence in humans that the substance can lead to specific</w:t>
      </w:r>
      <w:r>
        <w:t xml:space="preserve"> </w:t>
      </w:r>
      <w:r>
        <w:t xml:space="preserve">respiratory hypersensitivity; and/or</w:t>
      </w:r>
      <w:r>
        <w:t xml:space="preserve"> </w:t>
      </w:r>
      <w:r>
        <w:t xml:space="preserve">(b) if there are positive results from an appropriate animal test.</w:t>
      </w:r>
      <w:r>
        <w:t xml:space="preserve"> </w:t>
      </w:r>
      <w:r>
        <w:t xml:space="preserve">Sub-</w:t>
      </w:r>
      <w:r>
        <w:t xml:space="preserve"> </w:t>
      </w:r>
      <w:r>
        <w:t xml:space="preserve">category</w:t>
      </w:r>
      <w:r>
        <w:t xml:space="preserve"> </w:t>
      </w:r>
      <w:r>
        <w:t xml:space="preserve">1A:</w:t>
      </w:r>
      <w:r>
        <w:t xml:space="preserve"> </w:t>
      </w:r>
      <w:r>
        <w:t xml:space="preserve">Substances showing a high frequency of occurrence in humans; or a</w:t>
      </w:r>
      <w:r>
        <w:t xml:space="preserve"> </w:t>
      </w:r>
      <w:r>
        <w:t xml:space="preserve">probability of occurrence of a high sensitisation rate in humans based on</w:t>
      </w:r>
      <w:r>
        <w:t xml:space="preserve"> </w:t>
      </w:r>
      <w:r>
        <w:t xml:space="preserve">animal or other tests. Severity of reaction may also be considered.</w:t>
      </w:r>
      <w:r>
        <w:t xml:space="preserve"> </w:t>
      </w:r>
      <w:r>
        <w:t xml:space="preserve">Sub-</w:t>
      </w:r>
      <w:r>
        <w:t xml:space="preserve"> </w:t>
      </w:r>
      <w:r>
        <w:t xml:space="preserve">category</w:t>
      </w:r>
      <w:r>
        <w:t xml:space="preserve"> </w:t>
      </w:r>
      <w:r>
        <w:t xml:space="preserve">1B:</w:t>
      </w:r>
      <w:r>
        <w:t xml:space="preserve"> </w:t>
      </w:r>
      <w:r>
        <w:t xml:space="preserve">Substances showing a low to moderate frequency of occurrence in humans; or</w:t>
      </w:r>
      <w:r>
        <w:t xml:space="preserve"> </w:t>
      </w:r>
      <w:r>
        <w:t xml:space="preserve">a probability of occurrence of a low to moderate sensitisation rate in humans</w:t>
      </w:r>
      <w:r>
        <w:t xml:space="preserve"> </w:t>
      </w:r>
      <w:r>
        <w:t xml:space="preserve">based on animal or other tests. Severity of reaction may also be considered.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140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Human evidence</w:t>
      </w:r>
      <w:r>
        <w:t xml:space="preserve"> </w:t>
      </w:r>
      <w:r>
        <w:t xml:space="preserve">Evidence that a substance can lead to specific respiratory hypersensitivity will normally be</w:t>
      </w:r>
      <w:r>
        <w:t xml:space="preserve"> </w:t>
      </w:r>
      <w:r>
        <w:t xml:space="preserve">based on human experience. In this context, hypersensitivity is normally seen as asthma,</w:t>
      </w:r>
      <w:r>
        <w:t xml:space="preserve"> </w:t>
      </w:r>
      <w:r>
        <w:t xml:space="preserve">but other hypersensitivity reactions such as rhinitis/conjunctivitis and alveolitis are also</w:t>
      </w:r>
      <w:r>
        <w:t xml:space="preserve"> </w:t>
      </w:r>
      <w:r>
        <w:t xml:space="preserve">considered. The condition will have the clinical character of an allergic reaction. However,</w:t>
      </w:r>
      <w:r>
        <w:t xml:space="preserve"> </w:t>
      </w:r>
      <w:r>
        <w:t xml:space="preserve">immunological mechanisms do not have to be demonstrated.</w:t>
      </w:r>
      <w:r>
        <w:t xml:space="preserve"> </w:t>
      </w:r>
      <w:r>
        <w:t xml:space="preserve">When considering the human evidence, it is necessary for a decision on classification to</w:t>
      </w:r>
      <w:r>
        <w:t xml:space="preserve"> </w:t>
      </w:r>
      <w:r>
        <w:t xml:space="preserve">take into account, in addition to the evidence from the cases:</w:t>
      </w:r>
      <w:r>
        <w:t xml:space="preserve"> </w:t>
      </w:r>
      <w:r>
        <w:t xml:space="preserve">(a) the size of the population exposed;</w:t>
      </w:r>
      <w:r>
        <w:t xml:space="preserve"> </w:t>
      </w:r>
      <w:r>
        <w:t xml:space="preserve">(b) the extent of exposure.</w:t>
      </w:r>
      <w:r>
        <w:t xml:space="preserve"> </w:t>
      </w:r>
      <w:r>
        <w:t xml:space="preserve">The evidence referred to above could be:</w:t>
      </w:r>
      <w:r>
        <w:t xml:space="preserve"> </w:t>
      </w:r>
      <w:r>
        <w:t xml:space="preserve">(a) clinical history and data from appropriate lung function tests related to exposure to</w:t>
      </w:r>
      <w:r>
        <w:t xml:space="preserve"> </w:t>
      </w:r>
      <w:r>
        <w:t xml:space="preserve">the substance, confirmed by other supportive evidence which may include:</w:t>
      </w:r>
      <w:r>
        <w:t xml:space="preserve"> </w:t>
      </w:r>
      <w:r>
        <w:t xml:space="preserve">(i) in vivo immunological test (e.g. skin prick test);</w:t>
      </w:r>
      <w:r>
        <w:t xml:space="preserve"> </w:t>
      </w:r>
      <w:r>
        <w:t xml:space="preserve">(ii) in vitro immunological test (e.g. serological analysis);</w:t>
      </w:r>
      <w:r>
        <w:t xml:space="preserve"> </w:t>
      </w:r>
      <w:r>
        <w:t xml:space="preserve">(iii) studies that indicate other specific hypersensitivity reactions where immunological</w:t>
      </w:r>
      <w:r>
        <w:t xml:space="preserve"> </w:t>
      </w:r>
      <w:r>
        <w:t xml:space="preserve">mechanisms of action have not been proven, e.g. repeated low-level irritation,</w:t>
      </w:r>
      <w:r>
        <w:t xml:space="preserve"> </w:t>
      </w:r>
      <w:r>
        <w:t xml:space="preserve">pharmacologically mediated effects;</w:t>
      </w:r>
      <w:r>
        <w:t xml:space="preserve"> </w:t>
      </w:r>
      <w:r>
        <w:t xml:space="preserve">(iv) a chemical structure related to substances known to cause respiratory hypersensitivity;</w:t>
      </w:r>
      <w:r>
        <w:t xml:space="preserve"> </w:t>
      </w:r>
      <w:r>
        <w:t xml:space="preserve">(b) data from one or more positive bronchial challenge tests with the substance conducted</w:t>
      </w:r>
      <w:r>
        <w:t xml:space="preserve"> </w:t>
      </w:r>
      <w:r>
        <w:t xml:space="preserve">according to accepted guidelines for the determination of a specific hypersensitivity</w:t>
      </w:r>
      <w:r>
        <w:t xml:space="preserve"> </w:t>
      </w:r>
      <w:r>
        <w:t xml:space="preserve">reaction.</w:t>
      </w:r>
      <w:r>
        <w:t xml:space="preserve"> </w:t>
      </w:r>
      <w:r>
        <w:t xml:space="preserve">Clinical history shall include both medical and occupational history to determine a</w:t>
      </w:r>
      <w:r>
        <w:t xml:space="preserve"> </w:t>
      </w:r>
      <w:r>
        <w:t xml:space="preserve">relationship between exposure to a specific substance and development of respiratory</w:t>
      </w:r>
      <w:r>
        <w:t xml:space="preserve"> </w:t>
      </w:r>
      <w:r>
        <w:t xml:space="preserve">hypersensitivity. Relevant information includes aggravating factors both in the home and</w:t>
      </w:r>
      <w:r>
        <w:t xml:space="preserve"> </w:t>
      </w:r>
      <w:r>
        <w:t xml:space="preserve">workplace, the onset and progress of the disease, family history and medical history of the</w:t>
      </w:r>
      <w:r>
        <w:t xml:space="preserve"> </w:t>
      </w:r>
      <w:r>
        <w:t xml:space="preserve">patient in question. The medical history shall also include a note of other allergic or airway</w:t>
      </w:r>
      <w:r>
        <w:t xml:space="preserve"> </w:t>
      </w:r>
      <w:r>
        <w:t xml:space="preserve">disorders from childhood, and smoking history.</w:t>
      </w:r>
      <w:r>
        <w:t xml:space="preserve"> </w:t>
      </w:r>
      <w:r>
        <w:t xml:space="preserve">The results of positive bronchial challenge tests are considered to provide sufficient</w:t>
      </w:r>
      <w:r>
        <w:t xml:space="preserve"> </w:t>
      </w:r>
      <w:r>
        <w:t xml:space="preserve">evidence for classification on their own. It is however recognised that in practice many of</w:t>
      </w:r>
      <w:r>
        <w:t xml:space="preserve"> </w:t>
      </w:r>
      <w:r>
        <w:t xml:space="preserve">the examinations listed above will already have been carried out.</w:t>
      </w:r>
      <w:r>
        <w:t xml:space="preserve"> </w:t>
      </w:r>
      <w:r>
        <w:t xml:space="preserve">From the unofficial information made available by ECHA, there appear to be currently</w:t>
      </w:r>
      <w:r>
        <w:t xml:space="preserve"> </w:t>
      </w:r>
      <w:r>
        <w:t xml:space="preserve">around 116 substances classified as respiratory sensitisers, in both categories combined..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141</w:t>
      </w:r>
      <w:r>
        <w:t xml:space="preserve"> </w:t>
      </w:r>
      <w:r>
        <w:t xml:space="preserve">EN</w:t>
      </w:r>
      <w:r>
        <w:t xml:space="preserve"> </w:t>
      </w:r>
      <w:r>
        <w:t xml:space="preserve">Asthma287</w:t>
      </w:r>
      <w:r>
        <w:br/>
      </w:r>
      <w:r>
        <w:t xml:space="preserve">Despite considerable research over the last few decades, there is still an incomplete</w:t>
      </w:r>
      <w:r>
        <w:t xml:space="preserve"> </w:t>
      </w:r>
      <w:r>
        <w:t xml:space="preserve">understanding of why and how asthma develops. This in part reflects the various causal</w:t>
      </w:r>
      <w:r>
        <w:t xml:space="preserve"> </w:t>
      </w:r>
      <w:r>
        <w:t xml:space="preserve">factors and the complexity of their interaction. Figure 10 illustrates the impact of different</w:t>
      </w:r>
      <w:r>
        <w:t xml:space="preserve"> </w:t>
      </w:r>
      <w:r>
        <w:t xml:space="preserve">environmental factors on individuals who in turn have different genetic susceptibility.</w:t>
      </w:r>
      <w:r>
        <w:t xml:space="preserve"> </w:t>
      </w:r>
      <w:r>
        <w:t xml:space="preserve">Exposure to specific environmental factors (green boxes) will give rise to specific asthma</w:t>
      </w:r>
      <w:r>
        <w:t xml:space="preserve"> </w:t>
      </w:r>
      <w:r>
        <w:t xml:space="preserve">phenotypes (red boxes) in individuals with specific genotypic susceptibility profiles (blue</w:t>
      </w:r>
      <w:r>
        <w:t xml:space="preserve"> </w:t>
      </w:r>
      <w:r>
        <w:t xml:space="preserve">boxes). One environmental factor (i.e. chemicals exposure) may have very different</w:t>
      </w:r>
      <w:r>
        <w:t xml:space="preserve"> </w:t>
      </w:r>
      <w:r>
        <w:t xml:space="preserve">impacts on individuals with different genotypic susceptibilities.</w:t>
      </w:r>
      <w:r>
        <w:br/>
      </w:r>
      <w:r>
        <w:t xml:space="preserve">Occupational asthma may develop in persons with no previous history of chest disease and</w:t>
      </w:r>
      <w:r>
        <w:t xml:space="preserve"> </w:t>
      </w:r>
      <w:r>
        <w:t xml:space="preserve">can sometimes persist after exposure to the causal agent is removed. The EAAC noted</w:t>
      </w:r>
      <w:r>
        <w:t xml:space="preserve"> </w:t>
      </w:r>
      <w:r>
        <w:t xml:space="preserve">additional research was required on the causes of asthma as well as on the effects of</w:t>
      </w:r>
      <w:r>
        <w:t xml:space="preserve"> </w:t>
      </w:r>
      <w:r>
        <w:t xml:space="preserve">workplace practices – such as personal protective equipment and of regulation288.</w:t>
      </w:r>
      <w:r>
        <w:br/>
      </w:r>
      <w:r>
        <w:t xml:space="preserve">Figure 10: complex interactions in asthma incidence</w:t>
      </w:r>
    </w:p>
    <w:p>
      <w:pPr>
        <w:pStyle w:val="BodyText"/>
      </w:pPr>
      <w:r>
        <w:t xml:space="preserve">287 Study on the cumulative health and environmental benefits of chemical legislation, Amec Foster Wheler</w:t>
      </w:r>
      <w:r>
        <w:t xml:space="preserve"> </w:t>
      </w:r>
      <w:r>
        <w:t xml:space="preserve">Environment &amp; Infrastructure UK Limited June – 2017</w:t>
      </w:r>
      <w:r>
        <w:t xml:space="preserve"> </w:t>
      </w:r>
      <w:r>
        <w:t xml:space="preserve">288 EAACI Global Atlas of asthma 2014 http://www.eaaci.org/GlobalAtlas/Global_Atlas_of_Asthma.pdf</w:t>
      </w:r>
      <w:r>
        <w:t xml:space="preserve"> </w:t>
      </w:r>
      <w:r>
        <w:t xml:space="preserve">Page 41.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142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Figure 11 Average annual costs of childhood asthma per country (2005)</w:t>
      </w:r>
    </w:p>
    <w:p>
      <w:pPr>
        <w:pStyle w:val="BodyText"/>
      </w:pPr>
      <w:r>
        <w:t xml:space="preserve">Source: EAACI, Global Atals of Asthma (2014) Yellow denotes annual costs of less than €100 million; orange between €100 and €300</w:t>
      </w:r>
      <w:r>
        <w:t xml:space="preserve"> </w:t>
      </w:r>
      <w:r>
        <w:t xml:space="preserve">million and red more than €300 million.</w:t>
      </w:r>
      <w:r>
        <w:br/>
      </w:r>
      <w:r>
        <w:t xml:space="preserve">[1] Average annual costs in the figure are based on published EU-level estimates and include direct medical costs, direct non-medical</w:t>
      </w:r>
      <w:r>
        <w:t xml:space="preserve"> </w:t>
      </w:r>
      <w:r>
        <w:t xml:space="preserve">costs and indirect costs.</w:t>
      </w:r>
      <w:r>
        <w:t xml:space="preserve"> </w:t>
      </w:r>
      <w:r>
        <w:t xml:space="preserve">Detailed</w:t>
      </w:r>
      <w:r>
        <w:t xml:space="preserve"> </w:t>
      </w:r>
      <w:r>
        <w:t xml:space="preserve">methodology</w:t>
      </w:r>
      <w:r>
        <w:t xml:space="preserve"> </w:t>
      </w:r>
      <w:r>
        <w:t xml:space="preserve">can be</w:t>
      </w:r>
      <w:r>
        <w:t xml:space="preserve"> </w:t>
      </w:r>
      <w:r>
        <w:t xml:space="preserve">found at: http://onlinelibrary.wiley.com/doi/10.1111/j.1398-</w:t>
      </w:r>
      <w:r>
        <w:t xml:space="preserve"> </w:t>
      </w:r>
      <w:r>
        <w:t xml:space="preserve">9995.2005.00692.x/full</w:t>
      </w:r>
      <w:r>
        <w:t xml:space="preserve"> </w:t>
      </w:r>
      <w:r>
        <w:t xml:space="preserve">What is clear from the available evidence is that childhood, adult and occupational asthma</w:t>
      </w:r>
      <w:r>
        <w:t xml:space="preserve"> </w:t>
      </w:r>
      <w:r>
        <w:t xml:space="preserve">is a major issue across Europe.</w:t>
      </w:r>
      <w:r>
        <w:br/>
      </w:r>
      <w:r>
        <w:t xml:space="preserve">o The ERS White book, published in 2003 estimated the total costs of asthma in</w:t>
      </w:r>
      <w:r>
        <w:t xml:space="preserve"> </w:t>
      </w:r>
      <w:r>
        <w:t xml:space="preserve">Europe at approximately €17.7 billion per annum. The UK has the highest</w:t>
      </w:r>
      <w:r>
        <w:t xml:space="preserve"> </w:t>
      </w:r>
      <w:r>
        <w:t xml:space="preserve">number of asthma related consultations followed by Greece and Germany,</w:t>
      </w:r>
      <w:r>
        <w:t xml:space="preserve"> </w:t>
      </w:r>
      <w:r>
        <w:t xml:space="preserve">whilst Poland had amongst the least. Costs per patient in Europe were identified</w:t>
      </w:r>
      <w:r>
        <w:t xml:space="preserve"> </w:t>
      </w:r>
      <w:r>
        <w:t xml:space="preserve">in 2012 study at €1,583289.</w:t>
      </w:r>
      <w:r>
        <w:t xml:space="preserve"> </w:t>
      </w:r>
      <w:r>
        <w:t xml:space="preserve">o An estimate of the costs of asthma in children in 25 EU countries was published</w:t>
      </w:r>
      <w:r>
        <w:t xml:space="preserve"> </w:t>
      </w:r>
      <w:r>
        <w:t xml:space="preserve">in 2005, which estimated the costs at €3 billion (note this is all cause, not just</w:t>
      </w:r>
      <w:r>
        <w:t xml:space="preserve"> </w:t>
      </w:r>
      <w:r>
        <w:t xml:space="preserve">environmentally attributable asthma). The estimate is based on average annual</w:t>
      </w:r>
      <w:r>
        <w:t xml:space="preserve"> </w:t>
      </w:r>
      <w:r>
        <w:t xml:space="preserve">costs shown in Figure 11. If “wheeze” is included within the definition, this</w:t>
      </w:r>
      <w:r>
        <w:t xml:space="preserve"> </w:t>
      </w:r>
      <w:r>
        <w:t xml:space="preserve">leads to higher costs of €5.2 billion. In terms of childhood asthma, data</w:t>
      </w:r>
      <w:r>
        <w:t xml:space="preserve"> </w:t>
      </w:r>
      <w:r>
        <w:t xml:space="preserve">presented in the EAACI Global atlas of asthma 2014 contains estimated annual</w:t>
      </w:r>
      <w:r>
        <w:t xml:space="preserve"> </w:t>
      </w:r>
      <w:r>
        <w:t xml:space="preserve">costs per country (Figure 11). Yellow denotes a cost of less than €100 million;</w:t>
      </w:r>
      <w:r>
        <w:t xml:space="preserve"> </w:t>
      </w:r>
      <w:r>
        <w:t xml:space="preserve">orange between €100 and €300 million and red more than €300 million290. A</w:t>
      </w:r>
      <w:r>
        <w:t xml:space="preserve"> </w:t>
      </w:r>
      <w:r>
        <w:t xml:space="preserve">paper from Bartlett and Trasande study estimates the environmental attributable</w:t>
      </w:r>
    </w:p>
    <w:p>
      <w:pPr>
        <w:pStyle w:val="BodyText"/>
      </w:pPr>
      <w:r>
        <w:t xml:space="preserve">289 Source: EAACI, Global Atals of Asthma (2014)</w:t>
      </w:r>
      <w:r>
        <w:t xml:space="preserve"> </w:t>
      </w:r>
      <w:r>
        <w:t xml:space="preserve">290 (Based on data from van den Akker-van Marle ME, Bruil J, Detmar SB. Evaluation of cost of disease:</w:t>
      </w:r>
      <w:r>
        <w:t xml:space="preserve"> </w:t>
      </w:r>
      <w:r>
        <w:t xml:space="preserve">assessing the burden to society of asthma in children in the European Union. Allergy 2005; 60:140-149.)</w:t>
      </w:r>
      <w:r>
        <w:t xml:space="preserve"> </w:t>
      </w:r>
      <w:r>
        <w:t xml:space="preserve">presented in EAACI, Global Atals of Asthma (2014).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143</w:t>
      </w:r>
      <w:r>
        <w:t xml:space="preserve"> </w:t>
      </w:r>
      <w:r>
        <w:t xml:space="preserve">EN</w:t>
      </w:r>
      <w:r>
        <w:t xml:space="preserve"> </w:t>
      </w:r>
      <w:r>
        <w:t xml:space="preserve">costs of childhood asthma to the EU in 2013 amounted to €1.6 billion per</w:t>
      </w:r>
      <w:r>
        <w:t xml:space="preserve"> </w:t>
      </w:r>
      <w:r>
        <w:t xml:space="preserve">year291.</w:t>
      </w:r>
      <w:r>
        <w:t xml:space="preserve"> </w:t>
      </w:r>
      <w:r>
        <w:t xml:space="preserve">2. REGULATING CHEMICALS IN THE TOY SAFETY DIRECTIVE</w:t>
      </w:r>
      <w:r>
        <w:t xml:space="preserve"> </w:t>
      </w:r>
      <w:r>
        <w:t xml:space="preserve">The Toy Safety Directive emphasizes the protection from chemical risks in its general</w:t>
      </w:r>
      <w:r>
        <w:t xml:space="preserve"> </w:t>
      </w:r>
      <w:r>
        <w:t xml:space="preserve">safety requirement: ‘Toys, including the chemicals they contain, shall not jeopardise the</w:t>
      </w:r>
      <w:r>
        <w:t xml:space="preserve"> </w:t>
      </w:r>
      <w:r>
        <w:t xml:space="preserve">safety and health of users …’. 292</w:t>
      </w:r>
      <w:r>
        <w:br/>
      </w:r>
      <w:r>
        <w:t xml:space="preserve">The Directive further lists a range of ‘particular’ safety requirements on chemicals in its</w:t>
      </w:r>
      <w:r>
        <w:t xml:space="preserve"> </w:t>
      </w:r>
      <w:r>
        <w:t xml:space="preserve">Annex II, Part III. In addition, cosmetic toys have to comply with the compositional and</w:t>
      </w:r>
      <w:r>
        <w:t xml:space="preserve"> </w:t>
      </w:r>
      <w:r>
        <w:t xml:space="preserve">labelling requirements of the Cosmetics Regulation.293 Finally, toys that are themselves</w:t>
      </w:r>
      <w:r>
        <w:t xml:space="preserve"> </w:t>
      </w:r>
      <w:r>
        <w:t xml:space="preserve">substances or mixtures have to comply with the CLP Regulation.294</w:t>
      </w:r>
      <w:r>
        <w:t xml:space="preserve"> </w:t>
      </w:r>
      <w:r>
        <w:t xml:space="preserve">In addition, the Toy Safety Directive was given the possibility to include ‘Specific limit</w:t>
      </w:r>
      <w:r>
        <w:t xml:space="preserve"> </w:t>
      </w:r>
      <w:r>
        <w:t xml:space="preserve">values for chemicals used in toys intended for use by children under 36 months or in other</w:t>
      </w:r>
      <w:r>
        <w:t xml:space="preserve"> </w:t>
      </w:r>
      <w:r>
        <w:t xml:space="preserve">toys intended to be placed in the mouth …’. The specific limit values in the related</w:t>
      </w:r>
      <w:r>
        <w:t xml:space="preserve"> </w:t>
      </w:r>
      <w:r>
        <w:t xml:space="preserve">Appendix C should ‘ensure adequate protection [of children] in the case of toys involving</w:t>
      </w:r>
      <w:r>
        <w:t xml:space="preserve"> </w:t>
      </w:r>
      <w:r>
        <w:t xml:space="preserve">a high degree of exposure … intended for use by children under 36 months and in other</w:t>
      </w:r>
      <w:r>
        <w:t xml:space="preserve"> </w:t>
      </w:r>
      <w:r>
        <w:t xml:space="preserve">toys intended to be put in the mouth …’.295</w:t>
      </w:r>
      <w:r>
        <w:t xml:space="preserve"> </w:t>
      </w:r>
      <w:r>
        <w:t xml:space="preserve">Indeed, eight amendments to the Toy Safety Directive have inserted specific limit values</w:t>
      </w:r>
      <w:r>
        <w:t xml:space="preserve"> </w:t>
      </w:r>
      <w:r>
        <w:t xml:space="preserve">for a number of CMR substances and highly sensitising substances in Appendix C (see</w:t>
      </w:r>
      <w:r>
        <w:t xml:space="preserve"> </w:t>
      </w:r>
      <w:r>
        <w:t xml:space="preserve">annex 5). However, experts in the subgroup Chemicals, but also in the Expert Group on</w:t>
      </w:r>
      <w:r>
        <w:t xml:space="preserve"> </w:t>
      </w:r>
      <w:r>
        <w:t xml:space="preserve">Toys Safety,296 repeatedly raised the need that children of 36 months and over be equally</w:t>
      </w:r>
      <w:r>
        <w:t xml:space="preserve"> </w:t>
      </w:r>
      <w:r>
        <w:t xml:space="preserve">well protected as those under 36 months. Over 80% of respondents to the public</w:t>
      </w:r>
      <w:r>
        <w:t xml:space="preserve"> </w:t>
      </w:r>
      <w:r>
        <w:t xml:space="preserve">consutlation believed that the toy safety rules sohuld allow for setting limit values for any</w:t>
      </w:r>
      <w:r>
        <w:t xml:space="preserve"> </w:t>
      </w:r>
      <w:r>
        <w:t xml:space="preserve">toy when new scientific knowledge emerges.</w:t>
      </w:r>
      <w:r>
        <w:br/>
      </w:r>
      <w:r>
        <w:t xml:space="preserve">In the 2018 public consultation in the context of the Evaluation, two Member States</w:t>
      </w:r>
      <w:r>
        <w:t xml:space="preserve"> </w:t>
      </w:r>
      <w:r>
        <w:t xml:space="preserve">submitted position papers calling to expand Appendix C in order that the limit values also</w:t>
      </w:r>
      <w:r>
        <w:t xml:space="preserve"> </w:t>
      </w:r>
      <w:r>
        <w:t xml:space="preserve">be applicable to toys for children of 36 months and over. In their 2009 – 2013 national</w:t>
      </w:r>
      <w:r>
        <w:t xml:space="preserve"> </w:t>
      </w:r>
      <w:r>
        <w:t xml:space="preserve">reports on the application of the Toy Safety Directive,297 four Member States proposed that</w:t>
      </w:r>
      <w:r>
        <w:t xml:space="preserve"> </w:t>
      </w:r>
      <w:r>
        <w:t xml:space="preserve">Appendix C limit values also apply to toys for children of 36 months and over. These views</w:t>
      </w:r>
      <w:r>
        <w:t xml:space="preserve"> </w:t>
      </w:r>
      <w:r>
        <w:t xml:space="preserve">have been confirmed in the 2014 – 2018 national reports, submitted in 2019, where</w:t>
      </w:r>
      <w:r>
        <w:t xml:space="preserve"> </w:t>
      </w:r>
      <w:r>
        <w:t xml:space="preserve">Member States indicated that the limitation to toys for children under 36 months and to</w:t>
      </w:r>
      <w:r>
        <w:t xml:space="preserve"> </w:t>
      </w:r>
      <w:r>
        <w:t xml:space="preserve">toys intended to be taken in the mouth is clearly inadequate, in particular for sensitising</w:t>
      </w:r>
      <w:r>
        <w:t xml:space="preserve"> </w:t>
      </w:r>
      <w:r>
        <w:t xml:space="preserve">substances and preservatives, and that such limits should apply to all toys.</w:t>
      </w:r>
    </w:p>
    <w:p>
      <w:pPr>
        <w:pStyle w:val="BodyText"/>
      </w:pPr>
      <w:r>
        <w:t xml:space="preserve">291 Bartlett, E, Trasande, L (2013) Economic impacts of environmentally attributable childhood health</w:t>
      </w:r>
      <w:r>
        <w:t xml:space="preserve"> </w:t>
      </w:r>
      <w:r>
        <w:t xml:space="preserve">outcomes in the European Union.</w:t>
      </w:r>
      <w:r>
        <w:t xml:space="preserve"> </w:t>
      </w:r>
      <w:r>
        <w:t xml:space="preserve">292 Article 10(2) of the Toy Safety Directive.</w:t>
      </w:r>
      <w:r>
        <w:t xml:space="preserve"> </w:t>
      </w:r>
      <w:r>
        <w:t xml:space="preserve">293 See footnote on Regulation (EC) No 1223/2009 further above.</w:t>
      </w:r>
      <w:r>
        <w:t xml:space="preserve"> </w:t>
      </w:r>
      <w:r>
        <w:t xml:space="preserve">294 Regulation (EC) No 1272/2008 of the European Parliament and of the Council of 16 December 2008 on</w:t>
      </w:r>
      <w:r>
        <w:t xml:space="preserve"> </w:t>
      </w:r>
      <w:r>
        <w:t xml:space="preserve">classification, labelling and packaging of substances and mixtures, amending and repealing Directives</w:t>
      </w:r>
      <w:r>
        <w:t xml:space="preserve"> </w:t>
      </w:r>
      <w:r>
        <w:t xml:space="preserve">67/548/EEC and 1999/45/EC, and amending Regulation (EC) No 1907/2006.</w:t>
      </w:r>
      <w:r>
        <w:t xml:space="preserve"> </w:t>
      </w:r>
      <w:r>
        <w:t xml:space="preserve">295 Recital 24 of the Toy Safety Directive.</w:t>
      </w:r>
      <w:r>
        <w:t xml:space="preserve"> </w:t>
      </w:r>
      <w:r>
        <w:t xml:space="preserve">296 See footnote on the Register of Commission Expert Groups further above.</w:t>
      </w:r>
      <w:r>
        <w:t xml:space="preserve"> </w:t>
      </w:r>
      <w:r>
        <w:t xml:space="preserve">297 See footnote on the Commission Summary of Member States’ Reports further above.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144</w:t>
      </w:r>
      <w:r>
        <w:t xml:space="preserve"> </w:t>
      </w:r>
      <w:r>
        <w:t xml:space="preserve">EN</w:t>
      </w:r>
      <w:r>
        <w:t xml:space="preserve"> </w:t>
      </w:r>
      <w:r>
        <w:t xml:space="preserve">In the ‘Fitness check on chemicals legislation (excluding REACH)’,298 the supporting case</w:t>
      </w:r>
      <w:r>
        <w:t xml:space="preserve"> </w:t>
      </w:r>
      <w:r>
        <w:t xml:space="preserve">study on toys299 reports that, in light of specific limit values for allergenic isothiazolinones</w:t>
      </w:r>
      <w:r>
        <w:t xml:space="preserve"> </w:t>
      </w:r>
      <w:r>
        <w:t xml:space="preserve">in Appendix C, a Member State expressed the view that ‘Limiting these restrictions to toys</w:t>
      </w:r>
      <w:r>
        <w:t xml:space="preserve"> </w:t>
      </w:r>
      <w:r>
        <w:t xml:space="preserve">used by children under 36 months or toys intended to be placed in the mouth does not</w:t>
      </w:r>
      <w:r>
        <w:t xml:space="preserve"> </w:t>
      </w:r>
      <w:r>
        <w:t xml:space="preserve">reduce the health risk in the case of relevant dermal exposure of hazardous substances,</w:t>
      </w:r>
      <w:r>
        <w:t xml:space="preserve"> </w:t>
      </w:r>
      <w:r>
        <w:t xml:space="preserve">which might increase the health risk for children over 36 months of age.’ The Notified</w:t>
      </w:r>
      <w:r>
        <w:t xml:space="preserve"> </w:t>
      </w:r>
      <w:r>
        <w:t xml:space="preserve">Bodies under the Toy Safety Directive (NB-Toys group) noted at their meeting on</w:t>
      </w:r>
      <w:r>
        <w:t xml:space="preserve"> </w:t>
      </w:r>
      <w:r>
        <w:t xml:space="preserve">17 September 2019 that allergies in children are independent of the age, a 36 months divide</w:t>
      </w:r>
      <w:r>
        <w:t xml:space="preserve"> </w:t>
      </w:r>
      <w:r>
        <w:t xml:space="preserve">for sensitising substances is therefore not justifiable. Finally, 11 Member States</w:t>
      </w:r>
      <w:r>
        <w:t xml:space="preserve"> </w:t>
      </w:r>
      <w:r>
        <w:t xml:space="preserve">underlined, in a letter of April 2019 to the Commission,300 their strong belief that limit</w:t>
      </w:r>
      <w:r>
        <w:t xml:space="preserve"> </w:t>
      </w:r>
      <w:r>
        <w:t xml:space="preserve">values in Appendix C should also apply to children of 36 months and older, in light of the</w:t>
      </w:r>
      <w:r>
        <w:t xml:space="preserve"> </w:t>
      </w:r>
      <w:r>
        <w:t xml:space="preserve">chemicals emitted from squishy toys and preservatives in toy slimes and in toy modelling</w:t>
      </w:r>
      <w:r>
        <w:t xml:space="preserve"> </w:t>
      </w:r>
      <w:r>
        <w:t xml:space="preserve">clays. An adaptation of the Toy Safety Directive in this regard was urgently requested.</w:t>
      </w:r>
      <w:r>
        <w:t xml:space="preserve"> </w:t>
      </w:r>
      <w:r>
        <w:t xml:space="preserve">The above shows that the Toy Safety Directive is not considered effective enough in the</w:t>
      </w:r>
      <w:r>
        <w:t xml:space="preserve"> </w:t>
      </w:r>
      <w:r>
        <w:t xml:space="preserve">eyes of Member States and Notified Bodies. They suggest the specific limit values for</w:t>
      </w:r>
      <w:r>
        <w:t xml:space="preserve"> </w:t>
      </w:r>
      <w:r>
        <w:t xml:space="preserve">chemicals apply to the toys for children of all ages.</w:t>
      </w:r>
      <w:r>
        <w:t xml:space="preserve"> </w:t>
      </w:r>
      <w:r>
        <w:t xml:space="preserve">Older children may also be exposed to chemicals via the skin or via inhalation. Examples</w:t>
      </w:r>
      <w:r>
        <w:t xml:space="preserve"> </w:t>
      </w:r>
      <w:r>
        <w:t xml:space="preserve">are the sensitising preservatives benzisothiazolinone,301 chloromethylisothiazolinone and</w:t>
      </w:r>
      <w:r>
        <w:t xml:space="preserve"> </w:t>
      </w:r>
      <w:r>
        <w:t xml:space="preserve">methylisothiazolinone302 for which specific limit values have been inserted in Appendix C</w:t>
      </w:r>
      <w:r>
        <w:t xml:space="preserve"> </w:t>
      </w:r>
      <w:r>
        <w:t xml:space="preserve">to the Directive. Taking account of all exposure paths for chemicals thus would require the</w:t>
      </w:r>
      <w:r>
        <w:t xml:space="preserve"> </w:t>
      </w:r>
      <w:r>
        <w:t xml:space="preserve">specific limit values in Appendix C to apply to all toys for children of all ages.</w:t>
      </w:r>
      <w:r>
        <w:t xml:space="preserve"> </w:t>
      </w:r>
      <w:r>
        <w:t xml:space="preserve">In addition, the risk from chemicals is not much different when comparing children under</w:t>
      </w:r>
      <w:r>
        <w:t xml:space="preserve"> </w:t>
      </w:r>
      <w:r>
        <w:t xml:space="preserve">36 months and older children. The bodyweight of children under 36 months was estimated</w:t>
      </w:r>
      <w:r>
        <w:t xml:space="preserve"> </w:t>
      </w:r>
      <w:r>
        <w:t xml:space="preserve">to be 7.5 kg303 when calculating the migration limits for toxic ‘elements’ such as arsenic,</w:t>
      </w:r>
      <w:r>
        <w:t xml:space="preserve"> </w:t>
      </w:r>
      <w:r>
        <w:t xml:space="preserve">cadmium or lead; for children of 36 months and over the bodyweight was assumed to be</w:t>
      </w:r>
      <w:r>
        <w:t xml:space="preserve"> </w:t>
      </w:r>
      <w:r>
        <w:t xml:space="preserve">15 kg. This 2-fold difference is only minor from the toxicological point of view, a notable</w:t>
      </w:r>
      <w:r>
        <w:t xml:space="preserve"> </w:t>
      </w:r>
      <w:r>
        <w:t xml:space="preserve">difference would be 10-fold.</w:t>
      </w:r>
      <w:r>
        <w:t xml:space="preserve"> </w:t>
      </w:r>
      <w:r>
        <w:t xml:space="preserve">Finally, only the limit values in Appendix C have an age limit and the limitation to</w:t>
      </w:r>
      <w:r>
        <w:t xml:space="preserve"> </w:t>
      </w:r>
      <w:r>
        <w:t xml:space="preserve">mouthing toys, all other chemical limit values in the Toy Safety Directive apply to all toys</w:t>
      </w:r>
      <w:r>
        <w:t xml:space="preserve"> </w:t>
      </w:r>
      <w:r>
        <w:t xml:space="preserve">for children of all ages. This puts a general question mark on the Appendix C limit values.</w:t>
      </w:r>
      <w:r>
        <w:t xml:space="preserve"> </w:t>
      </w:r>
      <w:r>
        <w:t xml:space="preserve">a. CMR SUBSTANCES IN GENERAL – GENERAL BAN AND DEROGATIONS</w:t>
      </w:r>
      <w:r>
        <w:t xml:space="preserve"> </w:t>
      </w:r>
      <w:r>
        <w:t xml:space="preserve">The Toy Safety Directive prohibits the use of substances that are classified, under the CLP</w:t>
      </w:r>
      <w:r>
        <w:t xml:space="preserve"> </w:t>
      </w:r>
      <w:r>
        <w:t xml:space="preserve">Regulation, as carcinogenic, mutagenic or toxic for reproduction (CMR). CMR substances</w:t>
      </w:r>
      <w:r>
        <w:t xml:space="preserve"> </w:t>
      </w:r>
      <w:r>
        <w:t xml:space="preserve">may be identified as substances of very high concern under REACH.304 The hazardous</w:t>
      </w:r>
      <w:r>
        <w:t xml:space="preserve"> </w:t>
      </w:r>
      <w:r>
        <w:t xml:space="preserve">effects of such substances are of particular severity, they can only be seen in the long term</w:t>
      </w:r>
      <w:r>
        <w:t xml:space="preserve"> </w:t>
      </w:r>
      <w:r>
        <w:t xml:space="preserve">and can almost never be traced back to the chemical of origin, and are often irreversible.</w:t>
      </w:r>
    </w:p>
    <w:p>
      <w:pPr>
        <w:pStyle w:val="BodyText"/>
      </w:pPr>
      <w:r>
        <w:t xml:space="preserve">298</w:t>
      </w:r>
      <w:r>
        <w:t xml:space="preserve"> </w:t>
      </w:r>
      <w:r>
        <w:t xml:space="preserve">http://ec.europa.eu/growth/sectors/chemicals/ec-support_en.</w:t>
      </w:r>
      <w:r>
        <w:t xml:space="preserve"> </w:t>
      </w:r>
      <w:r>
        <w:t xml:space="preserve">Click</w:t>
      </w:r>
      <w:r>
        <w:t xml:space="preserve"> </w:t>
      </w:r>
      <w:r>
        <w:t xml:space="preserve">‘Supporting</w:t>
      </w:r>
      <w:r>
        <w:t xml:space="preserve"> </w:t>
      </w:r>
      <w:r>
        <w:t xml:space="preserve">studies</w:t>
      </w:r>
      <w:r>
        <w:t xml:space="preserve"> </w:t>
      </w:r>
      <w:r>
        <w:t xml:space="preserve">and</w:t>
      </w:r>
      <w:r>
        <w:t xml:space="preserve"> </w:t>
      </w:r>
      <w:r>
        <w:t xml:space="preserve">consultations’, click ‘Annex VI’.</w:t>
      </w:r>
      <w:r>
        <w:t xml:space="preserve"> </w:t>
      </w:r>
      <w:r>
        <w:t xml:space="preserve">299 http://ec.europa.eu/DocsRoom/documents/22063/attachments/3/translations/</w:t>
      </w:r>
      <w:r>
        <w:br/>
      </w:r>
      <w:r>
        <w:t xml:space="preserve">300 Letter of 25.4.2019.</w:t>
      </w:r>
      <w:r>
        <w:t xml:space="preserve"> </w:t>
      </w:r>
      <w:r>
        <w:t xml:space="preserve">301 See the related amendment in annex 6.</w:t>
      </w:r>
      <w:r>
        <w:t xml:space="preserve"> </w:t>
      </w:r>
      <w:r>
        <w:t xml:space="preserve">302 See the related amendment in annex 6.</w:t>
      </w:r>
      <w:r>
        <w:t xml:space="preserve"> </w:t>
      </w:r>
      <w:r>
        <w:t xml:space="preserve">303 National Institute for Public Health and the Environment (RIVM)</w:t>
      </w:r>
      <w:r>
        <w:t xml:space="preserve"> </w:t>
      </w:r>
      <w:r>
        <w:t xml:space="preserve">304 See footnote on Regulation (EC) No 1907/2006 further above, Articles 55 and 57.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145</w:t>
      </w:r>
      <w:r>
        <w:t xml:space="preserve"> </w:t>
      </w:r>
      <w:r>
        <w:t xml:space="preserve">EN</w:t>
      </w:r>
      <w:r>
        <w:t xml:space="preserve"> </w:t>
      </w:r>
      <w:r>
        <w:t xml:space="preserve">However, the Toy Safety Directive tolerates the presence of CMRs in toys or its</w:t>
      </w:r>
      <w:r>
        <w:t xml:space="preserve"> </w:t>
      </w:r>
      <w:r>
        <w:t xml:space="preserve">components up to the ‘relevant concentrations’ of the CLP Regulation. ‘Relevant’ are</w:t>
      </w:r>
      <w:r>
        <w:t xml:space="preserve"> </w:t>
      </w:r>
      <w:r>
        <w:t xml:space="preserve">either the specific concentration limits assigned to specific substances in Annex VI,</w:t>
      </w:r>
      <w:r>
        <w:t xml:space="preserve"> </w:t>
      </w:r>
      <w:r>
        <w:t xml:space="preserve">table 3.1 of the CLP Regulation; if no specific concentration limits are indicated in that</w:t>
      </w:r>
      <w:r>
        <w:t xml:space="preserve"> </w:t>
      </w:r>
      <w:r>
        <w:t xml:space="preserve">table, the generic concentration limits in Annex I of the CLP Regulation apply: 0.1% and</w:t>
      </w:r>
      <w:r>
        <w:t xml:space="preserve"> </w:t>
      </w:r>
      <w:r>
        <w:t xml:space="preserve">1% for carcinogens305 and mutagens306 of categories 1 and 2, respectively, and 0.3% and</w:t>
      </w:r>
      <w:r>
        <w:t xml:space="preserve"> </w:t>
      </w:r>
      <w:r>
        <w:t xml:space="preserve">3% for reproductive toxins307 of categories 1 and 2, respectively.</w:t>
      </w:r>
      <w:r>
        <w:t xml:space="preserve"> </w:t>
      </w:r>
      <w:r>
        <w:t xml:space="preserve">These ‘relevant concentrations’ of the CLP Regulation are hazard-based and have been set</w:t>
      </w:r>
      <w:r>
        <w:t xml:space="preserve"> </w:t>
      </w:r>
      <w:r>
        <w:t xml:space="preserve">for the purpose of classification and labelling of mixtures containing hazardous substances,</w:t>
      </w:r>
      <w:r>
        <w:t xml:space="preserve"> </w:t>
      </w:r>
      <w:r>
        <w:t xml:space="preserve">with the primary aim to ensure that the hazards of such mixtures are properly identified</w:t>
      </w:r>
      <w:r>
        <w:t xml:space="preserve"> </w:t>
      </w:r>
      <w:r>
        <w:t xml:space="preserve">and communicated. They do not take account of possible exposures, do not entail an</w:t>
      </w:r>
      <w:r>
        <w:t xml:space="preserve"> </w:t>
      </w:r>
      <w:r>
        <w:t xml:space="preserve">assessment of risk related to the uses of a substance, and thus are inadequate to manage the</w:t>
      </w:r>
      <w:r>
        <w:t xml:space="preserve"> </w:t>
      </w:r>
      <w:r>
        <w:t xml:space="preserve">risk when a substance is present in an article such as a toy.</w:t>
      </w:r>
      <w:r>
        <w:t xml:space="preserve"> </w:t>
      </w:r>
      <w:r>
        <w:t xml:space="preserve">To take account of the exposure of children to chemicals in toys the subgroup Chemicals</w:t>
      </w:r>
      <w:r>
        <w:t xml:space="preserve"> </w:t>
      </w:r>
      <w:r>
        <w:t xml:space="preserve">was established to recommend limit values for chemicals in toys when those chemicals</w:t>
      </w:r>
      <w:r>
        <w:t xml:space="preserve"> </w:t>
      </w:r>
      <w:r>
        <w:t xml:space="preserve">could pose a risk. On the basis of the work of the subgroup the Toy Safety Directive was</w:t>
      </w:r>
      <w:r>
        <w:t xml:space="preserve"> </w:t>
      </w:r>
      <w:r>
        <w:t xml:space="preserve">amended six times to include (in its Appendix C) risk-based limit values for several CMRs:</w:t>
      </w:r>
      <w:r>
        <w:t xml:space="preserve"> </w:t>
      </w:r>
      <w:r>
        <w:t xml:space="preserve">TCPP and two similar flame retardants, bisphenol A, formamide, phenol, bisphenol A and</w:t>
      </w:r>
      <w:r>
        <w:t xml:space="preserve"> </w:t>
      </w:r>
      <w:r>
        <w:t xml:space="preserve">formaldehyde.308</w:t>
      </w:r>
      <w:r>
        <w:t xml:space="preserve"> </w:t>
      </w:r>
      <w:r>
        <w:t xml:space="preserve">Those risk-based limit values are often migration limits. They cannot be compared with</w:t>
      </w:r>
      <w:r>
        <w:t xml:space="preserve"> </w:t>
      </w:r>
      <w:r>
        <w:t xml:space="preserve">the ‘relevant concentrations’ taken from the CLP Regulation, which are content limits.</w:t>
      </w:r>
      <w:r>
        <w:br/>
      </w:r>
      <w:r>
        <w:t xml:space="preserve">There is no relationship between the concentration of a substance inside a material, i. e.,</w:t>
      </w:r>
      <w:r>
        <w:t xml:space="preserve"> </w:t>
      </w:r>
      <w:r>
        <w:t xml:space="preserve">its content, and the migration of the substance out of that material though the highest</w:t>
      </w:r>
      <w:r>
        <w:t xml:space="preserve"> </w:t>
      </w:r>
      <w:r>
        <w:t xml:space="preserve">possible migration of the substance would be its content. Both therefore cannot be</w:t>
      </w:r>
      <w:r>
        <w:t xml:space="preserve"> </w:t>
      </w:r>
      <w:r>
        <w:t xml:space="preserve">converted into one another. Nevertheless, for a few substances the Directive sets risk-based</w:t>
      </w:r>
      <w:r>
        <w:t xml:space="preserve"> </w:t>
      </w:r>
      <w:r>
        <w:t xml:space="preserve">content limits and comparisons are therefore possible:</w:t>
      </w:r>
      <w:r>
        <w:t xml:space="preserve"> </w:t>
      </w:r>
      <w:r>
        <w:t xml:space="preserve">Chemical</w:t>
      </w:r>
      <w:r>
        <w:t xml:space="preserve"> </w:t>
      </w:r>
      <w:r>
        <w:t xml:space="preserve">substance</w:t>
      </w:r>
      <w:r>
        <w:t xml:space="preserve"> </w:t>
      </w:r>
      <w:r>
        <w:t xml:space="preserve">‘Relevant concentration’ in</w:t>
      </w:r>
      <w:r>
        <w:t xml:space="preserve"> </w:t>
      </w:r>
      <w:r>
        <w:t xml:space="preserve">the CLP Regulation, mg/kg</w:t>
      </w:r>
      <w:r>
        <w:t xml:space="preserve"> </w:t>
      </w:r>
      <w:r>
        <w:t xml:space="preserve">Content</w:t>
      </w:r>
      <w:r>
        <w:t xml:space="preserve"> </w:t>
      </w:r>
      <w:r>
        <w:t xml:space="preserve">limit</w:t>
      </w:r>
      <w:r>
        <w:t xml:space="preserve"> </w:t>
      </w:r>
      <w:r>
        <w:t xml:space="preserve">in</w:t>
      </w:r>
      <w:r>
        <w:t xml:space="preserve"> </w:t>
      </w:r>
      <w:r>
        <w:t xml:space="preserve">Appendix C, mg/kg</w:t>
      </w:r>
      <w:r>
        <w:t xml:space="preserve"> </w:t>
      </w:r>
      <w:r>
        <w:t xml:space="preserve">Difference factor</w:t>
      </w:r>
      <w:r>
        <w:t xml:space="preserve"> </w:t>
      </w:r>
      <w:r>
        <w:t xml:space="preserve">TCEP</w:t>
      </w:r>
      <w:r>
        <w:t xml:space="preserve"> </w:t>
      </w:r>
      <w:r>
        <w:t xml:space="preserve">3,000</w:t>
      </w:r>
      <w:r>
        <w:t xml:space="preserve"> </w:t>
      </w:r>
      <w:r>
        <w:t xml:space="preserve">5</w:t>
      </w:r>
      <w:r>
        <w:t xml:space="preserve"> </w:t>
      </w:r>
      <w:r>
        <w:t xml:space="preserve">600</w:t>
      </w:r>
      <w:r>
        <w:t xml:space="preserve"> </w:t>
      </w:r>
      <w:r>
        <w:t xml:space="preserve">Phenol</w:t>
      </w:r>
      <w:r>
        <w:t xml:space="preserve"> </w:t>
      </w:r>
      <w:r>
        <w:t xml:space="preserve">10,000</w:t>
      </w:r>
      <w:r>
        <w:t xml:space="preserve"> </w:t>
      </w:r>
      <w:r>
        <w:t xml:space="preserve">10</w:t>
      </w:r>
      <w:r>
        <w:t xml:space="preserve"> </w:t>
      </w:r>
      <w:r>
        <w:t xml:space="preserve">1,000</w:t>
      </w:r>
      <w:r>
        <w:t xml:space="preserve"> </w:t>
      </w:r>
      <w:r>
        <w:t xml:space="preserve">Formamide</w:t>
      </w:r>
      <w:r>
        <w:t xml:space="preserve"> </w:t>
      </w:r>
      <w:r>
        <w:t xml:space="preserve">3,000</w:t>
      </w:r>
      <w:r>
        <w:t xml:space="preserve"> </w:t>
      </w:r>
      <w:r>
        <w:t xml:space="preserve">200</w:t>
      </w:r>
      <w:r>
        <w:t xml:space="preserve"> </w:t>
      </w:r>
      <w:r>
        <w:t xml:space="preserve">15</w:t>
      </w:r>
      <w:r>
        <w:t xml:space="preserve"> </w:t>
      </w:r>
      <w:r>
        <w:t xml:space="preserve">Formaldehyde</w:t>
      </w:r>
      <w:r>
        <w:t xml:space="preserve"> </w:t>
      </w:r>
      <w:r>
        <w:t xml:space="preserve">1,000</w:t>
      </w:r>
      <w:r>
        <w:t xml:space="preserve"> </w:t>
      </w:r>
      <w:r>
        <w:t xml:space="preserve">30 and 10</w:t>
      </w:r>
      <w:r>
        <w:t xml:space="preserve"> </w:t>
      </w:r>
      <w:r>
        <w:t xml:space="preserve">33 and 100</w:t>
      </w:r>
    </w:p>
    <w:p>
      <w:pPr>
        <w:pStyle w:val="BodyText"/>
      </w:pPr>
      <w:r>
        <w:t xml:space="preserve">The limit values in Appendix C are thus 15 to 1,000 times lower than the ‘relevant</w:t>
      </w:r>
      <w:r>
        <w:t xml:space="preserve"> </w:t>
      </w:r>
      <w:r>
        <w:t xml:space="preserve">concentrations’ in the CLP Regulation. The Toy Safety Directive’s derogation from the</w:t>
      </w:r>
      <w:r>
        <w:t xml:space="preserve"> </w:t>
      </w:r>
      <w:r>
        <w:t xml:space="preserve">CMR prohibition therefore does not appear to be well justifiable with regard to the</w:t>
      </w:r>
      <w:r>
        <w:t xml:space="preserve"> </w:t>
      </w:r>
      <w:r>
        <w:t xml:space="preserve">protection of children’s health.</w:t>
      </w:r>
      <w:r>
        <w:t xml:space="preserve"> </w:t>
      </w:r>
      <w:r>
        <w:t xml:space="preserve">This likely inadequacy of the CMR derogation based on the concentration limits for</w:t>
      </w:r>
      <w:r>
        <w:t xml:space="preserve"> </w:t>
      </w:r>
      <w:r>
        <w:t xml:space="preserve">classification of mixtures from the CLP Regulation was referred to by public authorities</w:t>
      </w:r>
    </w:p>
    <w:p>
      <w:pPr>
        <w:pStyle w:val="BodyText"/>
      </w:pPr>
      <w:r>
        <w:t xml:space="preserve">305</w:t>
      </w:r>
      <w:r>
        <w:t xml:space="preserve"> </w:t>
      </w:r>
      <w:r>
        <w:t xml:space="preserve">Table 3.6.2 of the CLP Regulation.</w:t>
      </w:r>
      <w:r>
        <w:t xml:space="preserve"> </w:t>
      </w:r>
      <w:r>
        <w:t xml:space="preserve">306</w:t>
      </w:r>
      <w:r>
        <w:t xml:space="preserve"> </w:t>
      </w:r>
      <w:r>
        <w:t xml:space="preserve">Table 3.5.2 of the CLP Regulation.</w:t>
      </w:r>
      <w:r>
        <w:t xml:space="preserve"> </w:t>
      </w:r>
      <w:r>
        <w:t xml:space="preserve">307</w:t>
      </w:r>
      <w:r>
        <w:t xml:space="preserve"> </w:t>
      </w:r>
      <w:r>
        <w:t xml:space="preserve">Table 3.7.2 of the CLP Regulation.</w:t>
      </w:r>
      <w:r>
        <w:t xml:space="preserve"> </w:t>
      </w:r>
      <w:r>
        <w:t xml:space="preserve">308</w:t>
      </w:r>
      <w:r>
        <w:t xml:space="preserve"> </w:t>
      </w:r>
      <w:r>
        <w:t xml:space="preserve">See the related amendments in annex 6.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146</w:t>
      </w:r>
      <w:r>
        <w:t xml:space="preserve"> </w:t>
      </w:r>
      <w:r>
        <w:t xml:space="preserve">EN</w:t>
      </w:r>
      <w:r>
        <w:t xml:space="preserve"> </w:t>
      </w:r>
      <w:r>
        <w:t xml:space="preserve">(70% of public authorities responding disagreed or strongly disagreed with it) and by</w:t>
      </w:r>
      <w:r>
        <w:t xml:space="preserve"> </w:t>
      </w:r>
      <w:r>
        <w:t xml:space="preserve">consumer organisations (75%) in the open public consultation.</w:t>
      </w:r>
      <w:r>
        <w:br/>
      </w:r>
      <w:r>
        <w:t xml:space="preserve">The fitness check on chemicals legislation (excluding REACH)309 reported in its case study</w:t>
      </w:r>
      <w:r>
        <w:t xml:space="preserve"> </w:t>
      </w:r>
      <w:r>
        <w:t xml:space="preserve">on toys310 about a consumer association indicating that the thresholds outlined in the CLP</w:t>
      </w:r>
      <w:r>
        <w:t xml:space="preserve"> </w:t>
      </w:r>
      <w:r>
        <w:t xml:space="preserve">Regulation for CMR substances were not originally intended to be used as a limit for</w:t>
      </w:r>
      <w:r>
        <w:t xml:space="preserve"> </w:t>
      </w:r>
      <w:r>
        <w:t xml:space="preserve">consumer products and were therefore not appropriate for application to consumer</w:t>
      </w:r>
      <w:r>
        <w:t xml:space="preserve"> </w:t>
      </w:r>
      <w:r>
        <w:t xml:space="preserve">products (and in particular toys, as children are vulnerable). Also, a Member State authority</w:t>
      </w:r>
      <w:r>
        <w:t xml:space="preserve"> </w:t>
      </w:r>
      <w:r>
        <w:t xml:space="preserve">noted that the CLP Regulation follows a hazard-based approach and the generic</w:t>
      </w:r>
      <w:r>
        <w:t xml:space="preserve"> </w:t>
      </w:r>
      <w:r>
        <w:t xml:space="preserve">classification limits of 0.1% for human carcinogens were too high meaning that health risks</w:t>
      </w:r>
      <w:r>
        <w:t xml:space="preserve"> </w:t>
      </w:r>
      <w:r>
        <w:t xml:space="preserve">to children could not be excluded. Also the 2015 external study reported consumer</w:t>
      </w:r>
      <w:r>
        <w:t xml:space="preserve"> </w:t>
      </w:r>
      <w:r>
        <w:t xml:space="preserve">organisations deeming the limits for CMR substances to be too high.</w:t>
      </w:r>
      <w:r>
        <w:t xml:space="preserve"> </w:t>
      </w:r>
      <w:r>
        <w:t xml:space="preserve">The SCHEER also identified a number of problems that can arise from the approach to</w:t>
      </w:r>
      <w:r>
        <w:t xml:space="preserve"> </w:t>
      </w:r>
      <w:r>
        <w:t xml:space="preserve">address CMRs in relation to content limits, due to the fact that classification limits set for</w:t>
      </w:r>
      <w:r>
        <w:t xml:space="preserve"> </w:t>
      </w:r>
      <w:r>
        <w:t xml:space="preserve">substances or mixtures are applied to articles (as the toys should be considered). First of</w:t>
      </w:r>
      <w:r>
        <w:t xml:space="preserve"> </w:t>
      </w:r>
      <w:r>
        <w:t xml:space="preserve">all, the percentage composition refers to the toy as a whole, to components of the toy and</w:t>
      </w:r>
      <w:r>
        <w:t xml:space="preserve"> </w:t>
      </w:r>
      <w:r>
        <w:t xml:space="preserve">to distinct, microstructural parts of the toy. However, a CMR substance present in a</w:t>
      </w:r>
      <w:r>
        <w:t xml:space="preserve"> </w:t>
      </w:r>
      <w:r>
        <w:t xml:space="preserve">specific part of the toy may not be homogeneously distributed, so that the local %</w:t>
      </w:r>
      <w:r>
        <w:t xml:space="preserve"> </w:t>
      </w:r>
      <w:r>
        <w:t xml:space="preserve">concentration could be higher in that specific part and possibly above the limit. Secondly,</w:t>
      </w:r>
      <w:r>
        <w:t xml:space="preserve"> </w:t>
      </w:r>
      <w:r>
        <w:t xml:space="preserve">limits are cut- off values, defined for a practical approach to be used for regulatory</w:t>
      </w:r>
      <w:r>
        <w:t xml:space="preserve"> </w:t>
      </w:r>
      <w:r>
        <w:t xml:space="preserve">purposes. Finally, the classification of mixtures as CMRs is based on the presence of at</w:t>
      </w:r>
      <w:r>
        <w:t xml:space="preserve"> </w:t>
      </w:r>
      <w:r>
        <w:t xml:space="preserve">least one of the CMR substances above the classification limits, without taking into account</w:t>
      </w:r>
      <w:r>
        <w:t xml:space="preserve"> </w:t>
      </w:r>
      <w:r>
        <w:t xml:space="preserve">possible interactive effects of the CMR substances in the mixture, hence in the toys. These</w:t>
      </w:r>
      <w:r>
        <w:t xml:space="preserve"> </w:t>
      </w:r>
      <w:r>
        <w:t xml:space="preserve">considerations make the suitability of the classification approach applied to toys quite</w:t>
      </w:r>
      <w:r>
        <w:t xml:space="preserve"> </w:t>
      </w:r>
      <w:r>
        <w:t xml:space="preserve">limited, according to SCHEER311.</w:t>
      </w:r>
      <w:r>
        <w:t xml:space="preserve"> </w:t>
      </w:r>
      <w:r>
        <w:t xml:space="preserve">In addition to the above the Toy Safety Directive provides for two further derogations for</w:t>
      </w:r>
      <w:r>
        <w:t xml:space="preserve"> </w:t>
      </w:r>
      <w:r>
        <w:t xml:space="preserve">the use of CMRs in general:</w:t>
      </w:r>
      <w:r>
        <w:t xml:space="preserve"> </w:t>
      </w:r>
      <w:r>
        <w:t xml:space="preserve"> The second derogation in the Toy Safety Directive allows CMRs in toys that exceed</w:t>
      </w:r>
      <w:r>
        <w:t xml:space="preserve"> </w:t>
      </w:r>
      <w:r>
        <w:t xml:space="preserve">the ‘relevant concentration’ in the CLP Regulation. Such higher concentrations are</w:t>
      </w:r>
      <w:r>
        <w:t xml:space="preserve"> </w:t>
      </w:r>
      <w:r>
        <w:t xml:space="preserve">allowed if the CMRs are inaccessible in any form, including through inhalation, when</w:t>
      </w:r>
      <w:r>
        <w:t xml:space="preserve"> </w:t>
      </w:r>
      <w:r>
        <w:t xml:space="preserve">children are playing with the toys.</w:t>
      </w:r>
      <w:r>
        <w:br/>
      </w:r>
      <w:r>
        <w:t xml:space="preserve"> The third derogation that allows CMRs in toys is conditioned by an evaluation by the</w:t>
      </w:r>
      <w:r>
        <w:t xml:space="preserve"> </w:t>
      </w:r>
      <w:r>
        <w:t xml:space="preserve">relevant Scientific Committee that a CMR is safe in toys, and that REACH does not</w:t>
      </w:r>
      <w:r>
        <w:t xml:space="preserve"> </w:t>
      </w:r>
      <w:r>
        <w:t xml:space="preserve">prohibit the CMR in consumer articles. For the ‘stronger’ CMRs (categories 1A and</w:t>
      </w:r>
      <w:r>
        <w:t xml:space="preserve"> </w:t>
      </w:r>
      <w:r>
        <w:t xml:space="preserve">1B under the CLP Regulation), the third condition is the non-availability of</w:t>
      </w:r>
      <w:r>
        <w:t xml:space="preserve"> </w:t>
      </w:r>
      <w:r>
        <w:t xml:space="preserve">alternatives, which is not needed for CMRs category 2. – So far only a single</w:t>
      </w:r>
      <w:r>
        <w:t xml:space="preserve"> </w:t>
      </w:r>
      <w:r>
        <w:t xml:space="preserve">derogation of this kind was allowed, namely for nickel in toys and toy components</w:t>
      </w:r>
      <w:r>
        <w:t xml:space="preserve"> </w:t>
      </w:r>
      <w:r>
        <w:t xml:space="preserve">made of stainless steel and in toy components which are intended to conduct an electric</w:t>
      </w:r>
      <w:r>
        <w:t xml:space="preserve"> </w:t>
      </w:r>
      <w:r>
        <w:t xml:space="preserve">current.312</w:t>
      </w:r>
      <w:r>
        <w:br/>
      </w:r>
      <w:r>
        <w:t xml:space="preserve">From the above it appears that a generic approach to the risks of a whole class of chemicals</w:t>
      </w:r>
      <w:r>
        <w:t xml:space="preserve"> </w:t>
      </w:r>
      <w:r>
        <w:t xml:space="preserve">could be missing effectiveness if derogations are set that ignore one of the two constituents</w:t>
      </w:r>
      <w:r>
        <w:t xml:space="preserve"> </w:t>
      </w:r>
      <w:r>
        <w:t xml:space="preserve">of risk, namely in this case the exposure of a vulnerable group of consumers.</w:t>
      </w:r>
    </w:p>
    <w:p>
      <w:pPr>
        <w:pStyle w:val="BodyText"/>
      </w:pPr>
      <w:r>
        <w:t xml:space="preserve">309 https://eur-lex.europa.eu/legal-content/EN/TXT/PDF/?uri=CELEX:52019DC0264&amp;from=EN</w:t>
      </w:r>
      <w:r>
        <w:br/>
      </w:r>
      <w:r>
        <w:t xml:space="preserve">310 http://ec.europa.eu/DocsRoom/documents/22063/attachments/3/translations/ , p. 33.</w:t>
      </w:r>
      <w:r>
        <w:t xml:space="preserve"> </w:t>
      </w:r>
      <w:r>
        <w:t xml:space="preserve">311 SCHER Opinion on risk from organic CMR substances in toys, 18 May 2010.</w:t>
      </w:r>
      <w:r>
        <w:t xml:space="preserve"> </w:t>
      </w:r>
      <w:r>
        <w:t xml:space="preserve">312 Annex II, Appendix A of the Toy Safety Directive.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147</w:t>
      </w:r>
      <w:r>
        <w:t xml:space="preserve"> </w:t>
      </w:r>
      <w:r>
        <w:t xml:space="preserve">EN</w:t>
      </w:r>
      <w:r>
        <w:t xml:space="preserve"> </w:t>
      </w:r>
      <w:r>
        <w:t xml:space="preserve">b. SPECIFIC CMRS: NITROSAMINES AND NITROSATABLE SUBSTANCES</w:t>
      </w:r>
      <w:r>
        <w:t xml:space="preserve"> </w:t>
      </w:r>
      <w:r>
        <w:t xml:space="preserve">The Toy Safety Directive sets migration limits for nitrosamines and nitrosatable substances</w:t>
      </w:r>
      <w:r>
        <w:t xml:space="preserve"> </w:t>
      </w:r>
      <w:r>
        <w:t xml:space="preserve">in toys intended for use by children under 36 months or in other toys intended to be placed</w:t>
      </w:r>
      <w:r>
        <w:t xml:space="preserve"> </w:t>
      </w:r>
      <w:r>
        <w:t xml:space="preserve">in the mouth: 0.05 mg/kg for nitrosamines, 1 mg/kg for nitrosatable substances.313</w:t>
      </w:r>
      <w:r>
        <w:t xml:space="preserve"> </w:t>
      </w:r>
      <w:r>
        <w:t xml:space="preserve">Relevant nitrosamines may be genotoxic and very strong carcinogens. Nitrosatable</w:t>
      </w:r>
      <w:r>
        <w:t xml:space="preserve"> </w:t>
      </w:r>
      <w:r>
        <w:t xml:space="preserve">substances can be converted into nitrosamines in the human body.</w:t>
      </w:r>
      <w:r>
        <w:t xml:space="preserve"> </w:t>
      </w:r>
      <w:r>
        <w:t xml:space="preserve">Germany however insisted on its lower national limits of 0.01 mg/kg for nitrosamines and</w:t>
      </w:r>
      <w:r>
        <w:t xml:space="preserve"> </w:t>
      </w:r>
      <w:r>
        <w:t xml:space="preserve">of 0.1 mg/kg for nitrosatable substances in toys made of natural or synthetic rubber</w:t>
      </w:r>
      <w:r>
        <w:t xml:space="preserve"> </w:t>
      </w:r>
      <w:r>
        <w:t xml:space="preserve">designed for children under 36 months and intended or likely to be placed in the mouth.</w:t>
      </w:r>
      <w:r>
        <w:t xml:space="preserve"> </w:t>
      </w:r>
      <w:r>
        <w:t xml:space="preserve">The Commission allowed Germany in a Decision of March 2012 to keep its lower limits,</w:t>
      </w:r>
      <w:r>
        <w:t xml:space="preserve"> </w:t>
      </w:r>
      <w:r>
        <w:t xml:space="preserve">acknowledging that ‘the German request is based on a real concern with regard to</w:t>
      </w:r>
      <w:r>
        <w:t xml:space="preserve"> </w:t>
      </w:r>
      <w:r>
        <w:t xml:space="preserve">children’s health …’.314 The German limits were consistent with the limits for (parts of)</w:t>
      </w:r>
      <w:r>
        <w:t xml:space="preserve"> </w:t>
      </w:r>
      <w:r>
        <w:t xml:space="preserve">teats and soothers made of elastomer or rubber, of 0.01 mg/kg for nitrosamines and of</w:t>
      </w:r>
      <w:r>
        <w:t xml:space="preserve"> </w:t>
      </w:r>
      <w:r>
        <w:t xml:space="preserve">0.1 mg/kg for nitrosatable substances.315 – And the Commission declared in its 2012</w:t>
      </w:r>
      <w:r>
        <w:t xml:space="preserve"> </w:t>
      </w:r>
      <w:r>
        <w:t xml:space="preserve">Decision to ‘… require CEN to consider … to lower the limit values within the</w:t>
      </w:r>
      <w:r>
        <w:t xml:space="preserve"> </w:t>
      </w:r>
      <w:r>
        <w:t xml:space="preserve">standardisation process.’</w:t>
      </w:r>
      <w:r>
        <w:t xml:space="preserve"> </w:t>
      </w:r>
      <w:r>
        <w:t xml:space="preserve">As a consequence, the Commission mandated CEN in March 2012 to revise the limits for</w:t>
      </w:r>
      <w:r>
        <w:t xml:space="preserve"> </w:t>
      </w:r>
      <w:r>
        <w:t xml:space="preserve">nitrosamines and nitrosatable substances in Standard EN 71-12 on N-nitrosamines and N-</w:t>
      </w:r>
      <w:r>
        <w:t xml:space="preserve"> </w:t>
      </w:r>
      <w:r>
        <w:t xml:space="preserve">nitrosatable substances.316 Standardisation should take account of the latest data on the</w:t>
      </w:r>
      <w:r>
        <w:t xml:space="preserve"> </w:t>
      </w:r>
      <w:r>
        <w:t xml:space="preserve">mouthing behaviour of children (which is related to all toys), not only of the mouthing of</w:t>
      </w:r>
      <w:r>
        <w:t xml:space="preserve"> </w:t>
      </w:r>
      <w:r>
        <w:t xml:space="preserve">balloons. With this, CEN’s work resulted in the adoption of standard EN 71-12:2017, made</w:t>
      </w:r>
      <w:r>
        <w:t xml:space="preserve"> </w:t>
      </w:r>
      <w:r>
        <w:t xml:space="preserve">available in January 2017, and including lower limits for nitrosamines and nitrosatable</w:t>
      </w:r>
      <w:r>
        <w:t xml:space="preserve"> </w:t>
      </w:r>
      <w:r>
        <w:t xml:space="preserve">substances in accordance with the Commission’s mandate.</w:t>
      </w:r>
      <w:r>
        <w:t xml:space="preserve"> </w:t>
      </w:r>
      <w:r>
        <w:t xml:space="preserve">Thus, the Evaluation concluded that the Directive was not effective with regard to the</w:t>
      </w:r>
      <w:r>
        <w:t xml:space="preserve"> </w:t>
      </w:r>
      <w:r>
        <w:t xml:space="preserve">protection from nitrosamines and nitrosatable substances. Also, referencing EN 71-</w:t>
      </w:r>
      <w:r>
        <w:t xml:space="preserve"> </w:t>
      </w:r>
      <w:r>
        <w:t xml:space="preserve">12:2017 with its strengthened limits for nitrosamines and nitrosatable substances in the</w:t>
      </w:r>
      <w:r>
        <w:t xml:space="preserve"> </w:t>
      </w:r>
      <w:r>
        <w:t xml:space="preserve">Official Journal is not possible since that would lead to a conflict with the limits in the</w:t>
      </w:r>
      <w:r>
        <w:t xml:space="preserve"> </w:t>
      </w:r>
      <w:r>
        <w:t xml:space="preserve">Directive. EN 71-12:2017 therefore cannot provide the presumption of conformity until</w:t>
      </w:r>
      <w:r>
        <w:t xml:space="preserve"> </w:t>
      </w:r>
      <w:r>
        <w:t xml:space="preserve">the Directive has been revised.</w:t>
      </w:r>
      <w:r>
        <w:t xml:space="preserve"> </w:t>
      </w:r>
      <w:r>
        <w:t xml:space="preserve">In their letter of April 2019 to the Commission,317 11 Member States considered that there</w:t>
      </w:r>
      <w:r>
        <w:t xml:space="preserve"> </w:t>
      </w:r>
      <w:r>
        <w:t xml:space="preserve">was an urgent need to lower the limits for nitrosamines and nitrosatable substances. In the</w:t>
      </w:r>
      <w:r>
        <w:t xml:space="preserve"> </w:t>
      </w:r>
      <w:r>
        <w:t xml:space="preserve">2018 public consultation, public authorities commented that the limits for nitrosamines and</w:t>
      </w:r>
      <w:r>
        <w:t xml:space="preserve"> </w:t>
      </w:r>
      <w:r>
        <w:t xml:space="preserve">nitrosatable substances should be aligned, according to position papers submitted by</w:t>
      </w:r>
      <w:r>
        <w:t xml:space="preserve"> </w:t>
      </w:r>
      <w:r>
        <w:t xml:space="preserve">Denmark, Germany and Sweden, with the limits that the Commission had requested from</w:t>
      </w:r>
      <w:r>
        <w:t xml:space="preserve"> </w:t>
      </w:r>
      <w:r>
        <w:t xml:space="preserve">CEN and available in standard EN 71-12:2017. Industry and Notified Bodies considered</w:t>
      </w:r>
      <w:r>
        <w:t xml:space="preserve"> </w:t>
      </w:r>
      <w:r>
        <w:t xml:space="preserve">the existence of lower limits in national legislation as an incoherence with the Toy Safety</w:t>
      </w:r>
    </w:p>
    <w:p>
      <w:pPr>
        <w:pStyle w:val="BodyText"/>
      </w:pPr>
      <w:r>
        <w:t xml:space="preserve">313 Annex II, Part III, point 8 of the Toy Safety Directive.</w:t>
      </w:r>
      <w:r>
        <w:t xml:space="preserve"> </w:t>
      </w:r>
      <w:r>
        <w:t xml:space="preserve">314</w:t>
      </w:r>
      <w:r>
        <w:t xml:space="preserve"> </w:t>
      </w:r>
      <w:r>
        <w:t xml:space="preserve">Recital</w:t>
      </w:r>
      <w:r>
        <w:t xml:space="preserve"> </w:t>
      </w:r>
      <w:r>
        <w:t xml:space="preserve">88</w:t>
      </w:r>
      <w:r>
        <w:t xml:space="preserve"> </w:t>
      </w:r>
      <w:r>
        <w:t xml:space="preserve">of</w:t>
      </w:r>
      <w:r>
        <w:t xml:space="preserve"> </w:t>
      </w:r>
      <w:r>
        <w:t xml:space="preserve">Commission</w:t>
      </w:r>
      <w:r>
        <w:t xml:space="preserve"> </w:t>
      </w:r>
      <w:r>
        <w:t xml:space="preserve">Decision</w:t>
      </w:r>
      <w:r>
        <w:t xml:space="preserve"> </w:t>
      </w:r>
      <w:r>
        <w:t xml:space="preserve">2012/160/EU.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content/EN/TXT/PDF/?uri=CELEX:32012D0160&amp;qid=1571656440439&amp;from=EN</w:t>
      </w:r>
      <w:r>
        <w:br/>
      </w:r>
      <w:r>
        <w:t xml:space="preserve">315 Directive 93/11/EEC concerning the release of the N-nitrosamines and N-nitrosatable substances from</w:t>
      </w:r>
      <w:r>
        <w:t xml:space="preserve"> </w:t>
      </w:r>
      <w:r>
        <w:t xml:space="preserve">elastomer of rubber teats and soothers. OJ L 93, 17.4.1993, p. 37. https://eur-lex.europa.eu/legal-</w:t>
      </w:r>
      <w:r>
        <w:t xml:space="preserve"> </w:t>
      </w:r>
      <w:r>
        <w:t xml:space="preserve">content/EN/TXT/PDF/?uri=CELEX:31993L0011&amp;qid=1571656528598&amp;from=EN</w:t>
      </w:r>
      <w:r>
        <w:br/>
      </w:r>
      <w:r>
        <w:t xml:space="preserve">316 Letter of 29.3.2012.</w:t>
      </w:r>
      <w:r>
        <w:t xml:space="preserve"> </w:t>
      </w:r>
      <w:r>
        <w:t xml:space="preserve">317 See letter of 25.4.2019.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148</w:t>
      </w:r>
      <w:r>
        <w:t xml:space="preserve"> </w:t>
      </w:r>
      <w:r>
        <w:t xml:space="preserve">EN</w:t>
      </w:r>
      <w:r>
        <w:t xml:space="preserve"> </w:t>
      </w:r>
      <w:r>
        <w:t xml:space="preserve">Directive. Consumer organisations considered the limits for nitrosamines and nitrosatable</w:t>
      </w:r>
      <w:r>
        <w:t xml:space="preserve"> </w:t>
      </w:r>
      <w:r>
        <w:t xml:space="preserve">substances to be inadequate already in the 2015 external study on the Directive.</w:t>
      </w:r>
      <w:r>
        <w:br/>
      </w:r>
      <w:r>
        <w:t xml:space="preserve">c. AN ILLUSTRATION OF THE PROBLEM - BISPHENOL A</w:t>
      </w:r>
      <w:r>
        <w:t xml:space="preserve"> </w:t>
      </w:r>
      <w:r>
        <w:t xml:space="preserve">The substance Bisphenol A is a high volume chemical that is widely used in the production</w:t>
      </w:r>
      <w:r>
        <w:t xml:space="preserve"> </w:t>
      </w:r>
      <w:r>
        <w:t xml:space="preserve">of a large variety of consumer products. Bisphenol A is used in the manufacture of</w:t>
      </w:r>
      <w:r>
        <w:t xml:space="preserve"> </w:t>
      </w:r>
      <w:r>
        <w:t xml:space="preserve">polycarbonate plastics. Since 2002 Bisphenol A was classified under the CLP Regulation</w:t>
      </w:r>
      <w:r>
        <w:t xml:space="preserve"> </w:t>
      </w:r>
      <w:r>
        <w:t xml:space="preserve">as toxic for reproduction category 2. In the absence of any specific requirements, the Toy</w:t>
      </w:r>
      <w:r>
        <w:t xml:space="preserve"> </w:t>
      </w:r>
      <w:r>
        <w:t xml:space="preserve">Safety Directive allowed the presence of Bisphenol A in toys in concentrations equal to or</w:t>
      </w:r>
      <w:r>
        <w:t xml:space="preserve"> </w:t>
      </w:r>
      <w:r>
        <w:t xml:space="preserve">smaller than the relevant concentration established for the classification of mixtures</w:t>
      </w:r>
      <w:r>
        <w:t xml:space="preserve"> </w:t>
      </w:r>
      <w:r>
        <w:t xml:space="preserve">containing it as CMRs, namely 5 % as from 20 July 2013 and 3 % as from 1 June 2015</w:t>
      </w:r>
      <w:r>
        <w:t xml:space="preserve"> </w:t>
      </w:r>
      <w:r>
        <w:t xml:space="preserve">respectively.</w:t>
      </w:r>
      <w:r>
        <w:br/>
      </w:r>
      <w:r>
        <w:t xml:space="preserve">European standards318 provided a migration limit of 0,1 mg/l for Bisphenol A in toys, as</w:t>
      </w:r>
      <w:r>
        <w:t xml:space="preserve"> </w:t>
      </w:r>
      <w:r>
        <w:t xml:space="preserve">well as the relevant test methods. These were used by the toy industry but did not constitute</w:t>
      </w:r>
      <w:r>
        <w:t xml:space="preserve"> </w:t>
      </w:r>
      <w:r>
        <w:t xml:space="preserve">harmonised standards as they did not correspond to requirements in the Directive.</w:t>
      </w:r>
      <w:r>
        <w:t xml:space="preserve"> </w:t>
      </w:r>
      <w:r>
        <w:t xml:space="preserve">The risk assessment report, entitled ‘Updated European Union Risk Assessment Report</w:t>
      </w:r>
      <w:r>
        <w:t xml:space="preserve"> </w:t>
      </w:r>
      <w:r>
        <w:t xml:space="preserve">4,4’-isopropylidenediphenol (Bisphenol-A)’319, found, among other things, that Bisphenol</w:t>
      </w:r>
      <w:r>
        <w:t xml:space="preserve"> </w:t>
      </w:r>
      <w:r>
        <w:t xml:space="preserve">A has endocrine modulating activity and concluded that further research was needed to</w:t>
      </w:r>
      <w:r>
        <w:t xml:space="preserve"> </w:t>
      </w:r>
      <w:r>
        <w:t xml:space="preserve">resolve the uncertainties surrounding the potential for Bisphenol A to produce adverse</w:t>
      </w:r>
      <w:r>
        <w:t xml:space="preserve"> </w:t>
      </w:r>
      <w:r>
        <w:t xml:space="preserve">effects on development at low doses. Nevertheless, a high level of protection of children</w:t>
      </w:r>
      <w:r>
        <w:t xml:space="preserve"> </w:t>
      </w:r>
      <w:r>
        <w:t xml:space="preserve">against risks caused by chemical substances in toys, in the light of the particular needs of</w:t>
      </w:r>
      <w:r>
        <w:t xml:space="preserve"> </w:t>
      </w:r>
      <w:r>
        <w:t xml:space="preserve">children, who are a vulnerable group of consumers, warranted incorporating the</w:t>
      </w:r>
      <w:r>
        <w:t xml:space="preserve"> </w:t>
      </w:r>
      <w:r>
        <w:t xml:space="preserve">migration limit of 0,1 mg/l for Bisphenol A into Directive 2009/48/EC. This was done by</w:t>
      </w:r>
      <w:r>
        <w:t xml:space="preserve"> </w:t>
      </w:r>
      <w:r>
        <w:t xml:space="preserve">Commission Directive 2014/81/EU amending appendix C of the Directive320.</w:t>
      </w:r>
      <w:r>
        <w:br/>
      </w:r>
      <w:r>
        <w:t xml:space="preserve">This limit value was subsequently revised by Commission Directive 2017/897 amending</w:t>
      </w:r>
      <w:r>
        <w:t xml:space="preserve"> </w:t>
      </w:r>
      <w:r>
        <w:t xml:space="preserve">appendix C in view of new data on Bisphenol A and refined methodologies by the European</w:t>
      </w:r>
      <w:r>
        <w:t xml:space="preserve"> </w:t>
      </w:r>
      <w:r>
        <w:t xml:space="preserve">Food Safety Authority (EFSA)321. According to the EFSA322, high doses of Bisphenol A are</w:t>
      </w:r>
      <w:r>
        <w:t xml:space="preserve"> </w:t>
      </w:r>
      <w:r>
        <w:t xml:space="preserve">likely to harm kidney and liver.</w:t>
      </w:r>
      <w:r>
        <w:br/>
      </w:r>
      <w:r>
        <w:t xml:space="preserve">Since then, in January and June 2017, the ECHA Member States Committee identified</w:t>
      </w:r>
      <w:r>
        <w:t xml:space="preserve"> </w:t>
      </w:r>
      <w:r>
        <w:t xml:space="preserve">Bisphenol A as a substance of very high concern (SVHC) because of its repro-toxic</w:t>
      </w:r>
      <w:r>
        <w:t xml:space="preserve"> </w:t>
      </w:r>
      <w:r>
        <w:t xml:space="preserve">properties, and endocrine disrupting properties on human health, respectively. Bisphenol</w:t>
      </w:r>
      <w:r>
        <w:t xml:space="preserve"> </w:t>
      </w:r>
      <w:r>
        <w:t xml:space="preserve">A may damage fertility and has been identified as a substance affecting the hormonal</w:t>
      </w:r>
      <w:r>
        <w:t xml:space="preserve"> </w:t>
      </w:r>
      <w:r>
        <w:t xml:space="preserve">systems of humans and animals. In addition, it damages eyes and may cause allergic skin</w:t>
      </w:r>
    </w:p>
    <w:p>
      <w:pPr>
        <w:pStyle w:val="BodyText"/>
      </w:pPr>
      <w:r>
        <w:t xml:space="preserve">318 EN 71-9:2005+A1:2007 and EN 71-10:2005 and EN 71-11:2005</w:t>
      </w:r>
      <w:r>
        <w:t xml:space="preserve"> </w:t>
      </w:r>
      <w:r>
        <w:t xml:space="preserve">319 Joint Research Centre, Institute for Health and Consumer Protection, Updated European Union risk</w:t>
      </w:r>
      <w:r>
        <w:t xml:space="preserve"> </w:t>
      </w:r>
      <w:r>
        <w:t xml:space="preserve">assessment report 4,4’-isopropylidenediphenol (bisphenol-A) : human health addendum of February 2008,</w:t>
      </w:r>
      <w:r>
        <w:t xml:space="preserve"> </w:t>
      </w:r>
      <w:r>
        <w:t xml:space="preserve">Pakalin,</w:t>
      </w:r>
      <w:r>
        <w:t xml:space="preserve"> </w:t>
      </w:r>
      <w:r>
        <w:t xml:space="preserve">S.(editor),</w:t>
      </w:r>
      <w:r>
        <w:t xml:space="preserve"> </w:t>
      </w:r>
      <w:r>
        <w:t xml:space="preserve">Aschberger,</w:t>
      </w:r>
      <w:r>
        <w:t xml:space="preserve"> </w:t>
      </w:r>
      <w:r>
        <w:t xml:space="preserve">K.(editor),</w:t>
      </w:r>
      <w:r>
        <w:t xml:space="preserve"> </w:t>
      </w:r>
      <w:r>
        <w:t xml:space="preserve">Munn,</w:t>
      </w:r>
      <w:r>
        <w:t xml:space="preserve"> </w:t>
      </w:r>
      <w:r>
        <w:t xml:space="preserve">S.(editor),</w:t>
      </w:r>
      <w:r>
        <w:t xml:space="preserve"> </w:t>
      </w:r>
      <w:r>
        <w:t xml:space="preserve">Publications</w:t>
      </w:r>
      <w:r>
        <w:t xml:space="preserve"> </w:t>
      </w:r>
      <w:r>
        <w:t xml:space="preserve">Office,</w:t>
      </w:r>
      <w:r>
        <w:t xml:space="preserve"> </w:t>
      </w:r>
      <w:r>
        <w:t xml:space="preserve">2010, https://data.europa.eu/doi/10.2788/40301</w:t>
      </w:r>
      <w:r>
        <w:t xml:space="preserve"> </w:t>
      </w:r>
      <w:r>
        <w:t xml:space="preserve">320 COMMISSION DIRECTIVE 2014/81/EU of 23 June 2014 amending Appendix C of Annex II to</w:t>
      </w:r>
      <w:r>
        <w:t xml:space="preserve"> </w:t>
      </w:r>
      <w:r>
        <w:t xml:space="preserve">Directive 2009/48/EC of the European Parliament and of the Council on the safety of toys, as regards</w:t>
      </w:r>
      <w:r>
        <w:t xml:space="preserve"> </w:t>
      </w:r>
      <w:r>
        <w:t xml:space="preserve">bisphenol A, OJ L 183, 24.6.2014, p. 49.</w:t>
      </w:r>
      <w:r>
        <w:t xml:space="preserve"> </w:t>
      </w:r>
      <w:r>
        <w:t xml:space="preserve">321 COMMISSION DIRECTIVE (EU) 2017/898 of 24 May 2017 amending, for the purpose of adopting</w:t>
      </w:r>
      <w:r>
        <w:t xml:space="preserve"> </w:t>
      </w:r>
      <w:r>
        <w:t xml:space="preserve">specific limit values for chemicals used in toys, Appendix C to Annex II to Directive 2009/48/EC of the</w:t>
      </w:r>
      <w:r>
        <w:t xml:space="preserve"> </w:t>
      </w:r>
      <w:r>
        <w:t xml:space="preserve">European Parliament and of the Council on the safety of toys, as regards bisphenol A, OJ L 138, 25.5.2017,</w:t>
      </w:r>
      <w:r>
        <w:t xml:space="preserve"> </w:t>
      </w:r>
      <w:r>
        <w:t xml:space="preserve">p. 128.</w:t>
      </w:r>
      <w:r>
        <w:t xml:space="preserve"> </w:t>
      </w:r>
      <w:r>
        <w:t xml:space="preserve">322 http://www.efsa.europa.eu/sites/default/files/corporate_publications/files/factsheetbpa150121.pdf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149</w:t>
      </w:r>
      <w:r>
        <w:t xml:space="preserve"> </w:t>
      </w:r>
      <w:r>
        <w:t xml:space="preserve">EN</w:t>
      </w:r>
      <w:r>
        <w:t xml:space="preserve"> </w:t>
      </w:r>
      <w:r>
        <w:t xml:space="preserve">reactions and respiratory irritation. This is why as of 1 March 2018, Bisphenol A is</w:t>
      </w:r>
      <w:r>
        <w:t xml:space="preserve"> </w:t>
      </w:r>
      <w:r>
        <w:t xml:space="preserve">classified in the EU under the CLP regulation as a substance that: causes toxic effects on</w:t>
      </w:r>
      <w:r>
        <w:t xml:space="preserve"> </w:t>
      </w:r>
      <w:r>
        <w:t xml:space="preserve">our ability to reproduce (Repr. 1B); may cause respiratory irritation (STOT SE 3); causes</w:t>
      </w:r>
      <w:r>
        <w:t xml:space="preserve"> </w:t>
      </w:r>
      <w:r>
        <w:t xml:space="preserve">serious eye damage (eye dam. 1); and may cause skin allergies (skin sens. 1)323.</w:t>
      </w:r>
      <w:r>
        <w:br/>
      </w:r>
      <w:r>
        <w:t xml:space="preserve">EFSA has re-evaluated the risks of Bisphenol A and in its April 2023 opinion considers</w:t>
      </w:r>
      <w:r>
        <w:t xml:space="preserve"> </w:t>
      </w:r>
      <w:r>
        <w:t xml:space="preserve">that scientific literature since 2013 until 2018 indicate adverse effects of Bisphenol A on</w:t>
      </w:r>
      <w:r>
        <w:t xml:space="preserve"> </w:t>
      </w:r>
      <w:r>
        <w:t xml:space="preserve">the immune system and suggests a significantly lower tolerable daily intake324. The TDI is</w:t>
      </w:r>
      <w:r>
        <w:t xml:space="preserve"> </w:t>
      </w:r>
      <w:r>
        <w:t xml:space="preserve">around 20,000 times lower than before.</w:t>
      </w:r>
      <w:r>
        <w:t xml:space="preserve"> </w:t>
      </w:r>
      <w:r>
        <w:t xml:space="preserve">In light of the scientific evidence, the derogation in the Toy Safety Directive allowing for</w:t>
      </w:r>
      <w:r>
        <w:t xml:space="preserve"> </w:t>
      </w:r>
      <w:r>
        <w:t xml:space="preserve">the presence of CMRs up to the relevant concentrations of the CLP Regulation allows for</w:t>
      </w:r>
      <w:r>
        <w:t xml:space="preserve"> </w:t>
      </w:r>
      <w:r>
        <w:t xml:space="preserve">too much presence of Bisphenol A in toys. While the Toy Safety Directive has allowed for</w:t>
      </w:r>
      <w:r>
        <w:t xml:space="preserve"> </w:t>
      </w:r>
      <w:r>
        <w:t xml:space="preserve">the introduction of specific limit values for Bisphenol A, this can only be done in appendix</w:t>
      </w:r>
      <w:r>
        <w:t xml:space="preserve"> </w:t>
      </w:r>
      <w:r>
        <w:t xml:space="preserve">C of the Directive, which applies to toys intended for children under 36 months or to be</w:t>
      </w:r>
      <w:r>
        <w:t xml:space="preserve"> </w:t>
      </w:r>
      <w:r>
        <w:t xml:space="preserve">put in the mouth. Older children than 36 months are not protected under the current</w:t>
      </w:r>
      <w:r>
        <w:t xml:space="preserve"> </w:t>
      </w:r>
      <w:r>
        <w:t xml:space="preserve">Directive from exposure to Bisphenol A in toys.</w:t>
      </w:r>
      <w:r>
        <w:br/>
      </w:r>
      <w:r>
        <w:t xml:space="preserve">d.</w:t>
      </w:r>
      <w:r>
        <w:br/>
      </w:r>
      <w:r>
        <w:t xml:space="preserve">USES OF CHEMICALS IN TOYS</w:t>
      </w:r>
      <w:r>
        <w:t xml:space="preserve"> </w:t>
      </w:r>
      <w:r>
        <w:t xml:space="preserve">In the framework of the Study being conducted to support the revision of REACH and the</w:t>
      </w:r>
      <w:r>
        <w:t xml:space="preserve"> </w:t>
      </w:r>
      <w:r>
        <w:t xml:space="preserve">extension of the Generic Risk Management approach (GRA)325, a use mapping has been</w:t>
      </w:r>
      <w:r>
        <w:t xml:space="preserve"> </w:t>
      </w:r>
      <w:r>
        <w:t xml:space="preserve">conducted on the basis of the ECHA registration dossiers. For the most relevant product</w:t>
      </w:r>
      <w:r>
        <w:t xml:space="preserve"> </w:t>
      </w:r>
      <w:r>
        <w:t xml:space="preserve">categories an assessment on the number of substances that would fall under specific hazard</w:t>
      </w:r>
      <w:r>
        <w:t xml:space="preserve"> </w:t>
      </w:r>
      <w:r>
        <w:t xml:space="preserve">classes was developed. Below, as an illustration, are the results for 3 product categories</w:t>
      </w:r>
      <w:r>
        <w:t xml:space="preserve"> </w:t>
      </w:r>
      <w:r>
        <w:t xml:space="preserve">particularly relevant for toys: PC 32: Polymers, PC9a: Finger paints and PC9c: Plasters</w:t>
      </w:r>
      <w:r>
        <w:t xml:space="preserve"> </w:t>
      </w:r>
      <w:r>
        <w:t xml:space="preserve">and modeling clay. It is quite clear that many substances counted under this will not be</w:t>
      </w:r>
      <w:r>
        <w:t xml:space="preserve"> </w:t>
      </w:r>
      <w:r>
        <w:t xml:space="preserve">used in toys but seeing the variety of toys and the polymer compounds used in them it is</w:t>
      </w:r>
      <w:r>
        <w:t xml:space="preserve"> </w:t>
      </w:r>
      <w:r>
        <w:t xml:space="preserve">nonetheless a good approximation to understand the scale of the challenge.</w:t>
      </w:r>
      <w:r>
        <w:t xml:space="preserve"> </w:t>
      </w:r>
      <w:r>
        <w:t xml:space="preserve">The list consisted of 3 baskets with the following characteristics, according to an</w:t>
      </w:r>
      <w:r>
        <w:t xml:space="preserve"> </w:t>
      </w:r>
      <w:r>
        <w:t xml:space="preserve">accompanying ECHA document:</w:t>
      </w:r>
      <w:r>
        <w:t xml:space="preserve"> </w:t>
      </w:r>
      <w:r>
        <w:t xml:space="preserve">o Basket 1- Substances with confirmed hazard(s): For endpoints included in</w:t>
      </w:r>
      <w:r>
        <w:t xml:space="preserve"> </w:t>
      </w:r>
      <w:r>
        <w:t xml:space="preserve">CLP these are based on either their harmonised classification (inclusion in</w:t>
      </w:r>
      <w:r>
        <w:t xml:space="preserve"> </w:t>
      </w:r>
      <w:r>
        <w:t xml:space="preserve">Annex VI to CLP) or the reported self-classification in the registration dossier.</w:t>
      </w:r>
      <w:r>
        <w:t xml:space="preserve"> </w:t>
      </w:r>
      <w:r>
        <w:t xml:space="preserve">For other endpoints, these are based on identification as SVHC (inclusion in</w:t>
      </w:r>
      <w:r>
        <w:t xml:space="preserve"> </w:t>
      </w:r>
      <w:r>
        <w:t xml:space="preserve">the Candidate List), identification under the Biocidal Products Regulation</w:t>
      </w:r>
      <w:r>
        <w:t xml:space="preserve"> </w:t>
      </w:r>
      <w:r>
        <w:t xml:space="preserve">(BPR) or agreed in the ED/PBT Expert Groups. Hazard(s) are based on</w:t>
      </w:r>
      <w:r>
        <w:t xml:space="preserve"> </w:t>
      </w:r>
      <w:r>
        <w:t xml:space="preserve">available information; lists as well as numbers of substances provided.</w:t>
      </w:r>
      <w:r>
        <w:t xml:space="preserve"> </w:t>
      </w:r>
      <w:r>
        <w:t xml:space="preserve">o Basket 2 – Substances where the hazard(s) are under consideration : These</w:t>
      </w:r>
      <w:r>
        <w:t xml:space="preserve"> </w:t>
      </w:r>
      <w:r>
        <w:t xml:space="preserve">are substances with on-going data generation or assessments; lists as well as</w:t>
      </w:r>
    </w:p>
    <w:p>
      <w:pPr>
        <w:pStyle w:val="BodyText"/>
      </w:pPr>
      <w:r>
        <w:t xml:space="preserve">323 COMMISSION REGULATION (EU) 2016/1179 of 19 July 2016 amending, for the purposes of its</w:t>
      </w:r>
      <w:r>
        <w:t xml:space="preserve"> </w:t>
      </w:r>
      <w:r>
        <w:t xml:space="preserve">adaptation to technical and scientific progress, Regulation (EC) No 1272/2008 of the European Parliament</w:t>
      </w:r>
      <w:r>
        <w:t xml:space="preserve"> </w:t>
      </w:r>
      <w:r>
        <w:t xml:space="preserve">and of the Council on classification, labelling and packaging of substances and mixtures, OJ L 195,</w:t>
      </w:r>
      <w:r>
        <w:t xml:space="preserve"> </w:t>
      </w:r>
      <w:r>
        <w:t xml:space="preserve">20.7.2016, p. 11.</w:t>
      </w:r>
      <w:r>
        <w:t xml:space="preserve"> </w:t>
      </w:r>
      <w:r>
        <w:t xml:space="preserve">324 Re‐evaluation of the risks to public health related to the presence of bisphenol A (BPA) in foodstuffs - -</w:t>
      </w:r>
      <w:r>
        <w:t xml:space="preserve"> </w:t>
      </w:r>
      <w:r>
        <w:t xml:space="preserve">2023 - EFSA Journal - Wiley Online Library https://doi.org/10.2903/j.efsa.2023.6857</w:t>
      </w:r>
      <w:r>
        <w:t xml:space="preserve"> </w:t>
      </w:r>
      <w:r>
        <w:t xml:space="preserve">325 Study to support the impact assessment for potential amendments of the REACH Regulation to extend</w:t>
      </w:r>
      <w:r>
        <w:t xml:space="preserve"> </w:t>
      </w:r>
      <w:r>
        <w:t xml:space="preserve">the use of the generic risk management approach to further hazard classes and uses, and to reform REACH</w:t>
      </w:r>
      <w:r>
        <w:t xml:space="preserve"> </w:t>
      </w:r>
      <w:r>
        <w:t xml:space="preserve">authorisation and restriction, Annex 1: report on task 2 – use. To be published.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150</w:t>
      </w:r>
      <w:r>
        <w:t xml:space="preserve"> </w:t>
      </w:r>
      <w:r>
        <w:t xml:space="preserve">EN</w:t>
      </w:r>
      <w:r>
        <w:t xml:space="preserve"> </w:t>
      </w:r>
      <w:r>
        <w:t xml:space="preserve">numbers of substances are provided; it also includes an estimate on the number</w:t>
      </w:r>
      <w:r>
        <w:t xml:space="preserve"> </w:t>
      </w:r>
      <w:r>
        <w:t xml:space="preserve">of substances for which the hazards are likely to be confirmed (based on past</w:t>
      </w:r>
      <w:r>
        <w:t xml:space="preserve"> </w:t>
      </w:r>
      <w:r>
        <w:t xml:space="preserve">experience).</w:t>
      </w:r>
      <w:r>
        <w:t xml:space="preserve"> </w:t>
      </w:r>
      <w:r>
        <w:t xml:space="preserve">o A third basket is represented by estimates of the number of substances in the</w:t>
      </w:r>
      <w:r>
        <w:t xml:space="preserve"> </w:t>
      </w:r>
      <w:r>
        <w:t xml:space="preserve">chemical universe that may be classified according to the new hazard classes</w:t>
      </w:r>
      <w:r>
        <w:t xml:space="preserve"> </w:t>
      </w:r>
      <w:r>
        <w:t xml:space="preserve">based on the assumption that the same proportion of hazardous substances</w:t>
      </w:r>
      <w:r>
        <w:t xml:space="preserve"> </w:t>
      </w:r>
      <w:r>
        <w:t xml:space="preserve">exists regardless of their manufactured and/or imported quantities (and</w:t>
      </w:r>
      <w:r>
        <w:t xml:space="preserve"> </w:t>
      </w:r>
      <w:r>
        <w:t xml:space="preserve">therefore registered providing different information requirements according to</w:t>
      </w:r>
      <w:r>
        <w:t xml:space="preserve"> </w:t>
      </w:r>
      <w:r>
        <w:t xml:space="preserve">REACH Annex VII, VIII, IX and X). It is important to note that Basket 3 is not</w:t>
      </w:r>
      <w:r>
        <w:t xml:space="preserve"> </w:t>
      </w:r>
      <w:r>
        <w:t xml:space="preserve">a list of identified substances and therefore cannot be used for the purpose of</w:t>
      </w:r>
      <w:r>
        <w:t xml:space="preserve"> </w:t>
      </w:r>
      <w:r>
        <w:t xml:space="preserve">use mapping.</w:t>
      </w:r>
      <w:r>
        <w:br/>
      </w:r>
      <w:r>
        <w:t xml:space="preserve">The initial list in Basket 1 contains both cat. 1 and cat. 2 substances in the area of STOT</w:t>
      </w:r>
      <w:r>
        <w:t xml:space="preserve"> </w:t>
      </w:r>
      <w:r>
        <w:t xml:space="preserve">SE and RE substances. Cat. 2 substances, analogous to CMR substances, would possibly</w:t>
      </w:r>
      <w:r>
        <w:t xml:space="preserve"> </w:t>
      </w:r>
      <w:r>
        <w:t xml:space="preserve">not be the subject of a future GRA. It was therefore not considered further in the use</w:t>
      </w:r>
      <w:r>
        <w:t xml:space="preserve"> </w:t>
      </w:r>
      <w:r>
        <w:t xml:space="preserve">mapping. STOT RE and SE is only represented by cat 1. This distinction was not made in</w:t>
      </w:r>
      <w:r>
        <w:t xml:space="preserve"> </w:t>
      </w:r>
      <w:r>
        <w:t xml:space="preserve">Basket 2, as there was no information on this. it is possible that the same substance is</w:t>
      </w:r>
      <w:r>
        <w:t xml:space="preserve"> </w:t>
      </w:r>
      <w:r>
        <w:t xml:space="preserve">assigned several times to the individual PCs due to several hazardous properties. It should</w:t>
      </w:r>
      <w:r>
        <w:t xml:space="preserve"> </w:t>
      </w:r>
      <w:r>
        <w:t xml:space="preserve">be noted that substances can not only appear in an additional hazard class but can also be</w:t>
      </w:r>
      <w:r>
        <w:t xml:space="preserve"> </w:t>
      </w:r>
      <w:r>
        <w:t xml:space="preserve">named in three or four categories (especially in the comparison of Baskets 1 and 2 due to</w:t>
      </w:r>
      <w:r>
        <w:t xml:space="preserve"> </w:t>
      </w:r>
      <w:r>
        <w:t xml:space="preserve">the high number of suspected substances in PBT/vPvB, ED and PMT). In addition,</w:t>
      </w:r>
      <w:r>
        <w:t xml:space="preserve"> </w:t>
      </w:r>
      <w:r>
        <w:t xml:space="preserve">environmental hazards (ED ENV, PBT/vPvB and PMT) are not within the scope of the</w:t>
      </w:r>
      <w:r>
        <w:t xml:space="preserve"> </w:t>
      </w:r>
      <w:r>
        <w:t xml:space="preserve">revision of the TSD.</w:t>
      </w:r>
      <w:r>
        <w:t xml:space="preserve"> </w:t>
      </w:r>
      <w:r>
        <w:t xml:space="preserve">Table 19: Number of substances Basket 1 according to PC with consumer Life cycle stage326</w:t>
      </w:r>
      <w:r>
        <w:t xml:space="preserve"> </w:t>
      </w:r>
      <w:r>
        <w:t xml:space="preserve">PC</w:t>
      </w:r>
      <w:r>
        <w:t xml:space="preserve"> </w:t>
      </w:r>
      <w:r>
        <w:t xml:space="preserve">ED</w:t>
      </w:r>
      <w:r>
        <w:t xml:space="preserve"> </w:t>
      </w:r>
      <w:r>
        <w:t xml:space="preserve">ENV</w:t>
      </w:r>
      <w:r>
        <w:t xml:space="preserve"> </w:t>
      </w:r>
      <w:r>
        <w:t xml:space="preserve">ED</w:t>
      </w:r>
      <w:r>
        <w:t xml:space="preserve"> </w:t>
      </w:r>
      <w:r>
        <w:t xml:space="preserve">HH</w:t>
      </w:r>
      <w:r>
        <w:t xml:space="preserve"> </w:t>
      </w:r>
      <w:r>
        <w:t xml:space="preserve">PBT/</w:t>
      </w:r>
      <w:r>
        <w:t xml:space="preserve"> </w:t>
      </w:r>
      <w:r>
        <w:t xml:space="preserve">vPvB</w:t>
      </w:r>
      <w:r>
        <w:t xml:space="preserve"> </w:t>
      </w:r>
      <w:r>
        <w:t xml:space="preserve">Resp</w:t>
      </w:r>
      <w:r>
        <w:t xml:space="preserve"> </w:t>
      </w:r>
      <w:r>
        <w:t xml:space="preserve">.</w:t>
      </w:r>
      <w:r>
        <w:t xml:space="preserve"> </w:t>
      </w:r>
      <w:r>
        <w:t xml:space="preserve">Sens.</w:t>
      </w:r>
      <w:r>
        <w:t xml:space="preserve"> </w:t>
      </w:r>
      <w:r>
        <w:t xml:space="preserve">STOT</w:t>
      </w:r>
      <w:r>
        <w:t xml:space="preserve"> </w:t>
      </w:r>
      <w:r>
        <w:t xml:space="preserve">RE</w:t>
      </w:r>
      <w:r>
        <w:t xml:space="preserve"> </w:t>
      </w:r>
      <w:r>
        <w:t xml:space="preserve">(Cat.</w:t>
      </w:r>
      <w:r>
        <w:t xml:space="preserve"> </w:t>
      </w:r>
      <w:r>
        <w:t xml:space="preserve">1)</w:t>
      </w:r>
      <w:r>
        <w:t xml:space="preserve"> </w:t>
      </w:r>
      <w:r>
        <w:t xml:space="preserve">STOT</w:t>
      </w:r>
      <w:r>
        <w:t xml:space="preserve"> </w:t>
      </w:r>
      <w:r>
        <w:t xml:space="preserve">SE</w:t>
      </w:r>
      <w:r>
        <w:t xml:space="preserve"> </w:t>
      </w:r>
      <w:r>
        <w:t xml:space="preserve">(Cat.</w:t>
      </w:r>
      <w:r>
        <w:t xml:space="preserve"> </w:t>
      </w:r>
      <w:r>
        <w:t xml:space="preserve">1)</w:t>
      </w:r>
      <w:r>
        <w:t xml:space="preserve"> </w:t>
      </w:r>
      <w:r>
        <w:t xml:space="preserve">PMT CMR</w:t>
      </w:r>
      <w:r>
        <w:t xml:space="preserve"> </w:t>
      </w:r>
      <w:r>
        <w:t xml:space="preserve">PC 32: Polymer preparations and</w:t>
      </w:r>
      <w:r>
        <w:t xml:space="preserve"> </w:t>
      </w:r>
      <w:r>
        <w:t xml:space="preserve">compounds</w:t>
      </w:r>
      <w:r>
        <w:br/>
      </w:r>
      <w:r>
        <w:t xml:space="preserve">6</w:t>
      </w:r>
      <w:r>
        <w:t xml:space="preserve"> </w:t>
      </w:r>
      <w:r>
        <w:t xml:space="preserve">5</w:t>
      </w:r>
      <w:r>
        <w:t xml:space="preserve"> </w:t>
      </w:r>
      <w:r>
        <w:t xml:space="preserve">11</w:t>
      </w:r>
      <w:r>
        <w:t xml:space="preserve"> </w:t>
      </w:r>
      <w:r>
        <w:t xml:space="preserve">16</w:t>
      </w:r>
      <w:r>
        <w:t xml:space="preserve"> </w:t>
      </w:r>
      <w:r>
        <w:t xml:space="preserve">15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30</w:t>
      </w:r>
      <w:r>
        <w:t xml:space="preserve"> </w:t>
      </w:r>
      <w:r>
        <w:t xml:space="preserve">PC 9c: Finger paint</w:t>
      </w:r>
      <w:r>
        <w:br/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20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PC</w:t>
      </w:r>
      <w:r>
        <w:t xml:space="preserve"> </w:t>
      </w:r>
      <w:r>
        <w:t xml:space="preserve">9b:</w:t>
      </w:r>
      <w:r>
        <w:t xml:space="preserve"> </w:t>
      </w:r>
      <w:r>
        <w:t xml:space="preserve">Fillers,</w:t>
      </w:r>
      <w:r>
        <w:t xml:space="preserve"> </w:t>
      </w:r>
      <w:r>
        <w:t xml:space="preserve">putties,</w:t>
      </w:r>
      <w:r>
        <w:t xml:space="preserve"> </w:t>
      </w:r>
      <w:r>
        <w:t xml:space="preserve">plasters,</w:t>
      </w:r>
      <w:r>
        <w:t xml:space="preserve"> </w:t>
      </w:r>
      <w:r>
        <w:t xml:space="preserve">modelling clay</w:t>
      </w:r>
      <w:r>
        <w:br/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7</w:t>
      </w:r>
      <w:r>
        <w:t xml:space="preserve"> </w:t>
      </w:r>
      <w:r>
        <w:t xml:space="preserve">25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≤10 green, &gt;10 - ≤ 50 light green, &gt;50 - ≤ 100 yellow, &gt; 100 red</w:t>
      </w:r>
    </w:p>
    <w:p>
      <w:pPr>
        <w:pStyle w:val="BodyText"/>
      </w:pPr>
      <w:r>
        <w:t xml:space="preserve">Table 20: Number of substances Basket 2 according to PC with consumer Life cycle stage</w:t>
      </w:r>
      <w:r>
        <w:t xml:space="preserve"> </w:t>
      </w:r>
      <w:r>
        <w:t xml:space="preserve">PC</w:t>
      </w:r>
      <w:r>
        <w:t xml:space="preserve"> </w:t>
      </w:r>
      <w:r>
        <w:t xml:space="preserve">ED</w:t>
      </w:r>
      <w:r>
        <w:t xml:space="preserve"> </w:t>
      </w:r>
      <w:r>
        <w:t xml:space="preserve">PBT/</w:t>
      </w:r>
      <w:r>
        <w:t xml:space="preserve"> </w:t>
      </w:r>
      <w:r>
        <w:t xml:space="preserve">vPvB</w:t>
      </w:r>
      <w:r>
        <w:t xml:space="preserve"> </w:t>
      </w:r>
      <w:r>
        <w:t xml:space="preserve">Resp</w:t>
      </w:r>
      <w:r>
        <w:t xml:space="preserve"> </w:t>
      </w:r>
      <w:r>
        <w:t xml:space="preserve">Sens</w:t>
      </w:r>
      <w:r>
        <w:t xml:space="preserve"> </w:t>
      </w:r>
      <w:r>
        <w:t xml:space="preserve">STOT</w:t>
      </w:r>
      <w:r>
        <w:t xml:space="preserve"> </w:t>
      </w:r>
      <w:r>
        <w:t xml:space="preserve">RE</w:t>
      </w:r>
      <w:r>
        <w:t xml:space="preserve"> </w:t>
      </w:r>
      <w:r>
        <w:t xml:space="preserve">STOT</w:t>
      </w:r>
      <w:r>
        <w:t xml:space="preserve"> </w:t>
      </w:r>
      <w:r>
        <w:t xml:space="preserve">SE</w:t>
      </w:r>
      <w:r>
        <w:t xml:space="preserve"> </w:t>
      </w:r>
      <w:r>
        <w:t xml:space="preserve">PMT</w:t>
      </w:r>
      <w:r>
        <w:t xml:space="preserve"> </w:t>
      </w:r>
      <w:r>
        <w:t xml:space="preserve">PC 32: Polymer preparations and compounds</w:t>
      </w:r>
      <w:r>
        <w:br/>
      </w:r>
      <w:r>
        <w:t xml:space="preserve">83</w:t>
      </w:r>
      <w:r>
        <w:t xml:space="preserve"> </w:t>
      </w:r>
      <w:r>
        <w:t xml:space="preserve">55</w:t>
      </w:r>
      <w:r>
        <w:t xml:space="preserve"> </w:t>
      </w:r>
      <w:r>
        <w:t xml:space="preserve">8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54</w:t>
      </w:r>
      <w:r>
        <w:t xml:space="preserve"> </w:t>
      </w:r>
      <w:r>
        <w:t xml:space="preserve">PC 9c: Finger paint</w:t>
      </w:r>
      <w:r>
        <w:br/>
      </w:r>
      <w:r>
        <w:t xml:space="preserve">48</w:t>
      </w:r>
      <w:r>
        <w:t xml:space="preserve"> </w:t>
      </w:r>
      <w:r>
        <w:t xml:space="preserve">31</w:t>
      </w:r>
      <w:r>
        <w:t xml:space="preserve"> </w:t>
      </w:r>
      <w:r>
        <w:t xml:space="preserve">8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31</w:t>
      </w:r>
      <w:r>
        <w:t xml:space="preserve"> </w:t>
      </w:r>
      <w:r>
        <w:t xml:space="preserve">PC 9b: Fillers, putties, plasters, modelling clay</w:t>
      </w:r>
      <w:r>
        <w:br/>
      </w:r>
      <w:r>
        <w:t xml:space="preserve">82</w:t>
      </w:r>
      <w:r>
        <w:t xml:space="preserve"> </w:t>
      </w:r>
      <w:r>
        <w:t xml:space="preserve">41</w:t>
      </w:r>
      <w:r>
        <w:t xml:space="preserve"> </w:t>
      </w:r>
      <w:r>
        <w:t xml:space="preserve">8</w:t>
      </w:r>
      <w:r>
        <w:t xml:space="preserve"> </w:t>
      </w:r>
      <w:r>
        <w:t xml:space="preserve">9</w:t>
      </w:r>
      <w:r>
        <w:t xml:space="preserve"> </w:t>
      </w:r>
      <w:r>
        <w:t xml:space="preserve">9</w:t>
      </w:r>
      <w:r>
        <w:t xml:space="preserve"> </w:t>
      </w:r>
      <w:r>
        <w:t xml:space="preserve">43</w:t>
      </w:r>
      <w:r>
        <w:t xml:space="preserve"> </w:t>
      </w:r>
      <w:r>
        <w:t xml:space="preserve">≤10 green, &gt;10 - ≤ 50 light green, &gt;50 - ≤ 100 yellow, &gt; 100 red</w:t>
      </w:r>
    </w:p>
    <w:p>
      <w:pPr>
        <w:pStyle w:val="BodyText"/>
      </w:pPr>
      <w:r>
        <w:t xml:space="preserve">In that Study, a number of caveats were highlighted in respect of this information. In</w:t>
      </w:r>
      <w:r>
        <w:t xml:space="preserve"> </w:t>
      </w:r>
      <w:r>
        <w:t xml:space="preserve">particular, it was argued that the use of CMR substances in PC 32 polymers seems to rather</w:t>
      </w:r>
    </w:p>
    <w:p>
      <w:pPr>
        <w:pStyle w:val="BodyText"/>
      </w:pPr>
      <w:r>
        <w:t xml:space="preserve">326 When data are shown for a hazard class, duplicates are always included to make a description of the</w:t>
      </w:r>
      <w:r>
        <w:t xml:space="preserve"> </w:t>
      </w:r>
      <w:r>
        <w:t xml:space="preserve">respective hazard class.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151</w:t>
      </w:r>
      <w:r>
        <w:t xml:space="preserve"> </w:t>
      </w:r>
      <w:r>
        <w:t xml:space="preserve">EN</w:t>
      </w:r>
      <w:r>
        <w:t xml:space="preserve"> </w:t>
      </w:r>
      <w:r>
        <w:t xml:space="preserve">reflect the further application of polymers and plastics. Substances are found that are</w:t>
      </w:r>
      <w:r>
        <w:t xml:space="preserve"> </w:t>
      </w:r>
      <w:r>
        <w:t xml:space="preserve">incorporated as monomers into more complex compounds and subsequently no longer</w:t>
      </w:r>
      <w:r>
        <w:t xml:space="preserve"> </w:t>
      </w:r>
      <w:r>
        <w:t xml:space="preserve">exist. Therefore, a CMR property would no longer exist in the service life.</w:t>
      </w:r>
      <w:r>
        <w:br/>
      </w:r>
      <w:r>
        <w:t xml:space="preserve">Nevertheless, the above could give a broad illustration of the implications of the generic</w:t>
      </w:r>
      <w:r>
        <w:t xml:space="preserve"> </w:t>
      </w:r>
      <w:r>
        <w:t xml:space="preserve">risk management approach (options 1b and 1c) in toys.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152</w:t>
      </w:r>
      <w:r>
        <w:t xml:space="preserve"> </w:t>
      </w:r>
      <w:r>
        <w:t xml:space="preserve">EN</w:t>
      </w:r>
      <w:r>
        <w:t xml:space="preserve"> </w:t>
      </w:r>
      <w:r>
        <w:t xml:space="preserve">ANNEX 11: NON-COMPLIANT TOYS ON THE UNION MARKET</w:t>
      </w:r>
      <w:r>
        <w:t xml:space="preserve"> </w:t>
      </w:r>
      <w:r>
        <w:t xml:space="preserve">1.</w:t>
      </w:r>
      <w:r>
        <w:t xml:space="preserve"> </w:t>
      </w:r>
      <w:r>
        <w:t xml:space="preserve">NON-COMPLIANT PRODUCTS: RAPEX DATA</w:t>
      </w:r>
      <w:r>
        <w:t xml:space="preserve"> </w:t>
      </w:r>
      <w:r>
        <w:t xml:space="preserve">The Safety Gate system, formerly known as the Rapid Exchange of Information System (RAPEX),</w:t>
      </w:r>
      <w:r>
        <w:t xml:space="preserve"> </w:t>
      </w:r>
      <w:r>
        <w:t xml:space="preserve">is the EU’s rapid alert system for sharing information between national authorities on measures taken</w:t>
      </w:r>
      <w:r>
        <w:t xml:space="preserve"> </w:t>
      </w:r>
      <w:r>
        <w:t xml:space="preserve">against dangerous non-food products, including toys. The system operates as follows:</w:t>
      </w:r>
      <w:r>
        <w:t xml:space="preserve"> </w:t>
      </w:r>
      <w:r>
        <w:t xml:space="preserve"> When a national authority in an EU Member State or EEA / EFTA country identifies and</w:t>
      </w:r>
      <w:r>
        <w:t xml:space="preserve"> </w:t>
      </w:r>
      <w:r>
        <w:t xml:space="preserve">adopts measures against dangerous products placed on the market, it submits an alert to Safety</w:t>
      </w:r>
      <w:r>
        <w:t xml:space="preserve"> </w:t>
      </w:r>
      <w:r>
        <w:t xml:space="preserve">Gate. Each alert follows a template and provides a wide range of information, including the</w:t>
      </w:r>
      <w:r>
        <w:t xml:space="preserve"> </w:t>
      </w:r>
      <w:r>
        <w:t xml:space="preserve">type of product, a description of the risk, the country of origin and the measures ordered by</w:t>
      </w:r>
      <w:r>
        <w:t xml:space="preserve"> </w:t>
      </w:r>
      <w:r>
        <w:t xml:space="preserve">the authority or taken by the economic operator.</w:t>
      </w:r>
      <w:r>
        <w:t xml:space="preserve"> </w:t>
      </w:r>
      <w:r>
        <w:t xml:space="preserve"> All other authorities are required to follow up on each alert and share any information on the</w:t>
      </w:r>
      <w:r>
        <w:t xml:space="preserve"> </w:t>
      </w:r>
      <w:r>
        <w:t xml:space="preserve">presence of the dangerous product on their own market.</w:t>
      </w:r>
      <w:r>
        <w:t xml:space="preserve"> </w:t>
      </w:r>
      <w:r>
        <w:t xml:space="preserve">Data on SafetyGate (/RAPEX) alerts are available for the period 2005-2021. This section first</w:t>
      </w:r>
      <w:r>
        <w:t xml:space="preserve"> </w:t>
      </w:r>
      <w:r>
        <w:t xml:space="preserve">presents an overview of the key methodological considerations related to the SafetyGate alert data,</w:t>
      </w:r>
      <w:r>
        <w:t xml:space="preserve"> </w:t>
      </w:r>
      <w:r>
        <w:t xml:space="preserve">before presenting an analysis of the toy-related alerts across the period 2016-2021, in line with the</w:t>
      </w:r>
      <w:r>
        <w:t xml:space="preserve"> </w:t>
      </w:r>
      <w:r>
        <w:t xml:space="preserve">time period examined through the market analysis.</w:t>
      </w:r>
      <w:r>
        <w:t xml:space="preserve"> </w:t>
      </w:r>
      <w:r>
        <w:t xml:space="preserve">Within this context, the SafetyGate alert data for the period 2016-2021 is now analysed, focusing</w:t>
      </w:r>
      <w:r>
        <w:t xml:space="preserve"> </w:t>
      </w:r>
      <w:r>
        <w:t xml:space="preserve">first on headline data points, before examining a range of relevant variables, including the risk</w:t>
      </w:r>
      <w:r>
        <w:t xml:space="preserve"> </w:t>
      </w:r>
      <w:r>
        <w:t xml:space="preserve">categories for alerted toy products, the types of alerts, the countries of origin and the countries</w:t>
      </w:r>
      <w:r>
        <w:t xml:space="preserve"> </w:t>
      </w:r>
      <w:r>
        <w:t xml:space="preserve">submitting alerts.</w:t>
      </w:r>
      <w:r>
        <w:t xml:space="preserve"> </w:t>
      </w:r>
      <w:r>
        <w:t xml:space="preserve">Over the period 2016-2021, the ‘Toy’ category comprised 27.4% of total SafetyGate alerts (3,449 of</w:t>
      </w:r>
      <w:r>
        <w:t xml:space="preserve"> </w:t>
      </w:r>
      <w:r>
        <w:t xml:space="preserve">12,610 alerts); the highest proportion of any specific product category. This proportion has varied</w:t>
      </w:r>
      <w:r>
        <w:t xml:space="preserve"> </w:t>
      </w:r>
      <w:r>
        <w:t xml:space="preserve">significantly over the years, with a peak of 31.8% of total alerts in 2018 and a low of 19.9% in 2021.</w:t>
      </w:r>
      <w:r>
        <w:t xml:space="preserve"> </w:t>
      </w:r>
      <w:r>
        <w:t xml:space="preserve">The below figure 12 illustrates this percentage per year since 2005, alongside the total number of toy</w:t>
      </w:r>
      <w:r>
        <w:t xml:space="preserve"> </w:t>
      </w:r>
      <w:r>
        <w:t xml:space="preserve">and non-toy alerts.</w:t>
      </w:r>
      <w:r>
        <w:br/>
      </w:r>
      <w:r>
        <w:t xml:space="preserve">As can be seen, the number of alerts increased year on year between 2005-2010, as market</w:t>
      </w:r>
      <w:r>
        <w:t xml:space="preserve"> </w:t>
      </w:r>
      <w:r>
        <w:t xml:space="preserve">surveillance authorities became more familiar with SafetyGate following its introduction. However,</w:t>
      </w:r>
      <w:r>
        <w:t xml:space="preserve"> </w:t>
      </w:r>
      <w:r>
        <w:t xml:space="preserve">a clear drop in both toy and non-toy alerts was experienced in 2011 followed by an increase to 2014</w:t>
      </w:r>
      <w:r>
        <w:t xml:space="preserve"> </w:t>
      </w:r>
      <w:r>
        <w:t xml:space="preserve">– the highest year to date in terms of total alerts and the third highest for toy-related alerts. Given the</w:t>
      </w:r>
      <w:r>
        <w:t xml:space="preserve"> </w:t>
      </w:r>
      <w:r>
        <w:t xml:space="preserve">entry into force of Regulation (EC) No 765/2008 – part of the New Legislative Framework (NLF) –</w:t>
      </w:r>
      <w:r>
        <w:t xml:space="preserve"> </w:t>
      </w:r>
      <w:r>
        <w:t xml:space="preserve">in 2010 and the subsequent application of national transpositions of the updated Toy Safety Directive</w:t>
      </w:r>
      <w:r>
        <w:t xml:space="preserve"> </w:t>
      </w:r>
      <w:r>
        <w:t xml:space="preserve">2009/48/EC by July 2011 (as well as the alignment of many other pieces of industrial product</w:t>
      </w:r>
      <w:r>
        <w:t xml:space="preserve"> </w:t>
      </w:r>
      <w:r>
        <w:t xml:space="preserve">legislation to the NLF), one prominent explanation for this trend is the need for market surveillance</w:t>
      </w:r>
      <w:r>
        <w:t xml:space="preserve"> </w:t>
      </w:r>
      <w:r>
        <w:t xml:space="preserve">authorities to familiarise and integrate these new rules into their processes and procedures.</w:t>
      </w:r>
      <w:r>
        <w:t xml:space="preserve"> </w:t>
      </w:r>
      <w:r>
        <w:t xml:space="preserve">In the years since 2014, the level of both non-toy and toy related SafetyGate alerts has remained</w:t>
      </w:r>
      <w:r>
        <w:t xml:space="preserve"> </w:t>
      </w:r>
      <w:r>
        <w:t xml:space="preserve">relatively stable. In line with the abovementioned challenges, this result could indicate a plateau in</w:t>
      </w:r>
      <w:r>
        <w:t xml:space="preserve"> </w:t>
      </w:r>
      <w:r>
        <w:t xml:space="preserve">terms of market surveillance authorities capacity (in terms of resources) to identify and report</w:t>
      </w:r>
      <w:r>
        <w:t xml:space="preserve"> </w:t>
      </w:r>
      <w:r>
        <w:t xml:space="preserve">dangerous products.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153</w:t>
      </w:r>
      <w:r>
        <w:t xml:space="preserve"> </w:t>
      </w:r>
      <w:r>
        <w:t xml:space="preserve">EN</w:t>
      </w:r>
      <w:r>
        <w:t xml:space="preserve"> </w:t>
      </w:r>
      <w:r>
        <w:t xml:space="preserve">Figure 12: SafetyGate alerts 2005-2021: Toy and non-toy product categories</w:t>
      </w:r>
    </w:p>
    <w:p>
      <w:pPr>
        <w:pStyle w:val="BodyText"/>
      </w:pPr>
      <w:r>
        <w:t xml:space="preserve">From the above, it is also clear that the toys comprise a sizeable proportion of total SafetyGate alerts.</w:t>
      </w:r>
      <w:r>
        <w:t xml:space="preserve"> </w:t>
      </w:r>
      <w:r>
        <w:t xml:space="preserve">In fact, the ‘Toys’ category has been the product category subject to the highest number of alerts in</w:t>
      </w:r>
      <w:r>
        <w:t xml:space="preserve"> </w:t>
      </w:r>
      <w:r>
        <w:t xml:space="preserve">five of the last six years. The next highest categories across this period were ‘Motor vehicles’ (22.5%,</w:t>
      </w:r>
      <w:r>
        <w:t xml:space="preserve"> </w:t>
      </w:r>
      <w:r>
        <w:t xml:space="preserve">2,840 alerts), ‘Clothing, textiles and fashion items’ (9.4%, 1,182 alerts) and ‘Electrical appliances</w:t>
      </w:r>
      <w:r>
        <w:t xml:space="preserve"> </w:t>
      </w:r>
      <w:r>
        <w:t xml:space="preserve">and equipment’ (8.6%, 1,088 alerts). The remaining 57 categories comprised around 32.1% of alerts.</w:t>
      </w:r>
      <w:r>
        <w:t xml:space="preserve"> </w:t>
      </w:r>
      <w:r>
        <w:t xml:space="preserve">Within the ‘Toys’ category, the two most common risk categories over the period 2016-2021 by</w:t>
      </w:r>
      <w:r>
        <w:t xml:space="preserve"> </w:t>
      </w:r>
      <w:r>
        <w:t xml:space="preserve">more than 1,000 alerts are choking risks (1,507, 37.7%) and chemical risks (1,404, 35.1%). In fact,</w:t>
      </w:r>
      <w:r>
        <w:t xml:space="preserve"> </w:t>
      </w:r>
      <w:r>
        <w:t xml:space="preserve">with general injury risks added (398, 10%), these three risk types comprise 82.8% of toy related</w:t>
      </w:r>
      <w:r>
        <w:t xml:space="preserve"> </w:t>
      </w:r>
      <w:r>
        <w:t xml:space="preserve">SafetyGate alerts in this period. No other risk type makes up more than 4% of toy-related alerts.</w:t>
      </w:r>
      <w:r>
        <w:t xml:space="preserve"> </w:t>
      </w:r>
      <w:r>
        <w:t xml:space="preserve">Figures 13 and 14: SafetyGate alerts 2005-2021: Types of risks in dangerous toys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154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Concerning the types of alerts possible within SafetyGate, the vast majority (91.4%) concern serious</w:t>
      </w:r>
      <w:r>
        <w:t xml:space="preserve"> </w:t>
      </w:r>
      <w:r>
        <w:t xml:space="preserve">risks. The other options (‘Other risk levels’ and ‘Other types of alerts’) are used in a relatively limited</w:t>
      </w:r>
      <w:r>
        <w:t xml:space="preserve"> </w:t>
      </w:r>
      <w:r>
        <w:t xml:space="preserve">manner.</w:t>
      </w:r>
      <w:r>
        <w:t xml:space="preserve"> </w:t>
      </w:r>
      <w:r>
        <w:t xml:space="preserve">Another important variable to analyse is the country of origin of alerted products; particularly</w:t>
      </w:r>
      <w:r>
        <w:t xml:space="preserve"> </w:t>
      </w:r>
      <w:r>
        <w:t xml:space="preserve">given the challenges raised by all stakeholder types of non-compliant products being placed on the</w:t>
      </w:r>
      <w:r>
        <w:t xml:space="preserve"> </w:t>
      </w:r>
      <w:r>
        <w:t xml:space="preserve">market by third country economic operators, often via online marketplaces. In this respect, the</w:t>
      </w:r>
      <w:r>
        <w:t xml:space="preserve"> </w:t>
      </w:r>
      <w:r>
        <w:t xml:space="preserve">analysis of the SafetyGate data supports the views of stakeholders, with a significant proportion of</w:t>
      </w:r>
      <w:r>
        <w:t xml:space="preserve"> </w:t>
      </w:r>
      <w:r>
        <w:t xml:space="preserve">85.6% of toy-related alerts (2,951) in the period 2016-2021 concerning products originating in China.</w:t>
      </w:r>
      <w:r>
        <w:t xml:space="preserve"> </w:t>
      </w:r>
      <w:r>
        <w:t xml:space="preserve">This proportion has remained relatively stable over the entire history of RAPEX / SafetyGate, starting</w:t>
      </w:r>
      <w:r>
        <w:t xml:space="preserve"> </w:t>
      </w:r>
      <w:r>
        <w:t xml:space="preserve">at 75.1% in 2005, rising to 90.7% in 2016 and 2017, before decreasing in 2020 (78.5%) and 2021</w:t>
      </w:r>
      <w:r>
        <w:t xml:space="preserve"> </w:t>
      </w:r>
      <w:r>
        <w:t xml:space="preserve">(81.1%).</w:t>
      </w:r>
      <w:r>
        <w:t xml:space="preserve"> </w:t>
      </w:r>
      <w:r>
        <w:t xml:space="preserve">5</w:t>
      </w:r>
      <w:r>
        <w:t xml:space="preserve"> </w:t>
      </w:r>
      <w:r>
        <w:t xml:space="preserve">77</w:t>
      </w:r>
      <w:r>
        <w:t xml:space="preserve"> </w:t>
      </w:r>
      <w:r>
        <w:t xml:space="preserve">1464</w:t>
      </w:r>
      <w:r>
        <w:t xml:space="preserve"> </w:t>
      </w:r>
      <w:r>
        <w:t xml:space="preserve">1418</w:t>
      </w:r>
      <w:r>
        <w:t xml:space="preserve"> </w:t>
      </w:r>
      <w:r>
        <w:t xml:space="preserve">12</w:t>
      </w:r>
      <w:r>
        <w:t xml:space="preserve"> </w:t>
      </w:r>
      <w:r>
        <w:t xml:space="preserve">89</w:t>
      </w:r>
      <w:r>
        <w:t xml:space="preserve"> </w:t>
      </w:r>
      <w:r>
        <w:t xml:space="preserve">23</w:t>
      </w:r>
      <w:r>
        <w:t xml:space="preserve"> </w:t>
      </w:r>
      <w:r>
        <w:t xml:space="preserve">3</w:t>
      </w:r>
      <w:r>
        <w:t xml:space="preserve"> </w:t>
      </w:r>
      <w:r>
        <w:t xml:space="preserve">22</w:t>
      </w:r>
      <w:r>
        <w:t xml:space="preserve"> </w:t>
      </w:r>
      <w:r>
        <w:t xml:space="preserve">101</w:t>
      </w:r>
      <w:r>
        <w:t xml:space="preserve"> </w:t>
      </w:r>
      <w:r>
        <w:t xml:space="preserve">2</w:t>
      </w:r>
      <w:r>
        <w:t xml:space="preserve"> </w:t>
      </w:r>
      <w:r>
        <w:t xml:space="preserve">227</w:t>
      </w:r>
      <w:r>
        <w:t xml:space="preserve"> </w:t>
      </w:r>
      <w:r>
        <w:t xml:space="preserve">40</w:t>
      </w:r>
      <w:r>
        <w:t xml:space="preserve"> </w:t>
      </w:r>
      <w:r>
        <w:t xml:space="preserve">65</w:t>
      </w:r>
      <w:r>
        <w:t xml:space="preserve"> </w:t>
      </w:r>
      <w:r>
        <w:t xml:space="preserve">31</w:t>
      </w:r>
      <w:r>
        <w:t xml:space="preserve"> </w:t>
      </w:r>
      <w:r>
        <w:t xml:space="preserve">0</w:t>
      </w:r>
      <w:r>
        <w:t xml:space="preserve"> </w:t>
      </w:r>
      <w:r>
        <w:t xml:space="preserve">200</w:t>
      </w:r>
      <w:r>
        <w:t xml:space="preserve"> </w:t>
      </w:r>
      <w:r>
        <w:t xml:space="preserve">400</w:t>
      </w:r>
      <w:r>
        <w:t xml:space="preserve"> </w:t>
      </w:r>
      <w:r>
        <w:t xml:space="preserve">600</w:t>
      </w:r>
      <w:r>
        <w:t xml:space="preserve"> </w:t>
      </w:r>
      <w:r>
        <w:t xml:space="preserve">800</w:t>
      </w:r>
      <w:r>
        <w:t xml:space="preserve"> </w:t>
      </w:r>
      <w:r>
        <w:t xml:space="preserve">1000</w:t>
      </w:r>
      <w:r>
        <w:t xml:space="preserve"> </w:t>
      </w:r>
      <w:r>
        <w:t xml:space="preserve">1200</w:t>
      </w:r>
      <w:r>
        <w:t xml:space="preserve"> </w:t>
      </w:r>
      <w:r>
        <w:t xml:space="preserve">1400</w:t>
      </w:r>
      <w:r>
        <w:t xml:space="preserve"> </w:t>
      </w:r>
      <w:r>
        <w:t xml:space="preserve">1600</w:t>
      </w:r>
      <w:r>
        <w:t xml:space="preserve"> </w:t>
      </w:r>
      <w:r>
        <w:t xml:space="preserve">41%</w:t>
      </w:r>
      <w:r>
        <w:t xml:space="preserve"> </w:t>
      </w:r>
      <w:r>
        <w:t xml:space="preserve">40%</w:t>
      </w:r>
      <w:r>
        <w:t xml:space="preserve"> </w:t>
      </w:r>
      <w:r>
        <w:t xml:space="preserve">19%</w:t>
      </w:r>
      <w:r>
        <w:t xml:space="preserve"> </w:t>
      </w:r>
      <w:r>
        <w:t xml:space="preserve">Chemical</w:t>
      </w:r>
      <w:r>
        <w:t xml:space="preserve"> </w:t>
      </w:r>
      <w:r>
        <w:t xml:space="preserve">Small parts</w:t>
      </w:r>
      <w:r>
        <w:t xml:space="preserve"> </w:t>
      </w:r>
      <w:r>
        <w:t xml:space="preserve">Other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155</w:t>
      </w:r>
      <w:r>
        <w:t xml:space="preserve"> </w:t>
      </w:r>
      <w:r>
        <w:t xml:space="preserve">EN</w:t>
      </w:r>
      <w:r>
        <w:t xml:space="preserve"> </w:t>
      </w:r>
      <w:r>
        <w:t xml:space="preserve">A further 5.5% of the products subject to alerts are of ‘Unknown’ national origin; however, experts</w:t>
      </w:r>
      <w:r>
        <w:t xml:space="preserve"> </w:t>
      </w:r>
      <w:r>
        <w:t xml:space="preserve">in the field believe many of these are likely to also originate in China. The next most common country</w:t>
      </w:r>
      <w:r>
        <w:t xml:space="preserve"> </w:t>
      </w:r>
      <w:r>
        <w:t xml:space="preserve">of origin is Germany (1.3% of toy-related alerts), while each of the remaining countries comprises</w:t>
      </w:r>
      <w:r>
        <w:t xml:space="preserve"> </w:t>
      </w:r>
      <w:r>
        <w:t xml:space="preserve">less than 1% of alerts.</w:t>
      </w:r>
      <w:r>
        <w:t xml:space="preserve"> </w:t>
      </w:r>
      <w:r>
        <w:t xml:space="preserve">Figure 15: Country of origin of dangerous toys in RAPEX (2016-2021)</w:t>
      </w:r>
    </w:p>
    <w:p>
      <w:pPr>
        <w:pStyle w:val="BodyText"/>
      </w:pPr>
      <w:r>
        <w:t xml:space="preserve">Beyond the product’s country of origin, it is also interesting to examine which European countries</w:t>
      </w:r>
      <w:r>
        <w:t xml:space="preserve"> </w:t>
      </w:r>
      <w:r>
        <w:t xml:space="preserve">are submitting the most toy-related alerts. Poland has submitted the most toy-related alerts in the</w:t>
      </w:r>
      <w:r>
        <w:t xml:space="preserve"> </w:t>
      </w:r>
      <w:r>
        <w:t xml:space="preserve">period 2016-2021, with 435 (12.6% of toy-related alerts). In addition, Hungary (327, 9.5%), Spain</w:t>
      </w:r>
      <w:r>
        <w:t xml:space="preserve"> </w:t>
      </w:r>
      <w:r>
        <w:t xml:space="preserve">(323, 9.4%), France (283, 8.2%) and Cyprus (277, 8.0%) are particularly active.</w:t>
      </w:r>
      <w:r>
        <w:br/>
      </w:r>
      <w:r>
        <w:t xml:space="preserve">Building on these data, the proportion of total alerts per country that are focused on toy products</w:t>
      </w:r>
      <w:r>
        <w:t xml:space="preserve"> </w:t>
      </w:r>
      <w:r>
        <w:t xml:space="preserve">could be used as a proxy for the level of priority different market surveillance authorities place on</w:t>
      </w:r>
      <w:r>
        <w:t xml:space="preserve"> </w:t>
      </w:r>
      <w:r>
        <w:t xml:space="preserve">toys. In this respect, the data suggest that while some countries place significant focus on toy-related</w:t>
      </w:r>
      <w:r>
        <w:t xml:space="preserve"> </w:t>
      </w:r>
      <w:r>
        <w:t xml:space="preserve">product safety issues, others do not. More specifically, the proportion of total alerts that relate to toy</w:t>
      </w:r>
      <w:r>
        <w:t xml:space="preserve"> </w:t>
      </w:r>
      <w:r>
        <w:t xml:space="preserve">products is higher than the overall EU-wide average (27.4%) in 17 countries. In fact, this figure is</w:t>
      </w:r>
      <w:r>
        <w:t xml:space="preserve"> </w:t>
      </w:r>
      <w:r>
        <w:t xml:space="preserve">above 50% in Czechia (60.2%), Poland (59.2%), Slovakia (56.3%) and Spain (53.9%) and above</w:t>
      </w:r>
      <w:r>
        <w:t xml:space="preserve"> </w:t>
      </w:r>
      <w:r>
        <w:t xml:space="preserve">40% in a further seven countries (LV, LT, IS, AT, CY, NL, LU).</w:t>
      </w:r>
      <w:r>
        <w:t xml:space="preserve"> </w:t>
      </w:r>
      <w:r>
        <w:t xml:space="preserve">This finding suggests not only that these countries place a particular focus on identifying and</w:t>
      </w:r>
      <w:r>
        <w:t xml:space="preserve"> </w:t>
      </w:r>
      <w:r>
        <w:t xml:space="preserve">submitting alerts related to toy products, but that the EU-wide average is strongly influenced by the</w:t>
      </w:r>
      <w:r>
        <w:t xml:space="preserve"> </w:t>
      </w:r>
      <w:r>
        <w:t xml:space="preserve">data from Germany. Only 3.8% (93) of the 2,465 SafetyGate alerts submitted by Germany in the</w:t>
      </w:r>
      <w:r>
        <w:t xml:space="preserve"> </w:t>
      </w:r>
      <w:r>
        <w:t xml:space="preserve">period 2016-2021 related to toys. Indeed, when removing the German data, the proportion of total</w:t>
      </w:r>
      <w:r>
        <w:t xml:space="preserve"> </w:t>
      </w:r>
      <w:r>
        <w:t xml:space="preserve">alerts that are related to toys increases from 27.4 to 33.1%.</w:t>
      </w:r>
      <w:r>
        <w:t xml:space="preserve"> </w:t>
      </w:r>
      <w:r>
        <w:t xml:space="preserve">According to this assumption, other European countries that appear to place less of a focus on toy-</w:t>
      </w:r>
      <w:r>
        <w:t xml:space="preserve"> </w:t>
      </w:r>
      <w:r>
        <w:t xml:space="preserve">related products included Ireland (1.5% of total alerts), Bulgaria (2.4%), Portugal (6.8%) and</w:t>
      </w:r>
      <w:r>
        <w:t xml:space="preserve"> </w:t>
      </w:r>
      <w:r>
        <w:t xml:space="preserve">Romania (6.8%).</w:t>
      </w:r>
      <w:r>
        <w:t xml:space="preserve"> </w:t>
      </w:r>
      <w:r>
        <w:t xml:space="preserve">2.</w:t>
      </w:r>
      <w:r>
        <w:t xml:space="preserve"> </w:t>
      </w:r>
      <w:r>
        <w:t xml:space="preserve">NON-COMPLIANT PRODUCTS: ICSMS DATA</w:t>
      </w:r>
      <w:r>
        <w:t xml:space="preserve"> </w:t>
      </w:r>
      <w:r>
        <w:t xml:space="preserve">Market surveillance authorities are also required to enter into the information and communication</w:t>
      </w:r>
      <w:r>
        <w:t xml:space="preserve"> </w:t>
      </w:r>
      <w:r>
        <w:t xml:space="preserve">system for market surveillance (ICSMS) information in relation to products made available on the</w:t>
      </w:r>
      <w:r>
        <w:t xml:space="preserve"> </w:t>
      </w:r>
      <w:r>
        <w:t xml:space="preserve">4%</w:t>
      </w:r>
      <w:r>
        <w:t xml:space="preserve"> </w:t>
      </w:r>
      <w:r>
        <w:t xml:space="preserve">85%</w:t>
      </w:r>
      <w:r>
        <w:t xml:space="preserve"> </w:t>
      </w:r>
      <w:r>
        <w:t xml:space="preserve">11%</w:t>
      </w:r>
      <w:r>
        <w:t xml:space="preserve"> </w:t>
      </w:r>
      <w:r>
        <w:t xml:space="preserve">EU</w:t>
      </w:r>
      <w:r>
        <w:t xml:space="preserve"> </w:t>
      </w:r>
      <w:r>
        <w:t xml:space="preserve">China</w:t>
      </w:r>
      <w:r>
        <w:t xml:space="preserve"> </w:t>
      </w:r>
      <w:r>
        <w:t xml:space="preserve">Other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156</w:t>
      </w:r>
      <w:r>
        <w:t xml:space="preserve"> </w:t>
      </w:r>
      <w:r>
        <w:t xml:space="preserve">EN</w:t>
      </w:r>
      <w:r>
        <w:t xml:space="preserve"> </w:t>
      </w:r>
      <w:r>
        <w:t xml:space="preserve">Union market for which an in-depth check of compliance has been carried out, in addition to their</w:t>
      </w:r>
      <w:r>
        <w:t xml:space="preserve"> </w:t>
      </w:r>
      <w:r>
        <w:t xml:space="preserve">obligation to alert of dangerous products under RAPEX. This obligation has become more explicit</w:t>
      </w:r>
      <w:r>
        <w:t xml:space="preserve"> </w:t>
      </w:r>
      <w:r>
        <w:t xml:space="preserve">with the new Regulation 2019/1020 on market surveillance327, which is fully applicable since July</w:t>
      </w:r>
      <w:r>
        <w:t xml:space="preserve"> </w:t>
      </w:r>
      <w:r>
        <w:t xml:space="preserve">2021. Data from the period 2016-May 2022 shows that out of the 9199 toys subject to in-depth</w:t>
      </w:r>
      <w:r>
        <w:t xml:space="preserve"> </w:t>
      </w:r>
      <w:r>
        <w:t xml:space="preserve">investigations, 3982 were found to be non-compliant, which corresponds to 43.2% of inspected toys.</w:t>
      </w:r>
      <w:r>
        <w:t xml:space="preserve"> </w:t>
      </w:r>
      <w:r>
        <w:t xml:space="preserve">Figure 16 : non-compliant toys and total number of in-depth toy investigations per year in</w:t>
      </w:r>
      <w:r>
        <w:t xml:space="preserve"> </w:t>
      </w:r>
      <w:r>
        <w:t xml:space="preserve">ICSMS</w:t>
      </w:r>
    </w:p>
    <w:p>
      <w:pPr>
        <w:pStyle w:val="BodyText"/>
      </w:pPr>
      <w:r>
        <w:t xml:space="preserve">The data on the country of origin of products subject to in-depth investigations also corroborates the</w:t>
      </w:r>
      <w:r>
        <w:t xml:space="preserve"> </w:t>
      </w:r>
      <w:r>
        <w:t xml:space="preserve">fact that most risks in toys of non-compliance come from third countries.</w:t>
      </w:r>
      <w:r>
        <w:t xml:space="preserve"> </w:t>
      </w:r>
      <w:r>
        <w:t xml:space="preserve">Figure 17: country of origin of inspected toys in ICSMS (2016-2022)</w:t>
      </w:r>
    </w:p>
    <w:p>
      <w:pPr>
        <w:pStyle w:val="BodyText"/>
      </w:pPr>
      <w:r>
        <w:t xml:space="preserve">327 See article 34 of this Regulation.</w:t>
      </w:r>
      <w:r>
        <w:t xml:space="preserve"> </w:t>
      </w:r>
      <w:r>
        <w:t xml:space="preserve">472</w:t>
      </w:r>
      <w:r>
        <w:t xml:space="preserve"> </w:t>
      </w:r>
      <w:r>
        <w:t xml:space="preserve">488</w:t>
      </w:r>
      <w:r>
        <w:t xml:space="preserve"> </w:t>
      </w:r>
      <w:r>
        <w:t xml:space="preserve">1172</w:t>
      </w:r>
      <w:r>
        <w:t xml:space="preserve"> </w:t>
      </w:r>
      <w:r>
        <w:t xml:space="preserve">619</w:t>
      </w:r>
      <w:r>
        <w:t xml:space="preserve"> </w:t>
      </w:r>
      <w:r>
        <w:t xml:space="preserve">385</w:t>
      </w:r>
      <w:r>
        <w:t xml:space="preserve"> </w:t>
      </w:r>
      <w:r>
        <w:t xml:space="preserve">503</w:t>
      </w:r>
      <w:r>
        <w:t xml:space="preserve"> </w:t>
      </w:r>
      <w:r>
        <w:t xml:space="preserve">343</w:t>
      </w:r>
      <w:r>
        <w:t xml:space="preserve"> </w:t>
      </w:r>
      <w:r>
        <w:t xml:space="preserve">762</w:t>
      </w:r>
      <w:r>
        <w:t xml:space="preserve"> </w:t>
      </w:r>
      <w:r>
        <w:t xml:space="preserve">699</w:t>
      </w:r>
      <w:r>
        <w:t xml:space="preserve"> </w:t>
      </w:r>
      <w:r>
        <w:t xml:space="preserve">3287</w:t>
      </w:r>
      <w:r>
        <w:t xml:space="preserve"> </w:t>
      </w:r>
      <w:r>
        <w:t xml:space="preserve">1416</w:t>
      </w:r>
      <w:r>
        <w:t xml:space="preserve"> </w:t>
      </w:r>
      <w:r>
        <w:t xml:space="preserve">985</w:t>
      </w:r>
      <w:r>
        <w:t xml:space="preserve"> </w:t>
      </w:r>
      <w:r>
        <w:t xml:space="preserve">1364</w:t>
      </w:r>
      <w:r>
        <w:t xml:space="preserve"> </w:t>
      </w:r>
      <w:r>
        <w:t xml:space="preserve">686</w:t>
      </w:r>
      <w:r>
        <w:t xml:space="preserve"> </w:t>
      </w:r>
      <w:r>
        <w:t xml:space="preserve">0</w:t>
      </w:r>
      <w:r>
        <w:t xml:space="preserve"> </w:t>
      </w:r>
      <w:r>
        <w:t xml:space="preserve">500</w:t>
      </w:r>
      <w:r>
        <w:t xml:space="preserve"> </w:t>
      </w:r>
      <w:r>
        <w:t xml:space="preserve">1000</w:t>
      </w:r>
      <w:r>
        <w:t xml:space="preserve"> </w:t>
      </w:r>
      <w:r>
        <w:t xml:space="preserve">1500</w:t>
      </w:r>
      <w:r>
        <w:t xml:space="preserve"> </w:t>
      </w:r>
      <w:r>
        <w:t xml:space="preserve">2000</w:t>
      </w:r>
      <w:r>
        <w:t xml:space="preserve"> </w:t>
      </w:r>
      <w:r>
        <w:t xml:space="preserve">2500</w:t>
      </w:r>
      <w:r>
        <w:t xml:space="preserve"> </w:t>
      </w:r>
      <w:r>
        <w:t xml:space="preserve">3000</w:t>
      </w:r>
      <w:r>
        <w:t xml:space="preserve"> </w:t>
      </w:r>
      <w:r>
        <w:t xml:space="preserve">3500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 (until</w:t>
      </w:r>
      <w:r>
        <w:t xml:space="preserve"> </w:t>
      </w:r>
      <w:r>
        <w:t xml:space="preserve">31/05/2022)</w:t>
      </w:r>
      <w:r>
        <w:t xml:space="preserve"> </w:t>
      </w:r>
      <w:r>
        <w:t xml:space="preserve">Not compliant</w:t>
      </w:r>
      <w:r>
        <w:t xml:space="preserve"> </w:t>
      </w:r>
      <w:r>
        <w:t xml:space="preserve">Total investigations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157</w:t>
      </w:r>
      <w:r>
        <w:t xml:space="preserve"> </w:t>
      </w:r>
      <w:r>
        <w:t xml:space="preserve">EN</w:t>
      </w:r>
    </w:p>
    <w:p>
      <w:pPr>
        <w:pStyle w:val="Compact"/>
        <w:numPr>
          <w:ilvl w:val="0"/>
          <w:numId w:val="1008"/>
        </w:numPr>
      </w:pPr>
      <w:r>
        <w:t xml:space="preserve">DATA FROM THE EVALUATION BASED ON THE NATIONAL REPORTS</w:t>
      </w:r>
      <w:r>
        <w:t xml:space="preserve"> </w:t>
      </w:r>
      <w:r>
        <w:t xml:space="preserve">Under their obligation to report on the application of the Directive,328 Member States have to present</w:t>
      </w:r>
      <w:r>
        <w:t xml:space="preserve"> </w:t>
      </w:r>
      <w:r>
        <w:t xml:space="preserve">their market surveillance activities. For 2014 – 2018, 21 Member States (mostly small Member States</w:t>
      </w:r>
      <w:r>
        <w:t xml:space="preserve"> </w:t>
      </w:r>
      <w:r>
        <w:t xml:space="preserve">corresponding to a little more than 50% of the EU-28 population329) provided for the first time data</w:t>
      </w:r>
      <w:r>
        <w:t xml:space="preserve"> </w:t>
      </w:r>
      <w:r>
        <w:t xml:space="preserve">on marketing restrictions of toys that could be consistently evaluated.</w:t>
      </w:r>
      <w:r>
        <w:br/>
      </w:r>
      <w:r>
        <w:t xml:space="preserve">The evaluation showed that market surveillance authorities in all 21 Member States together</w:t>
      </w:r>
      <w:r>
        <w:t xml:space="preserve"> </w:t>
      </w:r>
      <w:r>
        <w:t xml:space="preserve">(visually) inspected a little more than 14,000 toys on average each year during 2014 – 2018. As an</w:t>
      </w:r>
      <w:r>
        <w:t xml:space="preserve"> </w:t>
      </w:r>
      <w:r>
        <w:t xml:space="preserve">average during each of these year five years, tests were carried out on 2,100 toys; 2,800 toys were</w:t>
      </w:r>
      <w:r>
        <w:t xml:space="preserve"> </w:t>
      </w:r>
      <w:r>
        <w:t xml:space="preserve">assessed as non-compliant (due to the fact that some defects were so obvious that they did not need</w:t>
      </w:r>
      <w:r>
        <w:t xml:space="preserve"> </w:t>
      </w:r>
      <w:r>
        <w:t xml:space="preserve">laboratory tests) and restrictive measures were taken on 690 toys found to be dangerous.</w:t>
      </w:r>
      <w:r>
        <w:t xml:space="preserve"> </w:t>
      </w:r>
      <w:r>
        <w:t xml:space="preserve">Looking at each individual Member State (of the 21), almost 30% of the inspected toys were tested,</w:t>
      </w:r>
      <w:r>
        <w:t xml:space="preserve"> </w:t>
      </w:r>
      <w:r>
        <w:t xml:space="preserve">more than 30% of the inspected toys were assessed as non-compliant, and on a little more than 15%</w:t>
      </w:r>
      <w:r>
        <w:t xml:space="preserve"> </w:t>
      </w:r>
      <w:r>
        <w:t xml:space="preserve">of the inspected toys national measures to restrict the marketing were taken.</w:t>
      </w:r>
      <w:r>
        <w:t xml:space="preserve"> </w:t>
      </w:r>
      <w:r>
        <w:t xml:space="preserve">Thus, almost every third toy inspected was non-compliant. This reflects the capacities of market</w:t>
      </w:r>
      <w:r>
        <w:t xml:space="preserve"> </w:t>
      </w:r>
      <w:r>
        <w:t xml:space="preserve">surveillance authorities to find non-compliant toys through targeting economic operators likely to</w:t>
      </w:r>
      <w:r>
        <w:t xml:space="preserve"> </w:t>
      </w:r>
      <w:r>
        <w:t xml:space="preserve">break the rules (such as those that have a history of non-compliance) and toys marketed in large</w:t>
      </w:r>
      <w:r>
        <w:t xml:space="preserve"> </w:t>
      </w:r>
      <w:r>
        <w:t xml:space="preserve">numbers or having severe health impacts when non-compliant. 330</w:t>
      </w:r>
      <w:r>
        <w:t xml:space="preserve"> </w:t>
      </w:r>
      <w:r>
        <w:t xml:space="preserve">By comparison, four joint market surveillance actions on toys,331 supported by the Consumer</w:t>
      </w:r>
      <w:r>
        <w:t xml:space="preserve"> </w:t>
      </w:r>
      <w:r>
        <w:t xml:space="preserve">Programme of the European Commission,332 showed non-compliance rates for the tested toys</w:t>
      </w:r>
      <w:r>
        <w:t xml:space="preserve"> </w:t>
      </w:r>
      <w:r>
        <w:t xml:space="preserve">between 10% and 96%, with an average of 43%.</w:t>
      </w:r>
      <w:r>
        <w:br/>
      </w:r>
      <w:r>
        <w:t xml:space="preserve">It thus appears that market surveillance is able to detect non-compliant toys at an average rate of 30%</w:t>
      </w:r>
      <w:r>
        <w:t xml:space="preserve"> </w:t>
      </w:r>
      <w:r>
        <w:t xml:space="preserve">– 40%, although with a sometimes considerable variability around this average. Rates around 10%</w:t>
      </w:r>
      <w:r>
        <w:t xml:space="preserve"> </w:t>
      </w:r>
      <w:r>
        <w:t xml:space="preserve">or less in some small Member States may however be caused by too little testing compared to those</w:t>
      </w:r>
      <w:r>
        <w:t xml:space="preserve"> </w:t>
      </w:r>
      <w:r>
        <w:t xml:space="preserve">Member States that were nearer to the average. This became evident from the Member States’ 5-</w:t>
      </w:r>
      <w:r>
        <w:t xml:space="preserve"> </w:t>
      </w:r>
      <w:r>
        <w:t xml:space="preserve">yearly reports 2014 – 2018. Any reasons for the low rates were not reported but can be assumed,</w:t>
      </w:r>
      <w:r>
        <w:t xml:space="preserve"> </w:t>
      </w:r>
      <w:r>
        <w:t xml:space="preserve">based on informal contacts with market surveillance authorities, to be linked to too little financial</w:t>
      </w:r>
    </w:p>
    <w:p>
      <w:pPr>
        <w:pStyle w:val="FirstParagraph"/>
      </w:pPr>
      <w:r>
        <w:t xml:space="preserve">328 Article 48 of the Toy Safety Directive.</w:t>
      </w:r>
      <w:r>
        <w:t xml:space="preserve"> </w:t>
      </w:r>
      <w:r>
        <w:t xml:space="preserve">329 Population data taken from Council Decision (EU, Euratom) 2018/2076 amending the Council’s Rules of Procedure.</w:t>
      </w:r>
      <w:r>
        <w:t xml:space="preserve"> </w:t>
      </w:r>
      <w:r>
        <w:t xml:space="preserve">OJ L 331, 28.12.208, p. 218.</w:t>
      </w:r>
    </w:p>
    <w:p>
      <w:pPr>
        <w:pStyle w:val="BodyText"/>
      </w:pPr>
      <w:r>
        <w:t xml:space="preserve">https://eur-lex.europa.eu/legal-content/EN/TXT/PDF/?uri=CELEX:32018D2076&amp;qid=1571646130303&amp;from=EN</w:t>
      </w:r>
      <w:r>
        <w:br/>
      </w:r>
      <w:r>
        <w:t xml:space="preserve">330 Good practice for market surveillance. Guidance document developed by market surveillance experts who are</w:t>
      </w:r>
      <w:r>
        <w:t xml:space="preserve"> </w:t>
      </w:r>
      <w:r>
        <w:t xml:space="preserve">members</w:t>
      </w:r>
      <w:r>
        <w:t xml:space="preserve"> </w:t>
      </w:r>
      <w:r>
        <w:t xml:space="preserve">or</w:t>
      </w:r>
      <w:r>
        <w:t xml:space="preserve"> </w:t>
      </w:r>
      <w:r>
        <w:t xml:space="preserve">Chairpersons</w:t>
      </w:r>
      <w:r>
        <w:t xml:space="preserve"> </w:t>
      </w:r>
      <w:r>
        <w:t xml:space="preserve">of</w:t>
      </w:r>
      <w:r>
        <w:t xml:space="preserve"> </w:t>
      </w:r>
      <w:r>
        <w:t xml:space="preserve">various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Cooperation</w:t>
      </w:r>
      <w:r>
        <w:t xml:space="preserve"> </w:t>
      </w:r>
      <w:r>
        <w:t xml:space="preserve">(AdCo)</w:t>
      </w:r>
      <w:r>
        <w:t xml:space="preserve"> </w:t>
      </w:r>
      <w:r>
        <w:t xml:space="preserve">groups.</w:t>
      </w:r>
      <w:r>
        <w:t xml:space="preserve"> </w:t>
      </w:r>
      <w:r>
        <w:t xml:space="preserve">P.</w:t>
      </w:r>
      <w:r>
        <w:t xml:space="preserve"> </w:t>
      </w:r>
      <w:r>
        <w:t xml:space="preserve">7.</w:t>
      </w:r>
      <w:r>
        <w:t xml:space="preserve"> </w:t>
      </w:r>
      <w:r>
        <w:t xml:space="preserve">https://ec.europa.eu/docsroom/documents/23041/attachments/1/translations/en/renditions/pdf</w:t>
      </w:r>
      <w:r>
        <w:br/>
      </w:r>
      <w:r>
        <w:t xml:space="preserve">331 Chemical risks in plasticised toys</w:t>
      </w:r>
    </w:p>
    <w:p>
      <w:pPr>
        <w:pStyle w:val="BodyText"/>
      </w:pPr>
      <w:r>
        <w:t xml:space="preserve">http://prosafe.org/images/Documents/JA2015/Reports/PROSAFE_Final_Technical_Report%20_TOYS-</w:t>
      </w:r>
      <w:r>
        <w:t xml:space="preserve"> </w:t>
      </w:r>
      <w:r>
        <w:t xml:space="preserve">JA2015_09.04.2018.pdf</w:t>
      </w:r>
      <w:r>
        <w:br/>
      </w:r>
      <w:r>
        <w:t xml:space="preserve">Acoustic toys</w:t>
      </w:r>
    </w:p>
    <w:p>
      <w:pPr>
        <w:pStyle w:val="BodyText"/>
      </w:pPr>
      <w:r>
        <w:t xml:space="preserve">http://prosafe.org/images/Documents/JA2014/2017_Deliverable%20D7.6-final_technical_report%20-</w:t>
      </w:r>
      <w:r>
        <w:t xml:space="preserve"> </w:t>
      </w:r>
      <w:r>
        <w:t xml:space="preserve">%2012.04.2017%20rev%20CHAFEAnt.pdf</w:t>
      </w:r>
      <w:r>
        <w:t xml:space="preserve"> </w:t>
      </w:r>
      <w:r>
        <w:t xml:space="preserve">Toys intended for childrens under 3 years</w:t>
      </w:r>
      <w:r>
        <w:br/>
      </w:r>
      <w:r>
        <w:t xml:space="preserve">http://prosafe.org/images/Documents/JA2013/JA2013_Toys_Final_Technical_Report_24-02-2016.pdf</w:t>
      </w:r>
      <w:r>
        <w:t xml:space="preserve"> </w:t>
      </w:r>
      <w:r>
        <w:t xml:space="preserve">Children’s kick scooters</w:t>
      </w:r>
      <w:r>
        <w:br/>
      </w:r>
      <w:r>
        <w:t xml:space="preserve">http://prosafe.org/images/Documents/JA2013/JA2013-Kick_scooters-Deliverable_D11.2-</w:t>
      </w:r>
      <w:r>
        <w:t xml:space="preserve"> </w:t>
      </w:r>
      <w:r>
        <w:t xml:space="preserve">Final_Technical_Report.v6_24.03.2016.pdf</w:t>
      </w:r>
      <w:r>
        <w:br/>
      </w:r>
      <w:r>
        <w:t xml:space="preserve">332</w:t>
      </w:r>
      <w:r>
        <w:t xml:space="preserve"> </w:t>
      </w:r>
      <w:r>
        <w:t xml:space="preserve">Consumer Programme 2014-2020. http://ec.europa.eu/chafea/consumers/programme/index_en.htm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158</w:t>
      </w:r>
      <w:r>
        <w:t xml:space="preserve"> </w:t>
      </w:r>
      <w:r>
        <w:t xml:space="preserve">EN</w:t>
      </w:r>
      <w:r>
        <w:t xml:space="preserve"> </w:t>
      </w:r>
      <w:r>
        <w:t xml:space="preserve">means or the non-existence of a national test laboratory. A ‘best practice’ conclusion may thus be</w:t>
      </w:r>
      <w:r>
        <w:t xml:space="preserve"> </w:t>
      </w:r>
      <w:r>
        <w:t xml:space="preserve">that market surveillance has to be sufficiently well equipped, whether with financial resources or</w:t>
      </w:r>
      <w:r>
        <w:t xml:space="preserve"> </w:t>
      </w:r>
      <w:r>
        <w:t xml:space="preserve">other, in order to perform well.</w:t>
      </w:r>
      <w:r>
        <w:t xml:space="preserve"> </w:t>
      </w:r>
      <w:r>
        <w:t xml:space="preserve">Due to the fact that the only available data for measuring the effectiveness of market surveillance is</w:t>
      </w:r>
      <w:r>
        <w:t xml:space="preserve"> </w:t>
      </w:r>
      <w:r>
        <w:t xml:space="preserve">data on non-compliant toys, a more detailed differentiation according to Member States, type of toys,</w:t>
      </w:r>
      <w:r>
        <w:t xml:space="preserve"> </w:t>
      </w:r>
      <w:r>
        <w:t xml:space="preserve">company size, EU toys vs. Third Country toys could not be made in the context of the evaluation.</w:t>
      </w:r>
      <w:r>
        <w:br/>
      </w:r>
      <w:r>
        <w:t xml:space="preserve">4.</w:t>
      </w:r>
      <w:r>
        <w:t xml:space="preserve"> </w:t>
      </w:r>
      <w:r>
        <w:t xml:space="preserve">RESULTS FROM 2020 AND 2021 COORDINATED ACTIONS ON THE SAFETY OF PRODUCTS</w:t>
      </w:r>
      <w:r>
        <w:t xml:space="preserve"> </w:t>
      </w:r>
      <w:r>
        <w:t xml:space="preserve">(CASP)</w:t>
      </w:r>
      <w:r>
        <w:br/>
      </w:r>
      <w:r>
        <w:t xml:space="preserve">The 2020 CASP joint action on nitrosamines in toys focused on the level of nitrosamines and</w:t>
      </w:r>
      <w:r>
        <w:t xml:space="preserve"> </w:t>
      </w:r>
      <w:r>
        <w:t xml:space="preserve">nitrosatable substances in balloons, squeeze toys and finger paints. 16% of the 220 products tested</w:t>
      </w:r>
      <w:r>
        <w:t xml:space="preserve"> </w:t>
      </w:r>
      <w:r>
        <w:t xml:space="preserve">exceeded the limit values set in standard EN 71-12:2013 for nitrosamines and/or nitrosatable</w:t>
      </w:r>
      <w:r>
        <w:t xml:space="preserve"> </w:t>
      </w:r>
      <w:r>
        <w:t xml:space="preserve">substances. Eight samples of balloons exceeded the limit values for both substances. Only 24% of</w:t>
      </w:r>
      <w:r>
        <w:t xml:space="preserve"> </w:t>
      </w:r>
      <w:r>
        <w:t xml:space="preserve">the samples met the labelling and warnings requirements. The percentage of balloons that did not</w:t>
      </w:r>
      <w:r>
        <w:t xml:space="preserve"> </w:t>
      </w:r>
      <w:r>
        <w:t xml:space="preserve">meet the chemical requirements (33%) was significantly higher than that of finger paints (9%) and</w:t>
      </w:r>
      <w:r>
        <w:t xml:space="preserve"> </w:t>
      </w:r>
      <w:r>
        <w:t xml:space="preserve">squeeze toys (3%). The majority of samples (179) were purchased in physical stores. The percentage</w:t>
      </w:r>
      <w:r>
        <w:t xml:space="preserve"> </w:t>
      </w:r>
      <w:r>
        <w:t xml:space="preserve">of samples that exceeded the limit values for chemical testing did not vary considerably between</w:t>
      </w:r>
      <w:r>
        <w:t xml:space="preserve"> </w:t>
      </w:r>
      <w:r>
        <w:t xml:space="preserve">samples purchased online and those from physical stores. However, a higher percentage of the</w:t>
      </w:r>
      <w:r>
        <w:t xml:space="preserve"> </w:t>
      </w:r>
      <w:r>
        <w:t xml:space="preserve">samples purchased online (88%) did not meet the labelling and warnings requirements compared to</w:t>
      </w:r>
      <w:r>
        <w:t xml:space="preserve"> </w:t>
      </w:r>
      <w:r>
        <w:t xml:space="preserve">the samples purchased in physical stores (73%).</w:t>
      </w:r>
      <w:r>
        <w:t xml:space="preserve"> </w:t>
      </w:r>
      <w:r>
        <w:t xml:space="preserve">The 2021 CASP joint action on toys from non-EU workshops focused on plastic toys and toys with</w:t>
      </w:r>
      <w:r>
        <w:t xml:space="preserve"> </w:t>
      </w:r>
      <w:r>
        <w:t xml:space="preserve">plastic parts for children under and above 36 months collected online and originated from third</w:t>
      </w:r>
      <w:r>
        <w:t xml:space="preserve"> </w:t>
      </w:r>
      <w:r>
        <w:t xml:space="preserve">countries: 84% of toys tested did not meet the applicable safety requirements. The detailed results of</w:t>
      </w:r>
      <w:r>
        <w:t xml:space="preserve"> </w:t>
      </w:r>
      <w:r>
        <w:t xml:space="preserve">the project were as follows: Number of toys tested: 92 (50 toys intended for children above 36 months</w:t>
      </w:r>
      <w:r>
        <w:t xml:space="preserve"> </w:t>
      </w:r>
      <w:r>
        <w:t xml:space="preserve">and 42 toys intended for children under 36 months). A total of 15 toys (16%) met the testing</w:t>
      </w:r>
      <w:r>
        <w:t xml:space="preserve"> </w:t>
      </w:r>
      <w:r>
        <w:t xml:space="preserve">requirements while 77 toys (84%) did not meet the testing requirements. Toys intended for children</w:t>
      </w:r>
      <w:r>
        <w:t xml:space="preserve"> </w:t>
      </w:r>
      <w:r>
        <w:t xml:space="preserve">under 36 months presented a slightly larger number of samples that did not meet the requirements</w:t>
      </w:r>
      <w:r>
        <w:t xml:space="preserve"> </w:t>
      </w:r>
      <w:r>
        <w:t xml:space="preserve">(88%) than toys for children above 36 months (80%). The market surveillance authorities’ checks on</w:t>
      </w:r>
      <w:r>
        <w:t xml:space="preserve"> </w:t>
      </w:r>
      <w:r>
        <w:t xml:space="preserve">warnings, labelling and instructions showed that all the samples (except one) did not meet the</w:t>
      </w:r>
      <w:r>
        <w:t xml:space="preserve"> </w:t>
      </w:r>
      <w:r>
        <w:t xml:space="preserve">requirements. Full report expected to be published in June 2022.</w:t>
      </w:r>
      <w:r>
        <w:t xml:space="preserve"> </w:t>
      </w:r>
      <w:r>
        <w:t xml:space="preserve">The 2021 CASP joint action on electrical toys focused on electric toys with button cells/other cells;</w:t>
      </w:r>
      <w:r>
        <w:t xml:space="preserve"> </w:t>
      </w:r>
      <w:r>
        <w:t xml:space="preserve">electric ride-on toys; electric toys with lasers/ other lights; and remote-control toys. Compliance with</w:t>
      </w:r>
      <w:r>
        <w:t xml:space="preserve"> </w:t>
      </w:r>
      <w:r>
        <w:t xml:space="preserve">the Toy Safety Directive but also other legislation like Directive 2011/65 on the Restriction of</w:t>
      </w:r>
      <w:r>
        <w:t xml:space="preserve"> </w:t>
      </w:r>
      <w:r>
        <w:t xml:space="preserve">Hazardous Substances in Electrical and Electronic Equipment (RoHS) was assessed: 25% of the</w:t>
      </w:r>
      <w:r>
        <w:t xml:space="preserve"> </w:t>
      </w:r>
      <w:r>
        <w:t xml:space="preserve">samples did not meet all the applicable requirements. The detailed results of the project were as</w:t>
      </w:r>
      <w:r>
        <w:t xml:space="preserve"> </w:t>
      </w:r>
      <w:r>
        <w:t xml:space="preserve">follows: The number of toys tested was 130 (58 electric toys with button cells/other cells; 34 electric</w:t>
      </w:r>
      <w:r>
        <w:t xml:space="preserve"> </w:t>
      </w:r>
      <w:r>
        <w:t xml:space="preserve">ride-on toys; 24 electric toys with lasers/ other lights; and 14 remote-control toys). A total of 75%of</w:t>
      </w:r>
      <w:r>
        <w:t xml:space="preserve"> </w:t>
      </w:r>
      <w:r>
        <w:t xml:space="preserve">the samples (97) met the requirements while 25% of the samples (33) did not meet all the applicable</w:t>
      </w:r>
      <w:r>
        <w:t xml:space="preserve"> </w:t>
      </w:r>
      <w:r>
        <w:t xml:space="preserve">requirements. The product categories where the most samples did not meet all requirements were</w:t>
      </w:r>
      <w:r>
        <w:t xml:space="preserve"> </w:t>
      </w:r>
      <w:r>
        <w:t xml:space="preserve">remote-control toys (36%) and electric toys with button cells/other cells (33%). The majority of</w:t>
      </w:r>
      <w:r>
        <w:t xml:space="preserve"> </w:t>
      </w:r>
      <w:r>
        <w:t xml:space="preserve">samples (72%) came from physical shops. A considerably higher percentage of electric toys</w:t>
      </w:r>
      <w:r>
        <w:t xml:space="preserve"> </w:t>
      </w:r>
      <w:r>
        <w:t xml:space="preserve">purchased online did not meet at least one of the relevant requirements (47%) compared to the</w:t>
      </w:r>
      <w:r>
        <w:t xml:space="preserve"> </w:t>
      </w:r>
      <w:r>
        <w:t xml:space="preserve">percentage of those purchased in physical shops (17%). Full report expected to be published in June</w:t>
      </w:r>
      <w:r>
        <w:t xml:space="preserve"> </w:t>
      </w:r>
      <w:r>
        <w:t xml:space="preserve">2022.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159</w:t>
      </w:r>
      <w:r>
        <w:t xml:space="preserve"> </w:t>
      </w:r>
      <w:r>
        <w:t xml:space="preserve">EN</w:t>
      </w:r>
      <w:r>
        <w:t xml:space="preserve"> </w:t>
      </w:r>
      <w:r>
        <w:t xml:space="preserve">ANNEX 12: DIGITAL ASPECTS AND INTERNET-CONNECTED TOYS</w:t>
      </w:r>
      <w:r>
        <w:t xml:space="preserve"> </w:t>
      </w:r>
      <w:r>
        <w:t xml:space="preserve">The Evaluation concluded on the Directive not being able to quickly adapt to technical and scientific</w:t>
      </w:r>
      <w:r>
        <w:t xml:space="preserve"> </w:t>
      </w:r>
      <w:r>
        <w:t xml:space="preserve">progress, compared to the rapidly evolving market. The scope of the Directive is focused on health</w:t>
      </w:r>
      <w:r>
        <w:t xml:space="preserve"> </w:t>
      </w:r>
      <w:r>
        <w:t xml:space="preserve">and safety (see the particular safety requirements in Annex II: physical and mechanical properties,</w:t>
      </w:r>
      <w:r>
        <w:t xml:space="preserve"> </w:t>
      </w:r>
      <w:r>
        <w:t xml:space="preserve">flammability, chemical properties, electrical properties, hygiene, radioactivity333) and does not cover</w:t>
      </w:r>
      <w:r>
        <w:t xml:space="preserve"> </w:t>
      </w:r>
      <w:r>
        <w:t xml:space="preserve">other issues such as privacy or information security. As a result, there were cases in the past where</w:t>
      </w:r>
      <w:r>
        <w:t xml:space="preserve"> </w:t>
      </w:r>
      <w:r>
        <w:t xml:space="preserve">risks posed by cybersecurity or privacy concerns on toys could not be addressed.</w:t>
      </w:r>
      <w:r>
        <w:br/>
      </w:r>
      <w:r>
        <w:t xml:space="preserve">Currently, advanced children’s toys on the market include varieties of dolls and toy creatures that can</w:t>
      </w:r>
      <w:r>
        <w:t xml:space="preserve"> </w:t>
      </w:r>
      <w:r>
        <w:t xml:space="preserve">change their behaviour in order to entertain (such as by remembering answers given by a child,</w:t>
      </w:r>
      <w:r>
        <w:t xml:space="preserve"> </w:t>
      </w:r>
      <w:r>
        <w:t xml:space="preserve">knowing what time it is or giving a weather forecast, and otherwise adapting to the child’s responses);</w:t>
      </w:r>
      <w:r>
        <w:t xml:space="preserve"> </w:t>
      </w:r>
      <w:r>
        <w:t xml:space="preserve">construction games permitting children to build programmable gadgets; and specially-designed</w:t>
      </w:r>
      <w:r>
        <w:t xml:space="preserve"> </w:t>
      </w:r>
      <w:r>
        <w:t xml:space="preserve">tablets that have various features permitting children to interact with their environment in different</w:t>
      </w:r>
      <w:r>
        <w:t xml:space="preserve"> </w:t>
      </w:r>
      <w:r>
        <w:t xml:space="preserve">ways (including by uploading photos and documents to personalise) 334.</w:t>
      </w:r>
      <w:r>
        <w:br/>
      </w:r>
      <w:r>
        <w:t xml:space="preserve">Regarding internet-connected toys, the new connecting functionalities can create new vulnerabilities</w:t>
      </w:r>
      <w:r>
        <w:t xml:space="preserve"> </w:t>
      </w:r>
      <w:r>
        <w:t xml:space="preserve">for children and require that internet-connected toys are protected against cyberattacks. Children are</w:t>
      </w:r>
      <w:r>
        <w:t xml:space="preserve"> </w:t>
      </w:r>
      <w:r>
        <w:t xml:space="preserve">particularly at risk because they may not become aware that a toy speaking to them, such as an</w:t>
      </w:r>
      <w:r>
        <w:t xml:space="preserve"> </w:t>
      </w:r>
      <w:r>
        <w:t xml:space="preserve">internet-connected doll or robot, can actually be a misleading intruder who has hacked the toy in</w:t>
      </w:r>
      <w:r>
        <w:t xml:space="preserve"> </w:t>
      </w:r>
      <w:r>
        <w:t xml:space="preserve">order to get access to the home of a child. This is also the case with regards to toys which rely on</w:t>
      </w:r>
      <w:r>
        <w:t xml:space="preserve"> </w:t>
      </w:r>
      <w:r>
        <w:t xml:space="preserve">artificial intelligence335. In 2017, My Friend Cayla336, a smart doll that used facial and voice</w:t>
      </w:r>
      <w:r>
        <w:t xml:space="preserve"> </w:t>
      </w:r>
      <w:r>
        <w:t xml:space="preserve">recognition, was declared an illegal surveillance tool in a number of countries, including Germany.</w:t>
      </w:r>
      <w:r>
        <w:t xml:space="preserve"> </w:t>
      </w:r>
      <w:r>
        <w:t xml:space="preserve">With the abundance of personal information collected, processed and shared through advanced</w:t>
      </w:r>
      <w:r>
        <w:t xml:space="preserve"> </w:t>
      </w:r>
      <w:r>
        <w:t xml:space="preserve">technologies such as artificial intelligence and predictive analytics, children’s data may also be used</w:t>
      </w:r>
      <w:r>
        <w:t xml:space="preserve"> </w:t>
      </w:r>
      <w:r>
        <w:t xml:space="preserve">for the purpose of profiling, potentially affecting their fundamental legal rights and freedoms. The</w:t>
      </w:r>
      <w:r>
        <w:t xml:space="preserve"> </w:t>
      </w:r>
      <w:r>
        <w:t xml:space="preserve">age and maturity of the child may affect their ability to understand the motivation behind this type of</w:t>
      </w:r>
      <w:r>
        <w:t xml:space="preserve"> </w:t>
      </w:r>
      <w:r>
        <w:t xml:space="preserve">data collection and uses or the longer term privacy consequences337.</w:t>
      </w:r>
      <w:r>
        <w:t xml:space="preserve"> </w:t>
      </w:r>
      <w:r>
        <w:t xml:space="preserve">The TSD does not contain any rules on cybersecurity, and in common with other Union</w:t>
      </w:r>
      <w:r>
        <w:t xml:space="preserve"> </w:t>
      </w:r>
      <w:r>
        <w:t xml:space="preserve">harmonisation legislation does not explicitly mention the word “security”, although this could be</w:t>
      </w:r>
      <w:r>
        <w:t xml:space="preserve"> </w:t>
      </w:r>
      <w:r>
        <w:t xml:space="preserve">argued to be implicitly covered, as in other sectoral legislation as it is part of the broader concept of</w:t>
      </w:r>
      <w:r>
        <w:t xml:space="preserve"> </w:t>
      </w:r>
      <w:r>
        <w:t xml:space="preserve">product safety.</w:t>
      </w:r>
      <w:r>
        <w:br/>
      </w:r>
      <w:r>
        <w:t xml:space="preserve">However, cybersecurity risks relating to personal data protection and privacy and protection from</w:t>
      </w:r>
      <w:r>
        <w:t xml:space="preserve"> </w:t>
      </w:r>
      <w:r>
        <w:t xml:space="preserve">fraud for toys are now addressed through the adoption of a delegated act pertaining to Articles 3(3)(e)</w:t>
      </w:r>
      <w:r>
        <w:t xml:space="preserve"> </w:t>
      </w:r>
      <w:r>
        <w:t xml:space="preserve">and 3(3)(f) of the Radio Equipment Directive (RED) in October 2021338 (as of 01/08/2024, radio</w:t>
      </w:r>
      <w:r>
        <w:t xml:space="preserve"> </w:t>
      </w:r>
      <w:r>
        <w:t xml:space="preserve">toys have to comply with minimum baseline security requirements pertaining to personal data</w:t>
      </w:r>
      <w:r>
        <w:t xml:space="preserve"> </w:t>
      </w:r>
      <w:r>
        <w:t xml:space="preserve">protection and privacy and as of 01/08/2024, internet-connected toys have to comply with minimum</w:t>
      </w:r>
      <w:r>
        <w:t xml:space="preserve"> </w:t>
      </w:r>
      <w:r>
        <w:t xml:space="preserve">baseline security requirements pertaining to protection from fraud). This delegated act has</w:t>
      </w:r>
    </w:p>
    <w:p>
      <w:pPr>
        <w:pStyle w:val="BodyText"/>
      </w:pPr>
      <w:r>
        <w:t xml:space="preserve">333 See section 2.1.2 above.</w:t>
      </w:r>
      <w:r>
        <w:t xml:space="preserve"> </w:t>
      </w:r>
      <w:r>
        <w:t xml:space="preserve">334 See also Consumer Product Safety in the Internet of Things (oecd-ilibrary.org)</w:t>
      </w:r>
      <w:r>
        <w:t xml:space="preserve"> </w:t>
      </w:r>
      <w:r>
        <w:t xml:space="preserve">335 See for example https://www.datanami.com/2022/03/29/are-we-ready-for-the-dangers-of-smart-toys/</w:t>
      </w:r>
      <w:r>
        <w:t xml:space="preserve"> </w:t>
      </w:r>
      <w:r>
        <w:t xml:space="preserve">336 Generation AI: What happens when your child’s friend is an AI toy that talks back? | World Economic Forum</w:t>
      </w:r>
      <w:r>
        <w:t xml:space="preserve"> </w:t>
      </w:r>
      <w:r>
        <w:t xml:space="preserve">(weforum.org)</w:t>
      </w:r>
      <w:r>
        <w:t xml:space="preserve"> </w:t>
      </w:r>
      <w:r>
        <w:t xml:space="preserve">337</w:t>
      </w:r>
      <w:r>
        <w:t xml:space="preserve"> </w:t>
      </w:r>
      <w:r>
        <w:t xml:space="preserve">https://www.oecd-ilibrary.org/docserver/9b8f222e-</w:t>
      </w:r>
      <w:r>
        <w:t xml:space="preserve"> </w:t>
      </w:r>
      <w:r>
        <w:t xml:space="preserve">en.pdf?expires=1649682232&amp;id=id&amp;accname=guest&amp;checksum=75B41EC6A1648ACD89848BB4F8FB1FF5</w:t>
      </w:r>
      <w:r>
        <w:br/>
      </w:r>
      <w:r>
        <w:t xml:space="preserve">338 Commission Delegated Regulation (EU) 2022/30 of 29 October 2021 supplementing Directive 2014/53/EU of the</w:t>
      </w:r>
      <w:r>
        <w:t xml:space="preserve"> </w:t>
      </w:r>
      <w:r>
        <w:t xml:space="preserve">European Parliament and of the Council with regard to the application of the essential requirements referred to in</w:t>
      </w:r>
      <w:r>
        <w:t xml:space="preserve"> </w:t>
      </w:r>
      <w:r>
        <w:t xml:space="preserve">Article 3(3), points (d), (e) and (f), of that directive, OJ L 7/6 of 12.01.2022.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160</w:t>
      </w:r>
      <w:r>
        <w:t xml:space="preserve"> </w:t>
      </w:r>
      <w:r>
        <w:t xml:space="preserve">EN</w:t>
      </w:r>
      <w:r>
        <w:t xml:space="preserve"> </w:t>
      </w:r>
      <w:r>
        <w:t xml:space="preserve">strengthened cybersecurity by requiring manufacturers of radio equipment, including of radio toys,</w:t>
      </w:r>
      <w:r>
        <w:t xml:space="preserve"> </w:t>
      </w:r>
      <w:r>
        <w:t xml:space="preserve">as defined in the delegated act, to ensure that minimum security requirements are complied with from</w:t>
      </w:r>
      <w:r>
        <w:t xml:space="preserve"> </w:t>
      </w:r>
      <w:r>
        <w:t xml:space="preserve">the outset. This has further embedded the specific provisions in the GDPR pertaining to ensuring</w:t>
      </w:r>
      <w:r>
        <w:t xml:space="preserve"> </w:t>
      </w:r>
      <w:r>
        <w:t xml:space="preserve">privacy by design and default but emphasising broader security by default principles.</w:t>
      </w:r>
      <w:r>
        <w:br/>
      </w:r>
      <w:r>
        <w:t xml:space="preserve">This ought to ensure that connected toys area designed in a way that ensures they remain cybersecure,</w:t>
      </w:r>
      <w:r>
        <w:t xml:space="preserve"> </w:t>
      </w:r>
      <w:r>
        <w:t xml:space="preserve">with software updates to ensure product security post-market placement. Although there are concerns</w:t>
      </w:r>
      <w:r>
        <w:t xml:space="preserve"> </w:t>
      </w:r>
      <w:r>
        <w:t xml:space="preserve">expressed by stakeholders regarding the need to strengthen cybersecurity in connected toys through</w:t>
      </w:r>
      <w:r>
        <w:t xml:space="preserve"> </w:t>
      </w:r>
      <w:r>
        <w:t xml:space="preserve">the TSD, this has already been addressed through parallel legislation, which all radio toys would have</w:t>
      </w:r>
      <w:r>
        <w:t xml:space="preserve"> </w:t>
      </w:r>
      <w:r>
        <w:t xml:space="preserve">to adhere to. This has closed the regulatory gap.</w:t>
      </w:r>
      <w:r>
        <w:t xml:space="preserve"> </w:t>
      </w:r>
      <w:r>
        <w:t xml:space="preserve">The Delegated Regulation, applicable from 1 August 2024, will apply to the radio equipment covered</w:t>
      </w:r>
      <w:r>
        <w:t xml:space="preserve"> </w:t>
      </w:r>
      <w:r>
        <w:t xml:space="preserve">by the TSD processing personal data, traffic and location data and require the manufacturers to take</w:t>
      </w:r>
      <w:r>
        <w:t xml:space="preserve"> </w:t>
      </w:r>
      <w:r>
        <w:t xml:space="preserve">data protection and privacy measures before putting toys on the internal market. The manufacturers</w:t>
      </w:r>
      <w:r>
        <w:t xml:space="preserve"> </w:t>
      </w:r>
      <w:r>
        <w:t xml:space="preserve">will have to perform a conformity assessment to meet such requirements as regulated by Article 17</w:t>
      </w:r>
      <w:r>
        <w:t xml:space="preserve"> </w:t>
      </w:r>
      <w:r>
        <w:t xml:space="preserve">RED. This would mean that they need to demonstrate full compliance of their toys with the GDPR</w:t>
      </w:r>
      <w:r>
        <w:t xml:space="preserve"> </w:t>
      </w:r>
      <w:r>
        <w:t xml:space="preserve">requirements,339 thus, operationalising the GDPR’s focus on data protection by design and default in</w:t>
      </w:r>
      <w:r>
        <w:t xml:space="preserve"> </w:t>
      </w:r>
      <w:r>
        <w:t xml:space="preserve">relation to toys.</w:t>
      </w:r>
      <w:r>
        <w:br/>
      </w:r>
      <w:r>
        <w:t xml:space="preserve">Safety issues specific to AI-based toys will be subject to the EU Artificial Intelligence Act (AIA)340</w:t>
      </w:r>
      <w:r>
        <w:t xml:space="preserve"> </w:t>
      </w:r>
      <w:r>
        <w:t xml:space="preserve">when it is adopted. According to Article 6 in conjunction with Annex II AIA, toys with AI</w:t>
      </w:r>
      <w:r>
        <w:t xml:space="preserve"> </w:t>
      </w:r>
      <w:r>
        <w:t xml:space="preserve">components may be classified as high-risk systems “if the product in question undergoes the</w:t>
      </w:r>
      <w:r>
        <w:t xml:space="preserve"> </w:t>
      </w:r>
      <w:r>
        <w:t xml:space="preserve">conformity assessment procedure with a third-party conformity assessment body pursuant to that</w:t>
      </w:r>
      <w:r>
        <w:t xml:space="preserve"> </w:t>
      </w:r>
      <w:r>
        <w:t xml:space="preserve">relevant Union harmonisation legislation”. Toys are expected to be included as high risk AI in the</w:t>
      </w:r>
      <w:r>
        <w:t xml:space="preserve"> </w:t>
      </w:r>
      <w:r>
        <w:t xml:space="preserve">final Regulation once adopted, they will be subject to ex-ante and ex-post compliance and</w:t>
      </w:r>
      <w:r>
        <w:t xml:space="preserve"> </w:t>
      </w:r>
      <w:r>
        <w:t xml:space="preserve">enforcement mechanisms both under the TSD and under the AIA. The risk management for such</w:t>
      </w:r>
      <w:r>
        <w:t xml:space="preserve"> </w:t>
      </w:r>
      <w:r>
        <w:t xml:space="preserve">high-risk AI systems will be an iterative process that runs throughout the entire life cycle of the</w:t>
      </w:r>
      <w:r>
        <w:t xml:space="preserve"> </w:t>
      </w:r>
      <w:r>
        <w:t xml:space="preserve">system, with regular updates, following the steps described in Article 9 (2) AIA. Article 10 AIA</w:t>
      </w:r>
      <w:r>
        <w:t xml:space="preserve"> </w:t>
      </w:r>
      <w:r>
        <w:t xml:space="preserve">prescribes special data governance requirements for training, validation and testing data for high-risk</w:t>
      </w:r>
      <w:r>
        <w:t xml:space="preserve"> </w:t>
      </w:r>
      <w:r>
        <w:t xml:space="preserve">systems. In this context, the AIA is well placed to complement the TSD by closing one of the gaps</w:t>
      </w:r>
      <w:r>
        <w:t xml:space="preserve"> </w:t>
      </w:r>
      <w:r>
        <w:t xml:space="preserve">in the scope of product safety, namely the safety of AI-based toys. In addition, the AIA also prohibits</w:t>
      </w:r>
      <w:r>
        <w:t xml:space="preserve"> </w:t>
      </w:r>
      <w:r>
        <w:t xml:space="preserve">a number of AI practices, and in particular deploying subliminal techniques beyond a person’s</w:t>
      </w:r>
      <w:r>
        <w:t xml:space="preserve"> </w:t>
      </w:r>
      <w:r>
        <w:t xml:space="preserve">consciousness in order to distort a person’s behaviour in a manner that can cause physical or</w:t>
      </w:r>
      <w:r>
        <w:t xml:space="preserve"> </w:t>
      </w:r>
      <w:r>
        <w:t xml:space="preserve">psychological harm (Article 5.1 (a)) and exploiting the vulnerabilities of a specific group of persons</w:t>
      </w:r>
      <w:r>
        <w:t xml:space="preserve"> </w:t>
      </w:r>
      <w:r>
        <w:t xml:space="preserve">due to their age that could distort the behaviour of that person in a manner that can cause harm (Article</w:t>
      </w:r>
      <w:r>
        <w:t xml:space="preserve"> </w:t>
      </w:r>
      <w:r>
        <w:t xml:space="preserve">5.1(b)).</w:t>
      </w:r>
      <w:r>
        <w:br/>
      </w:r>
      <w:r>
        <w:t xml:space="preserve">Smart connected toys often involve the collection and processing of data, including the data generated</w:t>
      </w:r>
      <w:r>
        <w:t xml:space="preserve"> </w:t>
      </w:r>
      <w:r>
        <w:t xml:space="preserve">by children playing with such toys, in order to ensure the toy functionality and optimal playing</w:t>
      </w:r>
      <w:r>
        <w:t xml:space="preserve"> </w:t>
      </w:r>
      <w:r>
        <w:t xml:space="preserve">experience. Such sensitive personal data is subject to strict rules of the General Data Protection</w:t>
      </w:r>
      <w:r>
        <w:t xml:space="preserve"> </w:t>
      </w:r>
      <w:r>
        <w:t xml:space="preserve">Regulation (GDPR).341 The TSD does not contain any relevant rules; the GDPR is a horizontal legal</w:t>
      </w:r>
      <w:r>
        <w:t xml:space="preserve"> </w:t>
      </w:r>
      <w:r>
        <w:t xml:space="preserve">act complementing sectoral legislation such as the TSD.</w:t>
      </w:r>
    </w:p>
    <w:p>
      <w:pPr>
        <w:pStyle w:val="BodyText"/>
      </w:pPr>
      <w:r>
        <w:t xml:space="preserve">339 Commission Staff Working Document. Evaluation of Directive 2009/48/EC of the European Parliament and of the</w:t>
      </w:r>
      <w:r>
        <w:t xml:space="preserve"> </w:t>
      </w:r>
      <w:r>
        <w:t xml:space="preserve">Council on the safety of toys, SWD(2020) 287 final of 19.11.2020, p 80.</w:t>
      </w:r>
      <w:r>
        <w:t xml:space="preserve"> </w:t>
      </w:r>
      <w:r>
        <w:t xml:space="preserve">340 European Commission (2021). Proposal for a Regulation of the European Parliament and of the Council laying down</w:t>
      </w:r>
      <w:r>
        <w:t xml:space="preserve"> </w:t>
      </w:r>
      <w:r>
        <w:t xml:space="preserve">harmonised rules on artificial intelligence (Artificial Intelligence Act) and amending certain union legislative acts,</w:t>
      </w:r>
      <w:r>
        <w:t xml:space="preserve"> </w:t>
      </w:r>
      <w:r>
        <w:t xml:space="preserve">COM(2021) 206 final of 21.04.2021.</w:t>
      </w:r>
      <w:r>
        <w:t xml:space="preserve"> </w:t>
      </w:r>
      <w:r>
        <w:t xml:space="preserve">341 Regulation (EU) 2016/679 of the European Parliament and of the Council of 27 April 2016 on the protection of natural</w:t>
      </w:r>
      <w:r>
        <w:t xml:space="preserve"> </w:t>
      </w:r>
      <w:r>
        <w:t xml:space="preserve">persons with regard to the processing of personal data and on the free movement of such data, and repealing Directive</w:t>
      </w:r>
      <w:r>
        <w:t xml:space="preserve"> </w:t>
      </w:r>
      <w:r>
        <w:t xml:space="preserve">95/46/EC, OJ L 119 of 4.5.2016.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161</w:t>
      </w:r>
      <w:r>
        <w:t xml:space="preserve"> </w:t>
      </w:r>
      <w:r>
        <w:t xml:space="preserve">EN</w:t>
      </w:r>
      <w:r>
        <w:t xml:space="preserve"> </w:t>
      </w:r>
      <w:r>
        <w:t xml:space="preserve">Recital 38 GDPR recognises that children merit special protection because they may be less aware</w:t>
      </w:r>
      <w:r>
        <w:t xml:space="preserve"> </w:t>
      </w:r>
      <w:r>
        <w:t xml:space="preserve">of risks, consequences and safeguards concerned and their rights in relation to their data. Special</w:t>
      </w:r>
      <w:r>
        <w:t xml:space="preserve"> </w:t>
      </w:r>
      <w:r>
        <w:t xml:space="preserve">protection should apply when children are using services offered to them directly (e.g., when playing</w:t>
      </w:r>
      <w:r>
        <w:t xml:space="preserve"> </w:t>
      </w:r>
      <w:r>
        <w:t xml:space="preserve">with smart connected toys). Recital 71 GDPR recommends that such practices as profiling should not</w:t>
      </w:r>
      <w:r>
        <w:t xml:space="preserve"> </w:t>
      </w:r>
      <w:r>
        <w:t xml:space="preserve">concern children (though there is no explicit prohibition of this practice in their regard).342</w:t>
      </w:r>
      <w:r>
        <w:t xml:space="preserve"> </w:t>
      </w:r>
      <w:r>
        <w:t xml:space="preserve">The GDPR introduces data protection by design and by default (Article 25), lawfulness, transparency</w:t>
      </w:r>
      <w:r>
        <w:t xml:space="preserve"> </w:t>
      </w:r>
      <w:r>
        <w:t xml:space="preserve">and fairness of data collection and processing, data minimisation, purpose limitation of data</w:t>
      </w:r>
      <w:r>
        <w:t xml:space="preserve"> </w:t>
      </w:r>
      <w:r>
        <w:t xml:space="preserve">collection and processing, accuracy, integrity and confidentiality of data storage and processing</w:t>
      </w:r>
      <w:r>
        <w:t xml:space="preserve"> </w:t>
      </w:r>
      <w:r>
        <w:t xml:space="preserve">(Article 5). The GDPR imposes certain obligations on data controllers and processors. Data</w:t>
      </w:r>
      <w:r>
        <w:t xml:space="preserve"> </w:t>
      </w:r>
      <w:r>
        <w:t xml:space="preserve">controllers are any natural or legal person that determines the purposes and means of the processing</w:t>
      </w:r>
      <w:r>
        <w:t xml:space="preserve"> </w:t>
      </w:r>
      <w:r>
        <w:t xml:space="preserve">of personal data (Article 4(7) GDPR), which means that a producer would fall under this category</w:t>
      </w:r>
      <w:r>
        <w:t xml:space="preserve"> </w:t>
      </w:r>
      <w:r>
        <w:t xml:space="preserve">and have to comply with special obligations. Recital 78 GDPR encourages producers of products</w:t>
      </w:r>
      <w:r>
        <w:t xml:space="preserve"> </w:t>
      </w:r>
      <w:r>
        <w:t xml:space="preserve">who are not themselves controllers to take due account of data protection requirements and to design</w:t>
      </w:r>
      <w:r>
        <w:t xml:space="preserve"> </w:t>
      </w:r>
      <w:r>
        <w:t xml:space="preserve">their products in such a way that controllers and processors can fulfil data protection requirements.</w:t>
      </w:r>
      <w:r>
        <w:t xml:space="preserve"> </w:t>
      </w:r>
      <w:r>
        <w:t xml:space="preserve">Article 32 GDPR mandates the controllers and processors to ensure a level of data security</w:t>
      </w:r>
      <w:r>
        <w:t xml:space="preserve"> </w:t>
      </w:r>
      <w:r>
        <w:t xml:space="preserve">appropriate to the risk of the processing and lists security mechanisms that need to be implemented.</w:t>
      </w:r>
      <w:r>
        <w:t xml:space="preserve"> </w:t>
      </w:r>
      <w:r>
        <w:t xml:space="preserve">This is of particular importance for smart connected toys, as children are characterised as</w:t>
      </w:r>
      <w:r>
        <w:t xml:space="preserve"> </w:t>
      </w:r>
      <w:r>
        <w:t xml:space="preserve">“vulnerable” data subjects in Recital 75 GDPR that explains risks to rights and freedoms of natural</w:t>
      </w:r>
      <w:r>
        <w:t xml:space="preserve"> </w:t>
      </w:r>
      <w:r>
        <w:t xml:space="preserve">persons.</w:t>
      </w:r>
      <w:r>
        <w:t xml:space="preserve"> </w:t>
      </w:r>
      <w:r>
        <w:t xml:space="preserve">Sales of connected toys in the EU</w:t>
      </w:r>
      <w:r>
        <w:t xml:space="preserve"> </w:t>
      </w:r>
      <w:r>
        <w:t xml:space="preserve">The study underpinning the IA has also sought estimates of sales of connected toys. In this section,</w:t>
      </w:r>
      <w:r>
        <w:t xml:space="preserve"> </w:t>
      </w:r>
      <w:r>
        <w:t xml:space="preserve">we first provide an overview of available market research data on connected toys, before presenting</w:t>
      </w:r>
      <w:r>
        <w:t xml:space="preserve"> </w:t>
      </w:r>
      <w:r>
        <w:t xml:space="preserve">the results of our consultations with manufacturers and industry representatives.</w:t>
      </w:r>
      <w:r>
        <w:t xml:space="preserve"> </w:t>
      </w:r>
      <w:r>
        <w:t xml:space="preserve">The connected toys’ market, worth approximately EUR 2.66 billion in 2015, was expected to reach</w:t>
      </w:r>
      <w:r>
        <w:t xml:space="preserve"> </w:t>
      </w:r>
      <w:r>
        <w:t xml:space="preserve">a high of EUR 10.75 billion by 2020.343 Other more conservative market research estimates suggest</w:t>
      </w:r>
      <w:r>
        <w:t xml:space="preserve"> </w:t>
      </w:r>
      <w:r>
        <w:t xml:space="preserve">an increase to a 2020 market value of EUR 7.23 billion344, or EUR 5.32 billion345. For the period</w:t>
      </w:r>
      <w:r>
        <w:t xml:space="preserve"> </w:t>
      </w:r>
      <w:r>
        <w:t xml:space="preserve">2021-2026, the estimated CAGR amounts to 24.3%, or, in line with some alternative estimations,</w:t>
      </w:r>
      <w:r>
        <w:t xml:space="preserve"> </w:t>
      </w:r>
      <w:r>
        <w:t xml:space="preserve">19% for a period of 2020-2027, with the global industry reaching the value of EUR 17.94 billion by</w:t>
      </w:r>
      <w:r>
        <w:t xml:space="preserve"> </w:t>
      </w:r>
      <w:r>
        <w:t xml:space="preserve">2027.346 One of the explanations for this extensive development of the market for connected toy</w:t>
      </w:r>
      <w:r>
        <w:t xml:space="preserve"> </w:t>
      </w:r>
      <w:r>
        <w:t xml:space="preserve">products might be the possibility of selling them at prices significantly higher than those of the</w:t>
      </w:r>
    </w:p>
    <w:p>
      <w:pPr>
        <w:pStyle w:val="BodyText"/>
      </w:pPr>
      <w:r>
        <w:t xml:space="preserve">342 Article 29 Data Protection Working Party (2018). Guidelines on Automated individual decision-making and Profiling</w:t>
      </w:r>
      <w:r>
        <w:t xml:space="preserve"> </w:t>
      </w:r>
      <w:r>
        <w:t xml:space="preserve">for the purposes of Regulation 2016/679, WP251rev.01: https://ec.europa.eu/newsroom/article29/items/612053 .</w:t>
      </w:r>
      <w:r>
        <w:t xml:space="preserve"> </w:t>
      </w:r>
      <w:r>
        <w:t xml:space="preserve">343 Chaudron, S., et al. (2017) Kaleidoscope on the Internet of Toys Safety, security, privacy and societal insights, JRC</w:t>
      </w:r>
      <w:r>
        <w:t xml:space="preserve"> </w:t>
      </w:r>
      <w:r>
        <w:t xml:space="preserve">Technical</w:t>
      </w:r>
      <w:r>
        <w:t xml:space="preserve"> </w:t>
      </w:r>
      <w:r>
        <w:t xml:space="preserve">Reports,</w:t>
      </w:r>
      <w:r>
        <w:t xml:space="preserve"> </w:t>
      </w:r>
      <w:r>
        <w:t xml:space="preserve">online:</w:t>
      </w:r>
      <w:r>
        <w:t xml:space="preserve"> </w:t>
      </w:r>
      <w:r>
        <w:t xml:space="preserve">http://publications.jrc.ec.europa.eu/repository/bitstream/JRC105061/jrc105061_final_online.pdf, DOI:10.2788/05383.</w:t>
      </w:r>
      <w:r>
        <w:t xml:space="preserve"> </w:t>
      </w:r>
      <w:r>
        <w:t xml:space="preserve">344 Mordor Intelligence (2021). Connected Toys Market – Growth, Trends, COVID-19 Impact, and Forecasts (2022-</w:t>
      </w:r>
      <w:r>
        <w:t xml:space="preserve"> </w:t>
      </w:r>
      <w:r>
        <w:t xml:space="preserve">2027), online: https://www.mordorintelligence.com/industry-reports/connected-toys-market</w:t>
      </w:r>
      <w:r>
        <w:t xml:space="preserve"> </w:t>
      </w:r>
      <w:r>
        <w:t xml:space="preserve">345 BusinessWire (2021). Global Connected Toys Market Report 2021: Market to Reach $18.9 Billion by 2027 - Console-</w:t>
      </w:r>
      <w:r>
        <w:t xml:space="preserve"> </w:t>
      </w:r>
      <w:r>
        <w:t xml:space="preserve">Connected</w:t>
      </w:r>
      <w:r>
        <w:t xml:space="preserve"> </w:t>
      </w:r>
      <w:r>
        <w:t xml:space="preserve">Toys</w:t>
      </w:r>
      <w:r>
        <w:t xml:space="preserve"> </w:t>
      </w:r>
      <w:r>
        <w:t xml:space="preserve">is</w:t>
      </w:r>
      <w:r>
        <w:t xml:space="preserve"> </w:t>
      </w:r>
      <w:r>
        <w:t xml:space="preserve">Projected</w:t>
      </w:r>
      <w:r>
        <w:t xml:space="preserve"> </w:t>
      </w:r>
      <w:r>
        <w:t xml:space="preserve">to</w:t>
      </w:r>
      <w:r>
        <w:t xml:space="preserve"> </w:t>
      </w:r>
      <w:r>
        <w:t xml:space="preserve">Account</w:t>
      </w:r>
      <w:r>
        <w:t xml:space="preserve"> </w:t>
      </w:r>
      <w:r>
        <w:t xml:space="preserve">for</w:t>
      </w:r>
      <w:r>
        <w:t xml:space="preserve"> </w:t>
      </w:r>
      <w:r>
        <w:t xml:space="preserve">$7.7</w:t>
      </w:r>
      <w:r>
        <w:t xml:space="preserve"> </w:t>
      </w:r>
      <w:r>
        <w:t xml:space="preserve">Billion</w:t>
      </w:r>
      <w:r>
        <w:t xml:space="preserve"> </w:t>
      </w:r>
      <w:r>
        <w:t xml:space="preserve">-</w:t>
      </w:r>
      <w:r>
        <w:t xml:space="preserve"> </w:t>
      </w:r>
      <w:r>
        <w:t xml:space="preserve">ResearchAndMarkets.com,</w:t>
      </w:r>
      <w:r>
        <w:t xml:space="preserve"> </w:t>
      </w:r>
      <w:r>
        <w:t xml:space="preserve">online:</w:t>
      </w:r>
      <w:r>
        <w:t xml:space="preserve"> </w:t>
      </w:r>
      <w:r>
        <w:t xml:space="preserve">https://www.businesswire.com/news/home/20210318005627/en/Global-Connected-Toys-Market-Report-2021-Market-</w:t>
      </w:r>
      <w:r>
        <w:t xml:space="preserve"> </w:t>
      </w:r>
      <w:r>
        <w:t xml:space="preserve">to-Reach-18.9-Billion-by-2027—Console-Connected-Toys-is-Projected-to-Account-for-7.7-Billion—</w:t>
      </w:r>
      <w:r>
        <w:t xml:space="preserve"> </w:t>
      </w:r>
      <w:r>
        <w:t xml:space="preserve">ResearchAndMarkets.com</w:t>
      </w:r>
      <w:r>
        <w:t xml:space="preserve"> </w:t>
      </w:r>
      <w:r>
        <w:t xml:space="preserve">346 BusinessWire (2021). Global Connected Toys Market Report 2021: Market to Reach $18.9 Billion by 2027 - Console-</w:t>
      </w:r>
      <w:r>
        <w:t xml:space="preserve"> </w:t>
      </w:r>
      <w:r>
        <w:t xml:space="preserve">Connected Toys is Projected to Account for $7.7 Billion - ResearchAndMarkets.com.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162</w:t>
      </w:r>
      <w:r>
        <w:t xml:space="preserve"> </w:t>
      </w:r>
      <w:r>
        <w:t xml:space="preserve">EN</w:t>
      </w:r>
      <w:r>
        <w:t xml:space="preserve"> </w:t>
      </w:r>
      <w:r>
        <w:t xml:space="preserve">‘traditional’ toys. For example, a study carried out in Korea proved that installation of ‘smart’</w:t>
      </w:r>
      <w:r>
        <w:t xml:space="preserve"> </w:t>
      </w:r>
      <w:r>
        <w:t xml:space="preserve">elements in toys might increase their market prices to levels not seen in non-smart toy products.347</w:t>
      </w:r>
      <w:r>
        <w:t xml:space="preserve"> </w:t>
      </w:r>
      <w:r>
        <w:t xml:space="preserve">Although these market research data report rapid market expansion in this area, interviews with toy</w:t>
      </w:r>
      <w:r>
        <w:t xml:space="preserve"> </w:t>
      </w:r>
      <w:r>
        <w:t xml:space="preserve">industry representatives have noted that this is being significantly limited by concerns relating to</w:t>
      </w:r>
      <w:r>
        <w:t xml:space="preserve"> </w:t>
      </w:r>
      <w:r>
        <w:t xml:space="preserve">cybersecurity and the protection of personal data and privacy in connected toys. There have been</w:t>
      </w:r>
      <w:r>
        <w:t xml:space="preserve"> </w:t>
      </w:r>
      <w:r>
        <w:t xml:space="preserve">extensive discussions in the public discourse about the cybersecurity challenges and resulting</w:t>
      </w:r>
      <w:r>
        <w:t xml:space="preserve"> </w:t>
      </w:r>
      <w:r>
        <w:t xml:space="preserve">children’s safety implications of internet-connected toys.348 This has been sparked by instances of</w:t>
      </w:r>
      <w:r>
        <w:t xml:space="preserve"> </w:t>
      </w:r>
      <w:r>
        <w:t xml:space="preserve">toy products without sufficient protective minimum baseline security requirements or privacy by</w:t>
      </w:r>
      <w:r>
        <w:t xml:space="preserve"> </w:t>
      </w:r>
      <w:r>
        <w:t xml:space="preserve">design measures built into their IT-systems, such as the My Friend Cayla doll349, VTech Tablets, or</w:t>
      </w:r>
      <w:r>
        <w:t xml:space="preserve"> </w:t>
      </w:r>
      <w:r>
        <w:t xml:space="preserve">Fisher Price Smart Toy Bear350.</w:t>
      </w:r>
      <w:r>
        <w:t xml:space="preserve"> </w:t>
      </w:r>
      <w:r>
        <w:t xml:space="preserve">More specifically, a 2016 report by the Norwegian Consumer Council351 investigated issues relating</w:t>
      </w:r>
      <w:r>
        <w:t xml:space="preserve"> </w:t>
      </w:r>
      <w:r>
        <w:t xml:space="preserve">to toy safety in the Toy Fail report.352 This found that Internet of things (IoT) technologies raise</w:t>
      </w:r>
      <w:r>
        <w:t xml:space="preserve"> </w:t>
      </w:r>
      <w:r>
        <w:t xml:space="preserve">serious issues regarding their suitability for use in toys without due consideration of cybersecurity</w:t>
      </w:r>
      <w:r>
        <w:t xml:space="preserve"> </w:t>
      </w:r>
      <w:r>
        <w:t xml:space="preserve">and child safety risks and without adequate cybersecurity measures.</w:t>
      </w:r>
      <w:r>
        <w:t xml:space="preserve"> </w:t>
      </w:r>
      <w:r>
        <w:t xml:space="preserve">As regards the manufacturing industry, it needs to be acknowledged that the overall toys’ EU</w:t>
      </w:r>
      <w:r>
        <w:t xml:space="preserve"> </w:t>
      </w:r>
      <w:r>
        <w:t xml:space="preserve">manufacturing sector consists mostly of the SMEs, as 99% of the EU firms in this sector can be</w:t>
      </w:r>
      <w:r>
        <w:t xml:space="preserve"> </w:t>
      </w:r>
      <w:r>
        <w:t xml:space="preserve">categorised as such. The small and medium-sized companies provide also 61% of employment within</w:t>
      </w:r>
      <w:r>
        <w:t xml:space="preserve"> </w:t>
      </w:r>
      <w:r>
        <w:t xml:space="preserve">the overall industry353. In comparison, according to a 2018 study, 80% of the 1,800 toy manufacturing</w:t>
      </w:r>
      <w:r>
        <w:t xml:space="preserve"> </w:t>
      </w:r>
      <w:r>
        <w:t xml:space="preserve">firms in China were considered to be small, medium or micro-sized enterprises.354 In light of these</w:t>
      </w:r>
      <w:r>
        <w:t xml:space="preserve"> </w:t>
      </w:r>
      <w:r>
        <w:t xml:space="preserve">statistics, it should be emphasised that the challenges faced by the small stakeholders in industry</w:t>
      </w:r>
      <w:r>
        <w:t xml:space="preserve"> </w:t>
      </w:r>
      <w:r>
        <w:t xml:space="preserve">might be proportionally bigger, in comparison with the situation of the biggest industry players. This</w:t>
      </w:r>
      <w:r>
        <w:t xml:space="preserve"> </w:t>
      </w:r>
      <w:r>
        <w:t xml:space="preserve">pertains particularly to the lack of IT capabilities and regulatory compliance355 – both substantially</w:t>
      </w:r>
      <w:r>
        <w:t xml:space="preserve"> </w:t>
      </w:r>
      <w:r>
        <w:t xml:space="preserve">significant as regards manufacturing of connected toys.</w:t>
      </w:r>
      <w:r>
        <w:t xml:space="preserve"> </w:t>
      </w:r>
      <w:r>
        <w:t xml:space="preserve">During the interview programme, it was confirmed that the size of the connected toys’ market is</w:t>
      </w:r>
      <w:r>
        <w:t xml:space="preserve"> </w:t>
      </w:r>
      <w:r>
        <w:t xml:space="preserve">smaller than the adverse publicity surrounding children’s safety when using connected toys would</w:t>
      </w:r>
      <w:r>
        <w:t xml:space="preserve"> </w:t>
      </w:r>
      <w:r>
        <w:t xml:space="preserve">suggest. All respondents addressed with the question concerning the market for connected toys (i.e. </w:t>
      </w:r>
    </w:p>
    <w:p>
      <w:pPr>
        <w:pStyle w:val="BodyText"/>
      </w:pPr>
      <w:r>
        <w:t xml:space="preserve">347 Jung, S. (2017). Research on synchronization between smart toys and smart phones for classifying smart toys, [in:]</w:t>
      </w:r>
      <w:r>
        <w:t xml:space="preserve"> </w:t>
      </w:r>
      <w:r>
        <w:t xml:space="preserve">“International Journal of Internet, Broadcasting and Communication”, Vol.9, No.4, pp. 25-30, DOI:</w:t>
      </w:r>
      <w:r>
        <w:t xml:space="preserve"> </w:t>
      </w:r>
      <w:r>
        <w:t xml:space="preserve">10.7236/IJIBC.2017.9.4.25, p. 29.</w:t>
      </w:r>
      <w:r>
        <w:t xml:space="preserve"> </w:t>
      </w:r>
      <w:r>
        <w:t xml:space="preserve">348 Holloway, D. &amp; Green, L. (2016). The Internet of Toys. [in:] “Communication Research and Practice, Special Issue:</w:t>
      </w:r>
      <w:r>
        <w:t xml:space="preserve"> </w:t>
      </w:r>
      <w:r>
        <w:t xml:space="preserve">ANZCA 2016 Creating Space in the Fifth Estate”, Vol. 2, Issue 4, (eds. Fulton, J. &amp; McIntyre, P.), DOI:</w:t>
      </w:r>
      <w:r>
        <w:br/>
      </w:r>
      <w:r>
        <w:t xml:space="preserve">10.1080/22041451.2016.1266124, p. 516.</w:t>
      </w:r>
      <w:r>
        <w:t xml:space="preserve"> </w:t>
      </w:r>
      <w:r>
        <w:t xml:space="preserve">349 Holloway, D. &amp; Green, L. (2016). The Internet of Toys. [in:] “Communication Research and Practice, Special Issue:</w:t>
      </w:r>
      <w:r>
        <w:t xml:space="preserve"> </w:t>
      </w:r>
      <w:r>
        <w:t xml:space="preserve">ANZCA 2016 Creating Space in the Fifth Estate”, Vol. 2, Issue 4, (eds. Fulton, J. &amp; McIntyre, P.), DOI:</w:t>
      </w:r>
      <w:r>
        <w:br/>
      </w:r>
      <w:r>
        <w:t xml:space="preserve">10.1080/22041451.2016.1266124, p. 513.</w:t>
      </w:r>
      <w:r>
        <w:t xml:space="preserve"> </w:t>
      </w:r>
      <w:r>
        <w:t xml:space="preserve">350 Nelson, B. (2016). Children’s Connected Toys: Data Security and Privacy Concerns. Office of Oversight and</w:t>
      </w:r>
      <w:r>
        <w:t xml:space="preserve"> </w:t>
      </w:r>
      <w:r>
        <w:t xml:space="preserve">Investigations, Minority Staff Report, Committee On Commerce, Science, and Transportation, United States Senate,</w:t>
      </w:r>
      <w:r>
        <w:t xml:space="preserve"> </w:t>
      </w:r>
      <w:r>
        <w:t xml:space="preserve">online: https://www.hsdl.org/?view&amp;did=797394, pp. 10-12.</w:t>
      </w:r>
      <w:r>
        <w:t xml:space="preserve"> </w:t>
      </w:r>
      <w:r>
        <w:t xml:space="preserve">351 https://www.forbrukerradet.no/siste-nytt/connected-toys-violate-consumer-laws/</w:t>
      </w:r>
      <w:r>
        <w:br/>
      </w:r>
      <w:r>
        <w:t xml:space="preserve">352 Toyfail report by Norwegian Consumer Association - https://fil.forbrukerradet.no/wp-content/uploads/2016/12/toyfail-</w:t>
      </w:r>
      <w:r>
        <w:t xml:space="preserve"> </w:t>
      </w:r>
      <w:r>
        <w:t xml:space="preserve">report-desember2016.pdf</w:t>
      </w:r>
      <w:r>
        <w:br/>
      </w:r>
      <w:r>
        <w:t xml:space="preserve">353 Michalitsi-Psarrou, et al. (2019). Empowering Product Co-creation Approaches Through Business Interoperability</w:t>
      </w:r>
      <w:r>
        <w:t xml:space="preserve"> </w:t>
      </w:r>
      <w:r>
        <w:t xml:space="preserve">Concepts: The Toy Industry Case, [in:] (K. Popplewell et al., eds.) “Enterprise Interoperability VIII, Proceedings of the</w:t>
      </w:r>
      <w:r>
        <w:t xml:space="preserve"> </w:t>
      </w:r>
      <w:r>
        <w:t xml:space="preserve">I-ESA Conferences 9”, DOI: 10.1007/978-3-030-13693-2_33, pp. 397-398.</w:t>
      </w:r>
      <w:r>
        <w:t xml:space="preserve"> </w:t>
      </w:r>
      <w:r>
        <w:t xml:space="preserve">354 Kwong, C. W., Mak, S. L. &amp; Li, C. H. (2020). The Exploration of a Technical Model for Toy Factories in China to</w:t>
      </w:r>
      <w:r>
        <w:t xml:space="preserve"> </w:t>
      </w:r>
      <w:r>
        <w:t xml:space="preserve">Deal with European and US Toy Safety Requirements, [in:] “International Journal of Business, Humanities and</w:t>
      </w:r>
      <w:r>
        <w:t xml:space="preserve"> </w:t>
      </w:r>
      <w:r>
        <w:t xml:space="preserve">Technology”, Vol. 10, No. 2, DOI:10.30845/ijbht.v10n2p4, p. 26.</w:t>
      </w:r>
      <w:r>
        <w:t xml:space="preserve"> </w:t>
      </w:r>
      <w:r>
        <w:t xml:space="preserve">355 Michalitsi-Psarrou, et al. (2019). Empowering Product Co-creation Approaches Through Business Interoperability</w:t>
      </w:r>
      <w:r>
        <w:t xml:space="preserve"> </w:t>
      </w:r>
      <w:r>
        <w:t xml:space="preserve">Concepts: The Toy Industry Case, [in:] (K. Popplewell et al., eds.) “Enterprise Interoperability VIII, Proceedings of the</w:t>
      </w:r>
      <w:r>
        <w:t xml:space="preserve"> </w:t>
      </w:r>
      <w:r>
        <w:t xml:space="preserve">I-ESA Conferences 9”, DOI: 10.1007/978-3-030-13693-2_33, pp. 397-398.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163</w:t>
      </w:r>
      <w:r>
        <w:t xml:space="preserve"> </w:t>
      </w:r>
      <w:r>
        <w:t xml:space="preserve">EN</w:t>
      </w:r>
      <w:r>
        <w:t xml:space="preserve"> </w:t>
      </w:r>
      <w:r>
        <w:t xml:space="preserve">manufacturers and industry representative organisations) assessed the share of the toys’ market</w:t>
      </w:r>
      <w:r>
        <w:t xml:space="preserve"> </w:t>
      </w:r>
      <w:r>
        <w:t xml:space="preserve">constituted by the connected products as very low, or insignificant. For instance:</w:t>
      </w:r>
      <w:r>
        <w:br/>
      </w:r>
      <w:r>
        <w:t xml:space="preserve"> Overall, from this small sample of manufacturers and industry representative organisations,</w:t>
      </w:r>
      <w:r>
        <w:t xml:space="preserve"> </w:t>
      </w:r>
      <w:r>
        <w:t xml:space="preserve">most of those consulted either do not work with internet-connected toys or reported</w:t>
      </w:r>
      <w:r>
        <w:t xml:space="preserve"> </w:t>
      </w:r>
      <w:r>
        <w:t xml:space="preserve">percentages of below 1%. One organisation stated an internet-connect toy portfolio that</w:t>
      </w:r>
      <w:r>
        <w:t xml:space="preserve"> </w:t>
      </w:r>
      <w:r>
        <w:t xml:space="preserve">comprised around 5% of their total toy product portfolio.</w:t>
      </w:r>
      <w:r>
        <w:t xml:space="preserve"> </w:t>
      </w:r>
      <w:r>
        <w:t xml:space="preserve"> A major top 3 toys manufacturer interviewed stated that they had steered away from designing</w:t>
      </w:r>
      <w:r>
        <w:t xml:space="preserve"> </w:t>
      </w:r>
      <w:r>
        <w:t xml:space="preserve">or producing connected toys since the My Friend Cayla Doll scandal for reputational reasons.</w:t>
      </w:r>
      <w:r>
        <w:t xml:space="preserve"> </w:t>
      </w:r>
      <w:r>
        <w:t xml:space="preserve">As a result, they currently have no active internet-connected toy products on the market.</w:t>
      </w:r>
      <w:r>
        <w:t xml:space="preserve"> </w:t>
      </w:r>
      <w:r>
        <w:t xml:space="preserve"> One of the business organisations pointed out that its member-firms are mostly SMEs, and</w:t>
      </w:r>
      <w:r>
        <w:t xml:space="preserve"> </w:t>
      </w:r>
      <w:r>
        <w:t xml:space="preserve">that only a tiny part of their products portfolios are the connected toy products, as SMEs tend</w:t>
      </w:r>
      <w:r>
        <w:t xml:space="preserve"> </w:t>
      </w:r>
      <w:r>
        <w:t xml:space="preserve">not to have technological capabilities to manufacture this type of products. Another</w:t>
      </w:r>
      <w:r>
        <w:t xml:space="preserve"> </w:t>
      </w:r>
      <w:r>
        <w:t xml:space="preserve">interviewee assessed that the discussion on connected toys’ safety as being disproportionate</w:t>
      </w:r>
      <w:r>
        <w:t xml:space="preserve"> </w:t>
      </w:r>
      <w:r>
        <w:t xml:space="preserve">in its scope compared to the actual share of this type of products in the market.</w:t>
      </w:r>
      <w:r>
        <w:t xml:space="preserve"> </w:t>
      </w:r>
      <w:r>
        <w:t xml:space="preserve">However, as noted above, this is a small sample that primarily comprises EU-based manufacturers</w:t>
      </w:r>
      <w:r>
        <w:t xml:space="preserve"> </w:t>
      </w:r>
      <w:r>
        <w:t xml:space="preserve">and industry associations. As such, the extent to which internet-connected toys are being produced</w:t>
      </w:r>
      <w:r>
        <w:t xml:space="preserve"> </w:t>
      </w:r>
      <w:r>
        <w:t xml:space="preserve">in other regions and imported into the EU is largely unknown.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164</w:t>
      </w:r>
      <w:r>
        <w:t xml:space="preserve"> </w:t>
      </w:r>
      <w:r>
        <w:t xml:space="preserve">EN</w:t>
      </w:r>
      <w:r>
        <w:t xml:space="preserve"> </w:t>
      </w:r>
      <w:r>
        <w:t xml:space="preserve">ANNEX 13: DIGITAL PRODUCT PASSPORT UNDER THE PROPOSAL FOR</w:t>
      </w:r>
      <w:r>
        <w:t xml:space="preserve"> </w:t>
      </w:r>
      <w:r>
        <w:t xml:space="preserve">AN ECODESIGN FOR SUSTAINABLE PRODUCTS REGULATION</w:t>
      </w:r>
      <w:r>
        <w:t xml:space="preserve"> </w:t>
      </w:r>
      <w:r>
        <w:t xml:space="preserve">The proposal for the ESPR foresees the possibility for the Commission to require that for products</w:t>
      </w:r>
      <w:r>
        <w:t xml:space="preserve"> </w:t>
      </w:r>
      <w:r>
        <w:t xml:space="preserve">covered under the delegated acts, a Digital Product Passport (DPP) containing specific information</w:t>
      </w:r>
      <w:r>
        <w:t xml:space="preserve"> </w:t>
      </w:r>
      <w:r>
        <w:t xml:space="preserve">is available (see chapter III). The precise information to be included in the DPP is expected to be</w:t>
      </w:r>
      <w:r>
        <w:t xml:space="preserve"> </w:t>
      </w:r>
      <w:r>
        <w:t xml:space="preserve">determined when preparing product-specific rules. It may include information such as the</w:t>
      </w:r>
      <w:r>
        <w:t xml:space="preserve"> </w:t>
      </w:r>
      <w:r>
        <w:t xml:space="preserve">environmental footprint of a product, information useful for recycling purposes, the recycled content</w:t>
      </w:r>
      <w:r>
        <w:t xml:space="preserve"> </w:t>
      </w:r>
      <w:r>
        <w:t xml:space="preserve">of a certain material, information about the supply chain, and others. The proposal for the EPSR</w:t>
      </w:r>
      <w:r>
        <w:t xml:space="preserve"> </w:t>
      </w:r>
      <w:r>
        <w:t xml:space="preserve">contains detailed provisions as to the technical design and operation of the DPP, as well as the</w:t>
      </w:r>
      <w:r>
        <w:t xml:space="preserve"> </w:t>
      </w:r>
      <w:r>
        <w:t xml:space="preserve">requirements. It already foresees that other Union legislation requires information to be added to the</w:t>
      </w:r>
      <w:r>
        <w:t xml:space="preserve"> </w:t>
      </w:r>
      <w:r>
        <w:t xml:space="preserve">DPP. Work will now be carried out with standardisation organisations to prepare the necessary</w:t>
      </w:r>
      <w:r>
        <w:t xml:space="preserve"> </w:t>
      </w:r>
      <w:r>
        <w:t xml:space="preserve">technical features for the implementation of the DPP with the adoption of the ESPR and the first</w:t>
      </w:r>
      <w:r>
        <w:t xml:space="preserve"> </w:t>
      </w:r>
      <w:r>
        <w:t xml:space="preserve">delegated acts on specific products. Furthermore, Annex III specifies the type of information that</w:t>
      </w:r>
      <w:r>
        <w:t xml:space="preserve"> </w:t>
      </w:r>
      <w:r>
        <w:t xml:space="preserve">may be required as part of the DPP. The DPP may contain compliance documentation and</w:t>
      </w:r>
      <w:r>
        <w:t xml:space="preserve"> </w:t>
      </w:r>
      <w:r>
        <w:t xml:space="preserve">information required under this Regulation or other Union law applicable to the product, such as the</w:t>
      </w:r>
      <w:r>
        <w:t xml:space="preserve"> </w:t>
      </w:r>
      <w:r>
        <w:t xml:space="preserve">declaration of conformity, technical documentation or conformity certificates.</w:t>
      </w:r>
      <w:r>
        <w:t xml:space="preserve"> </w:t>
      </w:r>
      <w:r>
        <w:t xml:space="preserve">As to the interaction with customs, the proposal for the ESPR foresees that the DPP are registered in</w:t>
      </w:r>
      <w:r>
        <w:t xml:space="preserve"> </w:t>
      </w:r>
      <w:r>
        <w:t xml:space="preserve">a Product Passport Registry to be set up and maintained by the Commission (see article 12). In order</w:t>
      </w:r>
      <w:r>
        <w:t xml:space="preserve"> </w:t>
      </w:r>
      <w:r>
        <w:t xml:space="preserve">to ensure the customs controls, the registry will be interconnected with the EU Customs Single</w:t>
      </w:r>
      <w:r>
        <w:t xml:space="preserve"> </w:t>
      </w:r>
      <w:r>
        <w:t xml:space="preserve">Window Certificates Exchange (EU CSW-CERTEX). If discrepancies between the information</w:t>
      </w:r>
      <w:r>
        <w:t xml:space="preserve"> </w:t>
      </w:r>
      <w:r>
        <w:t xml:space="preserve">contained in the registry and the customs declaration occur, the release for free circulation of that</w:t>
      </w:r>
      <w:r>
        <w:t xml:space="preserve"> </w:t>
      </w:r>
      <w:r>
        <w:t xml:space="preserve">product will be refused.</w:t>
      </w:r>
      <w:r>
        <w:br/>
      </w:r>
      <w:r>
        <w:t xml:space="preserve">For more information:</w:t>
      </w:r>
      <w:r>
        <w:br/>
      </w:r>
      <w:r>
        <w:t xml:space="preserve">o Proposal for a REGULATION OF THE EUROPEAN PARLIAMENT AND OF THE</w:t>
      </w:r>
      <w:r>
        <w:t xml:space="preserve"> </w:t>
      </w:r>
      <w:r>
        <w:t xml:space="preserve">COUNCIL establishing a framework for setting ecodesign requirements for sustainable</w:t>
      </w:r>
      <w:r>
        <w:t xml:space="preserve"> </w:t>
      </w:r>
      <w:r>
        <w:t xml:space="preserve">products and repealing Directive 2009/125/EC, COM (2022) 142 in particular Chapter</w:t>
      </w:r>
      <w:r>
        <w:t xml:space="preserve"> </w:t>
      </w:r>
      <w:r>
        <w:t xml:space="preserve">III.</w:t>
      </w:r>
      <w:r>
        <w:t xml:space="preserve"> </w:t>
      </w:r>
      <w:r>
        <w:t xml:space="preserve">o Annex III of the Proposal, on the requirements for the DPP.</w:t>
      </w:r>
      <w:r>
        <w:t xml:space="preserve"> </w:t>
      </w:r>
      <w:r>
        <w:t xml:space="preserve">o Staff Working Document – Impact Assessment accompanying the proposal and annex 18</w:t>
      </w:r>
      <w:r>
        <w:t xml:space="preserve"> </w:t>
      </w:r>
      <w:r>
        <w:t xml:space="preserve">to the Impact Assessment.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165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ANNEX 14: IMPACTS OF THE OPTIONS356</w:t>
      </w:r>
      <w:r>
        <w:t xml:space="preserve"> </w:t>
      </w:r>
      <w:r>
        <w:t xml:space="preserve">1.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1.1.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Reliable data on the costs for market surveillance authorities (MSAs) of implementing the Directive</w:t>
      </w:r>
      <w:r>
        <w:t xml:space="preserve"> </w:t>
      </w:r>
      <w:r>
        <w:t xml:space="preserve">and the impact of the policy options on these costs is difficult to obtain in a detailed way. No</w:t>
      </w:r>
      <w:r>
        <w:t xml:space="preserve"> </w:t>
      </w:r>
      <w:r>
        <w:t xml:space="preserve">information was available on the ‘cost of an inspection’ by a market surveillance authorities. As such,</w:t>
      </w:r>
      <w:r>
        <w:t xml:space="preserve"> </w:t>
      </w:r>
      <w:r>
        <w:t xml:space="preserve">a number of proxies have been used in developing these cost calculations.</w:t>
      </w:r>
      <w:r>
        <w:br/>
      </w:r>
      <w:r>
        <w:t xml:space="preserve">A) Baseline</w:t>
      </w:r>
      <w:r>
        <w:t xml:space="preserve"> </w:t>
      </w:r>
      <w:r>
        <w:t xml:space="preserve">The Summary of EU Member States and EEA EFTA States’ assessment and review of the functioning</w:t>
      </w:r>
      <w:r>
        <w:t xml:space="preserve"> </w:t>
      </w:r>
      <w:r>
        <w:t xml:space="preserve">of market surveillance activities according to article 18(6) of Regulation (EC) No 765/2008 for the</w:t>
      </w:r>
      <w:r>
        <w:t xml:space="preserve"> </w:t>
      </w:r>
      <w:r>
        <w:t xml:space="preserve">period 2014-2016 is the latest period for which information on the costs of market surveillance is</w:t>
      </w:r>
      <w:r>
        <w:t xml:space="preserve"> </w:t>
      </w:r>
      <w:r>
        <w:t xml:space="preserve">available disaggregated by sector. Out of the 18 reporting Member States and Norway (BE, BG, HR,</w:t>
      </w:r>
      <w:r>
        <w:t xml:space="preserve"> </w:t>
      </w:r>
      <w:r>
        <w:t xml:space="preserve">CY, DK, EE, FI, FR, ES, HU, IE, IT, LU, NL, NO, PL, RO, SI, SE), a total budget of EUR 8.5</w:t>
      </w:r>
      <w:r>
        <w:t xml:space="preserve"> </w:t>
      </w:r>
      <w:r>
        <w:t xml:space="preserve">million was available to market surveillance for toys, almost equally divided between laboratory</w:t>
      </w:r>
      <w:r>
        <w:t xml:space="preserve"> </w:t>
      </w:r>
      <w:r>
        <w:t xml:space="preserve">testing and in-house testing on average per annum between 2014 and 2016. Furthermore, internal</w:t>
      </w:r>
      <w:r>
        <w:t xml:space="preserve"> </w:t>
      </w:r>
      <w:r>
        <w:t xml:space="preserve">staff resources represented a total of 373.4 FTE for these 19 countries.</w:t>
      </w:r>
      <w:r>
        <w:t xml:space="preserve"> </w:t>
      </w:r>
      <w:r>
        <w:t xml:space="preserve">Over the same period, an average of 11,533.6 inspections on toy products were undertaken per annum</w:t>
      </w:r>
      <w:r>
        <w:t xml:space="preserve"> </w:t>
      </w:r>
      <w:r>
        <w:t xml:space="preserve">by the reporting countries. On the basis of this information, the average price per inspection can be</w:t>
      </w:r>
      <w:r>
        <w:t xml:space="preserve"> </w:t>
      </w:r>
      <w:r>
        <w:t xml:space="preserve">calculated as being the total cost of inspection (EUR 8,517,890.09) divided by the number of</w:t>
      </w:r>
      <w:r>
        <w:t xml:space="preserve"> </w:t>
      </w:r>
      <w:r>
        <w:t xml:space="preserve">inspections (11,533.6) = EUR 738.52. In terms on staff resources, it is estimated that that one staff</w:t>
      </w:r>
      <w:r>
        <w:t xml:space="preserve"> </w:t>
      </w:r>
      <w:r>
        <w:t xml:space="preserve">member can undertake 30.89 inspections per annum. This is of course a gross oversimplification</w:t>
      </w:r>
      <w:r>
        <w:t xml:space="preserve"> </w:t>
      </w:r>
      <w:r>
        <w:t xml:space="preserve">given the different roles of staff in market surveillance authorities, but it provides a rough estimate</w:t>
      </w:r>
      <w:r>
        <w:t xml:space="preserve"> </w:t>
      </w:r>
      <w:r>
        <w:t xml:space="preserve">to help assess the impact of the different policy options on market surveillance authorities.</w:t>
      </w:r>
      <w:r>
        <w:t xml:space="preserve"> </w:t>
      </w:r>
      <w:r>
        <w:t xml:space="preserve">The REFIT evaluation accompanying the proposal for a Regulation laying down rules and procedures</w:t>
      </w:r>
      <w:r>
        <w:t xml:space="preserve"> </w:t>
      </w:r>
      <w:r>
        <w:t xml:space="preserve">for compliance with and enforcement of Union harmonisation on products provides more</w:t>
      </w:r>
      <w:r>
        <w:t xml:space="preserve"> </w:t>
      </w:r>
      <w:r>
        <w:t xml:space="preserve">comprehensive data on toy inspections. The table below provides the number of inspections</w:t>
      </w:r>
      <w:r>
        <w:t xml:space="preserve"> </w:t>
      </w:r>
      <w:r>
        <w:t xml:space="preserve">undertaken in 22 Member States. By using proxies for the number of inspections for those Member</w:t>
      </w:r>
      <w:r>
        <w:t xml:space="preserve"> </w:t>
      </w:r>
      <w:r>
        <w:t xml:space="preserve">States for which no data is available (DE, ES, LT, NL, SK), we have extrapolated the number of</w:t>
      </w:r>
      <w:r>
        <w:t xml:space="preserve"> </w:t>
      </w:r>
      <w:r>
        <w:t xml:space="preserve">inspections undertaken annually at a total of 25,259357.</w:t>
      </w:r>
      <w:r>
        <w:t xml:space="preserve"> </w:t>
      </w:r>
      <w:r>
        <w:t xml:space="preserve">Table 21: Annual number of inspections</w:t>
      </w:r>
      <w:r>
        <w:br/>
      </w:r>
      <w:r>
        <w:t xml:space="preserve">Country</w:t>
      </w:r>
      <w:r>
        <w:t xml:space="preserve"> </w:t>
      </w:r>
      <w:r>
        <w:t xml:space="preserve">Inspections</w:t>
      </w:r>
      <w:r>
        <w:t xml:space="preserve"> </w:t>
      </w:r>
      <w:r>
        <w:t xml:space="preserve">Inspections</w:t>
      </w:r>
      <w:r>
        <w:t xml:space="preserve"> </w:t>
      </w:r>
      <w:r>
        <w:t xml:space="preserve">per</w:t>
      </w:r>
      <w:r>
        <w:t xml:space="preserve"> </w:t>
      </w:r>
      <w:r>
        <w:t xml:space="preserve">million inhabitants</w:t>
      </w:r>
      <w:r>
        <w:t xml:space="preserve"> </w:t>
      </w:r>
      <w:r>
        <w:t xml:space="preserve">Proxy used</w:t>
      </w:r>
      <w:r>
        <w:t xml:space="preserve"> </w:t>
      </w:r>
      <w:r>
        <w:t xml:space="preserve">Total inspections for all</w:t>
      </w:r>
      <w:r>
        <w:t xml:space="preserve"> </w:t>
      </w:r>
      <w:r>
        <w:t xml:space="preserve">Member States</w:t>
      </w:r>
      <w:r>
        <w:br/>
      </w:r>
      <w:r>
        <w:t xml:space="preserve">AT</w:t>
      </w:r>
      <w:r>
        <w:t xml:space="preserve"> </w:t>
      </w:r>
      <w:r>
        <w:t xml:space="preserve">584</w:t>
      </w:r>
      <w:r>
        <w:t xml:space="preserve"> </w:t>
      </w:r>
      <w:r>
        <w:t xml:space="preserve">65.38</w:t>
      </w:r>
    </w:p>
    <w:p>
      <w:pPr>
        <w:pStyle w:val="BodyText"/>
      </w:pPr>
      <w:r>
        <w:t xml:space="preserve">584.00</w:t>
      </w:r>
      <w:r>
        <w:br/>
      </w:r>
      <w:r>
        <w:t xml:space="preserve">BE</w:t>
      </w:r>
      <w:r>
        <w:t xml:space="preserve"> </w:t>
      </w:r>
      <w:r>
        <w:t xml:space="preserve">1,270</w:t>
      </w:r>
      <w:r>
        <w:t xml:space="preserve"> </w:t>
      </w:r>
      <w:r>
        <w:t xml:space="preserve">109.90</w:t>
      </w:r>
    </w:p>
    <w:p>
      <w:pPr>
        <w:pStyle w:val="BodyText"/>
      </w:pPr>
      <w:r>
        <w:t xml:space="preserve">1,270.00</w:t>
      </w:r>
      <w:r>
        <w:br/>
      </w:r>
      <w:r>
        <w:t xml:space="preserve">BG</w:t>
      </w:r>
      <w:r>
        <w:t xml:space="preserve"> </w:t>
      </w:r>
      <w:r>
        <w:t xml:space="preserve">1,739</w:t>
      </w:r>
      <w:r>
        <w:t xml:space="preserve"> </w:t>
      </w:r>
      <w:r>
        <w:t xml:space="preserve">251.43</w:t>
      </w:r>
    </w:p>
    <w:p>
      <w:pPr>
        <w:pStyle w:val="BodyText"/>
      </w:pPr>
      <w:r>
        <w:t xml:space="preserve">1,739.00</w:t>
      </w:r>
    </w:p>
    <w:p>
      <w:pPr>
        <w:pStyle w:val="BodyText"/>
      </w:pPr>
      <w:r>
        <w:t xml:space="preserve">356 See the accompanying Impact Assessment Study on the revision of the Toy Safety Directive 2009/48/EC, 2022, VVA,</w:t>
      </w:r>
      <w:r>
        <w:t xml:space="preserve"> </w:t>
      </w:r>
      <w:r>
        <w:t xml:space="preserve">CSES and Asterisk</w:t>
      </w:r>
      <w:r>
        <w:t xml:space="preserve"> </w:t>
      </w:r>
      <w:r>
        <w:t xml:space="preserve">357 By using these proxies and the average price per inspection calculated above, the overall budget for toy inspections</w:t>
      </w:r>
      <w:r>
        <w:t xml:space="preserve"> </w:t>
      </w:r>
      <w:r>
        <w:t xml:space="preserve">across the EU would be EUR 18,654,257.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166</w:t>
      </w:r>
      <w:r>
        <w:t xml:space="preserve"> </w:t>
      </w:r>
      <w:r>
        <w:t xml:space="preserve">EN</w:t>
      </w:r>
      <w:r>
        <w:t xml:space="preserve"> </w:t>
      </w:r>
      <w:r>
        <w:t xml:space="preserve">Country</w:t>
      </w:r>
      <w:r>
        <w:t xml:space="preserve"> </w:t>
      </w:r>
      <w:r>
        <w:t xml:space="preserve">Inspections</w:t>
      </w:r>
      <w:r>
        <w:t xml:space="preserve"> </w:t>
      </w:r>
      <w:r>
        <w:t xml:space="preserve">Inspections</w:t>
      </w:r>
      <w:r>
        <w:t xml:space="preserve"> </w:t>
      </w:r>
      <w:r>
        <w:t xml:space="preserve">per</w:t>
      </w:r>
      <w:r>
        <w:t xml:space="preserve"> </w:t>
      </w:r>
      <w:r>
        <w:t xml:space="preserve">million inhabitants</w:t>
      </w:r>
      <w:r>
        <w:t xml:space="preserve"> </w:t>
      </w:r>
      <w:r>
        <w:t xml:space="preserve">Proxy used</w:t>
      </w:r>
      <w:r>
        <w:t xml:space="preserve"> </w:t>
      </w:r>
      <w:r>
        <w:t xml:space="preserve">Total inspections for all</w:t>
      </w:r>
      <w:r>
        <w:t xml:space="preserve"> </w:t>
      </w:r>
      <w:r>
        <w:t xml:space="preserve">Member States</w:t>
      </w:r>
      <w:r>
        <w:br/>
      </w:r>
      <w:r>
        <w:t xml:space="preserve">CY</w:t>
      </w:r>
      <w:r>
        <w:t xml:space="preserve"> </w:t>
      </w:r>
      <w:r>
        <w:t xml:space="preserve">960</w:t>
      </w:r>
      <w:r>
        <w:t xml:space="preserve"> </w:t>
      </w:r>
      <w:r>
        <w:t xml:space="preserve">1,123.07</w:t>
      </w:r>
    </w:p>
    <w:p>
      <w:pPr>
        <w:pStyle w:val="BodyText"/>
      </w:pPr>
      <w:r>
        <w:t xml:space="preserve">960.00</w:t>
      </w:r>
      <w:r>
        <w:br/>
      </w:r>
      <w:r>
        <w:t xml:space="preserve">CZ</w:t>
      </w:r>
      <w:r>
        <w:t xml:space="preserve"> </w:t>
      </w:r>
      <w:r>
        <w:t xml:space="preserve">1,631</w:t>
      </w:r>
      <w:r>
        <w:t xml:space="preserve"> </w:t>
      </w:r>
      <w:r>
        <w:t xml:space="preserve">152.40</w:t>
      </w:r>
    </w:p>
    <w:p>
      <w:pPr>
        <w:pStyle w:val="BodyText"/>
      </w:pPr>
      <w:r>
        <w:t xml:space="preserve">1,631.00</w:t>
      </w:r>
      <w:r>
        <w:br/>
      </w:r>
      <w:r>
        <w:t xml:space="preserve">DE</w:t>
      </w:r>
      <w:r>
        <w:t xml:space="preserve"> </w:t>
      </w:r>
      <w:r>
        <w:t xml:space="preserve">-</w:t>
      </w:r>
      <w:r>
        <w:br/>
      </w:r>
      <w:r>
        <w:t xml:space="preserve">42.02358</w:t>
      </w:r>
      <w:r>
        <w:t xml:space="preserve"> </w:t>
      </w:r>
      <w:r>
        <w:t xml:space="preserve">3,490.20</w:t>
      </w:r>
      <w:r>
        <w:br/>
      </w:r>
      <w:r>
        <w:t xml:space="preserve">DK</w:t>
      </w:r>
      <w:r>
        <w:t xml:space="preserve"> </w:t>
      </w:r>
      <w:r>
        <w:t xml:space="preserve">113</w:t>
      </w:r>
      <w:r>
        <w:t xml:space="preserve"> </w:t>
      </w:r>
      <w:r>
        <w:t xml:space="preserve">19.35</w:t>
      </w:r>
    </w:p>
    <w:p>
      <w:pPr>
        <w:pStyle w:val="BodyText"/>
      </w:pPr>
      <w:r>
        <w:t xml:space="preserve">113.00</w:t>
      </w:r>
      <w:r>
        <w:br/>
      </w:r>
      <w:r>
        <w:t xml:space="preserve">EE</w:t>
      </w:r>
      <w:r>
        <w:t xml:space="preserve"> </w:t>
      </w:r>
      <w:r>
        <w:t xml:space="preserve">402</w:t>
      </w:r>
      <w:r>
        <w:t xml:space="preserve"> </w:t>
      </w:r>
      <w:r>
        <w:t xml:space="preserve">302.24</w:t>
      </w:r>
    </w:p>
    <w:p>
      <w:pPr>
        <w:pStyle w:val="BodyText"/>
      </w:pPr>
      <w:r>
        <w:t xml:space="preserve">402.00</w:t>
      </w:r>
      <w:r>
        <w:br/>
      </w:r>
      <w:r>
        <w:t xml:space="preserve">EL</w:t>
      </w:r>
      <w:r>
        <w:t xml:space="preserve"> </w:t>
      </w:r>
      <w:r>
        <w:t xml:space="preserve">28</w:t>
      </w:r>
      <w:r>
        <w:t xml:space="preserve"> </w:t>
      </w:r>
      <w:r>
        <w:t xml:space="preserve">2.62</w:t>
      </w:r>
    </w:p>
    <w:p>
      <w:pPr>
        <w:pStyle w:val="BodyText"/>
      </w:pPr>
      <w:r>
        <w:t xml:space="preserve">28.00</w:t>
      </w:r>
      <w:r>
        <w:br/>
      </w:r>
      <w:r>
        <w:t xml:space="preserve">ES</w:t>
      </w:r>
      <w:r>
        <w:t xml:space="preserve"> </w:t>
      </w:r>
      <w:r>
        <w:t xml:space="preserve">-</w:t>
      </w:r>
      <w:r>
        <w:br/>
      </w:r>
      <w:r>
        <w:t xml:space="preserve">40.78359</w:t>
      </w:r>
      <w:r>
        <w:t xml:space="preserve"> </w:t>
      </w:r>
      <w:r>
        <w:t xml:space="preserve">423.31</w:t>
      </w:r>
      <w:r>
        <w:br/>
      </w:r>
      <w:r>
        <w:t xml:space="preserve">FI</w:t>
      </w:r>
      <w:r>
        <w:t xml:space="preserve"> </w:t>
      </w:r>
      <w:r>
        <w:t xml:space="preserve">1,351</w:t>
      </w:r>
      <w:r>
        <w:t xml:space="preserve"> </w:t>
      </w:r>
      <w:r>
        <w:t xml:space="preserve">244.14</w:t>
      </w:r>
    </w:p>
    <w:p>
      <w:pPr>
        <w:pStyle w:val="BodyText"/>
      </w:pPr>
      <w:r>
        <w:t xml:space="preserve">1,351.00</w:t>
      </w:r>
      <w:r>
        <w:br/>
      </w:r>
      <w:r>
        <w:t xml:space="preserve">FR</w:t>
      </w:r>
      <w:r>
        <w:t xml:space="preserve"> </w:t>
      </w:r>
      <w:r>
        <w:t xml:space="preserve">2,834</w:t>
      </w:r>
      <w:r>
        <w:t xml:space="preserve"> </w:t>
      </w:r>
      <w:r>
        <w:t xml:space="preserve">42.02</w:t>
      </w:r>
    </w:p>
    <w:p>
      <w:pPr>
        <w:pStyle w:val="BodyText"/>
      </w:pPr>
      <w:r>
        <w:t xml:space="preserve">2,834.00</w:t>
      </w:r>
      <w:r>
        <w:br/>
      </w:r>
      <w:r>
        <w:t xml:space="preserve">HR</w:t>
      </w:r>
      <w:r>
        <w:t xml:space="preserve"> </w:t>
      </w:r>
      <w:r>
        <w:t xml:space="preserve">384</w:t>
      </w:r>
      <w:r>
        <w:t xml:space="preserve"> </w:t>
      </w:r>
      <w:r>
        <w:t xml:space="preserve">95.14</w:t>
      </w:r>
    </w:p>
    <w:p>
      <w:pPr>
        <w:pStyle w:val="BodyText"/>
      </w:pPr>
      <w:r>
        <w:t xml:space="preserve">384.00</w:t>
      </w:r>
      <w:r>
        <w:br/>
      </w:r>
      <w:r>
        <w:t xml:space="preserve">HU</w:t>
      </w:r>
      <w:r>
        <w:t xml:space="preserve"> </w:t>
      </w:r>
      <w:r>
        <w:t xml:space="preserve">1,180</w:t>
      </w:r>
      <w:r>
        <w:t xml:space="preserve"> </w:t>
      </w:r>
      <w:r>
        <w:t xml:space="preserve">121.26</w:t>
      </w:r>
    </w:p>
    <w:p>
      <w:pPr>
        <w:pStyle w:val="BodyText"/>
      </w:pPr>
      <w:r>
        <w:t xml:space="preserve">1,180.00</w:t>
      </w:r>
      <w:r>
        <w:br/>
      </w:r>
      <w:r>
        <w:t xml:space="preserve">IE</w:t>
      </w:r>
      <w:r>
        <w:t xml:space="preserve"> </w:t>
      </w:r>
      <w:r>
        <w:t xml:space="preserve">4</w:t>
      </w:r>
      <w:r>
        <w:t xml:space="preserve"> </w:t>
      </w:r>
      <w:r>
        <w:t xml:space="preserve">0.80</w:t>
      </w:r>
    </w:p>
    <w:p>
      <w:pPr>
        <w:pStyle w:val="BodyText"/>
      </w:pPr>
      <w:r>
        <w:t xml:space="preserve">4.00</w:t>
      </w:r>
      <w:r>
        <w:br/>
      </w:r>
      <w:r>
        <w:t xml:space="preserve">IT</w:t>
      </w:r>
      <w:r>
        <w:t xml:space="preserve"> </w:t>
      </w:r>
      <w:r>
        <w:t xml:space="preserve">1,115</w:t>
      </w:r>
      <w:r>
        <w:t xml:space="preserve"> </w:t>
      </w:r>
      <w:r>
        <w:t xml:space="preserve">18.82</w:t>
      </w:r>
    </w:p>
    <w:p>
      <w:pPr>
        <w:pStyle w:val="BodyText"/>
      </w:pPr>
      <w:r>
        <w:t xml:space="preserve">1,115.00</w:t>
      </w:r>
      <w:r>
        <w:br/>
      </w:r>
      <w:r>
        <w:t xml:space="preserve">LT</w:t>
      </w:r>
      <w:r>
        <w:t xml:space="preserve"> </w:t>
      </w:r>
      <w:r>
        <w:t xml:space="preserve">-</w:t>
      </w:r>
      <w:r>
        <w:br/>
      </w:r>
      <w:r>
        <w:t xml:space="preserve">61.27360</w:t>
      </w:r>
      <w:r>
        <w:t xml:space="preserve"> </w:t>
      </w:r>
      <w:r>
        <w:t xml:space="preserve">171.29</w:t>
      </w:r>
      <w:r>
        <w:br/>
      </w:r>
      <w:r>
        <w:t xml:space="preserve">LU</w:t>
      </w:r>
      <w:r>
        <w:t xml:space="preserve"> </w:t>
      </w:r>
      <w:r>
        <w:t xml:space="preserve">51</w:t>
      </w:r>
      <w:r>
        <w:t xml:space="preserve"> </w:t>
      </w:r>
      <w:r>
        <w:t xml:space="preserve">80.35</w:t>
      </w:r>
    </w:p>
    <w:p>
      <w:pPr>
        <w:pStyle w:val="BodyText"/>
      </w:pPr>
      <w:r>
        <w:t xml:space="preserve">51.00</w:t>
      </w:r>
      <w:r>
        <w:br/>
      </w:r>
      <w:r>
        <w:t xml:space="preserve">LV</w:t>
      </w:r>
      <w:r>
        <w:t xml:space="preserve"> </w:t>
      </w:r>
      <w:r>
        <w:t xml:space="preserve">116</w:t>
      </w:r>
      <w:r>
        <w:t xml:space="preserve"> </w:t>
      </w:r>
      <w:r>
        <w:t xml:space="preserve">61.27</w:t>
      </w:r>
    </w:p>
    <w:p>
      <w:pPr>
        <w:pStyle w:val="BodyText"/>
      </w:pPr>
      <w:r>
        <w:t xml:space="preserve">116.00</w:t>
      </w:r>
      <w:r>
        <w:br/>
      </w:r>
      <w:r>
        <w:t xml:space="preserve">MT</w:t>
      </w:r>
      <w:r>
        <w:t xml:space="preserve"> </w:t>
      </w:r>
      <w:r>
        <w:t xml:space="preserve">149</w:t>
      </w:r>
      <w:r>
        <w:t xml:space="preserve"> </w:t>
      </w:r>
      <w:r>
        <w:t xml:space="preserve">288.70</w:t>
      </w:r>
    </w:p>
    <w:p>
      <w:pPr>
        <w:pStyle w:val="BodyText"/>
      </w:pPr>
      <w:r>
        <w:t xml:space="preserve">149.00</w:t>
      </w:r>
      <w:r>
        <w:br/>
      </w:r>
      <w:r>
        <w:t xml:space="preserve">NL</w:t>
      </w:r>
      <w:r>
        <w:t xml:space="preserve"> </w:t>
      </w:r>
      <w:r>
        <w:t xml:space="preserve">-</w:t>
      </w:r>
      <w:r>
        <w:br/>
      </w:r>
      <w:r>
        <w:t xml:space="preserve">109.9361</w:t>
      </w:r>
      <w:r>
        <w:t xml:space="preserve"> </w:t>
      </w:r>
      <w:r>
        <w:t xml:space="preserve">1,920.53</w:t>
      </w:r>
      <w:r>
        <w:br/>
      </w:r>
      <w:r>
        <w:t xml:space="preserve">PO</w:t>
      </w:r>
      <w:r>
        <w:t xml:space="preserve"> </w:t>
      </w:r>
      <w:r>
        <w:t xml:space="preserve">754</w:t>
      </w:r>
      <w:r>
        <w:t xml:space="preserve"> </w:t>
      </w:r>
      <w:r>
        <w:t xml:space="preserve">19.93</w:t>
      </w:r>
    </w:p>
    <w:p>
      <w:pPr>
        <w:pStyle w:val="BodyText"/>
      </w:pPr>
      <w:r>
        <w:t xml:space="preserve">754.00</w:t>
      </w:r>
      <w:r>
        <w:br/>
      </w:r>
      <w:r>
        <w:t xml:space="preserve">PT</w:t>
      </w:r>
      <w:r>
        <w:t xml:space="preserve"> </w:t>
      </w:r>
      <w:r>
        <w:t xml:space="preserve">420</w:t>
      </w:r>
      <w:r>
        <w:t xml:space="preserve"> </w:t>
      </w:r>
      <w:r>
        <w:t xml:space="preserve">40.78</w:t>
      </w:r>
    </w:p>
    <w:p>
      <w:pPr>
        <w:pStyle w:val="BodyText"/>
      </w:pPr>
      <w:r>
        <w:t xml:space="preserve">420.00</w:t>
      </w:r>
      <w:r>
        <w:br/>
      </w:r>
      <w:r>
        <w:t xml:space="preserve">RO</w:t>
      </w:r>
      <w:r>
        <w:t xml:space="preserve"> </w:t>
      </w:r>
      <w:r>
        <w:t xml:space="preserve">1,496</w:t>
      </w:r>
      <w:r>
        <w:t xml:space="preserve"> </w:t>
      </w:r>
      <w:r>
        <w:t xml:space="preserve">77.97</w:t>
      </w:r>
    </w:p>
    <w:p>
      <w:pPr>
        <w:pStyle w:val="BodyText"/>
      </w:pPr>
      <w:r>
        <w:t xml:space="preserve">1,496.00</w:t>
      </w:r>
      <w:r>
        <w:br/>
      </w:r>
      <w:r>
        <w:t xml:space="preserve">SE</w:t>
      </w:r>
      <w:r>
        <w:t xml:space="preserve"> </w:t>
      </w:r>
      <w:r>
        <w:t xml:space="preserve">84</w:t>
      </w:r>
      <w:r>
        <w:t xml:space="preserve"> </w:t>
      </w:r>
      <w:r>
        <w:t xml:space="preserve">8.09</w:t>
      </w:r>
    </w:p>
    <w:p>
      <w:pPr>
        <w:pStyle w:val="BodyText"/>
      </w:pPr>
      <w:r>
        <w:t xml:space="preserve">84.00</w:t>
      </w:r>
      <w:r>
        <w:br/>
      </w:r>
      <w:r>
        <w:t xml:space="preserve">SI</w:t>
      </w:r>
      <w:r>
        <w:t xml:space="preserve"> </w:t>
      </w:r>
      <w:r>
        <w:t xml:space="preserve">1,757</w:t>
      </w:r>
      <w:r>
        <w:t xml:space="preserve"> </w:t>
      </w:r>
      <w:r>
        <w:t xml:space="preserve">833.11</w:t>
      </w:r>
    </w:p>
    <w:p>
      <w:pPr>
        <w:pStyle w:val="BodyText"/>
      </w:pPr>
      <w:r>
        <w:t xml:space="preserve">1,757.00</w:t>
      </w:r>
      <w:r>
        <w:br/>
      </w:r>
      <w:r>
        <w:t xml:space="preserve">SK</w:t>
      </w:r>
      <w:r>
        <w:t xml:space="preserve"> </w:t>
      </w:r>
      <w:r>
        <w:t xml:space="preserve">-</w:t>
      </w:r>
      <w:r>
        <w:br/>
      </w:r>
      <w:r>
        <w:t xml:space="preserve">152.4362</w:t>
      </w:r>
      <w:r>
        <w:t xml:space="preserve"> </w:t>
      </w:r>
      <w:r>
        <w:t xml:space="preserve">832.10</w:t>
      </w:r>
      <w:r>
        <w:br/>
      </w:r>
      <w:r>
        <w:t xml:space="preserve">18,422</w:t>
      </w:r>
      <w:r>
        <w:t xml:space="preserve"> </w:t>
      </w:r>
      <w:r>
        <w:t xml:space="preserve">179.94</w:t>
      </w:r>
    </w:p>
    <w:p>
      <w:pPr>
        <w:pStyle w:val="BodyText"/>
      </w:pPr>
      <w:r>
        <w:t xml:space="preserve">25,259.43</w:t>
      </w:r>
      <w:r>
        <w:br/>
      </w:r>
      <w:r>
        <w:t xml:space="preserve">If no change to the TSD would occur, the costs for public authorities in conducting market</w:t>
      </w:r>
      <w:r>
        <w:t xml:space="preserve"> </w:t>
      </w:r>
      <w:r>
        <w:t xml:space="preserve">surveillance are expected to remain equal. The share of online sales is expected to grow, following</w:t>
      </w:r>
      <w:r>
        <w:t xml:space="preserve"> </w:t>
      </w:r>
      <w:r>
        <w:t xml:space="preserve">the path of the previous years (increasing by 20% between 2010 and 2020). Member States authorities</w:t>
      </w:r>
      <w:r>
        <w:t xml:space="preserve"> </w:t>
      </w:r>
      <w:r>
        <w:t xml:space="preserve">would have to increase their market surveillance activity in order to identify the same share of non-</w:t>
      </w:r>
      <w:r>
        <w:t xml:space="preserve"> </w:t>
      </w:r>
      <w:r>
        <w:t xml:space="preserve">compliant toys. However, given their budget is unlikely to be increased, it is likely that the impact</w:t>
      </w:r>
      <w:r>
        <w:t xml:space="preserve"> </w:t>
      </w:r>
      <w:r>
        <w:t xml:space="preserve">would not be on Market Surveillance authorities (MSAs), but would merely result in a greater number</w:t>
      </w:r>
      <w:r>
        <w:t xml:space="preserve"> </w:t>
      </w:r>
      <w:r>
        <w:t xml:space="preserve">of non-compliant toys on the market.</w:t>
      </w:r>
      <w:r>
        <w:t xml:space="preserve"> </w:t>
      </w:r>
      <w:r>
        <w:t xml:space="preserve">In the baseline scenario, changes to the TSD could still be made as is the case today, by introducing</w:t>
      </w:r>
      <w:r>
        <w:t xml:space="preserve"> </w:t>
      </w:r>
      <w:r>
        <w:t xml:space="preserve">limit values in Appendix C of the TSD for toys intended for children under 36 months. In order to</w:t>
      </w:r>
      <w:r>
        <w:t xml:space="preserve"> </w:t>
      </w:r>
      <w:r>
        <w:t xml:space="preserve">estimate the cost of the human resources, data about the amount of person days needed for</w:t>
      </w:r>
      <w:r>
        <w:t xml:space="preserve"> </w:t>
      </w:r>
      <w:r>
        <w:t xml:space="preserve">transposition is taken from previous Impact Assessments, which assesses the number of person days</w:t>
      </w:r>
      <w:r>
        <w:t xml:space="preserve"> </w:t>
      </w:r>
      <w:r>
        <w:t xml:space="preserve">needed for transposition of a Directive to be between 20 and 60. Using the Member State daily labour</w:t>
      </w:r>
    </w:p>
    <w:p>
      <w:pPr>
        <w:pStyle w:val="BodyText"/>
      </w:pPr>
      <w:r>
        <w:t xml:space="preserve">358 inspections per million inhabitants in France.</w:t>
      </w:r>
      <w:r>
        <w:t xml:space="preserve"> </w:t>
      </w:r>
      <w:r>
        <w:t xml:space="preserve">359 inspections per million inhabitants in Portugal.</w:t>
      </w:r>
      <w:r>
        <w:t xml:space="preserve"> </w:t>
      </w:r>
      <w:r>
        <w:t xml:space="preserve">360 inspections per million inhabitants in Latvia.</w:t>
      </w:r>
      <w:r>
        <w:t xml:space="preserve"> </w:t>
      </w:r>
      <w:r>
        <w:t xml:space="preserve">361 inspections per million inhabitants in Belgium.</w:t>
      </w:r>
      <w:r>
        <w:t xml:space="preserve"> </w:t>
      </w:r>
      <w:r>
        <w:t xml:space="preserve">362 inspections per million inhabitants in Czechia.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167</w:t>
      </w:r>
      <w:r>
        <w:t xml:space="preserve"> </w:t>
      </w:r>
      <w:r>
        <w:t xml:space="preserve">EN</w:t>
      </w:r>
      <w:r>
        <w:t xml:space="preserve"> </w:t>
      </w:r>
      <w:r>
        <w:t xml:space="preserve">cost (i.e. EUR 309363), the overall cost of transposition is estimated to be in the range of EUR 6,174</w:t>
      </w:r>
      <w:r>
        <w:t xml:space="preserve"> </w:t>
      </w:r>
      <w:r>
        <w:t xml:space="preserve">to EUR 18,522 per Member State. 364.</w:t>
      </w:r>
      <w:r>
        <w:t xml:space="preserve"> </w:t>
      </w:r>
      <w:r>
        <w:t xml:space="preserve">Impacts on customs</w:t>
      </w:r>
      <w:r>
        <w:t xml:space="preserve"> </w:t>
      </w:r>
      <w:r>
        <w:t xml:space="preserve">In case of physical controls of toys, customs authorities will notably check:</w:t>
      </w:r>
      <w:r>
        <w:br/>
      </w:r>
      <w:r>
        <w:t xml:space="preserve">1) CE marking and any labelling requirements, and the declaration of conformity (DoC).</w:t>
      </w:r>
      <w:r>
        <w:t xml:space="preserve"> </w:t>
      </w:r>
      <w:r>
        <w:t xml:space="preserve">2) User instructions</w:t>
      </w:r>
      <w:r>
        <w:br/>
      </w:r>
      <w:r>
        <w:t xml:space="preserve">3) Technical file (upon request if evidence is requested by market surveillance authorities</w:t>
      </w:r>
      <w:r>
        <w:t xml:space="preserve"> </w:t>
      </w:r>
      <w:r>
        <w:t xml:space="preserve">liaising with customs authority)</w:t>
      </w:r>
      <w:r>
        <w:t xml:space="preserve"> </w:t>
      </w:r>
      <w:r>
        <w:t xml:space="preserve">The customs will also control compliance with other EU environmental legislation applicable to toys,</w:t>
      </w:r>
      <w:r>
        <w:t xml:space="preserve"> </w:t>
      </w:r>
      <w:r>
        <w:t xml:space="preserve">such as the Packaging Directive.</w:t>
      </w:r>
      <w:r>
        <w:t xml:space="preserve"> </w:t>
      </w:r>
      <w:r>
        <w:t xml:space="preserve">Under the baseline situation in the TSD, the controls by customs occur at the import stage, in</w:t>
      </w:r>
      <w:r>
        <w:t xml:space="preserve"> </w:t>
      </w:r>
      <w:r>
        <w:t xml:space="preserve">cooperation with the relevant market surveillance authorities, as appropriate on a risk based approach.</w:t>
      </w:r>
      <w:r>
        <w:t xml:space="preserve"> </w:t>
      </w:r>
      <w:r>
        <w:t xml:space="preserve">The enforcement applies on the entire EU customs territory.</w:t>
      </w:r>
      <w:r>
        <w:t xml:space="preserve"> </w:t>
      </w:r>
      <w:r>
        <w:t xml:space="preserve">As concerns Information Technology (IT) aspects and customs, currently, a number of IT systems</w:t>
      </w:r>
      <w:r>
        <w:t xml:space="preserve"> </w:t>
      </w:r>
      <w:r>
        <w:t xml:space="preserve">are coexisting at EU level to allow for improved coordination of customs controls amongst Member</w:t>
      </w:r>
      <w:r>
        <w:t xml:space="preserve"> </w:t>
      </w:r>
      <w:r>
        <w:t xml:space="preserve">States with the support of the European Commission, such as the Single Window Environment for</w:t>
      </w:r>
      <w:r>
        <w:t xml:space="preserve"> </w:t>
      </w:r>
      <w:r>
        <w:t xml:space="preserve">Customs and the TARIC Information System. Specific resources are allocated for these tools.</w:t>
      </w:r>
      <w:r>
        <w:br/>
      </w:r>
      <w:r>
        <w:t xml:space="preserve">If toys are found to be non-compliant at EU borders, a restriction on their release for free circulation</w:t>
      </w:r>
      <w:r>
        <w:t xml:space="preserve"> </w:t>
      </w:r>
      <w:r>
        <w:t xml:space="preserve">may be imposed until such time as the compliance issues have been addressed.</w:t>
      </w:r>
      <w:r>
        <w:t xml:space="preserve"> </w:t>
      </w:r>
      <w:r>
        <w:t xml:space="preserve">If not detected by customs, the introduction in the EU customs territory of a toy infringing the TSD</w:t>
      </w:r>
      <w:r>
        <w:t xml:space="preserve"> </w:t>
      </w:r>
      <w:r>
        <w:t xml:space="preserve">could present a serious risk for health, safety and the environment. For example, products with higher</w:t>
      </w:r>
      <w:r>
        <w:t xml:space="preserve"> </w:t>
      </w:r>
      <w:r>
        <w:t xml:space="preserve">limit values than permitted under the TSD (and/ or in EN standards supporting the essential</w:t>
      </w:r>
      <w:r>
        <w:t xml:space="preserve"> </w:t>
      </w:r>
      <w:r>
        <w:t xml:space="preserve">requirement) may indeed pose health risks to children. The nature and magnitude will depend on 1)</w:t>
      </w:r>
      <w:r>
        <w:t xml:space="preserve"> </w:t>
      </w:r>
      <w:r>
        <w:t xml:space="preserve">the type of substance and its harmful effects) and 2) the level of potential exposure. If no change to</w:t>
      </w:r>
      <w:r>
        <w:t xml:space="preserve"> </w:t>
      </w:r>
      <w:r>
        <w:t xml:space="preserve">the Directive was to take place, and with the increasing use of the internet to sell toys, the number of</w:t>
      </w:r>
      <w:r>
        <w:t xml:space="preserve"> </w:t>
      </w:r>
      <w:r>
        <w:t xml:space="preserve">non-conforming toys on the EU market would only increase.</w:t>
      </w:r>
      <w:r>
        <w:br/>
      </w:r>
      <w:r>
        <w:t xml:space="preserve">B) Policy options to strengthen the protection of children from harmful chemicals - PO1a, PO1b</w:t>
      </w:r>
      <w:r>
        <w:t xml:space="preserve"> </w:t>
      </w:r>
      <w:r>
        <w:t xml:space="preserve">and PO1c</w:t>
      </w:r>
      <w:r>
        <w:br/>
      </w:r>
      <w:r>
        <w:t xml:space="preserve">These options are not expected to lead to significant costs for public authorities, as compared to the</w:t>
      </w:r>
      <w:r>
        <w:t xml:space="preserve"> </w:t>
      </w:r>
      <w:r>
        <w:t xml:space="preserve">baseline scenario.</w:t>
      </w:r>
      <w:r>
        <w:t xml:space="preserve"> </w:t>
      </w:r>
      <w:r>
        <w:t xml:space="preserve">One-off costs relating to the transposition of the new limit values into national legislation will be</w:t>
      </w:r>
      <w:r>
        <w:t xml:space="preserve"> </w:t>
      </w:r>
      <w:r>
        <w:t xml:space="preserve">similar to the baseline. These costs would disappear if the legal instrument chosen was a Regulation;</w:t>
      </w:r>
      <w:r>
        <w:t xml:space="preserve"> </w:t>
      </w:r>
      <w:r>
        <w:t xml:space="preserve">For market surveillance authorities, the number of inspections would not be expected to rise. In any</w:t>
      </w:r>
      <w:r>
        <w:t xml:space="preserve"> </w:t>
      </w:r>
      <w:r>
        <w:t xml:space="preserve">case, it is likely that their budgets would not be increased.</w:t>
      </w:r>
      <w:r>
        <w:br/>
      </w:r>
      <w:r>
        <w:t xml:space="preserve">Impacts on customs</w:t>
      </w:r>
      <w:r>
        <w:br/>
      </w:r>
      <w:r>
        <w:t xml:space="preserve">Under policy options 1a, 1b and 1c, the role of customs would be the same as under the baseline. In</w:t>
      </w:r>
      <w:r>
        <w:t xml:space="preserve"> </w:t>
      </w:r>
      <w:r>
        <w:t xml:space="preserve">case of identification of a product with high risk, competent market surveillance authorities are</w:t>
      </w:r>
    </w:p>
    <w:p>
      <w:pPr>
        <w:pStyle w:val="BodyText"/>
      </w:pPr>
      <w:r>
        <w:t xml:space="preserve">363 Data about labour costs comes from Eurostat’s Labour Cost Survey, (2016), category ‘public administration and</w:t>
      </w:r>
      <w:r>
        <w:t xml:space="preserve"> </w:t>
      </w:r>
      <w:r>
        <w:t xml:space="preserve">defence, compulsory social security’ per employee FTE and adjusted for inflation.</w:t>
      </w:r>
      <w:r>
        <w:t xml:space="preserve"> </w:t>
      </w:r>
      <w:r>
        <w:t xml:space="preserve">364 IA study on the revision of the Toy Safety Directive by VVA, CSES and Asterisk.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168</w:t>
      </w:r>
      <w:r>
        <w:t xml:space="preserve"> </w:t>
      </w:r>
      <w:r>
        <w:t xml:space="preserve">EN</w:t>
      </w:r>
      <w:r>
        <w:t xml:space="preserve"> </w:t>
      </w:r>
      <w:r>
        <w:t xml:space="preserve">notified following the already existing cooperation procedures in place between national customs and</w:t>
      </w:r>
      <w:r>
        <w:t xml:space="preserve"> </w:t>
      </w:r>
      <w:r>
        <w:t xml:space="preserve">market surveillance authorities.</w:t>
      </w:r>
      <w:r>
        <w:br/>
      </w:r>
      <w:r>
        <w:t xml:space="preserve">However, it is likely that, in case of changes in limit values of substances in toys, manufacturers</w:t>
      </w:r>
      <w:r>
        <w:t xml:space="preserve"> </w:t>
      </w:r>
      <w:r>
        <w:t xml:space="preserve">located in third-countries might adapt to new rules only after a transition period. This might lead to</w:t>
      </w:r>
      <w:r>
        <w:t xml:space="preserve"> </w:t>
      </w:r>
      <w:r>
        <w:t xml:space="preserve">a higher number of imported toys to be identified by competent market surveillance authorities as</w:t>
      </w:r>
      <w:r>
        <w:t xml:space="preserve"> </w:t>
      </w:r>
      <w:r>
        <w:t xml:space="preserve">being non-compliant and subsequently increase the number of alerts to customs to block imports of</w:t>
      </w:r>
      <w:r>
        <w:t xml:space="preserve"> </w:t>
      </w:r>
      <w:r>
        <w:t xml:space="preserve">those specific products. This would thus indirectly lead to an initial increase of the burden on customs</w:t>
      </w:r>
      <w:r>
        <w:t xml:space="preserve"> </w:t>
      </w:r>
      <w:r>
        <w:t xml:space="preserve">(for example an increase in number of alerts received from market surveillance authorities, or</w:t>
      </w:r>
      <w:r>
        <w:t xml:space="preserve"> </w:t>
      </w:r>
      <w:r>
        <w:t xml:space="preserve">increase of physical checks of imported products or of shipments that are placed on hold at the border</w:t>
      </w:r>
      <w:r>
        <w:t xml:space="preserve"> </w:t>
      </w:r>
      <w:r>
        <w:t xml:space="preserve">subject to a refusal for free circulation). These cases are expected to progressively decrease in</w:t>
      </w:r>
      <w:r>
        <w:t xml:space="preserve"> </w:t>
      </w:r>
      <w:r>
        <w:t xml:space="preserve">proportion to the adaptation of third-country manufacturers to EU standards, but it is likely that in an</w:t>
      </w:r>
      <w:r>
        <w:t xml:space="preserve"> </w:t>
      </w:r>
      <w:r>
        <w:t xml:space="preserve">initial period customs might incur in additional burden.</w:t>
      </w:r>
      <w:r>
        <w:t xml:space="preserve"> </w:t>
      </w:r>
      <w:r>
        <w:t xml:space="preserve">C) Policy options to reduce the number of non-compliant toys</w:t>
      </w:r>
      <w:r>
        <w:t xml:space="preserve"> </w:t>
      </w:r>
      <w:r>
        <w:t xml:space="preserve">PO2a</w:t>
      </w:r>
      <w:r>
        <w:t xml:space="preserve"> </w:t>
      </w:r>
      <w:r>
        <w:t xml:space="preserve">Under Option 2a, no significant costs are expected for market surveillance authorities. Market</w:t>
      </w:r>
      <w:r>
        <w:t xml:space="preserve"> </w:t>
      </w:r>
      <w:r>
        <w:t xml:space="preserve">surveillance authorities consulted explained that the time necessary to inspect EU-type examined toys</w:t>
      </w:r>
      <w:r>
        <w:t xml:space="preserve"> </w:t>
      </w:r>
      <w:r>
        <w:t xml:space="preserve">was the same as for those that were self-tested by manufacturers. While some suggested that</w:t>
      </w:r>
      <w:r>
        <w:t xml:space="preserve"> </w:t>
      </w:r>
      <w:r>
        <w:t xml:space="preserve">extending third-party conformity assessment would not significantly change the amount of time</w:t>
      </w:r>
      <w:r>
        <w:t xml:space="preserve"> </w:t>
      </w:r>
      <w:r>
        <w:t xml:space="preserve">necessary for inspections (under 3% of efficiency gain), other disagreed. They argued that the time</w:t>
      </w:r>
      <w:r>
        <w:t xml:space="preserve"> </w:t>
      </w:r>
      <w:r>
        <w:t xml:space="preserve">necessary to collect information from a notified body is significantly lower than economic operators.</w:t>
      </w:r>
      <w:r>
        <w:t xml:space="preserve"> </w:t>
      </w:r>
      <w:r>
        <w:t xml:space="preserve">They assumed that the time saving would be over 5%. This only relates to time saving on requesting</w:t>
      </w:r>
      <w:r>
        <w:t xml:space="preserve"> </w:t>
      </w:r>
      <w:r>
        <w:t xml:space="preserve">documents and not on any tests market surveillance authorities may undertake. As an average, the</w:t>
      </w:r>
      <w:r>
        <w:t xml:space="preserve"> </w:t>
      </w:r>
      <w:r>
        <w:t xml:space="preserve">introduction of option 2a would result in a 5% time saving for the average inspection by market</w:t>
      </w:r>
      <w:r>
        <w:t xml:space="preserve"> </w:t>
      </w:r>
      <w:r>
        <w:t xml:space="preserve">surveillance authorities, which would translate into a 5% increase in the number of inspections.</w:t>
      </w:r>
      <w:r>
        <w:t xml:space="preserve"> </w:t>
      </w:r>
      <w:r>
        <w:t xml:space="preserve">Given the average number of inspections was 25,259365, the number of inspections in the EU is</w:t>
      </w:r>
      <w:r>
        <w:t xml:space="preserve"> </w:t>
      </w:r>
      <w:r>
        <w:t xml:space="preserve">expected to rise to 26,522 per year. Dividing the total budget available by the increased number of</w:t>
      </w:r>
      <w:r>
        <w:t xml:space="preserve"> </w:t>
      </w:r>
      <w:r>
        <w:t xml:space="preserve">inspections, the cost per inspection could be reduced to EUR 738.52 to EUR 703.35. This is based</w:t>
      </w:r>
      <w:r>
        <w:t xml:space="preserve"> </w:t>
      </w:r>
      <w:r>
        <w:t xml:space="preserve">on the assumption that the budget will remain equal at national level and that the resources freed up</w:t>
      </w:r>
      <w:r>
        <w:t xml:space="preserve"> </w:t>
      </w:r>
      <w:r>
        <w:t xml:space="preserve">by the efficiency will continue to be dedicated to inspections on toys. In addition, the precise number</w:t>
      </w:r>
      <w:r>
        <w:t xml:space="preserve"> </w:t>
      </w:r>
      <w:r>
        <w:t xml:space="preserve">of inspections also depends on other practical factors including the specific toys subject to inspection</w:t>
      </w:r>
      <w:r>
        <w:t xml:space="preserve"> </w:t>
      </w:r>
      <w:r>
        <w:t xml:space="preserve">and or tests. Therefore, the precise impact of this option on the number of inspections could be lower.</w:t>
      </w:r>
      <w:r>
        <w:t xml:space="preserve"> </w:t>
      </w:r>
      <w:r>
        <w:t xml:space="preserve">With the extension of third-party conformity assessment to i) toys intended for children under 36</w:t>
      </w:r>
      <w:r>
        <w:t xml:space="preserve"> </w:t>
      </w:r>
      <w:r>
        <w:t xml:space="preserve">months and ii) toys which are chemical mixtures, Notified bodies may incur costs relating to the</w:t>
      </w:r>
      <w:r>
        <w:t xml:space="preserve"> </w:t>
      </w:r>
      <w:r>
        <w:t xml:space="preserve">increase in the testing capacity required to undertake these tests. In certain MS (in particular</w:t>
      </w:r>
      <w:r>
        <w:t xml:space="preserve"> </w:t>
      </w:r>
      <w:r>
        <w:t xml:space="preserve">Germany) NBs argue that the necessary capacity exists already.</w:t>
      </w:r>
      <w:r>
        <w:t xml:space="preserve"> </w:t>
      </w:r>
      <w:r>
        <w:t xml:space="preserve">As for the role of customs under this policy option, for toys for children under 36 months, and toys</w:t>
      </w:r>
      <w:r>
        <w:t xml:space="preserve"> </w:t>
      </w:r>
      <w:r>
        <w:t xml:space="preserve">designed to be put in the mouth, market surveillance authorities would need to indicate to customs</w:t>
      </w:r>
      <w:r>
        <w:t xml:space="preserve"> </w:t>
      </w:r>
      <w:r>
        <w:t xml:space="preserve">(e.g. an alert on TARIC) a specific notice on identified product categories that would require an</w:t>
      </w:r>
      <w:r>
        <w:t xml:space="preserve"> </w:t>
      </w:r>
      <w:r>
        <w:t xml:space="preserve">additional EC type approval certificate (i.e., mandatory 3rd party conformity assessment check by</w:t>
      </w:r>
      <w:r>
        <w:t xml:space="preserve"> </w:t>
      </w:r>
      <w:r>
        <w:t xml:space="preserve">notified body). Customs systems would then be required to ensure that such certificate is present for</w:t>
      </w:r>
      <w:r>
        <w:t xml:space="preserve"> </w:t>
      </w:r>
      <w:r>
        <w:t xml:space="preserve">the identified product categories.</w:t>
      </w:r>
    </w:p>
    <w:p>
      <w:pPr>
        <w:pStyle w:val="BodyText"/>
      </w:pPr>
      <w:r>
        <w:t xml:space="preserve">365 See Table 21: Annual number of inspections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169</w:t>
      </w:r>
      <w:r>
        <w:t xml:space="preserve"> </w:t>
      </w:r>
      <w:r>
        <w:t xml:space="preserve">EN</w:t>
      </w:r>
      <w:r>
        <w:t xml:space="preserve"> </w:t>
      </w:r>
      <w:r>
        <w:t xml:space="preserve">PO2b</w:t>
      </w:r>
      <w:r>
        <w:t xml:space="preserve"> </w:t>
      </w:r>
      <w:r>
        <w:t xml:space="preserve">The introduction of a digital passport would simplify the work of market surveillance authorities and</w:t>
      </w:r>
      <w:r>
        <w:t xml:space="preserve"> </w:t>
      </w:r>
      <w:r>
        <w:t xml:space="preserve">would therefore significantly reduce the time spent chasing information from manufacturers. As such,</w:t>
      </w:r>
      <w:r>
        <w:t xml:space="preserve"> </w:t>
      </w:r>
      <w:r>
        <w:t xml:space="preserve">the number of inspections undertaken by market surveillance authorities for the same resources would</w:t>
      </w:r>
      <w:r>
        <w:t xml:space="preserve"> </w:t>
      </w:r>
      <w:r>
        <w:t xml:space="preserve">be expected to increase. While it is difficult to assess the exact scale of the reduction in the times</w:t>
      </w:r>
      <w:r>
        <w:t xml:space="preserve"> </w:t>
      </w:r>
      <w:r>
        <w:t xml:space="preserve">needed to undertake inspections, interviews undertaken during the study, suggest that this could be</w:t>
      </w:r>
      <w:r>
        <w:t xml:space="preserve"> </w:t>
      </w:r>
      <w:r>
        <w:t xml:space="preserve">in the range of 10% to 20%, which would translate into an equivalent percentage increase in the</w:t>
      </w:r>
      <w:r>
        <w:t xml:space="preserve"> </w:t>
      </w:r>
      <w:r>
        <w:t xml:space="preserve">number of inspections which could be undertaken with the resources available. Given the average</w:t>
      </w:r>
      <w:r>
        <w:t xml:space="preserve"> </w:t>
      </w:r>
      <w:r>
        <w:t xml:space="preserve">number of inspections was 25,259366, the number of inspections in the EU is expected to rise to</w:t>
      </w:r>
      <w:r>
        <w:t xml:space="preserve"> </w:t>
      </w:r>
      <w:r>
        <w:t xml:space="preserve">between 27,785 and 30,311. Dividing the total budget available by the increased number of</w:t>
      </w:r>
      <w:r>
        <w:t xml:space="preserve"> </w:t>
      </w:r>
      <w:r>
        <w:t xml:space="preserve">inspections, the cost per inspection is expected to lower from EUR 738.52 to between EUR 671.37</w:t>
      </w:r>
      <w:r>
        <w:t xml:space="preserve"> </w:t>
      </w:r>
      <w:r>
        <w:t xml:space="preserve">and EUR 615.42. This is based on the assumption that the budget will remain equal at national level</w:t>
      </w:r>
      <w:r>
        <w:t xml:space="preserve"> </w:t>
      </w:r>
      <w:r>
        <w:t xml:space="preserve">and that the resources freed up by the efficiency will continue to be dedicated to inspections on toys.</w:t>
      </w:r>
      <w:r>
        <w:t xml:space="preserve"> </w:t>
      </w:r>
      <w:r>
        <w:t xml:space="preserve">In addition, the precise number of inspections also depends on other practical factors including the</w:t>
      </w:r>
      <w:r>
        <w:t xml:space="preserve"> </w:t>
      </w:r>
      <w:r>
        <w:t xml:space="preserve">specific toys subject to inspection and or tests. Therefore, the precise impact of this option on the</w:t>
      </w:r>
      <w:r>
        <w:t xml:space="preserve"> </w:t>
      </w:r>
      <w:r>
        <w:t xml:space="preserve">number of inspections would probably be lower.</w:t>
      </w:r>
      <w:r>
        <w:t xml:space="preserve"> </w:t>
      </w:r>
      <w:r>
        <w:t xml:space="preserve">There would be one-off costs relating to market surveillance authorities adapting their information</w:t>
      </w:r>
      <w:r>
        <w:t xml:space="preserve"> </w:t>
      </w:r>
      <w:r>
        <w:t xml:space="preserve">systems and procedures to allow them to verify these. However, these would be required by the ESPR</w:t>
      </w:r>
      <w:r>
        <w:t xml:space="preserve"> </w:t>
      </w:r>
      <w:r>
        <w:t xml:space="preserve">regardless of whether toys are included in a delegated act by the ESPR.</w:t>
      </w:r>
      <w:r>
        <w:t xml:space="preserve"> </w:t>
      </w:r>
      <w:r>
        <w:t xml:space="preserve">Under Option 2b, there would be no significant impact for notified bodies.</w:t>
      </w:r>
      <w:r>
        <w:t xml:space="preserve"> </w:t>
      </w:r>
      <w:r>
        <w:t xml:space="preserve">Customs authorities</w:t>
      </w:r>
      <w:r>
        <w:t xml:space="preserve"> </w:t>
      </w:r>
      <w:r>
        <w:t xml:space="preserve">This option would require that the existence of a DPP with the Declaration of Conformity is verified</w:t>
      </w:r>
      <w:r>
        <w:t xml:space="preserve"> </w:t>
      </w:r>
      <w:r>
        <w:t xml:space="preserve">at customs. The reference to the DPP will be included in a central registry; when the release for free</w:t>
      </w:r>
      <w:r>
        <w:t xml:space="preserve"> </w:t>
      </w:r>
      <w:r>
        <w:t xml:space="preserve">circulation is requested, customs authorities will verify that this DPP is included in the registry. DPPs</w:t>
      </w:r>
      <w:r>
        <w:t xml:space="preserve"> </w:t>
      </w:r>
      <w:r>
        <w:t xml:space="preserve">will have to include the DoC for toys to be generated and included in the registry.</w:t>
      </w:r>
      <w:r>
        <w:br/>
      </w:r>
      <w:r>
        <w:t xml:space="preserve">Currently, customs controls are done on a risk-based manner. This option will rely on the</w:t>
      </w:r>
      <w:r>
        <w:t xml:space="preserve"> </w:t>
      </w:r>
      <w:r>
        <w:t xml:space="preserve">interconnection of the DPP central registry with the customs IT infrastructure (as proposed in the</w:t>
      </w:r>
      <w:r>
        <w:t xml:space="preserve"> </w:t>
      </w:r>
      <w:r>
        <w:t xml:space="preserve">ESPR) leading to automatic controls at customs of the presence of the DPP. The costs associated with</w:t>
      </w:r>
      <w:r>
        <w:t xml:space="preserve"> </w:t>
      </w:r>
      <w:r>
        <w:t xml:space="preserve">the interconnection of the relevant IT infrastructures are required under the ESPR, this option for</w:t>
      </w:r>
      <w:r>
        <w:t xml:space="preserve"> </w:t>
      </w:r>
      <w:r>
        <w:t xml:space="preserve">revision of the TSD would not impose additional costs in this respect. The automation of controls</w:t>
      </w:r>
      <w:r>
        <w:t xml:space="preserve"> </w:t>
      </w:r>
      <w:r>
        <w:t xml:space="preserve">would allow customs to decrease their costs and it would allow them also to do more checks, and to</w:t>
      </w:r>
      <w:r>
        <w:t xml:space="preserve"> </w:t>
      </w:r>
      <w:r>
        <w:t xml:space="preserve">be able to prevent more non-compliant toys being released for free circulation and thus placed on the</w:t>
      </w:r>
      <w:r>
        <w:t xml:space="preserve"> </w:t>
      </w:r>
      <w:r>
        <w:t xml:space="preserve">Union market.</w:t>
      </w:r>
      <w:r>
        <w:t xml:space="preserve"> </w:t>
      </w:r>
      <w:r>
        <w:t xml:space="preserve">The technical aspects of the DPP under this option are not set but it is expected that there would be</w:t>
      </w:r>
      <w:r>
        <w:t xml:space="preserve"> </w:t>
      </w:r>
      <w:r>
        <w:t xml:space="preserve">some costs associated with defining the data needs and information exchange protocols and</w:t>
      </w:r>
      <w:r>
        <w:t xml:space="preserve"> </w:t>
      </w:r>
      <w:r>
        <w:t xml:space="preserve">permissions between any DPP system and the EU SWE-C to allow customs authorities to check for</w:t>
      </w:r>
      <w:r>
        <w:t xml:space="preserve"> </w:t>
      </w:r>
      <w:r>
        <w:t xml:space="preserve">the existence of the DPP on imported toys. Interconnection between the central registry of DPP and</w:t>
      </w:r>
      <w:r>
        <w:t xml:space="preserve"> </w:t>
      </w:r>
      <w:r>
        <w:t xml:space="preserve">the EU SWE-C is already foreseen under the ESPR.</w:t>
      </w:r>
      <w:r>
        <w:t xml:space="preserve"> </w:t>
      </w:r>
      <w:r>
        <w:t xml:space="preserve">On the other hand, the introduction of the DPP would likely entail the submission of the required</w:t>
      </w:r>
      <w:r>
        <w:t xml:space="preserve"> </w:t>
      </w:r>
      <w:r>
        <w:t xml:space="preserve">documentation by the importer at a stage before the actual shipping of the product. This would lead</w:t>
      </w:r>
      <w:r>
        <w:t xml:space="preserve"> </w:t>
      </w:r>
      <w:r>
        <w:t xml:space="preserve">to potential savings for customs with less shipments on hold at the border. In case of actual</w:t>
      </w:r>
      <w:r>
        <w:t xml:space="preserve"> </w:t>
      </w:r>
      <w:r>
        <w:t xml:space="preserve">harmonisation and standardisation of the DoC within the DPP, this would also lead to a reduction of</w:t>
      </w:r>
      <w:r>
        <w:t xml:space="preserve"> </w:t>
      </w:r>
      <w:r>
        <w:t xml:space="preserve">the physical controls. Customs, however, would exclusively check through automated systems of the</w:t>
      </w:r>
    </w:p>
    <w:p>
      <w:pPr>
        <w:pStyle w:val="BodyText"/>
      </w:pPr>
      <w:r>
        <w:t xml:space="preserve">366 See Table 21: Annual number of inspections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170</w:t>
      </w:r>
      <w:r>
        <w:t xml:space="preserve"> </w:t>
      </w:r>
      <w:r>
        <w:t xml:space="preserve">EN</w:t>
      </w:r>
      <w:r>
        <w:t xml:space="preserve"> </w:t>
      </w:r>
      <w:r>
        <w:t xml:space="preserve">provision with the imported shipment of the DPP, not its actual content which would be still subject</w:t>
      </w:r>
      <w:r>
        <w:t xml:space="preserve"> </w:t>
      </w:r>
      <w:r>
        <w:t xml:space="preserve">to checks of the relevant national market surveillance authority.</w:t>
      </w:r>
      <w:r>
        <w:t xml:space="preserve"> </w:t>
      </w:r>
      <w:r>
        <w:t xml:space="preserve">PO2c</w:t>
      </w:r>
      <w:r>
        <w:t xml:space="preserve"> </w:t>
      </w:r>
      <w:r>
        <w:t xml:space="preserve">Under Option 2c the effect of option 2a and option 2b would be cumulated. For market surveillance</w:t>
      </w:r>
      <w:r>
        <w:t xml:space="preserve"> </w:t>
      </w:r>
      <w:r>
        <w:t xml:space="preserve">authorities, the time savings for inspections would be in the range of (5% for option 2a + 10% for</w:t>
      </w:r>
      <w:r>
        <w:t xml:space="preserve"> </w:t>
      </w:r>
      <w:r>
        <w:t xml:space="preserve">option 2b =) 15% and (5% for option 2a + 20% for option 2b =) 25%. The cumulative effect is due</w:t>
      </w:r>
      <w:r>
        <w:t xml:space="preserve"> </w:t>
      </w:r>
      <w:r>
        <w:t xml:space="preserve">to the fact that under 2a saving are linked to the reduced time in collecting documents, while under</w:t>
      </w:r>
      <w:r>
        <w:t xml:space="preserve"> </w:t>
      </w:r>
      <w:r>
        <w:t xml:space="preserve">2b they relate to the reduced testing, as well as the time needed to chase and find the manufacturer.</w:t>
      </w:r>
      <w:r>
        <w:t xml:space="preserve"> </w:t>
      </w:r>
      <w:r>
        <w:t xml:space="preserve">Given the average number of inspections was 25,259367, the number of inspections in the EU is</w:t>
      </w:r>
      <w:r>
        <w:t xml:space="preserve"> </w:t>
      </w:r>
      <w:r>
        <w:t xml:space="preserve">expected to rise to between 29,048 and 31,573. Dividing the total budget available by the increased</w:t>
      </w:r>
      <w:r>
        <w:t xml:space="preserve"> </w:t>
      </w:r>
      <w:r>
        <w:t xml:space="preserve">number of inspections, the cost per inspection could lower from EUR 738.52 to between EUR 642.18</w:t>
      </w:r>
      <w:r>
        <w:t xml:space="preserve"> </w:t>
      </w:r>
      <w:r>
        <w:t xml:space="preserve">and EUR 590.83. This is based on the assumption that the budget will remain equal at national level</w:t>
      </w:r>
      <w:r>
        <w:t xml:space="preserve"> </w:t>
      </w:r>
      <w:r>
        <w:t xml:space="preserve">and that the resources freed up by the efficiency will continue to be dedicated to inspections on toys.</w:t>
      </w:r>
      <w:r>
        <w:t xml:space="preserve"> </w:t>
      </w:r>
      <w:r>
        <w:t xml:space="preserve">In addition, the precise number of inspections also depends on other practical factors including the</w:t>
      </w:r>
      <w:r>
        <w:t xml:space="preserve"> </w:t>
      </w:r>
      <w:r>
        <w:t xml:space="preserve">specific toys subject to inspection and or tests. Therefore, the precise impact of this option on the</w:t>
      </w:r>
      <w:r>
        <w:t xml:space="preserve"> </w:t>
      </w:r>
      <w:r>
        <w:t xml:space="preserve">number of inspections would probably be lower.</w:t>
      </w:r>
      <w:r>
        <w:t xml:space="preserve"> </w:t>
      </w:r>
      <w:r>
        <w:t xml:space="preserve">Notified bodies would incur costs relating to the increase in the testing capacity required to undertake</w:t>
      </w:r>
      <w:r>
        <w:t xml:space="preserve"> </w:t>
      </w:r>
      <w:r>
        <w:t xml:space="preserve">these tests, although these costs will be passed on to businesses.</w:t>
      </w:r>
      <w:r>
        <w:t xml:space="preserve"> </w:t>
      </w:r>
      <w:r>
        <w:t xml:space="preserve">The impacts for customs authorities would be the same as in PO2b.</w:t>
      </w:r>
      <w:r>
        <w:t xml:space="preserve"> </w:t>
      </w:r>
      <w:r>
        <w:t xml:space="preserve">1.2.</w:t>
      </w:r>
      <w:r>
        <w:t xml:space="preserve"> </w:t>
      </w:r>
      <w:r>
        <w:t xml:space="preserve">Economic operators – Administrative burden</w:t>
      </w:r>
      <w:r>
        <w:t xml:space="preserve"> </w:t>
      </w:r>
      <w:r>
        <w:t xml:space="preserve">A) Baseline</w:t>
      </w:r>
      <w:r>
        <w:t xml:space="preserve"> </w:t>
      </w:r>
      <w:r>
        <w:t xml:space="preserve">In the case of the Toy Safety Directive, the information obligations to be taken into account for the</w:t>
      </w:r>
      <w:r>
        <w:t xml:space="preserve"> </w:t>
      </w:r>
      <w:r>
        <w:t xml:space="preserve">estimation of the administrative burden are the activities related to the safety assessment, such as the</w:t>
      </w:r>
      <w:r>
        <w:t xml:space="preserve"> </w:t>
      </w:r>
      <w:r>
        <w:t xml:space="preserve">identification of the applicable safety requirements, generating the safety assessment, identification</w:t>
      </w:r>
      <w:r>
        <w:t xml:space="preserve"> </w:t>
      </w:r>
      <w:r>
        <w:t xml:space="preserve">of the necessary tests and collecting all the necessary information – in particular from the supply</w:t>
      </w:r>
      <w:r>
        <w:t xml:space="preserve"> </w:t>
      </w:r>
      <w:r>
        <w:t xml:space="preserve">chain – needed for the completion of the required documentation.</w:t>
      </w:r>
      <w:r>
        <w:t xml:space="preserve"> </w:t>
      </w:r>
      <w:r>
        <w:t xml:space="preserve">The safety assessment is performed by manufacturers for each toy. This requires considering all the</w:t>
      </w:r>
      <w:r>
        <w:t xml:space="preserve"> </w:t>
      </w:r>
      <w:r>
        <w:t xml:space="preserve">hazards that a toy presents and that could lead to a risk when a child is exposed to a hazard during</w:t>
      </w:r>
      <w:r>
        <w:t xml:space="preserve"> </w:t>
      </w:r>
      <w:r>
        <w:t xml:space="preserve">play. In the public consultation for the evaluation of the Toys Safety Directive (2020), manufacturers</w:t>
      </w:r>
      <w:r>
        <w:t xml:space="preserve"> </w:t>
      </w:r>
      <w:r>
        <w:t xml:space="preserve">highlighted that taking into account all safety requirements causes significant costs and the safety</w:t>
      </w:r>
      <w:r>
        <w:t xml:space="preserve"> </w:t>
      </w:r>
      <w:r>
        <w:t xml:space="preserve">assessment itself causes significant costs.</w:t>
      </w:r>
      <w:r>
        <w:t xml:space="preserve"> </w:t>
      </w:r>
      <w:r>
        <w:t xml:space="preserve">It is thus possible to identify three main classes of costs:</w:t>
      </w:r>
      <w:r>
        <w:t xml:space="preserve"> </w:t>
      </w:r>
      <w:r>
        <w:t xml:space="preserve"> Certification: which include all the activities related to the production of the safety assessment</w:t>
      </w:r>
      <w:r>
        <w:t xml:space="preserve"> </w:t>
      </w:r>
      <w:r>
        <w:t xml:space="preserve">and the EC-type examination certificate. The actual testing of toys is not considered per se an</w:t>
      </w:r>
      <w:r>
        <w:t xml:space="preserve"> </w:t>
      </w:r>
      <w:r>
        <w:t xml:space="preserve">administrative burden but is accounted in this study as an adjustment cost.368 These certification</w:t>
      </w:r>
      <w:r>
        <w:t xml:space="preserve"> </w:t>
      </w:r>
      <w:r>
        <w:t xml:space="preserve">costs can range between EUR 500 in case of self-assessment, and EUR 1000 in case of third-party</w:t>
      </w:r>
      <w:r>
        <w:t xml:space="preserve"> </w:t>
      </w:r>
      <w:r>
        <w:t xml:space="preserve">assessment.</w:t>
      </w:r>
    </w:p>
    <w:p>
      <w:pPr>
        <w:pStyle w:val="BodyText"/>
      </w:pPr>
      <w:r>
        <w:t xml:space="preserve">367 See Table 21: Annual number of inspections</w:t>
      </w:r>
      <w:r>
        <w:br/>
      </w:r>
      <w:r>
        <w:t xml:space="preserve">368 “Testing costs. When business have to submit their products &amp; processes to a test in order to get an authorisation or</w:t>
      </w:r>
      <w:r>
        <w:t xml:space="preserve"> </w:t>
      </w:r>
      <w:r>
        <w:t xml:space="preserve">a certificate, these testing costs are not considered as administrative costs.”, Better Regulation Toolbox, p.525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171</w:t>
      </w:r>
      <w:r>
        <w:t xml:space="preserve"> </w:t>
      </w:r>
      <w:r>
        <w:t xml:space="preserve">EN</w:t>
      </w:r>
      <w:r>
        <w:t xml:space="preserve"> </w:t>
      </w:r>
      <w:r>
        <w:t xml:space="preserve"> Technical Documentation: including costs incurred in coordination with the supply chain and</w:t>
      </w:r>
      <w:r>
        <w:t xml:space="preserve"> </w:t>
      </w:r>
      <w:r>
        <w:t xml:space="preserve">gathering of the information needed for the technical documentation of the toy. According to the</w:t>
      </w:r>
      <w:r>
        <w:t xml:space="preserve"> </w:t>
      </w:r>
      <w:r>
        <w:t xml:space="preserve">TSD evaluation estimates, the production of the technical documentation would amount to</w:t>
      </w:r>
      <w:r>
        <w:t xml:space="preserve"> </w:t>
      </w:r>
      <w:r>
        <w:t xml:space="preserve">approximately EUR 2,800 per new toy model.</w:t>
      </w:r>
      <w:r>
        <w:t xml:space="preserve"> </w:t>
      </w:r>
      <w:r>
        <w:t xml:space="preserve"> Labelling: labelling is also part of the administrative burden and would entail the activities related</w:t>
      </w:r>
      <w:r>
        <w:t xml:space="preserve"> </w:t>
      </w:r>
      <w:r>
        <w:t xml:space="preserve">to the identification of the applicable rules on CE marking, on warnings and other toy markings.</w:t>
      </w:r>
      <w:r>
        <w:t xml:space="preserve"> </w:t>
      </w:r>
      <w:r>
        <w:t xml:space="preserve">According to the estimates, the average cost for a company would amount to EUR 700 per new</w:t>
      </w:r>
      <w:r>
        <w:t xml:space="preserve"> </w:t>
      </w:r>
      <w:r>
        <w:t xml:space="preserve">toy model.</w:t>
      </w:r>
      <w:r>
        <w:t xml:space="preserve"> </w:t>
      </w:r>
      <w:r>
        <w:t xml:space="preserve">The purpose of the following analysis is to estimate the potential changes in the administrative burden</w:t>
      </w:r>
      <w:r>
        <w:t xml:space="preserve"> </w:t>
      </w:r>
      <w:r>
        <w:t xml:space="preserve">due to the application of the envisaged policy options. The information and data have been collected</w:t>
      </w:r>
      <w:r>
        <w:t xml:space="preserve"> </w:t>
      </w:r>
      <w:r>
        <w:t xml:space="preserve">through multiple sources, including desk research, interviews and a survey with toy manufacturers</w:t>
      </w:r>
      <w:r>
        <w:t xml:space="preserve"> </w:t>
      </w:r>
      <w:r>
        <w:t xml:space="preserve">and market surveillance authorities. The estimates provided in the different policy options are based</w:t>
      </w:r>
      <w:r>
        <w:t xml:space="preserve"> </w:t>
      </w:r>
      <w:r>
        <w:t xml:space="preserve">on the information provided by consulted stakeholders and their expectations of the impacts based</w:t>
      </w:r>
      <w:r>
        <w:t xml:space="preserve"> </w:t>
      </w:r>
      <w:r>
        <w:t xml:space="preserve">on the current descriptions of the policy options. The lack of definition of some details, prevented the</w:t>
      </w:r>
      <w:r>
        <w:t xml:space="preserve"> </w:t>
      </w:r>
      <w:r>
        <w:t xml:space="preserve">possibility of having more specific estimates.</w:t>
      </w:r>
      <w:r>
        <w:br/>
      </w:r>
      <w:r>
        <w:t xml:space="preserve">The purpose of the analysis of the policy options is to estimate the potential increment with respect</w:t>
      </w:r>
      <w:r>
        <w:t xml:space="preserve"> </w:t>
      </w:r>
      <w:r>
        <w:t xml:space="preserve">to the current level of administrative burden (baseline) and the impact on the costs - increase or</w:t>
      </w:r>
      <w:r>
        <w:t xml:space="preserve"> </w:t>
      </w:r>
      <w:r>
        <w:t xml:space="preserve">reduction – due to the specific provisions. In this section, we define the baseline against which the</w:t>
      </w:r>
      <w:r>
        <w:t xml:space="preserve"> </w:t>
      </w:r>
      <w:r>
        <w:t xml:space="preserve">policy options are compared to.</w:t>
      </w:r>
      <w:r>
        <w:t xml:space="preserve"> </w:t>
      </w:r>
      <w:r>
        <w:t xml:space="preserve">According to the conducted interviews, the analysis of the responses to the SME survey and the data</w:t>
      </w:r>
      <w:r>
        <w:t xml:space="preserve"> </w:t>
      </w:r>
      <w:r>
        <w:t xml:space="preserve">collected for the evaluation of the Toy Safety Directive (2020) it is possible to approximately estimate</w:t>
      </w:r>
      <w:r>
        <w:t xml:space="preserve"> </w:t>
      </w:r>
      <w:r>
        <w:t xml:space="preserve">the current average administrative burden for a new toy model placed on the market:</w:t>
      </w:r>
      <w:r>
        <w:t xml:space="preserve"> </w:t>
      </w:r>
      <w:r>
        <w:t xml:space="preserve"> Approximately EUR 4,000 in case of self-assessment;</w:t>
      </w:r>
      <w:r>
        <w:t xml:space="preserve"> </w:t>
      </w:r>
      <w:r>
        <w:t xml:space="preserve"> Approximately EUR 4,500 in case of third-party conformity assessment.</w:t>
      </w:r>
      <w:r>
        <w:br/>
      </w:r>
      <w:r>
        <w:t xml:space="preserve">Table 22: Detail of administrative burden and related monetary estimates</w:t>
      </w:r>
      <w:r>
        <w:t xml:space="preserve"> </w:t>
      </w:r>
      <w:r>
        <w:t xml:space="preserve">Type</w:t>
      </w:r>
      <w:r>
        <w:t xml:space="preserve"> </w:t>
      </w:r>
      <w:r>
        <w:t xml:space="preserve">Activities in scope</w:t>
      </w:r>
      <w:r>
        <w:t xml:space="preserve"> </w:t>
      </w:r>
      <w:r>
        <w:t xml:space="preserve">Source</w:t>
      </w:r>
    </w:p>
    <w:p>
      <w:pPr>
        <w:pStyle w:val="BodyText"/>
      </w:pPr>
      <w:r>
        <w:t xml:space="preserve">Certification:</w:t>
      </w:r>
      <w:r>
        <w:t xml:space="preserve"> </w:t>
      </w:r>
      <w:r>
        <w:t xml:space="preserve">Self-assessment</w:t>
      </w:r>
      <w:r>
        <w:t xml:space="preserve"> </w:t>
      </w:r>
      <w:r>
        <w:t xml:space="preserve"></w:t>
      </w:r>
      <w:r>
        <w:t xml:space="preserve"> </w:t>
      </w:r>
      <w:r>
        <w:t xml:space="preserve">Generating the self-assessment</w:t>
      </w:r>
      <w:r>
        <w:t xml:space="preserve"> </w:t>
      </w:r>
      <w:r>
        <w:t xml:space="preserve">TSD</w:t>
      </w:r>
      <w:r>
        <w:t xml:space="preserve"> </w:t>
      </w:r>
      <w:r>
        <w:t xml:space="preserve">evaluation /</w:t>
      </w:r>
      <w:r>
        <w:t xml:space="preserve"> </w:t>
      </w:r>
      <w:r>
        <w:t xml:space="preserve">Interviews</w:t>
      </w:r>
      <w:r>
        <w:t xml:space="preserve"> </w:t>
      </w:r>
      <w:r>
        <w:t xml:space="preserve">500</w:t>
      </w:r>
      <w:r>
        <w:t xml:space="preserve"> </w:t>
      </w:r>
      <w:r>
        <w:t xml:space="preserve">3rd-party</w:t>
      </w:r>
      <w:r>
        <w:t xml:space="preserve"> </w:t>
      </w:r>
      <w:r>
        <w:t xml:space="preserve"></w:t>
      </w:r>
      <w:r>
        <w:t xml:space="preserve"> </w:t>
      </w:r>
      <w:r>
        <w:t xml:space="preserve">Review of the technical</w:t>
      </w:r>
      <w:r>
        <w:t xml:space="preserve"> </w:t>
      </w:r>
      <w:r>
        <w:t xml:space="preserve">documentation by NB</w:t>
      </w:r>
      <w:r>
        <w:t xml:space="preserve"> </w:t>
      </w:r>
      <w:r>
        <w:t xml:space="preserve"></w:t>
      </w:r>
      <w:r>
        <w:t xml:space="preserve"> </w:t>
      </w:r>
      <w:r>
        <w:t xml:space="preserve">Obtaining an EC-type examination</w:t>
      </w:r>
      <w:r>
        <w:t xml:space="preserve"> </w:t>
      </w:r>
      <w:r>
        <w:t xml:space="preserve">certificate</w:t>
      </w:r>
      <w:r>
        <w:t xml:space="preserve"> </w:t>
      </w:r>
      <w:r>
        <w:t xml:space="preserve">TSD</w:t>
      </w:r>
      <w:r>
        <w:t xml:space="preserve"> </w:t>
      </w:r>
      <w:r>
        <w:t xml:space="preserve">evaluation /</w:t>
      </w:r>
      <w:r>
        <w:t xml:space="preserve"> </w:t>
      </w:r>
      <w:r>
        <w:t xml:space="preserve">Interviews</w:t>
      </w:r>
      <w:r>
        <w:t xml:space="preserve"> </w:t>
      </w:r>
      <w:r>
        <w:t xml:space="preserve">1000</w:t>
      </w:r>
      <w:r>
        <w:t xml:space="preserve"> </w:t>
      </w:r>
      <w:r>
        <w:t xml:space="preserve">Technical documentation:</w:t>
      </w:r>
      <w:r>
        <w:t xml:space="preserve"> </w:t>
      </w:r>
      <w:r>
        <w:t xml:space="preserve">Self-assessment</w:t>
      </w:r>
      <w:r>
        <w:t xml:space="preserve"> </w:t>
      </w:r>
      <w:r>
        <w:t xml:space="preserve"></w:t>
      </w:r>
      <w:r>
        <w:t xml:space="preserve"> </w:t>
      </w:r>
      <w:r>
        <w:t xml:space="preserve">Familiarising with the information</w:t>
      </w:r>
      <w:r>
        <w:t xml:space="preserve"> </w:t>
      </w:r>
      <w:r>
        <w:t xml:space="preserve">obligation</w:t>
      </w:r>
      <w:r>
        <w:t xml:space="preserve"> </w:t>
      </w:r>
      <w:r>
        <w:t xml:space="preserve"></w:t>
      </w:r>
      <w:r>
        <w:t xml:space="preserve"> </w:t>
      </w:r>
      <w:r>
        <w:t xml:space="preserve">Retrieving relevant information</w:t>
      </w:r>
      <w:r>
        <w:t xml:space="preserve"> </w:t>
      </w:r>
      <w:r>
        <w:t xml:space="preserve">from existing data</w:t>
      </w:r>
      <w:r>
        <w:t xml:space="preserve"> </w:t>
      </w:r>
      <w:r>
        <w:t xml:space="preserve"></w:t>
      </w:r>
      <w:r>
        <w:t xml:space="preserve"> </w:t>
      </w:r>
      <w:r>
        <w:t xml:space="preserve">Generating technical</w:t>
      </w:r>
      <w:r>
        <w:t xml:space="preserve"> </w:t>
      </w:r>
      <w:r>
        <w:t xml:space="preserve">documentation</w:t>
      </w:r>
      <w:r>
        <w:t xml:space="preserve"> </w:t>
      </w:r>
      <w:r>
        <w:t xml:space="preserve">TSD</w:t>
      </w:r>
      <w:r>
        <w:t xml:space="preserve"> </w:t>
      </w:r>
      <w:r>
        <w:t xml:space="preserve">evaluation /</w:t>
      </w:r>
      <w:r>
        <w:t xml:space="preserve"> </w:t>
      </w:r>
      <w:r>
        <w:t xml:space="preserve">Interviews</w:t>
      </w:r>
      <w:r>
        <w:t xml:space="preserve"> </w:t>
      </w:r>
      <w:r>
        <w:t xml:space="preserve">2800</w:t>
      </w:r>
      <w:r>
        <w:t xml:space="preserve"> </w:t>
      </w:r>
      <w:r>
        <w:t xml:space="preserve">3rd-party</w:t>
      </w:r>
      <w:r>
        <w:t xml:space="preserve"> </w:t>
      </w:r>
      <w:r>
        <w:t xml:space="preserve">TSD</w:t>
      </w:r>
      <w:r>
        <w:t xml:space="preserve"> </w:t>
      </w:r>
      <w:r>
        <w:t xml:space="preserve">evaluation /</w:t>
      </w:r>
      <w:r>
        <w:t xml:space="preserve"> </w:t>
      </w:r>
      <w:r>
        <w:t xml:space="preserve">Interviews</w:t>
      </w:r>
      <w:r>
        <w:t xml:space="preserve"> </w:t>
      </w:r>
      <w:r>
        <w:t xml:space="preserve">2800</w:t>
      </w:r>
      <w:r>
        <w:t xml:space="preserve"> </w:t>
      </w:r>
      <w:r>
        <w:t xml:space="preserve">Labelling:</w:t>
      </w:r>
      <w:r>
        <w:t xml:space="preserve"> </w:t>
      </w:r>
      <w:r>
        <w:t xml:space="preserve">Self-assessment</w:t>
      </w:r>
      <w:r>
        <w:t xml:space="preserve"> </w:t>
      </w:r>
      <w:r>
        <w:t xml:space="preserve"></w:t>
      </w:r>
      <w:r>
        <w:t xml:space="preserve"> </w:t>
      </w:r>
      <w:r>
        <w:t xml:space="preserve">Application of the CE marking</w:t>
      </w:r>
      <w:r>
        <w:t xml:space="preserve"> </w:t>
      </w:r>
      <w:r>
        <w:t xml:space="preserve"></w:t>
      </w:r>
      <w:r>
        <w:t xml:space="preserve"> </w:t>
      </w:r>
      <w:r>
        <w:t xml:space="preserve">Identification of applicable</w:t>
      </w:r>
      <w:r>
        <w:t xml:space="preserve"> </w:t>
      </w:r>
      <w:r>
        <w:t xml:space="preserve">warnings and traceability elements</w:t>
      </w:r>
      <w:r>
        <w:t xml:space="preserve"> </w:t>
      </w:r>
      <w:r>
        <w:t xml:space="preserve">TSD</w:t>
      </w:r>
      <w:r>
        <w:t xml:space="preserve"> </w:t>
      </w:r>
      <w:r>
        <w:t xml:space="preserve">evaluation</w:t>
      </w:r>
      <w:r>
        <w:t xml:space="preserve"> </w:t>
      </w:r>
      <w:r>
        <w:t xml:space="preserve">700</w:t>
      </w:r>
      <w:r>
        <w:t xml:space="preserve"> </w:t>
      </w:r>
      <w:r>
        <w:t xml:space="preserve">3rd-party</w:t>
      </w:r>
      <w:r>
        <w:t xml:space="preserve"> </w:t>
      </w:r>
      <w:r>
        <w:t xml:space="preserve">TSD</w:t>
      </w:r>
      <w:r>
        <w:t xml:space="preserve"> </w:t>
      </w:r>
      <w:r>
        <w:t xml:space="preserve">evaluation</w:t>
      </w:r>
      <w:r>
        <w:t xml:space="preserve"> </w:t>
      </w:r>
      <w:r>
        <w:t xml:space="preserve">700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172</w:t>
      </w:r>
      <w:r>
        <w:t xml:space="preserve"> </w:t>
      </w:r>
      <w:r>
        <w:t xml:space="preserve">EN</w:t>
      </w:r>
    </w:p>
    <w:p>
      <w:pPr>
        <w:pStyle w:val="Compact"/>
        <w:numPr>
          <w:ilvl w:val="0"/>
          <w:numId w:val="1009"/>
        </w:numPr>
      </w:pPr>
      <w:r>
        <w:t xml:space="preserve">Policy options to strengthen the protection of children from harmful chemicals -</w:t>
      </w:r>
      <w:r>
        <w:br/>
      </w:r>
      <w:r>
        <w:t xml:space="preserve">These policy options would not entail a direct increase of the administrative burden on companies</w:t>
      </w:r>
      <w:r>
        <w:t xml:space="preserve"> </w:t>
      </w:r>
      <w:r>
        <w:t xml:space="preserve">since it does not entail any specific change in terms of information obligations for companies but</w:t>
      </w:r>
      <w:r>
        <w:t xml:space="preserve"> </w:t>
      </w:r>
      <w:r>
        <w:t xml:space="preserve">focus on how the chemical composition of toys is. The indirect effect of these measures would most</w:t>
      </w:r>
      <w:r>
        <w:t xml:space="preserve"> </w:t>
      </w:r>
      <w:r>
        <w:t xml:space="preserve">likely include an increase of the complexity of the technical documentation and the effort to</w:t>
      </w:r>
      <w:r>
        <w:t xml:space="preserve"> </w:t>
      </w:r>
      <w:r>
        <w:t xml:space="preserve">familiarise with applicable safety measures, but these are considered to be marginal. In addition, there</w:t>
      </w:r>
      <w:r>
        <w:t xml:space="preserve"> </w:t>
      </w:r>
      <w:r>
        <w:t xml:space="preserve">may be certain administrative costs from applying for derogations under option 1b, which will depend</w:t>
      </w:r>
      <w:r>
        <w:t xml:space="preserve"> </w:t>
      </w:r>
      <w:r>
        <w:t xml:space="preserve">on whether the derogations are requested and for which specific substances. It has been estimated</w:t>
      </w:r>
      <w:r>
        <w:t xml:space="preserve"> </w:t>
      </w:r>
      <w:r>
        <w:t xml:space="preserve">that these could range from EUR 100.000 to EUR 300.000 per year, for the whole industry.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Policy options to reduce the number of non-compliant toys</w:t>
      </w:r>
      <w:r>
        <w:t xml:space="preserve"> </w:t>
      </w:r>
      <w:r>
        <w:t xml:space="preserve">PO2a</w:t>
      </w:r>
      <w:r>
        <w:t xml:space="preserve"> </w:t>
      </w:r>
      <w:r>
        <w:t xml:space="preserve">Policy option 2a would entail the extension of pre-marketing conformity assessments to toys that are</w:t>
      </w:r>
      <w:r>
        <w:t xml:space="preserve"> </w:t>
      </w:r>
      <w:r>
        <w:t xml:space="preserve">chemicals mixtures or substances for which there are higher risks of exposure; and that are marketed</w:t>
      </w:r>
      <w:r>
        <w:t xml:space="preserve"> </w:t>
      </w:r>
      <w:r>
        <w:t xml:space="preserve">to under 36 months old or designed to be put in the mouth. Based on the responses obtained through</w:t>
      </w:r>
      <w:r>
        <w:t xml:space="preserve"> </w:t>
      </w:r>
      <w:r>
        <w:t xml:space="preserve">the interviews and the SME survey by toy manufacturers, the administrative burden for conformity</w:t>
      </w:r>
      <w:r>
        <w:t xml:space="preserve"> </w:t>
      </w:r>
      <w:r>
        <w:t xml:space="preserve">assessments would likely increase in comparison to the baseline. Currently only around 3% of toys</w:t>
      </w:r>
      <w:r>
        <w:t xml:space="preserve"> </w:t>
      </w:r>
      <w:r>
        <w:t xml:space="preserve">have to undergo third party conformity assessments.369 Under option 2a, considering the extension</w:t>
      </w:r>
      <w:r>
        <w:t xml:space="preserve"> </w:t>
      </w:r>
      <w:r>
        <w:t xml:space="preserve">of the mandatory third-party conformity assessment to additional categories of toys, this proportion</w:t>
      </w:r>
      <w:r>
        <w:t xml:space="preserve"> </w:t>
      </w:r>
      <w:r>
        <w:t xml:space="preserve">would likely rise to about 20% of new toys according to consulted stakeholders. Since third-party</w:t>
      </w:r>
      <w:r>
        <w:t xml:space="preserve"> </w:t>
      </w:r>
      <w:r>
        <w:t xml:space="preserve">assessments are more expensive in comparison to self-assessments (at least EUR 500 more per new</w:t>
      </w:r>
      <w:r>
        <w:t xml:space="preserve"> </w:t>
      </w:r>
      <w:r>
        <w:t xml:space="preserve">toy model) and companies consulted for this study reported a range of new toy models placed on the</w:t>
      </w:r>
      <w:r>
        <w:t xml:space="preserve"> </w:t>
      </w:r>
      <w:r>
        <w:t xml:space="preserve">market every year ranging between 10 and 125 units (and in total 78,702), the expectations are an</w:t>
      </w:r>
      <w:r>
        <w:t xml:space="preserve"> </w:t>
      </w:r>
      <w:r>
        <w:t xml:space="preserve">overall additional administrative burden of approximately EURm 7.8 per year.</w:t>
      </w:r>
      <w:r>
        <w:t xml:space="preserve"> </w:t>
      </w:r>
      <w:r>
        <w:t xml:space="preserve">PO2b</w:t>
      </w:r>
      <w:r>
        <w:t xml:space="preserve"> </w:t>
      </w:r>
      <w:r>
        <w:t xml:space="preserve">Policy option 2b involves the post-marketing facilitation of controls through the introduction of a</w:t>
      </w:r>
      <w:r>
        <w:t xml:space="preserve"> </w:t>
      </w:r>
      <w:r>
        <w:t xml:space="preserve">digital passport that would require that the EU declaration of conformity is digitally accessible (via</w:t>
      </w:r>
      <w:r>
        <w:t xml:space="preserve"> </w:t>
      </w:r>
      <w:r>
        <w:t xml:space="preserve">a machine-readable code) and the registration of the reference in a central registry (based on the</w:t>
      </w:r>
      <w:r>
        <w:t xml:space="preserve"> </w:t>
      </w:r>
      <w:r>
        <w:t xml:space="preserve">Digital Product Passport of the ESPR).</w:t>
      </w:r>
      <w:r>
        <w:t xml:space="preserve"> </w:t>
      </w:r>
      <w:r>
        <w:t xml:space="preserve">Data on the administrative burden for Digital Product Passport, is still not available, and thus it is not</w:t>
      </w:r>
      <w:r>
        <w:t xml:space="preserve"> </w:t>
      </w:r>
      <w:r>
        <w:t xml:space="preserve">possible to make a baseline estimate on this aspect. However, through the Impact Assessment on the</w:t>
      </w:r>
      <w:r>
        <w:t xml:space="preserve"> </w:t>
      </w:r>
      <w:r>
        <w:t xml:space="preserve">Sustainable Productive Initiative (ESPR)370, specific burdens have been identified in which</w:t>
      </w:r>
      <w:r>
        <w:t xml:space="preserve"> </w:t>
      </w:r>
      <w:r>
        <w:t xml:space="preserve">businesses are most likely to encounter, these include:</w:t>
      </w:r>
      <w:r>
        <w:br/>
      </w:r>
      <w:r>
        <w:t xml:space="preserve"> Administrative burden for businesses: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Setting-up of ICT systems that are compatible with the European Digital Product</w:t>
      </w:r>
      <w:r>
        <w:t xml:space="preserve"> </w:t>
      </w:r>
      <w:r>
        <w:t xml:space="preserve">Passport;</w:t>
      </w:r>
    </w:p>
    <w:p>
      <w:pPr>
        <w:pStyle w:val="FirstParagraph"/>
      </w:pPr>
      <w:r>
        <w:t xml:space="preserve">369 European Commission (2020). Evaluation of Directive 2009/48/EC of the European Parliament and of the Council on</w:t>
      </w:r>
      <w:r>
        <w:t xml:space="preserve"> </w:t>
      </w:r>
      <w:r>
        <w:t xml:space="preserve">the safety of toys.</w:t>
      </w:r>
      <w:r>
        <w:t xml:space="preserve"> </w:t>
      </w:r>
      <w:r>
        <w:t xml:space="preserve">370 https://op.europa.eu/en/publication-detail/-/publication/8c3a27e6-b3fa-11ec-9d96-01aa75ed71a1/language-en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173</w:t>
      </w:r>
      <w:r>
        <w:t xml:space="preserve"> </w:t>
      </w:r>
      <w:r>
        <w:t xml:space="preserve">EN</w:t>
      </w:r>
      <w:r>
        <w:t xml:space="preserve"> </w:t>
      </w:r>
      <w:r>
        <w:t xml:space="preserve">-</w:t>
      </w:r>
      <w:r>
        <w:t xml:space="preserve"> </w:t>
      </w:r>
      <w:r>
        <w:t xml:space="preserve">The provision of information that is required in a digital format;</w:t>
      </w:r>
      <w:r>
        <w:t xml:space="preserve"> </w:t>
      </w:r>
      <w:r>
        <w:t xml:space="preserve">-</w:t>
      </w:r>
      <w:r>
        <w:t xml:space="preserve"> </w:t>
      </w:r>
      <w:r>
        <w:t xml:space="preserve">Consolidation of information based on inputs of suppliers.</w:t>
      </w:r>
      <w:r>
        <w:t xml:space="preserve"> </w:t>
      </w:r>
      <w:r>
        <w:t xml:space="preserve">The implementation of the DPP, including the one-off costs (such as development of required IT</w:t>
      </w:r>
      <w:r>
        <w:t xml:space="preserve"> </w:t>
      </w:r>
      <w:r>
        <w:t xml:space="preserve">tools, new procedures for the preparation of the product documentation, and potentially additional IT</w:t>
      </w:r>
      <w:r>
        <w:t xml:space="preserve"> </w:t>
      </w:r>
      <w:r>
        <w:t xml:space="preserve">services) and recurrent costs (e.g. the FTE required to collect and provide electronically the required</w:t>
      </w:r>
      <w:r>
        <w:t xml:space="preserve"> </w:t>
      </w:r>
      <w:r>
        <w:t xml:space="preserve">documentation) may generate additional administrative burden for toy manufacturers. According to</w:t>
      </w:r>
      <w:r>
        <w:t xml:space="preserve"> </w:t>
      </w:r>
      <w:r>
        <w:t xml:space="preserve">consulted stakeholders, to adapt to the introduction of the DPP would generate internal, outsourcing</w:t>
      </w:r>
      <w:r>
        <w:t xml:space="preserve"> </w:t>
      </w:r>
      <w:r>
        <w:t xml:space="preserve">and equipment costs. For the calculation of the overall market costs, SMEs have been assumed to</w:t>
      </w:r>
      <w:r>
        <w:t xml:space="preserve"> </w:t>
      </w:r>
      <w:r>
        <w:t xml:space="preserve">incur in costs of EUR 3,000 per new toy model, while for larger companies, up to EUR 140,000. This</w:t>
      </w:r>
      <w:r>
        <w:t xml:space="preserve"> </w:t>
      </w:r>
      <w:r>
        <w:t xml:space="preserve">calculation provides an estimate of around EURm 28.5. While there is no specific breakdown of these</w:t>
      </w:r>
      <w:r>
        <w:t xml:space="preserve"> </w:t>
      </w:r>
      <w:r>
        <w:t xml:space="preserve">costs into one-off and recurring costs for the toy sector, previous research in other markets has found</w:t>
      </w:r>
      <w:r>
        <w:t xml:space="preserve"> </w:t>
      </w:r>
      <w:r>
        <w:t xml:space="preserve">a split of 80% one-off vs 20% annual costs for large firms, and 62% one-off vs 38% annual costs for</w:t>
      </w:r>
      <w:r>
        <w:t xml:space="preserve"> </w:t>
      </w:r>
      <w:r>
        <w:t xml:space="preserve">SMEs371. Applying this breakdown to the estimates for toys would suggest a total one-off cost of</w:t>
      </w:r>
      <w:r>
        <w:t xml:space="preserve"> </w:t>
      </w:r>
      <w:r>
        <w:t xml:space="preserve">EURm 18, in addition to an annual recurring cost of EURm 10,5.</w:t>
      </w:r>
      <w:r>
        <w:br/>
      </w:r>
      <w:r>
        <w:t xml:space="preserve">On the other hand, the provision of a digitalised and harmonised declaration of conformity and the</w:t>
      </w:r>
      <w:r>
        <w:t xml:space="preserve"> </w:t>
      </w:r>
      <w:r>
        <w:t xml:space="preserve">availability of the compliance information online, is also expected to lead to savings y. Previous</w:t>
      </w:r>
      <w:r>
        <w:t xml:space="preserve"> </w:t>
      </w:r>
      <w:r>
        <w:t xml:space="preserve">studies have suggested a benchmark of about 10-15% savings in administrative costs from the full</w:t>
      </w:r>
      <w:r>
        <w:t xml:space="preserve"> </w:t>
      </w:r>
      <w:r>
        <w:t xml:space="preserve">digitalisation of product information (not only compliance but also user-related information)372.</w:t>
      </w:r>
      <w:r>
        <w:t xml:space="preserve"> </w:t>
      </w:r>
      <w:r>
        <w:t xml:space="preserve">These studies also estimate the provision of compliance information at 0.4% of turnover of the</w:t>
      </w:r>
      <w:r>
        <w:t xml:space="preserve"> </w:t>
      </w:r>
      <w:r>
        <w:t xml:space="preserve">sector.373 Accordingly, savings could be estimated at around EUR 2.62 to EUR 3.93 million per year</w:t>
      </w:r>
      <w:r>
        <w:t xml:space="preserve"> </w:t>
      </w:r>
      <w:r>
        <w:t xml:space="preserve">only from moving to the digital provision of compliance information.</w:t>
      </w:r>
      <w:r>
        <w:br/>
      </w:r>
      <w:r>
        <w:t xml:space="preserve">The implementation of the DPP would also facilitate the control by market surveillance authorities</w:t>
      </w:r>
      <w:r>
        <w:t xml:space="preserve"> </w:t>
      </w:r>
      <w:r>
        <w:t xml:space="preserve">of the existence of the required documentation for each toy model thanks to the immediate availability</w:t>
      </w:r>
      <w:r>
        <w:t xml:space="preserve"> </w:t>
      </w:r>
      <w:r>
        <w:t xml:space="preserve">of these documents online. This would likely reduce the information obligations of companies to</w:t>
      </w:r>
      <w:r>
        <w:t xml:space="preserve"> </w:t>
      </w:r>
      <w:r>
        <w:t xml:space="preserve">market surveillance authorities in case of inspections. According to the evaluation study of the toys</w:t>
      </w:r>
      <w:r>
        <w:t xml:space="preserve"> </w:t>
      </w:r>
      <w:r>
        <w:t xml:space="preserve">directive, the average cost – per new toy model for an average importer or distributor – to “ensure</w:t>
      </w:r>
      <w:r>
        <w:t xml:space="preserve"> </w:t>
      </w:r>
      <w:r>
        <w:t xml:space="preserve">that the toy is accompanied by the required documents”374 amounts between EUR 548 and EUR 651.</w:t>
      </w:r>
      <w:r>
        <w:t xml:space="preserve"> </w:t>
      </w:r>
      <w:r>
        <w:t xml:space="preserve">The Evaluation also estimated costs for “getting supply chain information” of EUR 700 per toy</w:t>
      </w:r>
      <w:r>
        <w:t xml:space="preserve"> </w:t>
      </w:r>
      <w:r>
        <w:t xml:space="preserve">model.</w:t>
      </w:r>
      <w:r>
        <w:t xml:space="preserve"> </w:t>
      </w:r>
      <w:r>
        <w:t xml:space="preserve">In absence of a specific cost indication of this activities in case of inspections, but being a similar</w:t>
      </w:r>
      <w:r>
        <w:t xml:space="preserve"> </w:t>
      </w:r>
      <w:r>
        <w:t xml:space="preserve">activity requested by market surveillance authorities to manufacturers, we assume the burden on</w:t>
      </w:r>
      <w:r>
        <w:t xml:space="preserve"> </w:t>
      </w:r>
      <w:r>
        <w:t xml:space="preserve">companies to be on the same range. With the implementation of the DPP, this cost would likely</w:t>
      </w:r>
      <w:r>
        <w:t xml:space="preserve"> </w:t>
      </w:r>
      <w:r>
        <w:t xml:space="preserve">disappear for companies, since relevant documentation would be available online for market</w:t>
      </w:r>
      <w:r>
        <w:t xml:space="preserve"> </w:t>
      </w:r>
      <w:r>
        <w:t xml:space="preserve">surveillance authorities.</w:t>
      </w:r>
    </w:p>
    <w:p>
      <w:pPr>
        <w:pStyle w:val="BodyText"/>
      </w:pPr>
      <w:r>
        <w:t xml:space="preserve">371 Study to support the Impact Assessment on the use of digital labelling for EU fertilising products, European</w:t>
      </w:r>
      <w:r>
        <w:t xml:space="preserve"> </w:t>
      </w:r>
      <w:r>
        <w:t xml:space="preserve">Commission’s DG GROW, 2022</w:t>
      </w:r>
      <w:r>
        <w:br/>
      </w:r>
      <w:r>
        <w:t xml:space="preserve">372 European Commission, Directorate-General for Internal Market, Industry, Entrepreneurship and SMEs, Supporting</w:t>
      </w:r>
      <w:r>
        <w:t xml:space="preserve"> </w:t>
      </w:r>
      <w:r>
        <w:t xml:space="preserve">study for the evaluation of certain aspects of the New Legislative Framework (Decision No 768/2008/EC and Regulation</w:t>
      </w:r>
      <w:r>
        <w:t xml:space="preserve"> </w:t>
      </w:r>
      <w:r>
        <w:t xml:space="preserve">(EC) No 765/2008), Publications Office of the European Union, 2022, https://data.europa.eu/doi/10.2873/625443</w:t>
      </w:r>
      <w:r>
        <w:t xml:space="preserve"> </w:t>
      </w:r>
      <w:r>
        <w:t xml:space="preserve">373 0.4% of turnover of EU toy industry in 2020 was EUR 26.2 million. The share of 0.4% is the result of a multiplication</w:t>
      </w:r>
      <w:r>
        <w:t xml:space="preserve"> </w:t>
      </w:r>
      <w:r>
        <w:t xml:space="preserve">of the total cost of compliance (2% of annual turnover, based on previous literature) by the share of the total cost</w:t>
      </w:r>
      <w:r>
        <w:t xml:space="preserve"> </w:t>
      </w:r>
      <w:r>
        <w:t xml:space="preserve">compliance related only to the cost of indicating compliance with EU harmonisation legislation (20%, based on</w:t>
      </w:r>
      <w:r>
        <w:t xml:space="preserve"> </w:t>
      </w:r>
      <w:r>
        <w:t xml:space="preserve">stakeholder consultation in the study supporting the Evaluation of the New Legislative Framework referred to above).</w:t>
      </w:r>
      <w:r>
        <w:t xml:space="preserve"> </w:t>
      </w:r>
      <w:r>
        <w:t xml:space="preserve">374 Evaluation of Toys safety Directive, p. 64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174</w:t>
      </w:r>
      <w:r>
        <w:t xml:space="preserve"> </w:t>
      </w:r>
      <w:r>
        <w:t xml:space="preserve">EN</w:t>
      </w:r>
      <w:r>
        <w:t xml:space="preserve"> </w:t>
      </w:r>
      <w:r>
        <w:t xml:space="preserve">Considering the annual number of inspections by market surveillance authorities in Europe is</w:t>
      </w:r>
      <w:r>
        <w:t xml:space="preserve"> </w:t>
      </w:r>
      <w:r>
        <w:t xml:space="preserve">calculated to be around 25,000 (and may rise to 30,000 in case of implementation of the DPP), we</w:t>
      </w:r>
      <w:r>
        <w:t xml:space="preserve"> </w:t>
      </w:r>
      <w:r>
        <w:t xml:space="preserve">can estimate that the average annual saving for EU companies could be between EURm 13 and</w:t>
      </w:r>
      <w:r>
        <w:t xml:space="preserve"> </w:t>
      </w:r>
      <w:r>
        <w:t xml:space="preserve">EURm 16 in case of inspections remain at the same levels or increase slightly, or even up to EURm</w:t>
      </w:r>
      <w:r>
        <w:t xml:space="preserve"> </w:t>
      </w:r>
      <w:r>
        <w:t xml:space="preserve">20 in case of a significant increase in the number of inspections.</w:t>
      </w:r>
      <w:r>
        <w:t xml:space="preserve"> </w:t>
      </w:r>
      <w:r>
        <w:t xml:space="preserve">In addition, it is reasonable to assume that in the long term the internal costs for companies to</w:t>
      </w:r>
      <w:r>
        <w:t xml:space="preserve"> </w:t>
      </w:r>
      <w:r>
        <w:t xml:space="preserve">implement the DPP will diminish thanks to economies of scale, while the benefit of less burdensome</w:t>
      </w:r>
      <w:r>
        <w:t xml:space="preserve"> </w:t>
      </w:r>
      <w:r>
        <w:t xml:space="preserve">inspections for compliant companies will remain the same and lead to a visible economic benefit in</w:t>
      </w:r>
      <w:r>
        <w:t xml:space="preserve"> </w:t>
      </w:r>
      <w:r>
        <w:t xml:space="preserve">terms of reduction of administrative burden for companies.</w:t>
      </w:r>
      <w:r>
        <w:t xml:space="preserve"> </w:t>
      </w:r>
      <w:r>
        <w:t xml:space="preserve">Some aspects of the DPP are very cost-effective. For instance, impact assessment studies on the</w:t>
      </w:r>
      <w:r>
        <w:t xml:space="preserve"> </w:t>
      </w:r>
      <w:r>
        <w:t xml:space="preserve">digital labelling of fertilisers and chemicals have shown that the costs of generating unique QR labels</w:t>
      </w:r>
      <w:r>
        <w:t xml:space="preserve"> </w:t>
      </w:r>
      <w:r>
        <w:t xml:space="preserve">containing extensive information are very small (i.e. 0.0016 EUR / unique QR code generated), with</w:t>
      </w:r>
      <w:r>
        <w:t xml:space="preserve"> </w:t>
      </w:r>
      <w:r>
        <w:t xml:space="preserve">cost-efficiencies the more SKUs a producer has in its portfolio. This low cost was confirmed in an</w:t>
      </w:r>
      <w:r>
        <w:t xml:space="preserve"> </w:t>
      </w:r>
      <w:r>
        <w:t xml:space="preserve">earlier McKinsey study, which estimated 0.001451 cost per unique identifier375.</w:t>
      </w:r>
    </w:p>
    <w:p>
      <w:pPr>
        <w:pStyle w:val="BodyText"/>
      </w:pPr>
      <w:r>
        <w:t xml:space="preserve">PO2c</w:t>
      </w:r>
      <w:r>
        <w:t xml:space="preserve"> </w:t>
      </w:r>
      <w:r>
        <w:t xml:space="preserve">Including both the extension of the conformity assessment procedures and the facilitation of control,</w:t>
      </w:r>
      <w:r>
        <w:t xml:space="preserve"> </w:t>
      </w:r>
      <w:r>
        <w:t xml:space="preserve">entails that the administrative burden that will have to be incurred through this policy option would</w:t>
      </w:r>
      <w:r>
        <w:t xml:space="preserve"> </w:t>
      </w:r>
      <w:r>
        <w:t xml:space="preserve">be the combination of both policy option 2a and 2b.</w:t>
      </w:r>
      <w:r>
        <w:br/>
      </w:r>
      <w:r>
        <w:t xml:space="preserve">1.3.</w:t>
      </w:r>
      <w:r>
        <w:t xml:space="preserve"> </w:t>
      </w:r>
      <w:r>
        <w:t xml:space="preserve">Economic operators – Adjustment costs</w:t>
      </w:r>
      <w:r>
        <w:t xml:space="preserve"> </w:t>
      </w:r>
      <w:r>
        <w:t xml:space="preserve">Beyond the administrative costs for economic operators detailed in the previous section, it is</w:t>
      </w:r>
      <w:r>
        <w:t xml:space="preserve"> </w:t>
      </w:r>
      <w:r>
        <w:t xml:space="preserve">important to assess the adjustment costs for companies that could stem from the different policy</w:t>
      </w:r>
      <w:r>
        <w:t xml:space="preserve"> </w:t>
      </w:r>
      <w:r>
        <w:t xml:space="preserve">options, as well as the possible indirect impacts on innovation, competitiveness, and the EU Single</w:t>
      </w:r>
      <w:r>
        <w:t xml:space="preserve"> </w:t>
      </w:r>
      <w:r>
        <w:t xml:space="preserve">Market. The key adjustment costs to be considered are: i) the potential costs related to chemical</w:t>
      </w:r>
      <w:r>
        <w:t xml:space="preserve"> </w:t>
      </w:r>
      <w:r>
        <w:t xml:space="preserve">substitutions or product withdrawal resulting from extended restrictions to the use of chemical</w:t>
      </w:r>
      <w:r>
        <w:t xml:space="preserve"> </w:t>
      </w:r>
      <w:r>
        <w:t xml:space="preserve">substances and mixtures; and ii) increases in the costs associated with product testing.</w:t>
      </w:r>
      <w:r>
        <w:t xml:space="preserve"> </w:t>
      </w:r>
      <w:r>
        <w:t xml:space="preserve">The first set of policy options – i.e. those relating to improving toy safety – include a range of</w:t>
      </w:r>
      <w:r>
        <w:t xml:space="preserve"> </w:t>
      </w:r>
      <w:r>
        <w:t xml:space="preserve">measures that will result in changes to the rules on the use of chemicals in toys:</w:t>
      </w:r>
      <w:r>
        <w:t xml:space="preserve"> </w:t>
      </w:r>
      <w:r>
        <w:t xml:space="preserve"> Policy option 1a would give the Commission greater regulatory powers to change Limit</w:t>
      </w:r>
      <w:r>
        <w:t xml:space="preserve"> </w:t>
      </w:r>
      <w:r>
        <w:t xml:space="preserve">Values for any chemicals for any toys depending on scientific evidence presented regarding</w:t>
      </w:r>
      <w:r>
        <w:t xml:space="preserve"> </w:t>
      </w:r>
      <w:r>
        <w:t xml:space="preserve">the safety of chemicals used in toys. It would also reduce the limit values for nitrosamines</w:t>
      </w:r>
      <w:r>
        <w:t xml:space="preserve"> </w:t>
      </w:r>
      <w:r>
        <w:t xml:space="preserve">and nitrosatable substances, and require manufacturers to address combinations of chemicals</w:t>
      </w:r>
      <w:r>
        <w:t xml:space="preserve"> </w:t>
      </w:r>
      <w:r>
        <w:t xml:space="preserve">in toys following guidance.</w:t>
      </w:r>
      <w:r>
        <w:t xml:space="preserve"> </w:t>
      </w:r>
      <w:r>
        <w:t xml:space="preserve"> Policy option 1b would, in addition to the measures under PO1a, extend the generic approach</w:t>
      </w:r>
      <w:r>
        <w:t xml:space="preserve"> </w:t>
      </w:r>
      <w:r>
        <w:t xml:space="preserve">to risk management to introduce generic bans on additional substances classified among the</w:t>
      </w:r>
      <w:r>
        <w:t xml:space="preserve"> </w:t>
      </w:r>
      <w:r>
        <w:t xml:space="preserve">most harmful hazard classes. PO1b would also remove the derogation based on the relevant</w:t>
      </w:r>
      <w:r>
        <w:t xml:space="preserve"> </w:t>
      </w:r>
      <w:r>
        <w:t xml:space="preserve">concentrations of the CLP Regulation, but it would allow for a quantification/testing limit and</w:t>
      </w:r>
      <w:r>
        <w:t xml:space="preserve"> </w:t>
      </w:r>
      <w:r>
        <w:t xml:space="preserve">retain the other derogations.</w:t>
      </w:r>
    </w:p>
    <w:p>
      <w:pPr>
        <w:pStyle w:val="BodyText"/>
      </w:pPr>
      <w:r>
        <w:t xml:space="preserve">375 McKinsey &amp; C. “Want to improve consumer experience? Collaborate to build a product data standard”, April 2020.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175</w:t>
      </w:r>
      <w:r>
        <w:t xml:space="preserve"> </w:t>
      </w:r>
      <w:r>
        <w:t xml:space="preserve">EN</w:t>
      </w:r>
      <w:r>
        <w:t xml:space="preserve"> </w:t>
      </w:r>
      <w:r>
        <w:t xml:space="preserve"> Policy option 1c would include all the measures under PO1a and 1b, whilst also removing</w:t>
      </w:r>
      <w:r>
        <w:t xml:space="preserve"> </w:t>
      </w:r>
      <w:r>
        <w:t xml:space="preserve">the possibility of derogations to the generic bans detailed under PO1b.</w:t>
      </w:r>
      <w:r>
        <w:t xml:space="preserve"> </w:t>
      </w:r>
      <w:r>
        <w:t xml:space="preserve">Within this context, manufacturers of toys that use chemical substances that are subject to restrictions</w:t>
      </w:r>
      <w:r>
        <w:t xml:space="preserve"> </w:t>
      </w:r>
      <w:r>
        <w:t xml:space="preserve">or bans under the above policy options would be required to either reduce the levels of chemical use,</w:t>
      </w:r>
      <w:r>
        <w:t xml:space="preserve"> </w:t>
      </w:r>
      <w:r>
        <w:t xml:space="preserve">identify and use alternative substances or no longer make available the affected toys on the market.</w:t>
      </w:r>
      <w:r>
        <w:t xml:space="preserve"> </w:t>
      </w:r>
      <w:r>
        <w:t xml:space="preserve">No notable adjustment costs for companies have been assessed under policy options 2a, 2b or 2c.</w:t>
      </w:r>
      <w:r>
        <w:t xml:space="preserve"> </w:t>
      </w:r>
      <w:r>
        <w:t xml:space="preserve">Therefore, this section first considers background literature on the issue of safe chemicals and</w:t>
      </w:r>
      <w:r>
        <w:t xml:space="preserve"> </w:t>
      </w:r>
      <w:r>
        <w:t xml:space="preserve">substitution, in particular, how far this has served as a driver or inhibitor of innovation and</w:t>
      </w:r>
      <w:r>
        <w:t xml:space="preserve"> </w:t>
      </w:r>
      <w:r>
        <w:t xml:space="preserve">competitiveness. The review considers literature on the impacts of chemical substitution by industry</w:t>
      </w:r>
      <w:r>
        <w:t xml:space="preserve"> </w:t>
      </w:r>
      <w:r>
        <w:t xml:space="preserve">generally, as more desk research is available on the generalised impacts on industry than on the</w:t>
      </w:r>
      <w:r>
        <w:t xml:space="preserve"> </w:t>
      </w:r>
      <w:r>
        <w:t xml:space="preserve">impacts on the toy sector specifically. The impact this will likely have on costs for companies is then</w:t>
      </w:r>
      <w:r>
        <w:t xml:space="preserve"> </w:t>
      </w:r>
      <w:r>
        <w:t xml:space="preserve">analysed, before the extent to which this may affect the competitiveness of the European toys sector</w:t>
      </w:r>
      <w:r>
        <w:t xml:space="preserve"> </w:t>
      </w:r>
      <w:r>
        <w:t xml:space="preserve">(and international toy manufacturers exporting to Europe) and innovation in the toy sector is</w:t>
      </w:r>
      <w:r>
        <w:t xml:space="preserve"> </w:t>
      </w:r>
      <w:r>
        <w:t xml:space="preserve">considered.</w:t>
      </w:r>
      <w:r>
        <w:t xml:space="preserve"> </w:t>
      </w:r>
      <w:r>
        <w:t xml:space="preserve">1.3.1. Chemical substitution: Context and mechanisms</w:t>
      </w:r>
      <w:r>
        <w:t xml:space="preserve"> </w:t>
      </w:r>
      <w:r>
        <w:t xml:space="preserve">Chemical substitution has become of increasing significance in the context of the development (and</w:t>
      </w:r>
      <w:r>
        <w:t xml:space="preserve"> </w:t>
      </w:r>
      <w:r>
        <w:t xml:space="preserve">possible revision) of European chemicals legislation. In recent years, EU chemicals legislation has</w:t>
      </w:r>
      <w:r>
        <w:t xml:space="preserve"> </w:t>
      </w:r>
      <w:r>
        <w:t xml:space="preserve">evolved, notably through the EU’s REACH Regulation (EC/1907/2006) and the CLP Regulation</w:t>
      </w:r>
      <w:r>
        <w:t xml:space="preserve"> </w:t>
      </w:r>
      <w:r>
        <w:t xml:space="preserve">(1272/2008)376. Additionally, the European Commission published the Chemicals Strategy for</w:t>
      </w:r>
      <w:r>
        <w:t xml:space="preserve"> </w:t>
      </w:r>
      <w:r>
        <w:t xml:space="preserve">Sustainability in 14 October 2020377.</w:t>
      </w:r>
      <w:r>
        <w:br/>
      </w:r>
      <w:r>
        <w:t xml:space="preserve">Current EU chemicals legislation puts an emphasis on encouraging the substitution of chemicals by</w:t>
      </w:r>
      <w:r>
        <w:t xml:space="preserve"> </w:t>
      </w:r>
      <w:r>
        <w:t xml:space="preserve">incentivising producers to use safer chemicals through the system of the registration,</w:t>
      </w:r>
      <w:r>
        <w:t xml:space="preserve"> </w:t>
      </w:r>
      <w:r>
        <w:t xml:space="preserve">evaluation, authorisation and restriction of chemicals. If chemicals are banned, manufacturers are</w:t>
      </w:r>
      <w:r>
        <w:t xml:space="preserve"> </w:t>
      </w:r>
      <w:r>
        <w:t xml:space="preserve">forced to either identify an alternative or to withdraw the product. Alternatively, if a particular</w:t>
      </w:r>
      <w:r>
        <w:t xml:space="preserve"> </w:t>
      </w:r>
      <w:r>
        <w:t xml:space="preserve">chemical substance is restricted or requires authorisation from the European Chemicals Agency</w:t>
      </w:r>
      <w:r>
        <w:t xml:space="preserve"> </w:t>
      </w:r>
      <w:r>
        <w:t xml:space="preserve">(ECHA), manufacturers are instead incentivised to explore safe alternatives, where available. They</w:t>
      </w:r>
      <w:r>
        <w:t xml:space="preserve"> </w:t>
      </w:r>
      <w:r>
        <w:t xml:space="preserve">may also choose to continue using the same chemicals and to monitor the risks of that chemical no</w:t>
      </w:r>
      <w:r>
        <w:t xml:space="preserve"> </w:t>
      </w:r>
      <w:r>
        <w:t xml:space="preserve">longer being available in future. EU chemicals legislation may therefore promote innovation but</w:t>
      </w:r>
      <w:r>
        <w:t xml:space="preserve"> </w:t>
      </w:r>
      <w:r>
        <w:t xml:space="preserve">conversely, if no suitable substitutes are available, it may damage competitiveness as if toy</w:t>
      </w:r>
      <w:r>
        <w:t xml:space="preserve"> </w:t>
      </w:r>
      <w:r>
        <w:t xml:space="preserve">manufacturers cannot get hold of or use a particular substance needed for the production of certain</w:t>
      </w:r>
      <w:r>
        <w:t xml:space="preserve"> </w:t>
      </w:r>
      <w:r>
        <w:t xml:space="preserve">types of toys, this may lead to a product withdrawal.</w:t>
      </w:r>
      <w:r>
        <w:br/>
      </w:r>
      <w:r>
        <w:t xml:space="preserve">One of the key differences between the positions of stakeholders towards the chemical substitution</w:t>
      </w:r>
      <w:r>
        <w:t xml:space="preserve"> </w:t>
      </w:r>
      <w:r>
        <w:t xml:space="preserve">principle is whether it should be carried out based on a risk-based or a hazard-based assessment,</w:t>
      </w:r>
      <w:r>
        <w:t xml:space="preserve"> </w:t>
      </w:r>
      <w:r>
        <w:t xml:space="preserve">with the hazard defined as a: ‘potential risk’. The difference between the two approaches pertains to</w:t>
      </w:r>
      <w:r>
        <w:t xml:space="preserve"> </w:t>
      </w:r>
      <w:r>
        <w:t xml:space="preserve">the fact that hazard ‘refers to the inherent properties of the substance as such’, whereas risk also</w:t>
      </w:r>
    </w:p>
    <w:p>
      <w:pPr>
        <w:pStyle w:val="BodyText"/>
      </w:pPr>
      <w:r>
        <w:t xml:space="preserve">376 Regulation (EC) No 1272/2008 of the European Parliament and of the Council of 16 December 2008 on classification,</w:t>
      </w:r>
      <w:r>
        <w:t xml:space="preserve"> </w:t>
      </w:r>
      <w:r>
        <w:t xml:space="preserve">labelling and packaging of substances</w:t>
      </w:r>
      <w:r>
        <w:t xml:space="preserve"> </w:t>
      </w:r>
      <w:r>
        <w:t xml:space="preserve">377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Commission,</w:t>
      </w:r>
      <w:r>
        <w:t xml:space="preserve"> </w:t>
      </w:r>
      <w:r>
        <w:t xml:space="preserve">Chemicals</w:t>
      </w:r>
      <w:r>
        <w:t xml:space="preserve"> </w:t>
      </w:r>
      <w:r>
        <w:t xml:space="preserve">Strategy</w:t>
      </w:r>
      <w:r>
        <w:t xml:space="preserve"> </w:t>
      </w:r>
      <w:r>
        <w:t xml:space="preserve">for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(2020)</w:t>
      </w:r>
      <w:r>
        <w:t xml:space="preserve"> </w:t>
      </w:r>
      <w:r>
        <w:t xml:space="preserve">-</w:t>
      </w:r>
      <w:r>
        <w:t xml:space="preserve"> </w:t>
      </w:r>
      <w:r>
        <w:t xml:space="preserve">https://ec.europa.eu/environment/strategy/chemicals-strategy_en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176</w:t>
      </w:r>
      <w:r>
        <w:t xml:space="preserve"> </w:t>
      </w:r>
      <w:r>
        <w:t xml:space="preserve">EN</w:t>
      </w:r>
      <w:r>
        <w:t xml:space="preserve"> </w:t>
      </w:r>
      <w:r>
        <w:t xml:space="preserve">considers issues of effective usage and exposure378 379. The safety assessment of chemicals allowed</w:t>
      </w:r>
      <w:r>
        <w:t xml:space="preserve"> </w:t>
      </w:r>
      <w:r>
        <w:t xml:space="preserve">to be used in toy products is relevant as this is an area where there have been disagreements between</w:t>
      </w:r>
      <w:r>
        <w:t xml:space="preserve"> </w:t>
      </w:r>
      <w:r>
        <w:t xml:space="preserve">certain stakeholder groups, as it is not always clear whether a given substance should be allowed</w:t>
      </w:r>
      <w:r>
        <w:t xml:space="preserve"> </w:t>
      </w:r>
      <w:r>
        <w:t xml:space="preserve">for industrial use or not.</w:t>
      </w:r>
      <w:r>
        <w:br/>
      </w:r>
      <w:r>
        <w:t xml:space="preserve">An important consideration for the implementation of chemicals substitution as a policy change is</w:t>
      </w:r>
      <w:r>
        <w:t xml:space="preserve"> </w:t>
      </w:r>
      <w:r>
        <w:t xml:space="preserve">that, according to Girling, they should be introduced slowly, and the policy development process</w:t>
      </w:r>
      <w:r>
        <w:t xml:space="preserve"> </w:t>
      </w:r>
      <w:r>
        <w:t xml:space="preserve">should be based on scientific grounds, to ensure its transparency. This would also guarantee that it is</w:t>
      </w:r>
      <w:r>
        <w:t xml:space="preserve"> </w:t>
      </w:r>
      <w:r>
        <w:t xml:space="preserve">not driven by a political rationale, hence, allowing for ‘adequate time for the substitution of</w:t>
      </w:r>
      <w:r>
        <w:t xml:space="preserve"> </w:t>
      </w:r>
      <w:r>
        <w:t xml:space="preserve">substances with genuinely safer alternatives.’</w:t>
      </w:r>
      <w:r>
        <w:br/>
      </w:r>
      <w:r>
        <w:t xml:space="preserve">Chemical substitution principles have some advantages, but also disadvantages as per the table</w:t>
      </w:r>
      <w:r>
        <w:t xml:space="preserve"> </w:t>
      </w:r>
      <w:r>
        <w:t xml:space="preserve">below:</w:t>
      </w:r>
      <w:r>
        <w:br/>
      </w:r>
      <w:r>
        <w:t xml:space="preserve">Table 23: Chemical substitution - advantages and disadvantages</w:t>
      </w:r>
      <w:r>
        <w:t xml:space="preserve"> </w:t>
      </w:r>
      <w:r>
        <w:t xml:space="preserve">Advantages</w:t>
      </w:r>
      <w:r>
        <w:t xml:space="preserve"> </w:t>
      </w:r>
      <w:r>
        <w:t xml:space="preserve">Disadvantages</w:t>
      </w:r>
      <w:r>
        <w:t xml:space="preserve"> </w:t>
      </w:r>
      <w:r>
        <w:t xml:space="preserve"></w:t>
      </w:r>
      <w:r>
        <w:t xml:space="preserve"> </w:t>
      </w:r>
      <w:r>
        <w:t xml:space="preserve">Improving the sustainability of chemicals in line with</w:t>
      </w:r>
      <w:r>
        <w:t xml:space="preserve"> </w:t>
      </w:r>
      <w:r>
        <w:t xml:space="preserve">the EU chemicals sustainability strategy.</w:t>
      </w:r>
      <w:r>
        <w:br/>
      </w:r>
      <w:r>
        <w:t xml:space="preserve"></w:t>
      </w:r>
      <w:r>
        <w:t xml:space="preserve"> </w:t>
      </w:r>
      <w:r>
        <w:t xml:space="preserve">Strengthening the safety of chemicals used in toys,</w:t>
      </w:r>
      <w:r>
        <w:t xml:space="preserve"> </w:t>
      </w:r>
      <w:r>
        <w:t xml:space="preserve">thereby promoting improved health and safety.</w:t>
      </w:r>
      <w:r>
        <w:t xml:space="preserve"> </w:t>
      </w:r>
      <w:r>
        <w:t xml:space="preserve"></w:t>
      </w:r>
      <w:r>
        <w:t xml:space="preserve"> </w:t>
      </w:r>
      <w:r>
        <w:t xml:space="preserve">Improving competitiveness by promoting investment</w:t>
      </w:r>
      <w:r>
        <w:t xml:space="preserve"> </w:t>
      </w:r>
      <w:r>
        <w:t xml:space="preserve">into R&amp;D&amp;I by industry into alternative chemicals</w:t>
      </w:r>
      <w:r>
        <w:t xml:space="preserve"> </w:t>
      </w:r>
      <w:r>
        <w:t xml:space="preserve">and innovation (although this may take years for the</w:t>
      </w:r>
      <w:r>
        <w:t xml:space="preserve"> </w:t>
      </w:r>
      <w:r>
        <w:t xml:space="preserve">substitutes to become available and produced in</w:t>
      </w:r>
      <w:r>
        <w:t xml:space="preserve"> </w:t>
      </w:r>
      <w:r>
        <w:t xml:space="preserve">sufficient quantity.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There may not be any suitable alternative chemicals</w:t>
      </w:r>
      <w:r>
        <w:t xml:space="preserve"> </w:t>
      </w:r>
      <w:r>
        <w:t xml:space="preserve">leading to product withdrawal (or prospect of such</w:t>
      </w:r>
      <w:r>
        <w:t xml:space="preserve"> </w:t>
      </w:r>
      <w:r>
        <w:t xml:space="preserve">substances being developed medium-term)380.</w:t>
      </w:r>
      <w:r>
        <w:br/>
      </w:r>
      <w:r>
        <w:t xml:space="preserve"></w:t>
      </w:r>
      <w:r>
        <w:t xml:space="preserve"> </w:t>
      </w:r>
      <w:r>
        <w:t xml:space="preserve">Alternative chemical substances can be costlier, at</w:t>
      </w:r>
      <w:r>
        <w:t xml:space="preserve"> </w:t>
      </w:r>
      <w:r>
        <w:t xml:space="preserve">least in the short term.</w:t>
      </w:r>
      <w:r>
        <w:t xml:space="preserve"> </w:t>
      </w:r>
      <w:r>
        <w:t xml:space="preserve"></w:t>
      </w:r>
      <w:r>
        <w:t xml:space="preserve"> </w:t>
      </w:r>
      <w:r>
        <w:t xml:space="preserve">Potentially, indirect costs for industry incurred due to</w:t>
      </w:r>
      <w:r>
        <w:t xml:space="preserve"> </w:t>
      </w:r>
      <w:r>
        <w:t xml:space="preserve">the unpredictability of future development of EU</w:t>
      </w:r>
      <w:r>
        <w:t xml:space="preserve"> </w:t>
      </w:r>
      <w:r>
        <w:t xml:space="preserve">regulations and the position on specific substances.</w:t>
      </w:r>
      <w:r>
        <w:t xml:space="preserve"> </w:t>
      </w:r>
      <w:r>
        <w:t xml:space="preserve"></w:t>
      </w:r>
      <w:r>
        <w:t xml:space="preserve"> </w:t>
      </w:r>
      <w:r>
        <w:t xml:space="preserve">Controversial exclusions of some substances from</w:t>
      </w:r>
      <w:r>
        <w:t xml:space="preserve"> </w:t>
      </w:r>
      <w:r>
        <w:t xml:space="preserve">usage from an industry perspective, particularly in</w:t>
      </w:r>
      <w:r>
        <w:t xml:space="preserve"> </w:t>
      </w:r>
      <w:r>
        <w:t xml:space="preserve">cases where they are hard to replace with alternatives</w:t>
      </w:r>
      <w:r>
        <w:br/>
      </w:r>
      <w:r>
        <w:t xml:space="preserve"></w:t>
      </w:r>
      <w:r>
        <w:t xml:space="preserve"> </w:t>
      </w:r>
      <w:r>
        <w:t xml:space="preserve">If chemicals legislation is not well-implemented, or</w:t>
      </w:r>
      <w:r>
        <w:t xml:space="preserve"> </w:t>
      </w:r>
      <w:r>
        <w:t xml:space="preserve">places insufficient attention on the scientific</w:t>
      </w:r>
      <w:r>
        <w:t xml:space="preserve"> </w:t>
      </w:r>
      <w:r>
        <w:t xml:space="preserve">evidence as a rationale for changes, there may be</w:t>
      </w:r>
      <w:r>
        <w:t xml:space="preserve"> </w:t>
      </w:r>
      <w:r>
        <w:t xml:space="preserve">disadvantages.</w:t>
      </w:r>
    </w:p>
    <w:p>
      <w:pPr>
        <w:pStyle w:val="BodyText"/>
      </w:pPr>
      <w:r>
        <w:t xml:space="preserve">According to the ECHA: ‘replacing unwanted substances might give a company competitive</w:t>
      </w:r>
      <w:r>
        <w:t xml:space="preserve"> </w:t>
      </w:r>
      <w:r>
        <w:t xml:space="preserve">advantage’ […], especially if a given company adopts ‘the strategy based on anticipating legal</w:t>
      </w:r>
      <w:r>
        <w:t xml:space="preserve"> </w:t>
      </w:r>
      <w:r>
        <w:t xml:space="preserve">requirements’. This is because ‘better and safer alternatives may already be available, and they can</w:t>
      </w:r>
      <w:r>
        <w:t xml:space="preserve"> </w:t>
      </w:r>
      <w:r>
        <w:t xml:space="preserve">open new opportunities for companies’. The ChemSec Business Group argued that enforcement of</w:t>
      </w:r>
      <w:r>
        <w:t xml:space="preserve"> </w:t>
      </w:r>
      <w:r>
        <w:t xml:space="preserve">the regulatory framework on chemicals replacement might boost industry innovation, forcing</w:t>
      </w:r>
      <w:r>
        <w:t xml:space="preserve"> </w:t>
      </w:r>
      <w:r>
        <w:t xml:space="preserve">companies to adjust to the ‘global move towards sustainability’, and towards estimating the costs of</w:t>
      </w:r>
      <w:r>
        <w:t xml:space="preserve"> </w:t>
      </w:r>
      <w:r>
        <w:t xml:space="preserve">chemicals replacement ‘looking further than a simple kilo-by-kilo price comparison’ and anticipate</w:t>
      </w:r>
    </w:p>
    <w:p>
      <w:pPr>
        <w:pStyle w:val="BodyText"/>
      </w:pPr>
      <w:r>
        <w:t xml:space="preserve">378 Hansson, S.O., Molander, L., Rudén, C., 2011. The substitution principle. Regulatory Toxicology and Pharmacology</w:t>
      </w:r>
      <w:r>
        <w:t xml:space="preserve"> </w:t>
      </w:r>
      <w:r>
        <w:t xml:space="preserve">59, pp. 454–460. https://doi.org/10.1016/j.yrtph.2011.01.011, p. 456.</w:t>
      </w:r>
      <w:r>
        <w:t xml:space="preserve"> </w:t>
      </w:r>
      <w:r>
        <w:t xml:space="preserve">379 Operationally, the first notion is a ‘non-quantitative concept’, and the latter is usually ‘described by risk ratios, i.e. the</w:t>
      </w:r>
      <w:r>
        <w:t xml:space="preserve"> </w:t>
      </w:r>
      <w:r>
        <w:t xml:space="preserve">estimated or measured exposure compared to the estimated or observed effect concentration/dose of a substance</w:t>
      </w:r>
      <w:r>
        <w:t xml:space="preserve"> </w:t>
      </w:r>
      <w:r>
        <w:t xml:space="preserve">combined with assessment factors’ which in some cases takes the form of ‘probability assessment or similar descriptors’</w:t>
      </w:r>
      <w:r>
        <w:t xml:space="preserve"> </w:t>
      </w:r>
      <w:r>
        <w:t xml:space="preserve">380 A frequently cited example during the interviews in this regard was titanium dioxide used in a wide variety of toys,</w:t>
      </w:r>
      <w:r>
        <w:t xml:space="preserve"> </w:t>
      </w:r>
      <w:r>
        <w:t xml:space="preserve">covered in a case study later in this section.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177</w:t>
      </w:r>
      <w:r>
        <w:t xml:space="preserve"> </w:t>
      </w:r>
      <w:r>
        <w:t xml:space="preserve">EN</w:t>
      </w:r>
      <w:r>
        <w:t xml:space="preserve"> </w:t>
      </w:r>
      <w:r>
        <w:t xml:space="preserve">the regulations which is seen as ‘an extremely effective driver for innovation, which in turn is the</w:t>
      </w:r>
      <w:r>
        <w:t xml:space="preserve"> </w:t>
      </w:r>
      <w:r>
        <w:t xml:space="preserve">foundation of economic development.’381,382</w:t>
      </w:r>
      <w:r>
        <w:br/>
      </w:r>
      <w:r>
        <w:t xml:space="preserve">However, policy theories regarding how chemical substitutes may drive firm-level innovation and</w:t>
      </w:r>
      <w:r>
        <w:t xml:space="preserve"> </w:t>
      </w:r>
      <w:r>
        <w:t xml:space="preserve">competitiveness does not always match the practice. On the contrary, the relationship between</w:t>
      </w:r>
      <w:r>
        <w:t xml:space="preserve"> </w:t>
      </w:r>
      <w:r>
        <w:t xml:space="preserve">substitution and innovation was found to be complex and nuanced in previous studies that have</w:t>
      </w:r>
      <w:r>
        <w:t xml:space="preserve"> </w:t>
      </w:r>
      <w:r>
        <w:t xml:space="preserve">considered how far EU chemicals legislation has promoted competitiveness and innovation,</w:t>
      </w:r>
      <w:r>
        <w:t xml:space="preserve"> </w:t>
      </w:r>
      <w:r>
        <w:t xml:space="preserve">including through chemical substitution. 383</w:t>
      </w:r>
      <w:r>
        <w:br/>
      </w:r>
      <w:r>
        <w:t xml:space="preserve">Specifically in the area of toys, there is a lack of available literature on the extent to which substitutes</w:t>
      </w:r>
      <w:r>
        <w:t xml:space="preserve"> </w:t>
      </w:r>
      <w:r>
        <w:t xml:space="preserve">are available. However, this issue was probed through the interview programme in relation to the</w:t>
      </w:r>
      <w:r>
        <w:t xml:space="preserve"> </w:t>
      </w:r>
      <w:r>
        <w:t xml:space="preserve">various policy options. The main stakeholder feedback from both large firms and SMEs is that, as</w:t>
      </w:r>
      <w:r>
        <w:t xml:space="preserve"> </w:t>
      </w:r>
      <w:r>
        <w:t xml:space="preserve">the toy sector is a relatively modest intermediate user of chemicals compared with other sectors, it</w:t>
      </w:r>
      <w:r>
        <w:t xml:space="preserve"> </w:t>
      </w:r>
      <w:r>
        <w:t xml:space="preserve">frequently purchases chemicals in smaller quantities than other sectors and is dependent on specialist</w:t>
      </w:r>
      <w:r>
        <w:t xml:space="preserve"> </w:t>
      </w:r>
      <w:r>
        <w:t xml:space="preserve">substances. This creates particular risks for the toy industry’s competitiveness as if these substances</w:t>
      </w:r>
      <w:r>
        <w:t xml:space="preserve"> </w:t>
      </w:r>
      <w:r>
        <w:t xml:space="preserve">are subject to a ban or require authorisation due to a restriction, then many products would have to</w:t>
      </w:r>
      <w:r>
        <w:t xml:space="preserve"> </w:t>
      </w:r>
      <w:r>
        <w:t xml:space="preserve">be withdrawn from the market. Related issues are explored in more detail under the analysis of POs</w:t>
      </w:r>
      <w:r>
        <w:t xml:space="preserve"> </w:t>
      </w:r>
      <w:r>
        <w:t xml:space="preserve">below.</w:t>
      </w:r>
      <w:r>
        <w:br/>
      </w:r>
      <w:r>
        <w:t xml:space="preserve">1.3.2. Costs of product adaptation and withdrawal for economic operators</w:t>
      </w:r>
      <w:r>
        <w:t xml:space="preserve"> </w:t>
      </w:r>
      <w:r>
        <w:t xml:space="preserve">This sub-section considers the costs of product adaptation for economic operators, mainly toy</w:t>
      </w:r>
      <w:r>
        <w:t xml:space="preserve"> </w:t>
      </w:r>
      <w:r>
        <w:t xml:space="preserve">manufacturers, resulting from the different policy options under consideration. It also considers the</w:t>
      </w:r>
      <w:r>
        <w:t xml:space="preserve"> </w:t>
      </w:r>
      <w:r>
        <w:t xml:space="preserve">percentage of toys which could no longer be made available on the market, if alternatives to the</w:t>
      </w:r>
      <w:r>
        <w:t xml:space="preserve"> </w:t>
      </w:r>
      <w:r>
        <w:t xml:space="preserve">chemical substances are not found. It should be noted there is a close link with the previous sub-</w:t>
      </w:r>
      <w:r>
        <w:t xml:space="preserve"> </w:t>
      </w:r>
      <w:r>
        <w:t xml:space="preserve">section, in that stakeholder views about the drivers of costs were already outlined, therefore the two</w:t>
      </w:r>
      <w:r>
        <w:t xml:space="preserve"> </w:t>
      </w:r>
      <w:r>
        <w:t xml:space="preserve">should be read in parallel.</w:t>
      </w:r>
      <w:r>
        <w:br/>
      </w:r>
      <w:r>
        <w:t xml:space="preserve">There are three main considerations in relation to chemicals substitution that will impact on the toys</w:t>
      </w:r>
      <w:r>
        <w:t xml:space="preserve"> </w:t>
      </w:r>
      <w:r>
        <w:t xml:space="preserve">industry as a result of the policy options under consideration in 1a, 1b and 1c:</w:t>
      </w:r>
      <w:r>
        <w:br/>
      </w:r>
      <w:r>
        <w:t xml:space="preserve"> The impacts on regulatory uncertainty – some costs could arise from the fact that changes</w:t>
      </w:r>
      <w:r>
        <w:t xml:space="preserve"> </w:t>
      </w:r>
      <w:r>
        <w:t xml:space="preserve">to limit values will be difficult to anticipate for industry, and the extent to which it is realistic</w:t>
      </w:r>
      <w:r>
        <w:t xml:space="preserve"> </w:t>
      </w:r>
      <w:r>
        <w:t xml:space="preserve">for toy manufacturers, especially SMEs, to comply with these.</w:t>
      </w:r>
      <w:r>
        <w:br/>
      </w:r>
      <w:r>
        <w:t xml:space="preserve"> The availability of substitute chemicals – the main difficulty highlighted by industry</w:t>
      </w:r>
      <w:r>
        <w:t xml:space="preserve"> </w:t>
      </w:r>
      <w:r>
        <w:t xml:space="preserve">stakeholders is that there are often no suitable alternatives for chemical substances or mixtures</w:t>
      </w:r>
      <w:r>
        <w:t xml:space="preserve"> </w:t>
      </w:r>
      <w:r>
        <w:t xml:space="preserve">where alternative substances may need to be identified.</w:t>
      </w:r>
      <w:r>
        <w:br/>
      </w:r>
      <w:r>
        <w:t xml:space="preserve"> The cost of substitution – where alternatives are available, the costs are typically higher</w:t>
      </w:r>
      <w:r>
        <w:t xml:space="preserve"> </w:t>
      </w:r>
      <w:r>
        <w:t xml:space="preserve">during the early stages of substitution but may reduce over time. Nonetheless, there are costs</w:t>
      </w:r>
      <w:r>
        <w:t xml:space="preserve"> </w:t>
      </w:r>
      <w:r>
        <w:t xml:space="preserve">of switching to more expensive substituted substances in the short to medium term.</w:t>
      </w:r>
      <w:r>
        <w:t xml:space="preserve"> </w:t>
      </w:r>
      <w:r>
        <w:t xml:space="preserve">One of the challenges is that, whilst a general analysis can be performed with selected examples, it</w:t>
      </w:r>
      <w:r>
        <w:t xml:space="preserve"> </w:t>
      </w:r>
      <w:r>
        <w:t xml:space="preserve">is difficult to provide a comprehensive assessment as there are considerable uncertainties</w:t>
      </w:r>
      <w:r>
        <w:t xml:space="preserve"> </w:t>
      </w:r>
      <w:r>
        <w:t xml:space="preserve">regarding the number of chemical substances and mixtures that would be impacted and the</w:t>
      </w:r>
    </w:p>
    <w:p>
      <w:pPr>
        <w:pStyle w:val="BodyText"/>
      </w:pPr>
      <w:r>
        <w:t xml:space="preserve">381 ChemSec (2016). The bigger picture. Assessing economic aspects of chemicals substitution, online:</w:t>
      </w:r>
      <w:r>
        <w:t xml:space="preserve"> </w:t>
      </w:r>
      <w:r>
        <w:t xml:space="preserve">https://chemycal.com/dap/files/The_bigger_picture_160217_print.pdf, accessed: 30.05.2022, p. 31.</w:t>
      </w:r>
      <w:r>
        <w:t xml:space="preserve"> </w:t>
      </w:r>
      <w:r>
        <w:t xml:space="preserve">382 ChemSec (2016). The bigger picture. Assessing economic aspects of chemicals substitution, online:</w:t>
      </w:r>
      <w:r>
        <w:t xml:space="preserve"> </w:t>
      </w:r>
      <w:r>
        <w:t xml:space="preserve">https://chemycal.com/dap/files/The_bigger_picture_160217_print.pdf, accessed: 30.05.2022, p. 5.</w:t>
      </w:r>
      <w:r>
        <w:t xml:space="preserve"> </w:t>
      </w:r>
      <w:r>
        <w:t xml:space="preserve">383 Study on Monitoring the Impacts of REACH on Innovation, Competitiveness and SMEs, European Commission’s</w:t>
      </w:r>
      <w:r>
        <w:t xml:space="preserve"> </w:t>
      </w:r>
      <w:r>
        <w:t xml:space="preserve">DG GROW, 2015. Study by CSES, RPA and Okopol.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178</w:t>
      </w:r>
      <w:r>
        <w:t xml:space="preserve"> </w:t>
      </w:r>
      <w:r>
        <w:t xml:space="preserve">EN</w:t>
      </w:r>
      <w:r>
        <w:t xml:space="preserve"> </w:t>
      </w:r>
      <w:r>
        <w:t xml:space="preserve">resulting impacts on market behaviours / toys (i.e. how will toy manufacturers respond to changes</w:t>
      </w:r>
      <w:r>
        <w:t xml:space="preserve"> </w:t>
      </w:r>
      <w:r>
        <w:t xml:space="preserve">in limit values and / or to generic bans). This may vary between large firms and SMEs, and it would</w:t>
      </w:r>
      <w:r>
        <w:t xml:space="preserve"> </w:t>
      </w:r>
      <w:r>
        <w:t xml:space="preserve">also vary by chemical as a very wide variety of chemicals are used in toy production. There is a</w:t>
      </w:r>
      <w:r>
        <w:t xml:space="preserve"> </w:t>
      </w:r>
      <w:r>
        <w:t xml:space="preserve">complex interplay of factors determining whether chemicals producers decide to pursue substitution</w:t>
      </w:r>
      <w:r>
        <w:t xml:space="preserve"> </w:t>
      </w:r>
      <w:r>
        <w:t xml:space="preserve">/ reformulation or market withdrawal. This in turn will influence the behaviours of toy manufacturers</w:t>
      </w:r>
      <w:r>
        <w:t xml:space="preserve"> </w:t>
      </w:r>
      <w:r>
        <w:t xml:space="preserve">who as intermediate users but purchasing in small quantities may not have much choice regarding</w:t>
      </w:r>
      <w:r>
        <w:t xml:space="preserve"> </w:t>
      </w:r>
      <w:r>
        <w:t xml:space="preserve">whether chemical producers continue to supply them with the speciality chemicals needed.</w:t>
      </w:r>
      <w:r>
        <w:br/>
      </w:r>
      <w:r>
        <w:t xml:space="preserve">In the IA of the CLP study384, further estimates regarding costs are provided. Under PO1a in the</w:t>
      </w:r>
      <w:r>
        <w:t xml:space="preserve"> </w:t>
      </w:r>
      <w:r>
        <w:t xml:space="preserve">possible revision of the CLP (adding new hazard classes), it has been estimated that the CLP —</w:t>
      </w:r>
      <w:r>
        <w:t xml:space="preserve"> </w:t>
      </w:r>
      <w:r>
        <w:t xml:space="preserve">without considering the linked effect of the generic approach to risk management — would put</w:t>
      </w:r>
      <w:r>
        <w:t xml:space="preserve"> </w:t>
      </w:r>
      <w:r>
        <w:t xml:space="preserve">indirect market pressure to substitute and reformulate or withdraw from the market between 9-25%</w:t>
      </w:r>
      <w:r>
        <w:t xml:space="preserve"> </w:t>
      </w:r>
      <w:r>
        <w:t xml:space="preserve">of the total chemical product portfolio in terms of turnover. The IA study also recommends</w:t>
      </w:r>
      <w:r>
        <w:t xml:space="preserve"> </w:t>
      </w:r>
      <w:r>
        <w:t xml:space="preserve">“monitoring of the ECHA’s registered substances database could provide information on the number</w:t>
      </w:r>
      <w:r>
        <w:t xml:space="preserve"> </w:t>
      </w:r>
      <w:r>
        <w:t xml:space="preserve">of substances substituted or withdrawn from the market because of classification — or potential</w:t>
      </w:r>
      <w:r>
        <w:t xml:space="preserve"> </w:t>
      </w:r>
      <w:r>
        <w:t xml:space="preserve">classification — for the new hazard classes”. This would need to be carefully monitored in the toys</w:t>
      </w:r>
      <w:r>
        <w:t xml:space="preserve"> </w:t>
      </w:r>
      <w:r>
        <w:t xml:space="preserve">sector to ascertain the impacts on competitiveness.</w:t>
      </w:r>
      <w:r>
        <w:br/>
      </w:r>
      <w:r>
        <w:t xml:space="preserve">The CLP study also provides some quantitative estimates about the impacts of putting in new hazard</w:t>
      </w:r>
      <w:r>
        <w:t xml:space="preserve"> </w:t>
      </w:r>
      <w:r>
        <w:t xml:space="preserve">warnings. Companies consulted in the context of a Ricardo (2021) study estimated that around 43%</w:t>
      </w:r>
      <w:r>
        <w:t xml:space="preserve"> </w:t>
      </w:r>
      <w:r>
        <w:t xml:space="preserve">of product portfolios may be affected by the inclusion of new hazard classes to CLP and the extension</w:t>
      </w:r>
      <w:r>
        <w:t xml:space="preserve"> </w:t>
      </w:r>
      <w:r>
        <w:t xml:space="preserve">of the generic approach to risk management (GRA). It moreover states that substances and mixtures</w:t>
      </w:r>
      <w:r>
        <w:t xml:space="preserve"> </w:t>
      </w:r>
      <w:r>
        <w:t xml:space="preserve">reclassified for the new hazard classes would be affected by the application of the GRA, where a</w:t>
      </w:r>
      <w:r>
        <w:t xml:space="preserve"> </w:t>
      </w:r>
      <w:r>
        <w:t xml:space="preserve">CLH triggers the restriction or ban of a classified substance for some specific or all uses. The study</w:t>
      </w:r>
      <w:r>
        <w:t xml:space="preserve"> </w:t>
      </w:r>
      <w:r>
        <w:t xml:space="preserve">adds that whilst some products will not be directly affected by changes to the application of the GRA,</w:t>
      </w:r>
      <w:r>
        <w:t xml:space="preserve"> </w:t>
      </w:r>
      <w:r>
        <w:t xml:space="preserve">“CLP classification and labelling for the new hazard classes may still put pressure for market</w:t>
      </w:r>
      <w:r>
        <w:t xml:space="preserve"> </w:t>
      </w:r>
      <w:r>
        <w:t xml:space="preserve">withdrawal or substitution and reformulation”. 385</w:t>
      </w:r>
      <w:r>
        <w:t xml:space="preserve"> </w:t>
      </w:r>
      <w:r>
        <w:t xml:space="preserve">In the CLP IA study, it is assumed that a range between 9% and 25% of the total number of mixtures</w:t>
      </w:r>
      <w:r>
        <w:t xml:space="preserve"> </w:t>
      </w:r>
      <w:r>
        <w:t xml:space="preserve">have to be reformulated due to hazard classification changes, which although a horizontal piece of</w:t>
      </w:r>
      <w:r>
        <w:t xml:space="preserve"> </w:t>
      </w:r>
      <w:r>
        <w:t xml:space="preserve">legislation will impact different industries including toys as intermediate users of chemicals. The</w:t>
      </w:r>
      <w:r>
        <w:t xml:space="preserve"> </w:t>
      </w:r>
      <w:r>
        <w:t xml:space="preserve">costs of these changes are already in the several billions of EUR for industry as a whole.</w:t>
      </w:r>
      <w:r>
        <w:br/>
      </w:r>
      <w:r>
        <w:t xml:space="preserve">Under the policy options being considered by this impact assessment study, potential changes to the</w:t>
      </w:r>
      <w:r>
        <w:t xml:space="preserve"> </w:t>
      </w:r>
      <w:r>
        <w:t xml:space="preserve">Toy Safety Directive include granting the European Commission (or a delegated technical body) the</w:t>
      </w:r>
      <w:r>
        <w:t xml:space="preserve"> </w:t>
      </w:r>
      <w:r>
        <w:t xml:space="preserve">possibility of tightening limit values for any chemicals, specifically reducing the limit values for N-</w:t>
      </w:r>
      <w:r>
        <w:t xml:space="preserve"> </w:t>
      </w:r>
      <w:r>
        <w:t xml:space="preserve">nitrosamines and N-nitrosatable substances to the level of the EN standard (PO1a), introducing</w:t>
      </w:r>
      <w:r>
        <w:t xml:space="preserve"> </w:t>
      </w:r>
      <w:r>
        <w:t xml:space="preserve">generic bans on additional hazardous substances and removing the derogations based on the ‘relevant</w:t>
      </w:r>
      <w:r>
        <w:t xml:space="preserve"> </w:t>
      </w:r>
      <w:r>
        <w:t xml:space="preserve">concentrations’ of the CLP Regulation (PO1b) or introducing generic bans and removing derogations</w:t>
      </w:r>
      <w:r>
        <w:t xml:space="preserve"> </w:t>
      </w:r>
      <w:r>
        <w:t xml:space="preserve">(PO1c). If these POs were to be adopted, then the impact would be that toy manufacturers would</w:t>
      </w:r>
      <w:r>
        <w:t xml:space="preserve"> </w:t>
      </w:r>
      <w:r>
        <w:t xml:space="preserve">need to consider the identification of safe chemical substitutes or would need to withdraw particular</w:t>
      </w:r>
      <w:r>
        <w:t xml:space="preserve"> </w:t>
      </w:r>
      <w:r>
        <w:t xml:space="preserve">product lines from the market.</w:t>
      </w:r>
      <w:r>
        <w:br/>
      </w:r>
      <w:r>
        <w:t xml:space="preserve">The main finding is that the costs of substitution are difficult to ascertain for various reasons, such</w:t>
      </w:r>
      <w:r>
        <w:t xml:space="preserve"> </w:t>
      </w:r>
      <w:r>
        <w:t xml:space="preserve">as the lack of available substitutes presently, the fact that there is considerable uncertainty (i.e. unclear</w:t>
      </w:r>
      <w:r>
        <w:t xml:space="preserve"> </w:t>
      </w:r>
      <w:r>
        <w:t xml:space="preserve">when and which types of safe chemical alternatives will be developed in future and how relevant to</w:t>
      </w:r>
    </w:p>
    <w:p>
      <w:pPr>
        <w:pStyle w:val="BodyText"/>
      </w:pPr>
      <w:r>
        <w:t xml:space="preserve">384 Technical and Scientific Support to the Commission’s Impact Assessment for the Revision of the Regulation on</w:t>
      </w:r>
      <w:r>
        <w:t xml:space="preserve"> </w:t>
      </w:r>
      <w:r>
        <w:t xml:space="preserve">Classification, Labelling and Packaging of Substances and Mixtures (CLP), to be published.</w:t>
      </w:r>
      <w:r>
        <w:br/>
      </w:r>
      <w:r>
        <w:t xml:space="preserve">385 Idem. Pg 73 annexes to the CLP IA study.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179</w:t>
      </w:r>
      <w:r>
        <w:t xml:space="preserve"> </w:t>
      </w:r>
      <w:r>
        <w:t xml:space="preserve">EN</w:t>
      </w:r>
      <w:r>
        <w:t xml:space="preserve"> </w:t>
      </w:r>
      <w:r>
        <w:t xml:space="preserve">the toys sector). As such, where no data is available, general observations regarding the nature and</w:t>
      </w:r>
      <w:r>
        <w:t xml:space="preserve"> </w:t>
      </w:r>
      <w:r>
        <w:t xml:space="preserve">magnitude of costs is provided.</w:t>
      </w:r>
      <w:r>
        <w:t xml:space="preserve"> </w:t>
      </w:r>
      <w:r>
        <w:t xml:space="preserve">General discussion on the costs of substitution</w:t>
      </w:r>
      <w:r>
        <w:t xml:space="preserve"> </w:t>
      </w:r>
      <w:r>
        <w:t xml:space="preserve">A general discussion on the costs of substitution, relevant across the baseline scenario and all sub-</w:t>
      </w:r>
      <w:r>
        <w:t xml:space="preserve"> </w:t>
      </w:r>
      <w:r>
        <w:t xml:space="preserve">options within PO1, is now provided. However, as explained further below, it is not possible to</w:t>
      </w:r>
      <w:r>
        <w:t xml:space="preserve"> </w:t>
      </w:r>
      <w:r>
        <w:t xml:space="preserve">specify precise costs for most of the measures proposed under PO1, rather this section focuses on</w:t>
      </w:r>
      <w:r>
        <w:t xml:space="preserve"> </w:t>
      </w:r>
      <w:r>
        <w:t xml:space="preserve">providing anecdotal data on the impacts and rough estimates of the costs based on consultation</w:t>
      </w:r>
      <w:r>
        <w:t xml:space="preserve"> </w:t>
      </w:r>
      <w:r>
        <w:t xml:space="preserve">feedback.</w:t>
      </w:r>
      <w:r>
        <w:t xml:space="preserve"> </w:t>
      </w:r>
      <w:r>
        <w:t xml:space="preserve">The desk research and discussions with key toy manufacturers have shown that key factors</w:t>
      </w:r>
      <w:r>
        <w:t xml:space="preserve"> </w:t>
      </w:r>
      <w:r>
        <w:t xml:space="preserve">determining the costs associated with increased restrictions to the use of chemicals are firstly the</w:t>
      </w:r>
      <w:r>
        <w:t xml:space="preserve"> </w:t>
      </w:r>
      <w:r>
        <w:t xml:space="preserve">availability of chemical substitutes (as otherwise at least medium-to-longer term, there may be a</w:t>
      </w:r>
      <w:r>
        <w:t xml:space="preserve"> </w:t>
      </w:r>
      <w:r>
        <w:t xml:space="preserve">need to cease making available certain products on the market, which has a different set of costs).</w:t>
      </w:r>
      <w:r>
        <w:br/>
      </w:r>
      <w:r>
        <w:t xml:space="preserve">Secondly, where alternative chemicals are available, substitution costs compared with the</w:t>
      </w:r>
      <w:r>
        <w:t xml:space="preserve"> </w:t>
      </w:r>
      <w:r>
        <w:t xml:space="preserve">chemical(s) currently being used need to be considered. A key consideration in relation to costs is</w:t>
      </w:r>
      <w:r>
        <w:t xml:space="preserve"> </w:t>
      </w:r>
      <w:r>
        <w:t xml:space="preserve">that “new alternatives are often expensive initially, while prices tend to decline as supply increases.</w:t>
      </w:r>
      <w:r>
        <w:t xml:space="preserve"> </w:t>
      </w:r>
      <w:r>
        <w:t xml:space="preserve">Comparing prices of a hazardous substance and an alternative that has just reached the market, or</w:t>
      </w:r>
      <w:r>
        <w:t xml:space="preserve"> </w:t>
      </w:r>
      <w:r>
        <w:t xml:space="preserve">doing so before the hazardous substance has been banned, can therefore be very misleading”.386</w:t>
      </w:r>
      <w:r>
        <w:t xml:space="preserve"> </w:t>
      </w:r>
      <w:r>
        <w:t xml:space="preserve">Chemical substitutes are generally costlier than the original substance, according to literature.</w:t>
      </w:r>
      <w:r>
        <w:t xml:space="preserve"> </w:t>
      </w:r>
      <w:r>
        <w:t xml:space="preserve">However, the prices of alternative substances can be expected to fall over time as the substance</w:t>
      </w:r>
      <w:r>
        <w:t xml:space="preserve"> </w:t>
      </w:r>
      <w:r>
        <w:t xml:space="preserve">becomes more widely known, used and available. Among the concerns about chemicals legislation</w:t>
      </w:r>
      <w:r>
        <w:t xml:space="preserve"> </w:t>
      </w:r>
      <w:r>
        <w:t xml:space="preserve">requiring substitutes is the potential increase in costs due to the necessity of relying on alternative</w:t>
      </w:r>
      <w:r>
        <w:t xml:space="preserve"> </w:t>
      </w:r>
      <w:r>
        <w:t xml:space="preserve">substances. Oosterhuis, referring to the experiences of Scandinavian countries, argued that, whilst it</w:t>
      </w:r>
      <w:r>
        <w:t xml:space="preserve"> </w:t>
      </w:r>
      <w:r>
        <w:t xml:space="preserve">might be the case that there are higher costs now, the price of chemical substitutes might be expected</w:t>
      </w:r>
      <w:r>
        <w:t xml:space="preserve"> </w:t>
      </w:r>
      <w:r>
        <w:t xml:space="preserve">to decrease with time, as the “growth in production of the alternative implies cost and price</w:t>
      </w:r>
      <w:r>
        <w:t xml:space="preserve"> </w:t>
      </w:r>
      <w:r>
        <w:t xml:space="preserve">reductions, making it more attractive for an increasing number of actors”.</w:t>
      </w:r>
      <w:r>
        <w:br/>
      </w:r>
      <w:r>
        <w:t xml:space="preserve">The same argument has been put forward by the ChemSec Business Group, who emphasised that</w:t>
      </w:r>
      <w:r>
        <w:t xml:space="preserve"> </w:t>
      </w:r>
      <w:r>
        <w:t xml:space="preserve">prices are ‘not stable, but market dependent’. However, this concern should not be entirely dismissed.</w:t>
      </w:r>
      <w:r>
        <w:t xml:space="preserve"> </w:t>
      </w:r>
      <w:r>
        <w:t xml:space="preserve">A 2015 report from the European Commission emphasised that:</w:t>
      </w:r>
      <w:r>
        <w:br/>
      </w:r>
      <w:r>
        <w:t xml:space="preserve">“the availability of private funding is crucial, [as] in the absence of supportive private investors,</w:t>
      </w:r>
      <w:r>
        <w:t xml:space="preserve"> </w:t>
      </w:r>
      <w:r>
        <w:t xml:space="preserve">innovation, and therefore substitution of hazardous chemicals with safer alternatives, is not possible.</w:t>
      </w:r>
      <w:r>
        <w:t xml:space="preserve"> </w:t>
      </w:r>
      <w:r>
        <w:t xml:space="preserve">An important role for public authorities would be to bridge the gap between SMEs and private</w:t>
      </w:r>
      <w:r>
        <w:t xml:space="preserve"> </w:t>
      </w:r>
      <w:r>
        <w:t xml:space="preserve">investors: regulatory pressure without adequate financial incentives and subsidies is often negatively</w:t>
      </w:r>
      <w:r>
        <w:t xml:space="preserve"> </w:t>
      </w:r>
      <w:r>
        <w:t xml:space="preserve">perceived by companies and does not trigger virtuous behaviour”.</w:t>
      </w:r>
      <w:r>
        <w:t xml:space="preserve"> </w:t>
      </w:r>
      <w:r>
        <w:t xml:space="preserve">R&amp;D&amp;I processes may lead to the development of new alternative substitute chemicals at least in</w:t>
      </w:r>
      <w:r>
        <w:t xml:space="preserve"> </w:t>
      </w:r>
      <w:r>
        <w:t xml:space="preserve">some industries (e.g. in Scandinavian countries, such as Sweden and Denmark). According to</w:t>
      </w:r>
      <w:r>
        <w:t xml:space="preserve"> </w:t>
      </w:r>
      <w:r>
        <w:t xml:space="preserve">Oosterhuis: ‘The introduction of new regulations can cause an initial ‘innovation-shock’ to industry</w:t>
      </w:r>
      <w:r>
        <w:t xml:space="preserve"> </w:t>
      </w:r>
      <w:r>
        <w:t xml:space="preserve">which decreases the rate of innovation, but competitive and innovative firms survive through creative</w:t>
      </w:r>
      <w:r>
        <w:t xml:space="preserve"> </w:t>
      </w:r>
      <w:r>
        <w:t xml:space="preserve">substitution and by moving into higher value markets’.</w:t>
      </w:r>
    </w:p>
    <w:p>
      <w:pPr>
        <w:pStyle w:val="BodyText"/>
      </w:pPr>
      <w:r>
        <w:t xml:space="preserve">386 Chemsec (2016). The bigger picture: Assessing the economic aspects of chemicals substitution,</w:t>
      </w:r>
      <w:r>
        <w:t xml:space="preserve"> </w:t>
      </w:r>
      <w:r>
        <w:t xml:space="preserve">https://chemycal.com/dap/files/The_bigger_picture_160217_print.pdf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180</w:t>
      </w:r>
      <w:r>
        <w:t xml:space="preserve"> </w:t>
      </w:r>
      <w:r>
        <w:t xml:space="preserve">EN</w:t>
      </w:r>
      <w:r>
        <w:t xml:space="preserve"> </w:t>
      </w:r>
      <w:r>
        <w:t xml:space="preserve">Furthermore, if appropriate chemical substitutes and appropriate incentives to identify chemical</w:t>
      </w:r>
      <w:r>
        <w:t xml:space="preserve"> </w:t>
      </w:r>
      <w:r>
        <w:t xml:space="preserve">substances do not exist, toy manufacturers may be required to withdraw products from the market</w:t>
      </w:r>
      <w:r>
        <w:t xml:space="preserve"> </w:t>
      </w:r>
      <w:r>
        <w:t xml:space="preserve">as a result of further restrictions on the use of chemicals.</w:t>
      </w:r>
      <w:r>
        <w:t xml:space="preserve"> </w:t>
      </w:r>
      <w:r>
        <w:t xml:space="preserve">Within this context, accurately calculating the product adaptation and withdrawal costs associated</w:t>
      </w:r>
      <w:r>
        <w:t xml:space="preserve"> </w:t>
      </w:r>
      <w:r>
        <w:t xml:space="preserve">with each policy option would require data on: i) the precise number of chemical substances and</w:t>
      </w:r>
      <w:r>
        <w:t xml:space="preserve"> </w:t>
      </w:r>
      <w:r>
        <w:t xml:space="preserve">mixtures impacted by each PO; ii) the type of restriction (e.g. reduced limit values, generic ban etc.);</w:t>
      </w:r>
      <w:r>
        <w:t xml:space="preserve"> </w:t>
      </w:r>
      <w:r>
        <w:t xml:space="preserve">iii) the total number of new toy products placed on the market in a given year, as well as the number,</w:t>
      </w:r>
      <w:r>
        <w:t xml:space="preserve"> </w:t>
      </w:r>
      <w:r>
        <w:t xml:space="preserve">types and values of products impacted by each PO; iv) the proportion of toy products currently</w:t>
      </w:r>
      <w:r>
        <w:t xml:space="preserve"> </w:t>
      </w:r>
      <w:r>
        <w:t xml:space="preserve">making use of the existing derogations; v) the proportion of impacted products where adjustment,</w:t>
      </w:r>
      <w:r>
        <w:t xml:space="preserve"> </w:t>
      </w:r>
      <w:r>
        <w:t xml:space="preserve">including the identification of chemical substitutes, would be attempted; vi) the proportion of</w:t>
      </w:r>
      <w:r>
        <w:t xml:space="preserve"> </w:t>
      </w:r>
      <w:r>
        <w:t xml:space="preserve">impacted products that would be withdrawn from the market; vii) the costs associated with</w:t>
      </w:r>
      <w:r>
        <w:t xml:space="preserve"> </w:t>
      </w:r>
      <w:r>
        <w:t xml:space="preserve">identifying product adjustments, including chemical substitutes (where possible), as well as the</w:t>
      </w:r>
      <w:r>
        <w:t xml:space="preserve"> </w:t>
      </w:r>
      <w:r>
        <w:t xml:space="preserve">success rate of identifying appropriate alternatives; and viii) the costs associated with withdrawing</w:t>
      </w:r>
      <w:r>
        <w:t xml:space="preserve"> </w:t>
      </w:r>
      <w:r>
        <w:t xml:space="preserve">products from the market, including industry behavioural responses to replacing withdrawn toy</w:t>
      </w:r>
      <w:r>
        <w:t xml:space="preserve"> </w:t>
      </w:r>
      <w:r>
        <w:t xml:space="preserve">products and consumer behavioural responses to purchasing alternative toys.</w:t>
      </w:r>
      <w:r>
        <w:t xml:space="preserve"> </w:t>
      </w:r>
      <w:r>
        <w:t xml:space="preserve">Although data is available and has been collected on some of these elements (e.g. total number of</w:t>
      </w:r>
      <w:r>
        <w:t xml:space="preserve"> </w:t>
      </w:r>
      <w:r>
        <w:t xml:space="preserve">new toy products per year), the quantitative estimates presented in the following analysis rely heavily</w:t>
      </w:r>
      <w:r>
        <w:t xml:space="preserve"> </w:t>
      </w:r>
      <w:r>
        <w:t xml:space="preserve">on a range of assumptions, detailed throughout. This limits the certainty associated with the accuracy</w:t>
      </w:r>
      <w:r>
        <w:t xml:space="preserve"> </w:t>
      </w:r>
      <w:r>
        <w:t xml:space="preserve">and precision of the estimates. As such, these estimates should, at all times, be read in conjunction</w:t>
      </w:r>
      <w:r>
        <w:t xml:space="preserve"> </w:t>
      </w:r>
      <w:r>
        <w:t xml:space="preserve">with information on the nature of the assumptions and the related caveats on data availability.</w:t>
      </w:r>
      <w:r>
        <w:t xml:space="preserve"> </w:t>
      </w:r>
      <w:r>
        <w:t xml:space="preserve">A) Baseline</w:t>
      </w:r>
      <w:r>
        <w:t xml:space="preserve"> </w:t>
      </w:r>
      <w:r>
        <w:t xml:space="preserve">The evaluation of the TSD highlighted a range of challenges related to the protection of children that</w:t>
      </w:r>
      <w:r>
        <w:t xml:space="preserve"> </w:t>
      </w:r>
      <w:r>
        <w:t xml:space="preserve">would persist under the baseline situation. These include:</w:t>
      </w:r>
      <w:r>
        <w:t xml:space="preserve"> </w:t>
      </w:r>
      <w:r>
        <w:t xml:space="preserve"> Additional limit values for chemicals can only be set for toys for children under 36 months of</w:t>
      </w:r>
      <w:r>
        <w:t xml:space="preserve"> </w:t>
      </w:r>
      <w:r>
        <w:t xml:space="preserve">age and toys that are intended to be placed in the mouth.</w:t>
      </w:r>
      <w:r>
        <w:br/>
      </w:r>
      <w:r>
        <w:t xml:space="preserve"> The TSD provides derogations that permit the use of CMR chemicals when they do not exceed</w:t>
      </w:r>
      <w:r>
        <w:t xml:space="preserve"> </w:t>
      </w:r>
      <w:r>
        <w:t xml:space="preserve">certain concentrations detailed in the CLP Regulation. Although the necessity of such</w:t>
      </w:r>
      <w:r>
        <w:t xml:space="preserve"> </w:t>
      </w:r>
      <w:r>
        <w:t xml:space="preserve">derogations is argued by industry, the evaluation concluded that the concentrations permitted</w:t>
      </w:r>
      <w:r>
        <w:t xml:space="preserve"> </w:t>
      </w:r>
      <w:r>
        <w:t xml:space="preserve">currently were too high and still pose a risk to children.</w:t>
      </w:r>
      <w:r>
        <w:t xml:space="preserve"> </w:t>
      </w:r>
      <w:r>
        <w:t xml:space="preserve"> Limit values for nitrosamines and nitrosatable substances set by the TSD can reportedly still</w:t>
      </w:r>
      <w:r>
        <w:t xml:space="preserve"> </w:t>
      </w:r>
      <w:r>
        <w:t xml:space="preserve">pose a threat to children and are not in line with the EN71-12:2017 standard or German law.</w:t>
      </w:r>
      <w:r>
        <w:t xml:space="preserve"> </w:t>
      </w:r>
      <w:r>
        <w:t xml:space="preserve">In this context, under the baseline the Commission will still be able to adapt the TSD’s chemical</w:t>
      </w:r>
      <w:r>
        <w:t xml:space="preserve"> </w:t>
      </w:r>
      <w:r>
        <w:t xml:space="preserve">restrictions and derogations in accordance with the provisions of Article 46:</w:t>
      </w:r>
      <w:r>
        <w:t xml:space="preserve"> </w:t>
      </w:r>
      <w:r>
        <w:t xml:space="preserve"> Through Article 46(1), the Commission will, amongst other possibilities, be able to amend the</w:t>
      </w:r>
      <w:r>
        <w:t xml:space="preserve"> </w:t>
      </w:r>
      <w:r>
        <w:t xml:space="preserve">limit values for chemical substances listed in Annex II, Part III, point 13.</w:t>
      </w:r>
      <w:r>
        <w:t xml:space="preserve"> </w:t>
      </w:r>
      <w:r>
        <w:t xml:space="preserve"> Through Article 46(2), the Commission may adopt specific limit values for toys intended for</w:t>
      </w:r>
      <w:r>
        <w:t xml:space="preserve"> </w:t>
      </w:r>
      <w:r>
        <w:t xml:space="preserve">use by children under 36 months or toys intended to be placed in the mouth and amend</w:t>
      </w:r>
      <w:r>
        <w:t xml:space="preserve"> </w:t>
      </w:r>
      <w:r>
        <w:t xml:space="preserve">Appendix C of Annex II.</w:t>
      </w:r>
      <w:r>
        <w:t xml:space="preserve"> </w:t>
      </w:r>
      <w:r>
        <w:t xml:space="preserve"> Through Article 46(3), the Commission may adopt new derogations for CMR substances or</w:t>
      </w:r>
      <w:r>
        <w:t xml:space="preserve"> </w:t>
      </w:r>
      <w:r>
        <w:t xml:space="preserve">mixtures and amend Appendix A of Annex II.</w:t>
      </w:r>
      <w:r>
        <w:t xml:space="preserve"> </w:t>
      </w:r>
      <w:r>
        <w:t xml:space="preserve">The following table summarises the amendments made to the TSD using the above provisions since</w:t>
      </w:r>
      <w:r>
        <w:t xml:space="preserve"> </w:t>
      </w:r>
      <w:r>
        <w:t xml:space="preserve">its adoption.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181</w:t>
      </w:r>
      <w:r>
        <w:t xml:space="preserve"> </w:t>
      </w:r>
      <w:r>
        <w:t xml:space="preserve">EN</w:t>
      </w:r>
      <w:r>
        <w:t xml:space="preserve"> </w:t>
      </w:r>
      <w:r>
        <w:t xml:space="preserve">Table 24: Summary of key amendments to the TSD chemical requirements</w:t>
      </w:r>
      <w:r>
        <w:t xml:space="preserve"> </w:t>
      </w:r>
      <w:r>
        <w:t xml:space="preserve">TSD Section</w:t>
      </w:r>
      <w:r>
        <w:t xml:space="preserve"> </w:t>
      </w:r>
      <w:r>
        <w:t xml:space="preserve">Overview of amendments</w:t>
      </w:r>
      <w:r>
        <w:t xml:space="preserve"> </w:t>
      </w:r>
      <w:r>
        <w:t xml:space="preserve">Appendix A</w:t>
      </w:r>
      <w:r>
        <w:t xml:space="preserve"> </w:t>
      </w:r>
      <w:r>
        <w:t xml:space="preserve">One amendment in July 2014 permitting the use of Nickel in toy components that are intended to</w:t>
      </w:r>
      <w:r>
        <w:t xml:space="preserve"> </w:t>
      </w:r>
      <w:r>
        <w:t xml:space="preserve">conduct an electric current (i.e. derogation).</w:t>
      </w:r>
      <w:r>
        <w:t xml:space="preserve"> </w:t>
      </w:r>
      <w:r>
        <w:t xml:space="preserve">Appendix C</w:t>
      </w:r>
      <w:r>
        <w:t xml:space="preserve"> </w:t>
      </w:r>
      <w:r>
        <w:t xml:space="preserve">Nine amendments relating to the addition of specific limit values for 12 substances (e.g. Aniline,</w:t>
      </w:r>
      <w:r>
        <w:t xml:space="preserve"> </w:t>
      </w:r>
      <w:r>
        <w:t xml:space="preserve">Phenol, Formaldehyde etc.) and the further amendment of the limit values for one of those</w:t>
      </w:r>
      <w:r>
        <w:t xml:space="preserve"> </w:t>
      </w:r>
      <w:r>
        <w:t xml:space="preserve">substances (Bisphenol A).</w:t>
      </w:r>
      <w:r>
        <w:t xml:space="preserve"> </w:t>
      </w:r>
      <w:r>
        <w:t xml:space="preserve">Point 13</w:t>
      </w:r>
      <w:r>
        <w:t xml:space="preserve"> </w:t>
      </w:r>
      <w:r>
        <w:t xml:space="preserve">Five amendments reducing limit values for Cadmium, Barium, Lead, Chromium VI and</w:t>
      </w:r>
      <w:r>
        <w:t xml:space="preserve"> </w:t>
      </w:r>
      <w:r>
        <w:t xml:space="preserve">Aluminium.</w:t>
      </w:r>
    </w:p>
    <w:p>
      <w:pPr>
        <w:pStyle w:val="BodyText"/>
      </w:pPr>
      <w:r>
        <w:t xml:space="preserve">Amendments to limit values under the baseline scenario would result in new, ad hoc product</w:t>
      </w:r>
      <w:r>
        <w:t xml:space="preserve"> </w:t>
      </w:r>
      <w:r>
        <w:t xml:space="preserve">adaptation costs for industry, while new derogations would limit such costs. However, although some</w:t>
      </w:r>
      <w:r>
        <w:t xml:space="preserve"> </w:t>
      </w:r>
      <w:r>
        <w:t xml:space="preserve">information is available on the types of toys impacted by past amendments, limited data is available</w:t>
      </w:r>
      <w:r>
        <w:t xml:space="preserve"> </w:t>
      </w:r>
      <w:r>
        <w:t xml:space="preserve">and limited input has been received from stakeholders on the scale of the adjustment costs that would</w:t>
      </w:r>
      <w:r>
        <w:t xml:space="preserve"> </w:t>
      </w:r>
      <w:r>
        <w:t xml:space="preserve">result from future changes. This is primarily because the substances and mixtures that could be</w:t>
      </w:r>
      <w:r>
        <w:t xml:space="preserve"> </w:t>
      </w:r>
      <w:r>
        <w:t xml:space="preserve">impacted by future amendments are unknown.</w:t>
      </w:r>
      <w:r>
        <w:t xml:space="preserve"> </w:t>
      </w:r>
      <w:r>
        <w:t xml:space="preserve">If we assume that the market for toys intended for use by children under 36 months and toys intended</w:t>
      </w:r>
      <w:r>
        <w:t xml:space="preserve"> </w:t>
      </w:r>
      <w:r>
        <w:t xml:space="preserve">to be placed in the mouth accounts for 20% of the total toys market, the baseline scenario would</w:t>
      </w:r>
      <w:r>
        <w:t xml:space="preserve"> </w:t>
      </w:r>
      <w:r>
        <w:t xml:space="preserve">require product adaptation or withdrawal costs in 0.6-1.2% of toy models387. Approximately</w:t>
      </w:r>
      <w:r>
        <w:t xml:space="preserve"> </w:t>
      </w:r>
      <w:r>
        <w:t xml:space="preserve">0.4-0.8% of toy models would be subject to adaptation, while 0.2-0.4% could no longer be made</w:t>
      </w:r>
      <w:r>
        <w:t xml:space="preserve"> </w:t>
      </w:r>
      <w:r>
        <w:t xml:space="preserve">available on the market.</w:t>
      </w:r>
      <w:r>
        <w:t xml:space="preserve"> </w:t>
      </w:r>
      <w:r>
        <w:t xml:space="preserve">With these assumptions established, we now present the available data on costs of substitution, before</w:t>
      </w:r>
      <w:r>
        <w:t xml:space="preserve"> </w:t>
      </w:r>
      <w:r>
        <w:t xml:space="preserve">extrapolating indicative industry-wide figures.</w:t>
      </w:r>
      <w:r>
        <w:t xml:space="preserve"> </w:t>
      </w:r>
      <w:r>
        <w:t xml:space="preserve">On the scale of the product adaptation costs, data has been collected from a range of relevant sources:</w:t>
      </w:r>
      <w:r>
        <w:t xml:space="preserve"> </w:t>
      </w:r>
      <w:r>
        <w:t xml:space="preserve"> The evaluation of the TSD reported data on the costs of the 12 amendments to the TSD</w:t>
      </w:r>
      <w:r>
        <w:t xml:space="preserve"> </w:t>
      </w:r>
      <w:r>
        <w:t xml:space="preserve">implemented in the period 2012-2018. As highlighted above, these primarily aimed to</w:t>
      </w:r>
      <w:r>
        <w:t xml:space="preserve"> </w:t>
      </w:r>
      <w:r>
        <w:t xml:space="preserve">strengthen the limit values for CMR substances. In its analysis, the evaluation found that</w:t>
      </w:r>
      <w:r>
        <w:t xml:space="preserve"> </w:t>
      </w:r>
      <w:r>
        <w:t xml:space="preserve">stakeholders across all groups considered the amendments of the TSD to be costly. In</w:t>
      </w:r>
      <w:r>
        <w:t xml:space="preserve"> </w:t>
      </w:r>
      <w:r>
        <w:t xml:space="preserve">addition, the evaluation calculated the average cost of the amendments to be EUR 6,500 per</w:t>
      </w:r>
      <w:r>
        <w:t xml:space="preserve"> </w:t>
      </w:r>
      <w:r>
        <w:t xml:space="preserve">toy model produced for large firms and EUR 7,700 per toy model produced by SMEs.</w:t>
      </w:r>
      <w:r>
        <w:t xml:space="preserve"> </w:t>
      </w:r>
      <w:r>
        <w:t xml:space="preserve"> In response to the stakeholder consultations conducted for this impact assessment support</w:t>
      </w:r>
      <w:r>
        <w:t xml:space="preserve"> </w:t>
      </w:r>
      <w:r>
        <w:t xml:space="preserve">study, one manufacturer noted that, in a previous situation, the process of identifying a</w:t>
      </w:r>
      <w:r>
        <w:t xml:space="preserve"> </w:t>
      </w:r>
      <w:r>
        <w:t xml:space="preserve">replacement dye took the company five months and nine tests. Considering the costs of testing</w:t>
      </w:r>
      <w:r>
        <w:t xml:space="preserve"> </w:t>
      </w:r>
      <w:r>
        <w:t xml:space="preserve">alone, without a detailed understanding of the other resources utilised, this product</w:t>
      </w:r>
      <w:r>
        <w:t xml:space="preserve"> </w:t>
      </w:r>
      <w:r>
        <w:t xml:space="preserve">adaptation challenge would have cost more than EUR 19,800 (based on estimated testing</w:t>
      </w:r>
      <w:r>
        <w:t xml:space="preserve"> </w:t>
      </w:r>
      <w:r>
        <w:t xml:space="preserve">costs under the baseline scenario of EUR 2,200 per toy model).</w:t>
      </w:r>
      <w:r>
        <w:t xml:space="preserve"> </w:t>
      </w:r>
      <w:r>
        <w:t xml:space="preserve"> Furthermore, a small number of manufacturers provided estimates for the full costs associated</w:t>
      </w:r>
      <w:r>
        <w:t xml:space="preserve"> </w:t>
      </w:r>
      <w:r>
        <w:t xml:space="preserve">with product redesign and redevelopment, specifically in response to the POs presented and</w:t>
      </w:r>
      <w:r>
        <w:t xml:space="preserve"> </w:t>
      </w:r>
      <w:r>
        <w:t xml:space="preserve">analysed in this study. Considering staff, outsourcing and equipment costs, these estimates</w:t>
      </w:r>
    </w:p>
    <w:p>
      <w:pPr>
        <w:pStyle w:val="BodyText"/>
      </w:pPr>
      <w:r>
        <w:t xml:space="preserve">387 To derive these figures, the proportion of the total toys market accounted for by toys for children under 36 months and</w:t>
      </w:r>
      <w:r>
        <w:t xml:space="preserve"> </w:t>
      </w:r>
      <w:r>
        <w:t xml:space="preserve">mouthing toys (20%) has been applied to the assumed proportion of toys impacted by PO1a (3-6% of toys), which was</w:t>
      </w:r>
      <w:r>
        <w:t xml:space="preserve"> </w:t>
      </w:r>
      <w:r>
        <w:t xml:space="preserve">derived from stakeholder feedback and consultations with the Commission.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182</w:t>
      </w:r>
      <w:r>
        <w:t xml:space="preserve"> </w:t>
      </w:r>
      <w:r>
        <w:t xml:space="preserve">EN</w:t>
      </w:r>
      <w:r>
        <w:t xml:space="preserve"> </w:t>
      </w:r>
      <w:r>
        <w:t xml:space="preserve">indicate a total cost of product redesign and redevelopment at EUR 17,000-70,000 per</w:t>
      </w:r>
      <w:r>
        <w:t xml:space="preserve"> </w:t>
      </w:r>
      <w:r>
        <w:t xml:space="preserve">product. Given its position within the above range, the impacts on the costs of testing alone</w:t>
      </w:r>
      <w:r>
        <w:t xml:space="preserve"> </w:t>
      </w:r>
      <w:r>
        <w:t xml:space="preserve">will be considered as a middle product redesign and redevelopment estimate.</w:t>
      </w:r>
      <w:r>
        <w:t xml:space="preserve"> </w:t>
      </w:r>
      <w:r>
        <w:t xml:space="preserve">Based on these figures, the total one-off costs associated with product adaptation (including</w:t>
      </w:r>
      <w:r>
        <w:t xml:space="preserve"> </w:t>
      </w:r>
      <w:r>
        <w:t xml:space="preserve">chemical substitution) across the toys industry under the baseline scenario could range from</w:t>
      </w:r>
      <w:r>
        <w:t xml:space="preserve"> </w:t>
      </w:r>
      <w:r>
        <w:t xml:space="preserve">around EUR 2 million to EUR 44 million (see Table 25 below). This is based on 78,702 new toy</w:t>
      </w:r>
      <w:r>
        <w:t xml:space="preserve"> </w:t>
      </w:r>
      <w:r>
        <w:t xml:space="preserve">models across all business sizes on which those percentages of toy models that may be impacted by</w:t>
      </w:r>
      <w:r>
        <w:t xml:space="preserve"> </w:t>
      </w:r>
      <w:r>
        <w:t xml:space="preserve">substitution are applied. As highlighted above, the accuracy and precision of these estimates are</w:t>
      </w:r>
      <w:r>
        <w:t xml:space="preserve"> </w:t>
      </w:r>
      <w:r>
        <w:t xml:space="preserve">limited by a lack of comprehensive data on the costs associated with product adaptation, as well as a</w:t>
      </w:r>
      <w:r>
        <w:t xml:space="preserve"> </w:t>
      </w:r>
      <w:r>
        <w:t xml:space="preserve">wide range of other variables. As such, it is necessary to include product ranges that illustrate the</w:t>
      </w:r>
      <w:r>
        <w:t xml:space="preserve"> </w:t>
      </w:r>
      <w:r>
        <w:t xml:space="preserve">possible variance in these costs. However, under the baseline scenario, it is anticipated that the costs</w:t>
      </w:r>
      <w:r>
        <w:t xml:space="preserve"> </w:t>
      </w:r>
      <w:r>
        <w:t xml:space="preserve">of any new restrictions would strongly mirror the costs of the amendments made under the TSD in</w:t>
      </w:r>
      <w:r>
        <w:t xml:space="preserve"> </w:t>
      </w:r>
      <w:r>
        <w:t xml:space="preserve">the period 2012-2018. As such, the costs to industry per toy type under the baseline are likely to be</w:t>
      </w:r>
      <w:r>
        <w:t xml:space="preserve"> </w:t>
      </w:r>
      <w:r>
        <w:t xml:space="preserve">closer to the figures detailed in the evaluation.</w:t>
      </w:r>
      <w:r>
        <w:t xml:space="preserve"> </w:t>
      </w:r>
      <w:r>
        <w:t xml:space="preserve">Table 25: Cost estimates associated with chemical restrictions implemented under the baseline scenario</w:t>
      </w:r>
      <w:r>
        <w:t xml:space="preserve"> </w:t>
      </w:r>
      <w:r>
        <w:t xml:space="preserve">Estimated % of</w:t>
      </w:r>
      <w:r>
        <w:t xml:space="preserve"> </w:t>
      </w:r>
      <w:r>
        <w:t xml:space="preserve">products impacted</w:t>
      </w:r>
      <w:r>
        <w:t xml:space="preserve"> </w:t>
      </w:r>
      <w:r>
        <w:t xml:space="preserve">Evaluation</w:t>
      </w:r>
      <w:r>
        <w:t xml:space="preserve"> </w:t>
      </w:r>
      <w:r>
        <w:t xml:space="preserve">(large firms)</w:t>
      </w:r>
      <w:r>
        <w:t xml:space="preserve"> </w:t>
      </w:r>
      <w:r>
        <w:t xml:space="preserve">Evaluation</w:t>
      </w:r>
      <w:r>
        <w:t xml:space="preserve"> </w:t>
      </w:r>
      <w:r>
        <w:t xml:space="preserve">(SMEs)</w:t>
      </w:r>
      <w:r>
        <w:t xml:space="preserve"> </w:t>
      </w:r>
      <w:r>
        <w:t xml:space="preserve">Total</w:t>
      </w:r>
      <w:r>
        <w:t xml:space="preserve"> </w:t>
      </w:r>
      <w:r>
        <w:t xml:space="preserve">redesign</w:t>
      </w:r>
      <w:r>
        <w:t xml:space="preserve"> </w:t>
      </w:r>
      <w:r>
        <w:t xml:space="preserve">/</w:t>
      </w:r>
      <w:r>
        <w:t xml:space="preserve"> </w:t>
      </w:r>
      <w:r>
        <w:t xml:space="preserve">redevelopm</w:t>
      </w:r>
      <w:r>
        <w:t xml:space="preserve"> </w:t>
      </w:r>
      <w:r>
        <w:t xml:space="preserve">ent</w:t>
      </w:r>
      <w:r>
        <w:t xml:space="preserve"> </w:t>
      </w:r>
      <w:r>
        <w:t xml:space="preserve">(low</w:t>
      </w:r>
      <w:r>
        <w:t xml:space="preserve"> </w:t>
      </w:r>
      <w:r>
        <w:t xml:space="preserve">estimate)</w:t>
      </w:r>
      <w:r>
        <w:t xml:space="preserve"> </w:t>
      </w:r>
      <w:r>
        <w:t xml:space="preserve">Total redesign /</w:t>
      </w:r>
      <w:r>
        <w:t xml:space="preserve"> </w:t>
      </w:r>
      <w:r>
        <w:t xml:space="preserve">redevelopment</w:t>
      </w:r>
      <w:r>
        <w:t xml:space="preserve"> </w:t>
      </w:r>
      <w:r>
        <w:t xml:space="preserve">(middle</w:t>
      </w:r>
      <w:r>
        <w:t xml:space="preserve"> </w:t>
      </w:r>
      <w:r>
        <w:t xml:space="preserve">estimate)</w:t>
      </w:r>
      <w:r>
        <w:t xml:space="preserve"> </w:t>
      </w:r>
      <w:r>
        <w:t xml:space="preserve">Total redesign /</w:t>
      </w:r>
      <w:r>
        <w:t xml:space="preserve"> </w:t>
      </w:r>
      <w:r>
        <w:t xml:space="preserve">redevelopment</w:t>
      </w:r>
      <w:r>
        <w:t xml:space="preserve"> </w:t>
      </w:r>
      <w:r>
        <w:t xml:space="preserve">(high estimate)</w:t>
      </w:r>
      <w:r>
        <w:t xml:space="preserve"> </w:t>
      </w:r>
      <w:r>
        <w:t xml:space="preserve">Costs per toy type</w:t>
      </w:r>
      <w:r>
        <w:t xml:space="preserve"> </w:t>
      </w:r>
      <w:r>
        <w:t xml:space="preserve">(EUR)</w:t>
      </w:r>
      <w:r>
        <w:t xml:space="preserve"> </w:t>
      </w:r>
      <w:r>
        <w:t xml:space="preserve">€6,500</w:t>
      </w:r>
      <w:r>
        <w:t xml:space="preserve"> </w:t>
      </w:r>
      <w:r>
        <w:t xml:space="preserve">€7,700</w:t>
      </w:r>
      <w:r>
        <w:t xml:space="preserve"> </w:t>
      </w:r>
      <w:r>
        <w:t xml:space="preserve">€17,000</w:t>
      </w:r>
      <w:r>
        <w:t xml:space="preserve"> </w:t>
      </w:r>
      <w:r>
        <w:t xml:space="preserve">€19,800</w:t>
      </w:r>
      <w:r>
        <w:t xml:space="preserve"> </w:t>
      </w:r>
      <w:r>
        <w:t xml:space="preserve">€70,000</w:t>
      </w:r>
      <w:r>
        <w:t xml:space="preserve"> </w:t>
      </w:r>
      <w:r>
        <w:t xml:space="preserve">%</w:t>
      </w:r>
      <w:r>
        <w:t xml:space="preserve"> </w:t>
      </w:r>
      <w:r>
        <w:t xml:space="preserve">of</w:t>
      </w:r>
      <w:r>
        <w:t xml:space="preserve"> </w:t>
      </w:r>
      <w:r>
        <w:t xml:space="preserve">products</w:t>
      </w:r>
      <w:r>
        <w:t xml:space="preserve"> </w:t>
      </w:r>
      <w:r>
        <w:t xml:space="preserve">impacted</w:t>
      </w:r>
      <w:r>
        <w:t xml:space="preserve"> </w:t>
      </w:r>
      <w:r>
        <w:t xml:space="preserve">(low</w:t>
      </w:r>
      <w:r>
        <w:t xml:space="preserve"> </w:t>
      </w:r>
      <w:r>
        <w:t xml:space="preserve">estimate - 0.4%)</w:t>
      </w:r>
      <w:r>
        <w:t xml:space="preserve"> </w:t>
      </w:r>
      <w:r>
        <w:t xml:space="preserve">€2.05 m</w:t>
      </w:r>
      <w:r>
        <w:t xml:space="preserve"> </w:t>
      </w:r>
      <w:r>
        <w:t xml:space="preserve">€2.42 m</w:t>
      </w:r>
      <w:r>
        <w:t xml:space="preserve"> </w:t>
      </w:r>
      <w:r>
        <w:t xml:space="preserve">€ 5.35 m</w:t>
      </w:r>
      <w:r>
        <w:t xml:space="preserve"> </w:t>
      </w:r>
      <w:r>
        <w:t xml:space="preserve">€6.23 m</w:t>
      </w:r>
      <w:r>
        <w:t xml:space="preserve"> </w:t>
      </w:r>
      <w:r>
        <w:t xml:space="preserve">€22.04 m</w:t>
      </w:r>
      <w:r>
        <w:t xml:space="preserve"> </w:t>
      </w:r>
      <w:r>
        <w:t xml:space="preserve">%</w:t>
      </w:r>
      <w:r>
        <w:t xml:space="preserve"> </w:t>
      </w:r>
      <w:r>
        <w:t xml:space="preserve">of</w:t>
      </w:r>
      <w:r>
        <w:t xml:space="preserve"> </w:t>
      </w:r>
      <w:r>
        <w:t xml:space="preserve">products</w:t>
      </w:r>
      <w:r>
        <w:t xml:space="preserve"> </w:t>
      </w:r>
      <w:r>
        <w:t xml:space="preserve">impacted</w:t>
      </w:r>
      <w:r>
        <w:t xml:space="preserve"> </w:t>
      </w:r>
      <w:r>
        <w:t xml:space="preserve">(high</w:t>
      </w:r>
      <w:r>
        <w:t xml:space="preserve"> </w:t>
      </w:r>
      <w:r>
        <w:t xml:space="preserve">estimate - 0.8%)</w:t>
      </w:r>
      <w:r>
        <w:t xml:space="preserve"> </w:t>
      </w:r>
      <w:r>
        <w:t xml:space="preserve">€4.09 m</w:t>
      </w:r>
      <w:r>
        <w:t xml:space="preserve"> </w:t>
      </w:r>
      <w:r>
        <w:t xml:space="preserve">€4.85 m</w:t>
      </w:r>
      <w:r>
        <w:t xml:space="preserve"> </w:t>
      </w:r>
      <w:r>
        <w:t xml:space="preserve">€10.70 m</w:t>
      </w:r>
      <w:r>
        <w:t xml:space="preserve"> </w:t>
      </w:r>
      <w:r>
        <w:t xml:space="preserve">€12.47 m</w:t>
      </w:r>
      <w:r>
        <w:t xml:space="preserve"> </w:t>
      </w:r>
      <w:r>
        <w:t xml:space="preserve">€44.07 m</w:t>
      </w:r>
    </w:p>
    <w:p>
      <w:pPr>
        <w:pStyle w:val="BodyText"/>
      </w:pPr>
      <w:r>
        <w:t xml:space="preserve">Beyond the one-off product adjustment costs highlighted above, the below options will also impact</w:t>
      </w:r>
      <w:r>
        <w:t xml:space="preserve"> </w:t>
      </w:r>
      <w:r>
        <w:t xml:space="preserve">ongoing testing costs. As such, it is necessary to establish the ongoing costs of testing within the</w:t>
      </w:r>
      <w:r>
        <w:t xml:space="preserve"> </w:t>
      </w:r>
      <w:r>
        <w:t xml:space="preserve">baseline. Testing per toy has been estimated to cost around €2,200 (as determined in the Evaluation</w:t>
      </w:r>
      <w:r>
        <w:t xml:space="preserve"> </w:t>
      </w:r>
      <w:r>
        <w:t xml:space="preserve">of the TSD). Considering the total number of tests to be conducted per year (approximately 86,024</w:t>
      </w:r>
      <w:r>
        <w:t xml:space="preserve"> </w:t>
      </w:r>
      <w:r>
        <w:t xml:space="preserve">across all sizes of business), the total ongoing costs of product testing per year are and will continue</w:t>
      </w:r>
      <w:r>
        <w:t xml:space="preserve"> </w:t>
      </w:r>
      <w:r>
        <w:t xml:space="preserve">to be around EUR189.25 million.</w:t>
      </w:r>
      <w:r>
        <w:br/>
      </w:r>
      <w:r>
        <w:t xml:space="preserve">In addition, in terms of product withdrawals, although the ultimate impact would depend on the value</w:t>
      </w:r>
      <w:r>
        <w:t xml:space="preserve"> </w:t>
      </w:r>
      <w:r>
        <w:t xml:space="preserve">of the toy models impacted, it is possible to indicate an estimate based on the turnover achieved by</w:t>
      </w:r>
      <w:r>
        <w:t xml:space="preserve"> </w:t>
      </w:r>
      <w:r>
        <w:t xml:space="preserve">the European toys industry. Considering the size of the toys industry in 2019, an estimated EUR</w:t>
      </w:r>
      <w:r>
        <w:t xml:space="preserve"> </w:t>
      </w:r>
      <w:r>
        <w:t xml:space="preserve">16.5-33.0 million worth of toys could no longer be made available on the market. Based on 2020</w:t>
      </w:r>
      <w:r>
        <w:t xml:space="preserve"> </w:t>
      </w:r>
      <w:r>
        <w:t xml:space="preserve">provisional data, this could affect EUR 13.1 to 26.2 million worth of toys. Given the time provided</w:t>
      </w:r>
      <w:r>
        <w:t xml:space="preserve"> </w:t>
      </w:r>
      <w:r>
        <w:t xml:space="preserve">to accommodate such changes, the impact of such product withdrawals would likely be mitigated by:</w:t>
      </w:r>
      <w:r>
        <w:t xml:space="preserve"> </w:t>
      </w:r>
      <w:r>
        <w:t xml:space="preserve">i) the ability for producers to shift resources to the production and sale of alternative toy products;</w:t>
      </w:r>
      <w:r>
        <w:t xml:space="preserve"> </w:t>
      </w:r>
      <w:r>
        <w:t xml:space="preserve">and ii) the purchasing decisions of consumers, who, instead of choosing not to purchase a product,</w:t>
      </w:r>
      <w:r>
        <w:t xml:space="preserve"> </w:t>
      </w:r>
      <w:r>
        <w:t xml:space="preserve">will in many instances purchase an alternative product and still contribute to the toys market.</w:t>
      </w:r>
      <w:r>
        <w:t xml:space="preserve"> </w:t>
      </w:r>
      <w:r>
        <w:t xml:space="preserve">B) Policy options to strengthen the protection of children from harmful chemicals - PO1a</w:t>
      </w:r>
      <w:r>
        <w:t xml:space="preserve"> </w:t>
      </w:r>
      <w:r>
        <w:t xml:space="preserve">Under PO1a, all four of the following measures could result in adjustment costs for companies: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183</w:t>
      </w:r>
      <w:r>
        <w:t xml:space="preserve"> </w:t>
      </w:r>
      <w:r>
        <w:t xml:space="preserve">EN</w:t>
      </w:r>
      <w:r>
        <w:t xml:space="preserve"> </w:t>
      </w:r>
      <w:r>
        <w:t xml:space="preserve">Limit values: Granting legal powers to the European Commission to make changes to limit values</w:t>
      </w:r>
      <w:r>
        <w:t xml:space="preserve"> </w:t>
      </w:r>
      <w:r>
        <w:t xml:space="preserve">does not necessarily mean that a toy manufacturer will have to replace chemicals with a substitute</w:t>
      </w:r>
      <w:r>
        <w:t xml:space="preserve"> </w:t>
      </w:r>
      <w:r>
        <w:t xml:space="preserve">and incur an adjustment cost. In some cases, they could instead continue using the same chemicals,</w:t>
      </w:r>
      <w:r>
        <w:t xml:space="preserve"> </w:t>
      </w:r>
      <w:r>
        <w:t xml:space="preserve">but with the added risk that lower limit values will be more challenging to test for and comply with.</w:t>
      </w:r>
      <w:r>
        <w:t xml:space="preserve"> </w:t>
      </w:r>
      <w:r>
        <w:t xml:space="preserve">Moreover, such restrictions and the related risks of generic bans could incentivise producers to search</w:t>
      </w:r>
      <w:r>
        <w:t xml:space="preserve"> </w:t>
      </w:r>
      <w:r>
        <w:t xml:space="preserve">for alternative safe chemical substitutes.</w:t>
      </w:r>
      <w:r>
        <w:t xml:space="preserve"> </w:t>
      </w:r>
      <w:r>
        <w:t xml:space="preserve">However, in other cases, toy manufacturers highlighted that it may be impossible to continue to</w:t>
      </w:r>
      <w:r>
        <w:t xml:space="preserve"> </w:t>
      </w:r>
      <w:r>
        <w:t xml:space="preserve">produce certain products in their current forms if they are subject to further chemical use restrictions.</w:t>
      </w:r>
      <w:r>
        <w:t xml:space="preserve"> </w:t>
      </w:r>
      <w:r>
        <w:t xml:space="preserve">This could lead to the need for product adaptation or withdrawals from the market. An example</w:t>
      </w:r>
      <w:r>
        <w:t xml:space="preserve"> </w:t>
      </w:r>
      <w:r>
        <w:t xml:space="preserve">provided was that a major reduction in limit values for nitrosamines beyond the reductions proposed</w:t>
      </w:r>
      <w:r>
        <w:t xml:space="preserve"> </w:t>
      </w:r>
      <w:r>
        <w:t xml:space="preserve">below would result in the removal of balloon products from the market.</w:t>
      </w:r>
      <w:r>
        <w:t xml:space="preserve"> </w:t>
      </w:r>
      <w:r>
        <w:t xml:space="preserve">Considering the scale of the impact and related costs under PO1a, 17 amendments to limit values</w:t>
      </w:r>
      <w:r>
        <w:t xml:space="preserve"> </w:t>
      </w:r>
      <w:r>
        <w:t xml:space="preserve">have been made under the TSD to date (see baseline scenario above), which could indicate the</w:t>
      </w:r>
      <w:r>
        <w:t xml:space="preserve"> </w:t>
      </w:r>
      <w:r>
        <w:t xml:space="preserve">frequency of possible amendments to limit values under PO1a. However, most of these past</w:t>
      </w:r>
      <w:r>
        <w:t xml:space="preserve"> </w:t>
      </w:r>
      <w:r>
        <w:t xml:space="preserve">amendments relate only to toys intended for children under 36 months and mouthing toys. This means</w:t>
      </w:r>
      <w:r>
        <w:t xml:space="preserve"> </w:t>
      </w:r>
      <w:r>
        <w:t xml:space="preserve">that any limit value changes under PO1a, which will apply to all toys, will impact a much wider range</w:t>
      </w:r>
      <w:r>
        <w:t xml:space="preserve"> </w:t>
      </w:r>
      <w:r>
        <w:t xml:space="preserve">of products and thus result in greater adaptation and withdrawal costs for manufacturers compared to</w:t>
      </w:r>
      <w:r>
        <w:t xml:space="preserve"> </w:t>
      </w:r>
      <w:r>
        <w:t xml:space="preserve">the baseline.</w:t>
      </w:r>
      <w:r>
        <w:t xml:space="preserve"> </w:t>
      </w:r>
      <w:r>
        <w:t xml:space="preserve">Nitrosamines and nitrosatable substances: Most industry stakeholders interviewed noted that</w:t>
      </w:r>
      <w:r>
        <w:t xml:space="preserve"> </w:t>
      </w:r>
      <w:r>
        <w:t xml:space="preserve">reducing the limit values for nitrosamines and nitrosatable substances to the levels already detailed</w:t>
      </w:r>
      <w:r>
        <w:t xml:space="preserve"> </w:t>
      </w:r>
      <w:r>
        <w:t xml:space="preserve">in the EN standard and German law would have a minimal impact. In this respect, producers either</w:t>
      </w:r>
      <w:r>
        <w:t xml:space="preserve"> </w:t>
      </w:r>
      <w:r>
        <w:t xml:space="preserve">make limited use of these substances or already use them at the lower limit values. However, certain</w:t>
      </w:r>
      <w:r>
        <w:t xml:space="preserve"> </w:t>
      </w:r>
      <w:r>
        <w:t xml:space="preserve">manufacturers and SMEs in particular were concerned about the reduction of these limit values</w:t>
      </w:r>
      <w:r>
        <w:t xml:space="preserve"> </w:t>
      </w:r>
      <w:r>
        <w:t xml:space="preserve">beyond the levels prescribed by Germany and the EN standard.</w:t>
      </w:r>
      <w:r>
        <w:t xml:space="preserve"> </w:t>
      </w:r>
      <w:r>
        <w:t xml:space="preserve">Combination effects: Although limited input was received on the impact of this measure, those</w:t>
      </w:r>
      <w:r>
        <w:t xml:space="preserve"> </w:t>
      </w:r>
      <w:r>
        <w:t xml:space="preserve">manufacturers that did respond noted that it would have limited impact on their product portfolio as</w:t>
      </w:r>
      <w:r>
        <w:t xml:space="preserve"> </w:t>
      </w:r>
      <w:r>
        <w:t xml:space="preserve">most reputable manufacturers already assess and address the risks stemming from the combination</w:t>
      </w:r>
      <w:r>
        <w:t xml:space="preserve"> </w:t>
      </w:r>
      <w:r>
        <w:t xml:space="preserve">of chemicals.</w:t>
      </w:r>
      <w:r>
        <w:br/>
      </w:r>
      <w:r>
        <w:t xml:space="preserve">Although the mechanisms of impact are clear across these measures, the precise costs of product</w:t>
      </w:r>
      <w:r>
        <w:t xml:space="preserve"> </w:t>
      </w:r>
      <w:r>
        <w:t xml:space="preserve">adaptation (incl. chemical substitution) and product withdrawal are difficult to quantify. Many</w:t>
      </w:r>
      <w:r>
        <w:t xml:space="preserve"> </w:t>
      </w:r>
      <w:r>
        <w:t xml:space="preserve">toy manufacturers and industry associations highlighted this point, noting that the scale of the</w:t>
      </w:r>
      <w:r>
        <w:t xml:space="preserve"> </w:t>
      </w:r>
      <w:r>
        <w:t xml:space="preserve">potential impacts is difficult to assess given: i) the lack of information on the types of substances that</w:t>
      </w:r>
      <w:r>
        <w:t xml:space="preserve"> </w:t>
      </w:r>
      <w:r>
        <w:t xml:space="preserve">could be subject to restrictions through limit values changes; and ii) the possible level of the</w:t>
      </w:r>
      <w:r>
        <w:t xml:space="preserve"> </w:t>
      </w:r>
      <w:r>
        <w:t xml:space="preserve">restrictions and the specific requirements on assessing combinations of chemicals.</w:t>
      </w:r>
      <w:r>
        <w:t xml:space="preserve"> </w:t>
      </w:r>
      <w:r>
        <w:t xml:space="preserve">Furthermore, the scale of the impact would reportedly differ significantly based on the make-up of</w:t>
      </w:r>
      <w:r>
        <w:t xml:space="preserve"> </w:t>
      </w:r>
      <w:r>
        <w:t xml:space="preserve">a manufacturer’s product portfolio. For instance, industry estimates on the possible proportion of</w:t>
      </w:r>
      <w:r>
        <w:t xml:space="preserve"> </w:t>
      </w:r>
      <w:r>
        <w:t xml:space="preserve">their product portfolio that would be impacted ranged from 0% to 20% to 100%.</w:t>
      </w:r>
      <w:r>
        <w:br/>
      </w:r>
      <w:r>
        <w:t xml:space="preserve">While most manufacturers were unable to provide any insight, in line with the above reasoning, a</w:t>
      </w:r>
      <w:r>
        <w:t xml:space="preserve"> </w:t>
      </w:r>
      <w:r>
        <w:t xml:space="preserve">small number of manufacturers provided rough figures on the potential impact of PO1a, allowing the</w:t>
      </w:r>
      <w:r>
        <w:t xml:space="preserve"> </w:t>
      </w:r>
      <w:r>
        <w:t xml:space="preserve">calculation of indicative impact estimates. Based on stakeholder consultations, the below estimates</w:t>
      </w:r>
      <w:r>
        <w:t xml:space="preserve"> </w:t>
      </w:r>
      <w:r>
        <w:t xml:space="preserve">assume that PO1a will either require adaptation or withdrawal of 3-6% of toy models on the</w:t>
      </w:r>
      <w:r>
        <w:t xml:space="preserve"> </w:t>
      </w:r>
      <w:r>
        <w:t xml:space="preserve">market compared to the baseline. This is based on 78,702 new toy models across all business sizes</w:t>
      </w:r>
      <w:r>
        <w:t xml:space="preserve"> </w:t>
      </w:r>
      <w:r>
        <w:t xml:space="preserve">on which those percentages of toy models that may be impacted by substitution or withdrawal are</w:t>
      </w:r>
      <w:r>
        <w:t xml:space="preserve"> </w:t>
      </w:r>
      <w:r>
        <w:t xml:space="preserve">applied. Furthermore, we assume that 2-4% of toy models would require redevelopment to identify</w:t>
      </w:r>
      <w:r>
        <w:t xml:space="preserve"> </w:t>
      </w:r>
      <w:r>
        <w:t xml:space="preserve">and use safe, alternative chemicals, while the remaining 1-2% could no longer be made available on</w:t>
      </w:r>
      <w:r>
        <w:t xml:space="preserve"> </w:t>
      </w:r>
      <w:r>
        <w:t xml:space="preserve">the market. Some of the effects relating to product withdrawal would be partially mitigated in terms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184</w:t>
      </w:r>
      <w:r>
        <w:t xml:space="preserve"> </w:t>
      </w:r>
      <w:r>
        <w:t xml:space="preserve">EN</w:t>
      </w:r>
      <w:r>
        <w:t xml:space="preserve"> </w:t>
      </w:r>
      <w:r>
        <w:t xml:space="preserve">of the impact on the toy industry overall as consumers may instead purchase alternative products that</w:t>
      </w:r>
      <w:r>
        <w:t xml:space="preserve"> </w:t>
      </w:r>
      <w:r>
        <w:t xml:space="preserve">meet more stringent limit value thresholds. However, these impacts are complex to assess as this</w:t>
      </w:r>
      <w:r>
        <w:t xml:space="preserve"> </w:t>
      </w:r>
      <w:r>
        <w:t xml:space="preserve">depends on the toy product type in question and the extent to which there is easy substitutability for</w:t>
      </w:r>
      <w:r>
        <w:t xml:space="preserve"> </w:t>
      </w:r>
      <w:r>
        <w:t xml:space="preserve">products using less harmful chemicals.</w:t>
      </w:r>
      <w:r>
        <w:t xml:space="preserve"> </w:t>
      </w:r>
      <w:r>
        <w:t xml:space="preserve">Based on these estimates and the cost estimates detailed above, the total one-off costs associated</w:t>
      </w:r>
      <w:r>
        <w:t xml:space="preserve"> </w:t>
      </w:r>
      <w:r>
        <w:t xml:space="preserve">with product redesign and redevelopment to adapt to greater restrictions could range from</w:t>
      </w:r>
      <w:r>
        <w:t xml:space="preserve"> </w:t>
      </w:r>
      <w:r>
        <w:t xml:space="preserve">EUR 10.23 million to EUR 220.4 million compared to the baseline (see Table 26).388 It is</w:t>
      </w:r>
      <w:r>
        <w:t xml:space="preserve"> </w:t>
      </w:r>
      <w:r>
        <w:t xml:space="preserve">anticipated that the costs of any new restrictions under PO1a would strongly mirror the costs of the</w:t>
      </w:r>
      <w:r>
        <w:t xml:space="preserve"> </w:t>
      </w:r>
      <w:r>
        <w:t xml:space="preserve">amendments made under the TSD in the period 2012-2018. As such, the costs to industry per toy</w:t>
      </w:r>
      <w:r>
        <w:t xml:space="preserve"> </w:t>
      </w:r>
      <w:r>
        <w:t xml:space="preserve">type under the baseline are likely to be closer to the figures detailed in the evaluation.</w:t>
      </w:r>
      <w:r>
        <w:t xml:space="preserve"> </w:t>
      </w:r>
      <w:r>
        <w:t xml:space="preserve">Table 26: Cost estimates associated with chemical restrictions implemented under PO1a</w:t>
      </w:r>
      <w:r>
        <w:t xml:space="preserve"> </w:t>
      </w:r>
      <w:r>
        <w:t xml:space="preserve">Estimated % of</w:t>
      </w:r>
      <w:r>
        <w:t xml:space="preserve"> </w:t>
      </w:r>
      <w:r>
        <w:t xml:space="preserve">products</w:t>
      </w:r>
      <w:r>
        <w:t xml:space="preserve"> </w:t>
      </w:r>
      <w:r>
        <w:t xml:space="preserve">impacted</w:t>
      </w:r>
      <w:r>
        <w:t xml:space="preserve"> </w:t>
      </w:r>
      <w:r>
        <w:t xml:space="preserve">Evaluation</w:t>
      </w:r>
      <w:r>
        <w:t xml:space="preserve"> </w:t>
      </w:r>
      <w:r>
        <w:t xml:space="preserve">(large firms)</w:t>
      </w:r>
      <w:r>
        <w:t xml:space="preserve"> </w:t>
      </w:r>
      <w:r>
        <w:t xml:space="preserve">Evaluation</w:t>
      </w:r>
      <w:r>
        <w:t xml:space="preserve"> </w:t>
      </w:r>
      <w:r>
        <w:t xml:space="preserve">(SMEs)</w:t>
      </w:r>
      <w:r>
        <w:t xml:space="preserve"> </w:t>
      </w:r>
      <w:r>
        <w:t xml:space="preserve">Total</w:t>
      </w:r>
      <w:r>
        <w:t xml:space="preserve"> </w:t>
      </w:r>
      <w:r>
        <w:t xml:space="preserve">redesign</w:t>
      </w:r>
      <w:r>
        <w:t xml:space="preserve"> </w:t>
      </w:r>
      <w:r>
        <w:t xml:space="preserve">/</w:t>
      </w:r>
      <w:r>
        <w:t xml:space="preserve"> </w:t>
      </w:r>
      <w:r>
        <w:t xml:space="preserve">redevelopme</w:t>
      </w:r>
      <w:r>
        <w:t xml:space="preserve"> </w:t>
      </w:r>
      <w:r>
        <w:t xml:space="preserve">nt</w:t>
      </w:r>
      <w:r>
        <w:t xml:space="preserve"> </w:t>
      </w:r>
      <w:r>
        <w:t xml:space="preserve">(low</w:t>
      </w:r>
      <w:r>
        <w:t xml:space="preserve"> </w:t>
      </w:r>
      <w:r>
        <w:t xml:space="preserve">estimate)</w:t>
      </w:r>
      <w:r>
        <w:t xml:space="preserve"> </w:t>
      </w:r>
      <w:r>
        <w:t xml:space="preserve">Total redesign /</w:t>
      </w:r>
      <w:r>
        <w:t xml:space="preserve"> </w:t>
      </w:r>
      <w:r>
        <w:t xml:space="preserve">redevelopment</w:t>
      </w:r>
      <w:r>
        <w:t xml:space="preserve"> </w:t>
      </w:r>
      <w:r>
        <w:t xml:space="preserve">(middle</w:t>
      </w:r>
      <w:r>
        <w:t xml:space="preserve"> </w:t>
      </w:r>
      <w:r>
        <w:t xml:space="preserve">estimate)</w:t>
      </w:r>
      <w:r>
        <w:t xml:space="preserve"> </w:t>
      </w:r>
      <w:r>
        <w:t xml:space="preserve">Total redesign /</w:t>
      </w:r>
      <w:r>
        <w:t xml:space="preserve"> </w:t>
      </w:r>
      <w:r>
        <w:t xml:space="preserve">redevelopment</w:t>
      </w:r>
      <w:r>
        <w:t xml:space="preserve"> </w:t>
      </w:r>
      <w:r>
        <w:t xml:space="preserve">(high estimate)</w:t>
      </w:r>
      <w:r>
        <w:t xml:space="preserve"> </w:t>
      </w:r>
      <w:r>
        <w:t xml:space="preserve">Costs per toy type</w:t>
      </w:r>
      <w:r>
        <w:t xml:space="preserve"> </w:t>
      </w:r>
      <w:r>
        <w:t xml:space="preserve">(EUR)</w:t>
      </w:r>
      <w:r>
        <w:t xml:space="preserve"> </w:t>
      </w:r>
      <w:r>
        <w:t xml:space="preserve">€6,500</w:t>
      </w:r>
      <w:r>
        <w:t xml:space="preserve"> </w:t>
      </w:r>
      <w:r>
        <w:t xml:space="preserve">€7,700</w:t>
      </w:r>
      <w:r>
        <w:t xml:space="preserve"> </w:t>
      </w:r>
      <w:r>
        <w:t xml:space="preserve">€17,000</w:t>
      </w:r>
      <w:r>
        <w:t xml:space="preserve"> </w:t>
      </w:r>
      <w:r>
        <w:t xml:space="preserve">€29,700</w:t>
      </w:r>
      <w:r>
        <w:t xml:space="preserve"> </w:t>
      </w:r>
      <w:r>
        <w:t xml:space="preserve">€70,000</w:t>
      </w:r>
      <w:r>
        <w:t xml:space="preserve"> </w:t>
      </w:r>
      <w:r>
        <w:t xml:space="preserve">%</w:t>
      </w:r>
      <w:r>
        <w:t xml:space="preserve"> </w:t>
      </w:r>
      <w:r>
        <w:t xml:space="preserve">of</w:t>
      </w:r>
      <w:r>
        <w:t xml:space="preserve"> </w:t>
      </w:r>
      <w:r>
        <w:t xml:space="preserve">products</w:t>
      </w:r>
      <w:r>
        <w:t xml:space="preserve"> </w:t>
      </w:r>
      <w:r>
        <w:t xml:space="preserve">impacted</w:t>
      </w:r>
      <w:r>
        <w:t xml:space="preserve"> </w:t>
      </w:r>
      <w:r>
        <w:t xml:space="preserve">(low</w:t>
      </w:r>
      <w:r>
        <w:t xml:space="preserve"> </w:t>
      </w:r>
      <w:r>
        <w:t xml:space="preserve">estimate - 2%)</w:t>
      </w:r>
      <w:r>
        <w:t xml:space="preserve"> </w:t>
      </w:r>
      <w:r>
        <w:t xml:space="preserve">€10.23 m</w:t>
      </w:r>
      <w:r>
        <w:t xml:space="preserve"> </w:t>
      </w:r>
      <w:r>
        <w:t xml:space="preserve">€12.12 m</w:t>
      </w:r>
      <w:r>
        <w:t xml:space="preserve"> </w:t>
      </w:r>
      <w:r>
        <w:t xml:space="preserve">€26.76 m</w:t>
      </w:r>
      <w:r>
        <w:t xml:space="preserve"> </w:t>
      </w:r>
      <w:r>
        <w:t xml:space="preserve">€46.75 m</w:t>
      </w:r>
      <w:r>
        <w:t xml:space="preserve"> </w:t>
      </w:r>
      <w:r>
        <w:t xml:space="preserve">€110.18 m</w:t>
      </w:r>
      <w:r>
        <w:t xml:space="preserve"> </w:t>
      </w:r>
      <w:r>
        <w:t xml:space="preserve">%</w:t>
      </w:r>
      <w:r>
        <w:t xml:space="preserve"> </w:t>
      </w:r>
      <w:r>
        <w:t xml:space="preserve">of</w:t>
      </w:r>
      <w:r>
        <w:t xml:space="preserve"> </w:t>
      </w:r>
      <w:r>
        <w:t xml:space="preserve">products</w:t>
      </w:r>
      <w:r>
        <w:t xml:space="preserve"> </w:t>
      </w:r>
      <w:r>
        <w:t xml:space="preserve">impacted</w:t>
      </w:r>
      <w:r>
        <w:t xml:space="preserve"> </w:t>
      </w:r>
      <w:r>
        <w:t xml:space="preserve">(high</w:t>
      </w:r>
      <w:r>
        <w:t xml:space="preserve"> </w:t>
      </w:r>
      <w:r>
        <w:t xml:space="preserve">estimate - 4%)</w:t>
      </w:r>
      <w:r>
        <w:t xml:space="preserve"> </w:t>
      </w:r>
      <w:r>
        <w:t xml:space="preserve">€20.46 m</w:t>
      </w:r>
      <w:r>
        <w:t xml:space="preserve"> </w:t>
      </w:r>
      <w:r>
        <w:t xml:space="preserve">€24.24 m</w:t>
      </w:r>
      <w:r>
        <w:t xml:space="preserve"> </w:t>
      </w:r>
      <w:r>
        <w:t xml:space="preserve">€53.52 m</w:t>
      </w:r>
      <w:r>
        <w:t xml:space="preserve"> </w:t>
      </w:r>
      <w:r>
        <w:t xml:space="preserve">€93.50 m</w:t>
      </w:r>
      <w:r>
        <w:t xml:space="preserve"> </w:t>
      </w:r>
      <w:r>
        <w:t xml:space="preserve">€220.37 m</w:t>
      </w:r>
    </w:p>
    <w:p>
      <w:pPr>
        <w:pStyle w:val="BodyText"/>
      </w:pPr>
      <w:r>
        <w:t xml:space="preserve">Industry stakeholders indicated that the unit costs of testing would likely increase within PO1a, as</w:t>
      </w:r>
      <w:r>
        <w:t xml:space="preserve"> </w:t>
      </w:r>
      <w:r>
        <w:t xml:space="preserve">compared to the baseline. In particular, the increased complexity of testing for lower limit values</w:t>
      </w:r>
      <w:r>
        <w:t xml:space="preserve"> </w:t>
      </w:r>
      <w:r>
        <w:t xml:space="preserve">would reportedly lead to increases in testing costs from EUR 2,200 to around EUR 3,300. Assuming</w:t>
      </w:r>
      <w:r>
        <w:t xml:space="preserve"> </w:t>
      </w:r>
      <w:r>
        <w:t xml:space="preserve">that the 2-4% of toy models subject to adaptation efforts will be subject to these increased testing</w:t>
      </w:r>
      <w:r>
        <w:t xml:space="preserve"> </w:t>
      </w:r>
      <w:r>
        <w:t xml:space="preserve">costs, applying the same percentages to the yearly number of tests (86,024), yearly testing costs are</w:t>
      </w:r>
      <w:r>
        <w:t xml:space="preserve"> </w:t>
      </w:r>
      <w:r>
        <w:t xml:space="preserve">estimated to incrementally increase compared to the baseline by around EUR 1.89-3.79 million.</w:t>
      </w:r>
      <w:r>
        <w:t xml:space="preserve"> </w:t>
      </w:r>
      <w:r>
        <w:t xml:space="preserve">In addition, 1-2% of toy models could no longer be made available on the market. Although the</w:t>
      </w:r>
      <w:r>
        <w:t xml:space="preserve"> </w:t>
      </w:r>
      <w:r>
        <w:t xml:space="preserve">ultimate impact would also depend on the value of the toy models impacted, it is possible to indicate</w:t>
      </w:r>
      <w:r>
        <w:t xml:space="preserve"> </w:t>
      </w:r>
      <w:r>
        <w:t xml:space="preserve">the impact based on the turnover achieved by the European toys industry. Using provisional Eurostat</w:t>
      </w:r>
      <w:r>
        <w:t xml:space="preserve"> </w:t>
      </w:r>
      <w:r>
        <w:t xml:space="preserve">data from 2020, this impact could result in a EUR 65.6-131.2 million worth of toys no longer</w:t>
      </w:r>
      <w:r>
        <w:t xml:space="preserve"> </w:t>
      </w:r>
      <w:r>
        <w:t xml:space="preserve">available on the market, compared to the baseline. Given the impact of COVID-19 on the 2020</w:t>
      </w:r>
      <w:r>
        <w:t xml:space="preserve"> </w:t>
      </w:r>
      <w:r>
        <w:t xml:space="preserve">figure, it is worth also noting the impact when applied to the 2019 industry turnover data. In this case,</w:t>
      </w:r>
      <w:r>
        <w:t xml:space="preserve"> </w:t>
      </w:r>
      <w:r>
        <w:t xml:space="preserve">EUR 82.6 – 165.1 million worth of toys could no longer be made available under PO1a. However,</w:t>
      </w:r>
      <w:r>
        <w:t xml:space="preserve"> </w:t>
      </w:r>
      <w:r>
        <w:t xml:space="preserve">as detailed under the baseline, these impacts would be mitigated by the time provided to adjust to the</w:t>
      </w:r>
      <w:r>
        <w:t xml:space="preserve"> </w:t>
      </w:r>
      <w:r>
        <w:t xml:space="preserve">updated rules, which would allow producers to shift resources to the production and sale of alternative</w:t>
      </w:r>
      <w:r>
        <w:t xml:space="preserve"> </w:t>
      </w:r>
      <w:r>
        <w:t xml:space="preserve">products, and the fact that, in many instances, consumers would choose to purchase an alternative</w:t>
      </w:r>
    </w:p>
    <w:p>
      <w:pPr>
        <w:pStyle w:val="BodyText"/>
      </w:pPr>
      <w:r>
        <w:t xml:space="preserve">388 These figures have been calculated using the following equation: total number of new toys in a given year (78,702) x</w:t>
      </w:r>
      <w:r>
        <w:t xml:space="preserve"> </w:t>
      </w:r>
      <w:r>
        <w:t xml:space="preserve">the proportion of products impacted by product adaptation x the costs of testing/redevelopment. These figures are</w:t>
      </w:r>
      <w:r>
        <w:t xml:space="preserve"> </w:t>
      </w:r>
      <w:r>
        <w:t xml:space="preserve">compared to the baseline while the main impact assessment report considers costs which are additional to the baseline.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185</w:t>
      </w:r>
      <w:r>
        <w:t xml:space="preserve"> </w:t>
      </w:r>
      <w:r>
        <w:t xml:space="preserve">EN</w:t>
      </w:r>
      <w:r>
        <w:t xml:space="preserve"> </w:t>
      </w:r>
      <w:r>
        <w:t xml:space="preserve">toy product, rather than not purchasing anything, thereby ensuring the revenue to the toys market</w:t>
      </w:r>
      <w:r>
        <w:t xml:space="preserve"> </w:t>
      </w:r>
      <w:r>
        <w:t xml:space="preserve">remains.</w:t>
      </w:r>
      <w:r>
        <w:t xml:space="preserve"> </w:t>
      </w:r>
      <w:r>
        <w:t xml:space="preserve">Although these figures should be read alongside the abovementioned caveats and the uncertain nature</w:t>
      </w:r>
      <w:r>
        <w:t xml:space="preserve"> </w:t>
      </w:r>
      <w:r>
        <w:t xml:space="preserve">of the number of products impacted by PO1a, they illustrate the potential scale of the impact and how</w:t>
      </w:r>
      <w:r>
        <w:t xml:space="preserve"> </w:t>
      </w:r>
      <w:r>
        <w:t xml:space="preserve">it might differ based on the proportion of products impacted.</w:t>
      </w:r>
      <w:r>
        <w:t xml:space="preserve"> </w:t>
      </w:r>
      <w:r>
        <w:t xml:space="preserve">PO1b</w:t>
      </w:r>
      <w:r>
        <w:t xml:space="preserve"> </w:t>
      </w:r>
      <w:r>
        <w:t xml:space="preserve">In comparison to PO1a, the adjustment costs stemming from PO1b would be higher, as, in</w:t>
      </w:r>
      <w:r>
        <w:t xml:space="preserve"> </w:t>
      </w:r>
      <w:r>
        <w:t xml:space="preserve">addition to all the above measures, PO1b would involve a generic ban on additional chemical</w:t>
      </w:r>
      <w:r>
        <w:t xml:space="preserve"> </w:t>
      </w:r>
      <w:r>
        <w:t xml:space="preserve">substances and the removal of the derogation based on the ‘relevant concentrations’ for CMR</w:t>
      </w:r>
      <w:r>
        <w:t xml:space="preserve"> </w:t>
      </w:r>
      <w:r>
        <w:t xml:space="preserve">substances detailed in the CLP Regulation. This finding on adjustment costs was confirmed by many</w:t>
      </w:r>
      <w:r>
        <w:t xml:space="preserve"> </w:t>
      </w:r>
      <w:r>
        <w:t xml:space="preserve">industry stakeholders. Below, we present the nature of the impacts per measure before discussing the</w:t>
      </w:r>
      <w:r>
        <w:t xml:space="preserve"> </w:t>
      </w:r>
      <w:r>
        <w:t xml:space="preserve">overall adjustment costs for the option.</w:t>
      </w:r>
      <w:r>
        <w:t xml:space="preserve"> </w:t>
      </w:r>
      <w:r>
        <w:t xml:space="preserve">Extension of the GRA: PO1b would extend the existing general prohibition of CMR substances to</w:t>
      </w:r>
      <w:r>
        <w:t xml:space="preserve"> </w:t>
      </w:r>
      <w:r>
        <w:t xml:space="preserve">a potentially significant number of other chemical substances, including endocrine disruptors,</w:t>
      </w:r>
      <w:r>
        <w:t xml:space="preserve"> </w:t>
      </w:r>
      <w:r>
        <w:t xml:space="preserve">neurotoxic and immunotoxic substances (currently classified as STOT RE or STOT SE), as well as</w:t>
      </w:r>
      <w:r>
        <w:t xml:space="preserve"> </w:t>
      </w:r>
      <w:r>
        <w:t xml:space="preserve">substances affecting the respiratory system. In total, this could mean an increase in the current list of</w:t>
      </w:r>
      <w:r>
        <w:t xml:space="preserve"> </w:t>
      </w:r>
      <w:r>
        <w:t xml:space="preserve">substances restricted in toys by 10-30%389.</w:t>
      </w:r>
      <w:r>
        <w:t xml:space="preserve"> </w:t>
      </w:r>
      <w:r>
        <w:t xml:space="preserve">Removal of CLP derogation: Although other derogations would be maintained, manufacturers noted</w:t>
      </w:r>
      <w:r>
        <w:t xml:space="preserve"> </w:t>
      </w:r>
      <w:r>
        <w:t xml:space="preserve">that the removal of the derogation based on the relevant concentrations in the CLP Regulation could</w:t>
      </w:r>
      <w:r>
        <w:t xml:space="preserve"> </w:t>
      </w:r>
      <w:r>
        <w:t xml:space="preserve">also have an impact on the use of chemicals in and the viability of certain toy products. A limit of</w:t>
      </w:r>
      <w:r>
        <w:t xml:space="preserve"> </w:t>
      </w:r>
      <w:r>
        <w:t xml:space="preserve">detection or testing would still be allowed.</w:t>
      </w:r>
      <w:r>
        <w:t xml:space="preserve"> </w:t>
      </w:r>
      <w:r>
        <w:t xml:space="preserve">While the CLP-related derogation will be removed, manufacturers will still be able to apply for</w:t>
      </w:r>
      <w:r>
        <w:t xml:space="preserve"> </w:t>
      </w:r>
      <w:r>
        <w:t xml:space="preserve">derogations under Article 46(3) where the following conditions are met: i) the use of the substance</w:t>
      </w:r>
      <w:r>
        <w:t xml:space="preserve"> </w:t>
      </w:r>
      <w:r>
        <w:t xml:space="preserve">or mixture has been evaluated by the relevant Scientific Committee and found to be safe; ii) the</w:t>
      </w:r>
      <w:r>
        <w:t xml:space="preserve"> </w:t>
      </w:r>
      <w:r>
        <w:t xml:space="preserve">substance is not prohibited for use in consumer articles under REACH; and, iii) there are no suitable</w:t>
      </w:r>
      <w:r>
        <w:t xml:space="preserve"> </w:t>
      </w:r>
      <w:r>
        <w:t xml:space="preserve">alternative substances or mixtures available. Although it is anticipated such applications would occur</w:t>
      </w:r>
      <w:r>
        <w:t xml:space="preserve"> </w:t>
      </w:r>
      <w:r>
        <w:t xml:space="preserve">where the costs for manufacturers would be particularly high (and could result in products no longer</w:t>
      </w:r>
      <w:r>
        <w:t xml:space="preserve"> </w:t>
      </w:r>
      <w:r>
        <w:t xml:space="preserve">made available on the market), only two derogations have been applied using this mechanism since</w:t>
      </w:r>
      <w:r>
        <w:t xml:space="preserve"> </w:t>
      </w:r>
      <w:r>
        <w:t xml:space="preserve">the adoption of the TSD, for the use of nickel in stainless steel and in components that are used to</w:t>
      </w:r>
      <w:r>
        <w:t xml:space="preserve"> </w:t>
      </w:r>
      <w:r>
        <w:t xml:space="preserve">conduct an electric current.</w:t>
      </w:r>
      <w:r>
        <w:t xml:space="preserve"> </w:t>
      </w:r>
      <w:r>
        <w:t xml:space="preserve">Beyond this limited use of Article 46(3), no feedback has been provided on the extent to which</w:t>
      </w:r>
      <w:r>
        <w:t xml:space="preserve"> </w:t>
      </w:r>
      <w:r>
        <w:t xml:space="preserve">manufacturers are currently relying on the other two existing derogation possibilities (one based on</w:t>
      </w:r>
      <w:r>
        <w:t xml:space="preserve"> </w:t>
      </w:r>
      <w:r>
        <w:t xml:space="preserve">CLP concentrations and one based on inaccessibility) . In addition to the other limitations highlighted</w:t>
      </w:r>
      <w:r>
        <w:t xml:space="preserve"> </w:t>
      </w:r>
      <w:r>
        <w:t xml:space="preserve">previously, this makes it is difficult to assess the exact impact of this policy option.</w:t>
      </w:r>
      <w:r>
        <w:t xml:space="preserve"> </w:t>
      </w:r>
      <w:r>
        <w:t xml:space="preserve">Furthermore, the toy industry is an intermediate user of chemicals that often only makes small</w:t>
      </w:r>
      <w:r>
        <w:t xml:space="preserve"> </w:t>
      </w:r>
      <w:r>
        <w:t xml:space="preserve">purchases of specialty chemicals. As such, toy manufacturers noted that they have limited market</w:t>
      </w:r>
      <w:r>
        <w:t xml:space="preserve"> </w:t>
      </w:r>
      <w:r>
        <w:t xml:space="preserve">weight to influence the decisions of chemicals producers with regard to identifying chemical</w:t>
      </w:r>
      <w:r>
        <w:t xml:space="preserve"> </w:t>
      </w:r>
      <w:r>
        <w:t xml:space="preserve">substitutes that are relevant and appropriate for use in toy products. This would have an impact on</w:t>
      </w:r>
      <w:r>
        <w:t xml:space="preserve"> </w:t>
      </w:r>
      <w:r>
        <w:t xml:space="preserve">the number of products withdrawn rather than redesigned and redeveloped.</w:t>
      </w:r>
    </w:p>
    <w:p>
      <w:pPr>
        <w:pStyle w:val="BodyText"/>
      </w:pPr>
      <w:r>
        <w:t xml:space="preserve">389 See annex 10.d for an estimation of the number of substances that could potentially be affected by the GRA in toys.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186</w:t>
      </w:r>
      <w:r>
        <w:t xml:space="preserve"> </w:t>
      </w:r>
      <w:r>
        <w:t xml:space="preserve">EN</w:t>
      </w:r>
      <w:r>
        <w:t xml:space="preserve"> </w:t>
      </w:r>
      <w:r>
        <w:t xml:space="preserve">However, as for the baseline and the other sub-options, many manufacturers noted that the lack of</w:t>
      </w:r>
      <w:r>
        <w:t xml:space="preserve"> </w:t>
      </w:r>
      <w:r>
        <w:t xml:space="preserve">clarity on which substances would be covered by the extension of the GRA and which products would</w:t>
      </w:r>
      <w:r>
        <w:t xml:space="preserve"> </w:t>
      </w:r>
      <w:r>
        <w:t xml:space="preserve">be impacted by the removal of the derogation makes estimating the number of products impacted, as</w:t>
      </w:r>
      <w:r>
        <w:t xml:space="preserve"> </w:t>
      </w:r>
      <w:r>
        <w:t xml:space="preserve">well as the other required data points, very difficult. The narrative on costs from industry was similar</w:t>
      </w:r>
      <w:r>
        <w:t xml:space="preserve"> </w:t>
      </w:r>
      <w:r>
        <w:t xml:space="preserve">to PO1a; namely, PO1b has the potential to impact a large proportion of products, but the potential</w:t>
      </w:r>
      <w:r>
        <w:t xml:space="preserve"> </w:t>
      </w:r>
      <w:r>
        <w:t xml:space="preserve">scale of the firm-level impact depends on the substances and mixtures banned, as well as the types</w:t>
      </w:r>
      <w:r>
        <w:t xml:space="preserve"> </w:t>
      </w:r>
      <w:r>
        <w:t xml:space="preserve">of toys produced by a particular manufacturer.</w:t>
      </w:r>
      <w:r>
        <w:t xml:space="preserve"> </w:t>
      </w:r>
      <w:r>
        <w:t xml:space="preserve">In the same manner as for PO1a, we now present rough indicative estimates of the adjustment costs</w:t>
      </w:r>
      <w:r>
        <w:t xml:space="preserve"> </w:t>
      </w:r>
      <w:r>
        <w:t xml:space="preserve">related to PO1b on the basis of available data. Given the increase in the impact of PO1b as compared</w:t>
      </w:r>
      <w:r>
        <w:t xml:space="preserve"> </w:t>
      </w:r>
      <w:r>
        <w:t xml:space="preserve">to PO1a, we assume the following for the purposes of these estimates: a total of 9-14% of toy models</w:t>
      </w:r>
      <w:r>
        <w:t xml:space="preserve"> </w:t>
      </w:r>
      <w:r>
        <w:t xml:space="preserve">will be impacted under PO1b compared to the baseline, with 5-8% subject to product adaptation</w:t>
      </w:r>
      <w:r>
        <w:t xml:space="preserve"> </w:t>
      </w:r>
      <w:r>
        <w:t xml:space="preserve">efforts (including chemical substitution efforts) and 4-6% that could no longer be made available on</w:t>
      </w:r>
      <w:r>
        <w:t xml:space="preserve"> </w:t>
      </w:r>
      <w:r>
        <w:t xml:space="preserve">the market. This is based on 78,702 new toy models across all business sizes on which those</w:t>
      </w:r>
      <w:r>
        <w:t xml:space="preserve"> </w:t>
      </w:r>
      <w:r>
        <w:t xml:space="preserve">percentages of toy models that may be impacted by substitution or withdrawal are applied. The effect</w:t>
      </w:r>
      <w:r>
        <w:t xml:space="preserve"> </w:t>
      </w:r>
      <w:r>
        <w:t xml:space="preserve">of product withdrawals on market contraction should be nonetheless mitigated, to a certain extent, in</w:t>
      </w:r>
      <w:r>
        <w:t xml:space="preserve"> </w:t>
      </w:r>
      <w:r>
        <w:t xml:space="preserve">a demand shift to other toys remaining on the market.</w:t>
      </w:r>
      <w:r>
        <w:br/>
      </w:r>
      <w:r>
        <w:t xml:space="preserve">Using the same data on cost estimates for product adaptation and redevelopment detailed above,</w:t>
      </w:r>
      <w:r>
        <w:t xml:space="preserve"> </w:t>
      </w:r>
      <w:r>
        <w:t xml:space="preserve">PO1b could result in the costs for industry in the range detailed in the below table. More specifically,</w:t>
      </w:r>
      <w:r>
        <w:t xml:space="preserve"> </w:t>
      </w:r>
      <w:r>
        <w:t xml:space="preserve">the estimated impact on 5-8% of all toy models could result in total one-off costs associated with</w:t>
      </w:r>
      <w:r>
        <w:t xml:space="preserve"> </w:t>
      </w:r>
      <w:r>
        <w:t xml:space="preserve">product redesign and redevelopment of EUR 25.6 – 440.7 million compared to the baseline.390</w:t>
      </w:r>
      <w:r>
        <w:t xml:space="preserve"> </w:t>
      </w:r>
      <w:r>
        <w:t xml:space="preserve">While the costs of adaptation under the baseline scenario and PO1a were considered to mirror the</w:t>
      </w:r>
      <w:r>
        <w:t xml:space="preserve"> </w:t>
      </w:r>
      <w:r>
        <w:t xml:space="preserve">adaptation costs identified through the evaluation, it is anticipated that the costs per toy type under</w:t>
      </w:r>
      <w:r>
        <w:t xml:space="preserve"> </w:t>
      </w:r>
      <w:r>
        <w:t xml:space="preserve">PO1b will be more costly. This is because the types of adaptations necessary as a result of the</w:t>
      </w:r>
      <w:r>
        <w:t xml:space="preserve"> </w:t>
      </w:r>
      <w:r>
        <w:t xml:space="preserve">measures implemented through PO1b are more likely to require the identification of substitute</w:t>
      </w:r>
      <w:r>
        <w:t xml:space="preserve"> </w:t>
      </w:r>
      <w:r>
        <w:t xml:space="preserve">chemicals rather than only lowering the levels of the chemicals already in use.</w:t>
      </w:r>
      <w:r>
        <w:t xml:space="preserve"> </w:t>
      </w:r>
      <w:r>
        <w:t xml:space="preserve">Table 27: Cost estimates associated with chemical restrictions implemented under PO1b</w:t>
      </w:r>
      <w:r>
        <w:t xml:space="preserve"> </w:t>
      </w:r>
      <w:r>
        <w:t xml:space="preserve">Estimated % of</w:t>
      </w:r>
      <w:r>
        <w:t xml:space="preserve"> </w:t>
      </w:r>
      <w:r>
        <w:t xml:space="preserve">products</w:t>
      </w:r>
      <w:r>
        <w:t xml:space="preserve"> </w:t>
      </w:r>
      <w:r>
        <w:t xml:space="preserve">impacted</w:t>
      </w:r>
      <w:r>
        <w:t xml:space="preserve"> </w:t>
      </w:r>
      <w:r>
        <w:t xml:space="preserve">Evaluation</w:t>
      </w:r>
      <w:r>
        <w:t xml:space="preserve"> </w:t>
      </w:r>
      <w:r>
        <w:t xml:space="preserve">(large firms)</w:t>
      </w:r>
      <w:r>
        <w:t xml:space="preserve"> </w:t>
      </w:r>
      <w:r>
        <w:t xml:space="preserve">Evaluation</w:t>
      </w:r>
      <w:r>
        <w:t xml:space="preserve"> </w:t>
      </w:r>
      <w:r>
        <w:t xml:space="preserve">(SMEs)</w:t>
      </w:r>
      <w:r>
        <w:t xml:space="preserve"> </w:t>
      </w:r>
      <w:r>
        <w:t xml:space="preserve">Total</w:t>
      </w:r>
      <w:r>
        <w:t xml:space="preserve"> </w:t>
      </w:r>
      <w:r>
        <w:t xml:space="preserve">redesign</w:t>
      </w:r>
      <w:r>
        <w:t xml:space="preserve"> </w:t>
      </w:r>
      <w:r>
        <w:t xml:space="preserve">/</w:t>
      </w:r>
      <w:r>
        <w:t xml:space="preserve"> </w:t>
      </w:r>
      <w:r>
        <w:t xml:space="preserve">redevelopme</w:t>
      </w:r>
      <w:r>
        <w:t xml:space="preserve"> </w:t>
      </w:r>
      <w:r>
        <w:t xml:space="preserve">nt</w:t>
      </w:r>
      <w:r>
        <w:t xml:space="preserve"> </w:t>
      </w:r>
      <w:r>
        <w:t xml:space="preserve">(low</w:t>
      </w:r>
      <w:r>
        <w:t xml:space="preserve"> </w:t>
      </w:r>
      <w:r>
        <w:t xml:space="preserve">estimate)</w:t>
      </w:r>
      <w:r>
        <w:t xml:space="preserve"> </w:t>
      </w:r>
      <w:r>
        <w:t xml:space="preserve">Total redesign /</w:t>
      </w:r>
      <w:r>
        <w:t xml:space="preserve"> </w:t>
      </w:r>
      <w:r>
        <w:t xml:space="preserve">redevelopment</w:t>
      </w:r>
      <w:r>
        <w:t xml:space="preserve"> </w:t>
      </w:r>
      <w:r>
        <w:t xml:space="preserve">(middle</w:t>
      </w:r>
      <w:r>
        <w:t xml:space="preserve"> </w:t>
      </w:r>
      <w:r>
        <w:t xml:space="preserve">estimate)</w:t>
      </w:r>
      <w:r>
        <w:t xml:space="preserve"> </w:t>
      </w:r>
      <w:r>
        <w:t xml:space="preserve">Total redesign /</w:t>
      </w:r>
      <w:r>
        <w:t xml:space="preserve"> </w:t>
      </w:r>
      <w:r>
        <w:t xml:space="preserve">redevelopment</w:t>
      </w:r>
      <w:r>
        <w:t xml:space="preserve"> </w:t>
      </w:r>
      <w:r>
        <w:t xml:space="preserve">(high estimate)</w:t>
      </w:r>
      <w:r>
        <w:t xml:space="preserve"> </w:t>
      </w:r>
      <w:r>
        <w:t xml:space="preserve">Costs per toy type</w:t>
      </w:r>
      <w:r>
        <w:t xml:space="preserve"> </w:t>
      </w:r>
      <w:r>
        <w:t xml:space="preserve">(EUR)</w:t>
      </w:r>
      <w:r>
        <w:t xml:space="preserve"> </w:t>
      </w:r>
      <w:r>
        <w:t xml:space="preserve">€6,500</w:t>
      </w:r>
      <w:r>
        <w:t xml:space="preserve"> </w:t>
      </w:r>
      <w:r>
        <w:t xml:space="preserve">€7,700</w:t>
      </w:r>
      <w:r>
        <w:t xml:space="preserve"> </w:t>
      </w:r>
      <w:r>
        <w:t xml:space="preserve">€15,000</w:t>
      </w:r>
      <w:r>
        <w:t xml:space="preserve"> </w:t>
      </w:r>
      <w:r>
        <w:t xml:space="preserve">€35,100</w:t>
      </w:r>
      <w:r>
        <w:t xml:space="preserve"> </w:t>
      </w:r>
      <w:r>
        <w:t xml:space="preserve">€70,000</w:t>
      </w:r>
      <w:r>
        <w:t xml:space="preserve"> </w:t>
      </w:r>
      <w:r>
        <w:t xml:space="preserve">%</w:t>
      </w:r>
      <w:r>
        <w:t xml:space="preserve"> </w:t>
      </w:r>
      <w:r>
        <w:t xml:space="preserve">of</w:t>
      </w:r>
      <w:r>
        <w:t xml:space="preserve"> </w:t>
      </w:r>
      <w:r>
        <w:t xml:space="preserve">products</w:t>
      </w:r>
      <w:r>
        <w:t xml:space="preserve"> </w:t>
      </w:r>
      <w:r>
        <w:t xml:space="preserve">impacted</w:t>
      </w:r>
      <w:r>
        <w:t xml:space="preserve"> </w:t>
      </w:r>
      <w:r>
        <w:t xml:space="preserve">(low</w:t>
      </w:r>
      <w:r>
        <w:t xml:space="preserve"> </w:t>
      </w:r>
      <w:r>
        <w:t xml:space="preserve">estimate - 5%)</w:t>
      </w:r>
      <w:r>
        <w:t xml:space="preserve"> </w:t>
      </w:r>
      <w:r>
        <w:t xml:space="preserve">€25.58 m</w:t>
      </w:r>
      <w:r>
        <w:t xml:space="preserve"> </w:t>
      </w:r>
      <w:r>
        <w:t xml:space="preserve">€30.30 m</w:t>
      </w:r>
      <w:r>
        <w:t xml:space="preserve"> </w:t>
      </w:r>
      <w:r>
        <w:t xml:space="preserve">€66.90 m</w:t>
      </w:r>
      <w:r>
        <w:t xml:space="preserve"> </w:t>
      </w:r>
      <w:r>
        <w:t xml:space="preserve">€138.12 m</w:t>
      </w:r>
      <w:r>
        <w:t xml:space="preserve"> </w:t>
      </w:r>
      <w:r>
        <w:t xml:space="preserve">€275.46 m</w:t>
      </w:r>
      <w:r>
        <w:t xml:space="preserve"> </w:t>
      </w:r>
      <w:r>
        <w:t xml:space="preserve">%</w:t>
      </w:r>
      <w:r>
        <w:t xml:space="preserve"> </w:t>
      </w:r>
      <w:r>
        <w:t xml:space="preserve">of</w:t>
      </w:r>
      <w:r>
        <w:t xml:space="preserve"> </w:t>
      </w:r>
      <w:r>
        <w:t xml:space="preserve">products</w:t>
      </w:r>
      <w:r>
        <w:t xml:space="preserve"> </w:t>
      </w:r>
      <w:r>
        <w:t xml:space="preserve">impacted</w:t>
      </w:r>
      <w:r>
        <w:t xml:space="preserve"> </w:t>
      </w:r>
      <w:r>
        <w:t xml:space="preserve">(high</w:t>
      </w:r>
      <w:r>
        <w:t xml:space="preserve"> </w:t>
      </w:r>
      <w:r>
        <w:t xml:space="preserve">estimate - 8%)</w:t>
      </w:r>
      <w:r>
        <w:t xml:space="preserve"> </w:t>
      </w:r>
      <w:r>
        <w:t xml:space="preserve">€40.92 m</w:t>
      </w:r>
      <w:r>
        <w:t xml:space="preserve"> </w:t>
      </w:r>
      <w:r>
        <w:t xml:space="preserve">€48.48 m</w:t>
      </w:r>
      <w:r>
        <w:t xml:space="preserve"> </w:t>
      </w:r>
      <w:r>
        <w:t xml:space="preserve">€107.03 m</w:t>
      </w:r>
      <w:r>
        <w:t xml:space="preserve"> </w:t>
      </w:r>
      <w:r>
        <w:t xml:space="preserve">€221.00 m</w:t>
      </w:r>
      <w:r>
        <w:t xml:space="preserve"> </w:t>
      </w:r>
      <w:r>
        <w:t xml:space="preserve">€440.73 m</w:t>
      </w:r>
    </w:p>
    <w:p>
      <w:pPr>
        <w:pStyle w:val="BodyText"/>
      </w:pPr>
      <w:r>
        <w:t xml:space="preserve">390 These figures have been calculated using the following equation: total number of new toys in a given year (78,702) x</w:t>
      </w:r>
      <w:r>
        <w:t xml:space="preserve"> </w:t>
      </w:r>
      <w:r>
        <w:t xml:space="preserve">the proportion of products impacted by product adaptation x the costs of testing/redevelopment. As indicated above, the</w:t>
      </w:r>
      <w:r>
        <w:t xml:space="preserve"> </w:t>
      </w:r>
      <w:r>
        <w:t xml:space="preserve">main impact assessment reports costs additional to the baseline.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187</w:t>
      </w:r>
      <w:r>
        <w:t xml:space="preserve"> </w:t>
      </w:r>
      <w:r>
        <w:t xml:space="preserve">EN</w:t>
      </w:r>
      <w:r>
        <w:t xml:space="preserve"> </w:t>
      </w:r>
      <w:r>
        <w:t xml:space="preserve">In addition, as for PO1a, the costs of testing products would reportedly increase under PO1b and</w:t>
      </w:r>
      <w:r>
        <w:t xml:space="preserve"> </w:t>
      </w:r>
      <w:r>
        <w:t xml:space="preserve">PO1c due to an anticipate increase in the complexity of the testing required. Based on industry input,</w:t>
      </w:r>
      <w:r>
        <w:t xml:space="preserve"> </w:t>
      </w:r>
      <w:r>
        <w:t xml:space="preserve">the costs of testing per product under PO1b and PO1c would increase to approximately EUR 3,900</w:t>
      </w:r>
      <w:r>
        <w:t xml:space="preserve"> </w:t>
      </w:r>
      <w:r>
        <w:t xml:space="preserve">per toy type. Assuming that the 5-8% of products subject to adaptation efforts will be subject to these</w:t>
      </w:r>
      <w:r>
        <w:t xml:space="preserve"> </w:t>
      </w:r>
      <w:r>
        <w:t xml:space="preserve">increased testing costs, and applying the same percentage to the yearly number of tests (86,024),</w:t>
      </w:r>
      <w:r>
        <w:t xml:space="preserve"> </w:t>
      </w:r>
      <w:r>
        <w:t xml:space="preserve">yearly testing costs are estimated to incrementally increase compared to the baseline by around EUR</w:t>
      </w:r>
      <w:r>
        <w:t xml:space="preserve"> </w:t>
      </w:r>
      <w:r>
        <w:t xml:space="preserve">7.31-11.70 million.</w:t>
      </w:r>
      <w:r>
        <w:t xml:space="preserve"> </w:t>
      </w:r>
      <w:r>
        <w:t xml:space="preserve">Product withdrawals: In terms of product withdrawals, although the ultimate impact would depend</w:t>
      </w:r>
      <w:r>
        <w:t xml:space="preserve"> </w:t>
      </w:r>
      <w:r>
        <w:t xml:space="preserve">on the value of the toy models impacted, it is possible to indicate an estimate based on the turnover</w:t>
      </w:r>
      <w:r>
        <w:t xml:space="preserve"> </w:t>
      </w:r>
      <w:r>
        <w:t xml:space="preserve">achieved by the European toys industry. This option could impact 4-6% of toy models that could no</w:t>
      </w:r>
      <w:r>
        <w:t xml:space="preserve"> </w:t>
      </w:r>
      <w:r>
        <w:t xml:space="preserve">longer be made available on the market. On the basis of 2020 data, PO1b could result in EUR</w:t>
      </w:r>
      <w:r>
        <w:t xml:space="preserve"> </w:t>
      </w:r>
      <w:r>
        <w:t xml:space="preserve">262.3-393.5 million worth of toys no longer being made available on the market. Considering</w:t>
      </w:r>
      <w:r>
        <w:t xml:space="preserve"> </w:t>
      </w:r>
      <w:r>
        <w:t xml:space="preserve">2019 data, this value could be of EUR 330.2 – 495.3 million.</w:t>
      </w:r>
      <w:r>
        <w:t xml:space="preserve"> </w:t>
      </w:r>
      <w:r>
        <w:t xml:space="preserve">As detailed under PO1a, these figures should not be read in isolation, as they are subject to a range</w:t>
      </w:r>
      <w:r>
        <w:t xml:space="preserve"> </w:t>
      </w:r>
      <w:r>
        <w:t xml:space="preserve">of important caveats. However, they illustrate the potential scale of the impact arising from the</w:t>
      </w:r>
      <w:r>
        <w:t xml:space="preserve"> </w:t>
      </w:r>
      <w:r>
        <w:t xml:space="preserve">measures planned under PO1b.</w:t>
      </w:r>
      <w:r>
        <w:t xml:space="preserve"> </w:t>
      </w:r>
      <w:r>
        <w:t xml:space="preserve">Beyond these issues, it is important to note that, if PO1b is not implemented together with better</w:t>
      </w:r>
      <w:r>
        <w:t xml:space="preserve"> </w:t>
      </w:r>
      <w:r>
        <w:t xml:space="preserve">enforcement, there is a risk that non-compliant toys and their manufacturers would become more</w:t>
      </w:r>
      <w:r>
        <w:t xml:space="preserve"> </w:t>
      </w:r>
      <w:r>
        <w:t xml:space="preserve">competitive, as reputable manufacturers would have to comply with the extension of the GRA and</w:t>
      </w:r>
      <w:r>
        <w:t xml:space="preserve"> </w:t>
      </w:r>
      <w:r>
        <w:t xml:space="preserve">the removal of CLP derogations, and thus incur the related costs, whereas non-compliant</w:t>
      </w:r>
      <w:r>
        <w:t xml:space="preserve"> </w:t>
      </w:r>
      <w:r>
        <w:t xml:space="preserve">manufacturers do not presently comply with the essential requirements and would continue not to do</w:t>
      </w:r>
      <w:r>
        <w:t xml:space="preserve"> </w:t>
      </w:r>
      <w:r>
        <w:t xml:space="preserve">so.</w:t>
      </w:r>
      <w:r>
        <w:t xml:space="preserve"> </w:t>
      </w:r>
      <w:r>
        <w:t xml:space="preserve">PO1c</w:t>
      </w:r>
      <w:r>
        <w:t xml:space="preserve"> </w:t>
      </w:r>
      <w:r>
        <w:t xml:space="preserve">While PO1b will lead to greater adjustment costs than PO1a, the removal of all derogations under</w:t>
      </w:r>
      <w:r>
        <w:t xml:space="preserve"> </w:t>
      </w:r>
      <w:r>
        <w:t xml:space="preserve">policy option 1c would implement further incremental adjustment costs on industry</w:t>
      </w:r>
      <w:r>
        <w:t xml:space="preserve"> </w:t>
      </w:r>
      <w:r>
        <w:t xml:space="preserve">stakeholders.</w:t>
      </w:r>
      <w:r>
        <w:t xml:space="preserve"> </w:t>
      </w:r>
      <w:r>
        <w:t xml:space="preserve">Many manufacturers and industry associations interviewed noted that the removal of derogations</w:t>
      </w:r>
      <w:r>
        <w:t xml:space="preserve"> </w:t>
      </w:r>
      <w:r>
        <w:t xml:space="preserve">related to substances that are inaccessible or listed in Appendix A could lead to extensive</w:t>
      </w:r>
      <w:r>
        <w:t xml:space="preserve"> </w:t>
      </w:r>
      <w:r>
        <w:t xml:space="preserve">withdrawals of products. While many stakeholders again highlighted the difficulty of assessing the</w:t>
      </w:r>
      <w:r>
        <w:t xml:space="preserve"> </w:t>
      </w:r>
      <w:r>
        <w:t xml:space="preserve">scale of the impacts of this policy option due to a lack of detail, the following indications were</w:t>
      </w:r>
      <w:r>
        <w:t xml:space="preserve"> </w:t>
      </w:r>
      <w:r>
        <w:t xml:space="preserve">provided:</w:t>
      </w:r>
      <w:r>
        <w:t xml:space="preserve"> </w:t>
      </w:r>
      <w:r>
        <w:t xml:space="preserve"> A large top 5 global manufacturer estimated that, under PO1c, 10-20% of toys would have to</w:t>
      </w:r>
      <w:r>
        <w:t xml:space="preserve"> </w:t>
      </w:r>
      <w:r>
        <w:t xml:space="preserve">be removed from the European market, equating to up to 2000 Stock Keeping Unit (SKUs).</w:t>
      </w:r>
      <w:r>
        <w:t xml:space="preserve"> </w:t>
      </w:r>
      <w:r>
        <w:t xml:space="preserve"> Another manufacturer noted that approximately 20-30% of all their products would be</w:t>
      </w:r>
      <w:r>
        <w:t xml:space="preserve"> </w:t>
      </w:r>
      <w:r>
        <w:t xml:space="preserve">impacted.</w:t>
      </w:r>
      <w:r>
        <w:t xml:space="preserve"> </w:t>
      </w:r>
      <w:r>
        <w:t xml:space="preserve"> Without offering precise figures, other manufacturers stated that the majority, if not all their</w:t>
      </w:r>
      <w:r>
        <w:t xml:space="preserve"> </w:t>
      </w:r>
      <w:r>
        <w:t xml:space="preserve">products would be impacted under PO1c.</w:t>
      </w:r>
      <w:r>
        <w:t xml:space="preserve"> </w:t>
      </w:r>
      <w:r>
        <w:t xml:space="preserve">Notable impacts are anticipated under PO1c in relation to the use of nickel in toys and toy components</w:t>
      </w:r>
      <w:r>
        <w:t xml:space="preserve"> </w:t>
      </w:r>
      <w:r>
        <w:t xml:space="preserve">made of stainless steel and in toy components which are intended to conduct an electric current, for</w:t>
      </w:r>
      <w:r>
        <w:t xml:space="preserve"> </w:t>
      </w:r>
      <w:r>
        <w:t xml:space="preserve">example. . These changes will therefore not only bring a significant cost for manufacturers, but they</w:t>
      </w:r>
      <w:r>
        <w:t xml:space="preserve"> </w:t>
      </w:r>
      <w:r>
        <w:t xml:space="preserve">could severely impact the competitiveness of the European toys industry.</w:t>
      </w:r>
      <w:r>
        <w:t xml:space="preserve"> </w:t>
      </w:r>
      <w:r>
        <w:t xml:space="preserve">Based on these figures and further discussions with industry stakeholders, we now present rough,</w:t>
      </w:r>
      <w:r>
        <w:t xml:space="preserve"> </w:t>
      </w:r>
      <w:r>
        <w:t xml:space="preserve">indicative estimates of the potential adjustment costs related to PO1c. Given the incremental increase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188</w:t>
      </w:r>
      <w:r>
        <w:t xml:space="preserve"> </w:t>
      </w:r>
      <w:r>
        <w:t xml:space="preserve">EN</w:t>
      </w:r>
      <w:r>
        <w:t xml:space="preserve"> </w:t>
      </w:r>
      <w:r>
        <w:t xml:space="preserve">in the impact of PO1c as compared to PO1b, as well as the input on the balance between the relative</w:t>
      </w:r>
      <w:r>
        <w:t xml:space="preserve"> </w:t>
      </w:r>
      <w:r>
        <w:t xml:space="preserve">impact on product withdrawals versus substitution efforts, we assume the following for the purposes</w:t>
      </w:r>
      <w:r>
        <w:t xml:space="preserve"> </w:t>
      </w:r>
      <w:r>
        <w:t xml:space="preserve">of these estimates: a total of 20-30% of toy models will be impacted under PO1c, with 10-15% that</w:t>
      </w:r>
      <w:r>
        <w:t xml:space="preserve"> </w:t>
      </w:r>
      <w:r>
        <w:t xml:space="preserve">could no longer be made available on the market and 10-15% subject to product adaptation efforts</w:t>
      </w:r>
      <w:r>
        <w:t xml:space="preserve"> </w:t>
      </w:r>
      <w:r>
        <w:t xml:space="preserve">(including chemical substitution). In this case, as certain categories of products may be impacted by</w:t>
      </w:r>
      <w:r>
        <w:t xml:space="preserve"> </w:t>
      </w:r>
      <w:r>
        <w:t xml:space="preserve">the restrictions, shift in demand to other products may be more limited.</w:t>
      </w:r>
      <w:r>
        <w:t xml:space="preserve"> </w:t>
      </w:r>
      <w:r>
        <w:t xml:space="preserve">Using the same data on cost estimates for product adaptation and redevelopment detailed above,</w:t>
      </w:r>
      <w:r>
        <w:t xml:space="preserve"> </w:t>
      </w:r>
      <w:r>
        <w:t xml:space="preserve">PO1c could result in the costs for industry in the range detailed in the below table. More specifically,</w:t>
      </w:r>
      <w:r>
        <w:t xml:space="preserve"> </w:t>
      </w:r>
      <w:r>
        <w:t xml:space="preserve">the estimated impact on 10-15% of all toy models could result in total one-off costs associated with</w:t>
      </w:r>
      <w:r>
        <w:t xml:space="preserve"> </w:t>
      </w:r>
      <w:r>
        <w:t xml:space="preserve">product redesign and redevelopment of EUR 51.2 – 826.4 million compared to the baseline.391</w:t>
      </w:r>
      <w:r>
        <w:t xml:space="preserve"> </w:t>
      </w:r>
      <w:r>
        <w:t xml:space="preserve">It is anticipated that the costs per toy type under PO1c will be more costly than under PO1a and the</w:t>
      </w:r>
      <w:r>
        <w:t xml:space="preserve"> </w:t>
      </w:r>
      <w:r>
        <w:t xml:space="preserve">baseline scenario. As for PO1b, this is because the types of adaptations required as a result of the</w:t>
      </w:r>
      <w:r>
        <w:t xml:space="preserve"> </w:t>
      </w:r>
      <w:r>
        <w:t xml:space="preserve">measures implemented through PO1b are more likely to require the identification of substitute</w:t>
      </w:r>
      <w:r>
        <w:t xml:space="preserve"> </w:t>
      </w:r>
      <w:r>
        <w:t xml:space="preserve">chemicals rather than lowering the levels of the chemicals already in use.</w:t>
      </w:r>
      <w:r>
        <w:t xml:space="preserve"> </w:t>
      </w:r>
      <w:r>
        <w:t xml:space="preserve">Table 28: Cost estimates associated with chemical restrictions implemented under PO1c392</w:t>
      </w:r>
      <w:r>
        <w:t xml:space="preserve"> </w:t>
      </w:r>
      <w:r>
        <w:t xml:space="preserve">Estimated % of</w:t>
      </w:r>
      <w:r>
        <w:t xml:space="preserve"> </w:t>
      </w:r>
      <w:r>
        <w:t xml:space="preserve">products impacted</w:t>
      </w:r>
      <w:r>
        <w:t xml:space="preserve"> </w:t>
      </w:r>
      <w:r>
        <w:t xml:space="preserve">Evaluation</w:t>
      </w:r>
      <w:r>
        <w:t xml:space="preserve"> </w:t>
      </w:r>
      <w:r>
        <w:t xml:space="preserve">(large firms)</w:t>
      </w:r>
      <w:r>
        <w:t xml:space="preserve"> </w:t>
      </w:r>
      <w:r>
        <w:t xml:space="preserve">Evaluation</w:t>
      </w:r>
      <w:r>
        <w:t xml:space="preserve"> </w:t>
      </w:r>
      <w:r>
        <w:t xml:space="preserve">(SMEs)</w:t>
      </w:r>
      <w:r>
        <w:t xml:space="preserve"> </w:t>
      </w:r>
      <w:r>
        <w:t xml:space="preserve">Total</w:t>
      </w:r>
      <w:r>
        <w:t xml:space="preserve"> </w:t>
      </w:r>
      <w:r>
        <w:t xml:space="preserve">redesign</w:t>
      </w:r>
      <w:r>
        <w:t xml:space="preserve"> </w:t>
      </w:r>
      <w:r>
        <w:t xml:space="preserve">/</w:t>
      </w:r>
      <w:r>
        <w:t xml:space="preserve"> </w:t>
      </w:r>
      <w:r>
        <w:t xml:space="preserve">redevelopme</w:t>
      </w:r>
      <w:r>
        <w:t xml:space="preserve"> </w:t>
      </w:r>
      <w:r>
        <w:t xml:space="preserve">nt</w:t>
      </w:r>
      <w:r>
        <w:t xml:space="preserve"> </w:t>
      </w:r>
      <w:r>
        <w:t xml:space="preserve">(low</w:t>
      </w:r>
      <w:r>
        <w:t xml:space="preserve"> </w:t>
      </w:r>
      <w:r>
        <w:t xml:space="preserve">estimate)</w:t>
      </w:r>
      <w:r>
        <w:t xml:space="preserve"> </w:t>
      </w:r>
      <w:r>
        <w:t xml:space="preserve">Total redesign /</w:t>
      </w:r>
      <w:r>
        <w:t xml:space="preserve"> </w:t>
      </w:r>
      <w:r>
        <w:t xml:space="preserve">redevelopment</w:t>
      </w:r>
      <w:r>
        <w:t xml:space="preserve"> </w:t>
      </w:r>
      <w:r>
        <w:t xml:space="preserve">(middle</w:t>
      </w:r>
      <w:r>
        <w:t xml:space="preserve"> </w:t>
      </w:r>
      <w:r>
        <w:t xml:space="preserve">estimate)</w:t>
      </w:r>
      <w:r>
        <w:t xml:space="preserve"> </w:t>
      </w:r>
      <w:r>
        <w:t xml:space="preserve">Total redesign /</w:t>
      </w:r>
      <w:r>
        <w:t xml:space="preserve"> </w:t>
      </w:r>
      <w:r>
        <w:t xml:space="preserve">redevelopment</w:t>
      </w:r>
      <w:r>
        <w:t xml:space="preserve"> </w:t>
      </w:r>
      <w:r>
        <w:t xml:space="preserve">(high estimate)</w:t>
      </w:r>
      <w:r>
        <w:t xml:space="preserve"> </w:t>
      </w:r>
      <w:r>
        <w:t xml:space="preserve">Costs per toy type</w:t>
      </w:r>
      <w:r>
        <w:t xml:space="preserve"> </w:t>
      </w:r>
      <w:r>
        <w:t xml:space="preserve">(EUR)</w:t>
      </w:r>
      <w:r>
        <w:t xml:space="preserve"> </w:t>
      </w:r>
      <w:r>
        <w:t xml:space="preserve">€6,500</w:t>
      </w:r>
      <w:r>
        <w:t xml:space="preserve"> </w:t>
      </w:r>
      <w:r>
        <w:t xml:space="preserve">€7,700</w:t>
      </w:r>
      <w:r>
        <w:t xml:space="preserve"> </w:t>
      </w:r>
      <w:r>
        <w:t xml:space="preserve">€15,000</w:t>
      </w:r>
      <w:r>
        <w:t xml:space="preserve"> </w:t>
      </w:r>
      <w:r>
        <w:t xml:space="preserve">€35,100</w:t>
      </w:r>
      <w:r>
        <w:t xml:space="preserve"> </w:t>
      </w:r>
      <w:r>
        <w:t xml:space="preserve">€70,000</w:t>
      </w:r>
      <w:r>
        <w:t xml:space="preserve"> </w:t>
      </w:r>
      <w:r>
        <w:t xml:space="preserve">%</w:t>
      </w:r>
      <w:r>
        <w:t xml:space="preserve"> </w:t>
      </w:r>
      <w:r>
        <w:t xml:space="preserve">of</w:t>
      </w:r>
      <w:r>
        <w:t xml:space="preserve"> </w:t>
      </w:r>
      <w:r>
        <w:t xml:space="preserve">products</w:t>
      </w:r>
      <w:r>
        <w:t xml:space="preserve"> </w:t>
      </w:r>
      <w:r>
        <w:t xml:space="preserve">impacted</w:t>
      </w:r>
      <w:r>
        <w:t xml:space="preserve"> </w:t>
      </w:r>
      <w:r>
        <w:t xml:space="preserve">(low</w:t>
      </w:r>
      <w:r>
        <w:t xml:space="preserve"> </w:t>
      </w:r>
      <w:r>
        <w:t xml:space="preserve">estimate - 10%)</w:t>
      </w:r>
      <w:r>
        <w:t xml:space="preserve"> </w:t>
      </w:r>
      <w:r>
        <w:t xml:space="preserve">€51.16 m</w:t>
      </w:r>
      <w:r>
        <w:t xml:space="preserve"> </w:t>
      </w:r>
      <w:r>
        <w:t xml:space="preserve">€60.60 m</w:t>
      </w:r>
      <w:r>
        <w:t xml:space="preserve"> </w:t>
      </w:r>
      <w:r>
        <w:t xml:space="preserve">€133.79 m</w:t>
      </w:r>
      <w:r>
        <w:t xml:space="preserve"> </w:t>
      </w:r>
      <w:r>
        <w:t xml:space="preserve">€276.24 m</w:t>
      </w:r>
      <w:r>
        <w:t xml:space="preserve"> </w:t>
      </w:r>
      <w:r>
        <w:t xml:space="preserve">€550.91 m</w:t>
      </w:r>
      <w:r>
        <w:t xml:space="preserve"> </w:t>
      </w:r>
      <w:r>
        <w:t xml:space="preserve">%</w:t>
      </w:r>
      <w:r>
        <w:t xml:space="preserve"> </w:t>
      </w:r>
      <w:r>
        <w:t xml:space="preserve">of</w:t>
      </w:r>
      <w:r>
        <w:t xml:space="preserve"> </w:t>
      </w:r>
      <w:r>
        <w:t xml:space="preserve">products</w:t>
      </w:r>
      <w:r>
        <w:t xml:space="preserve"> </w:t>
      </w:r>
      <w:r>
        <w:t xml:space="preserve">impacted</w:t>
      </w:r>
      <w:r>
        <w:t xml:space="preserve"> </w:t>
      </w:r>
      <w:r>
        <w:t xml:space="preserve">(high</w:t>
      </w:r>
      <w:r>
        <w:t xml:space="preserve"> </w:t>
      </w:r>
      <w:r>
        <w:t xml:space="preserve">estimate - 15%)</w:t>
      </w:r>
      <w:r>
        <w:t xml:space="preserve"> </w:t>
      </w:r>
      <w:r>
        <w:t xml:space="preserve">€76.73 m</w:t>
      </w:r>
      <w:r>
        <w:t xml:space="preserve"> </w:t>
      </w:r>
      <w:r>
        <w:t xml:space="preserve">€90.90 m</w:t>
      </w:r>
      <w:r>
        <w:t xml:space="preserve"> </w:t>
      </w:r>
      <w:r>
        <w:t xml:space="preserve">€200.69 m</w:t>
      </w:r>
      <w:r>
        <w:t xml:space="preserve"> </w:t>
      </w:r>
      <w:r>
        <w:t xml:space="preserve">€414.37 m</w:t>
      </w:r>
      <w:r>
        <w:t xml:space="preserve"> </w:t>
      </w:r>
      <w:r>
        <w:t xml:space="preserve">€826.37 m</w:t>
      </w:r>
    </w:p>
    <w:p>
      <w:pPr>
        <w:pStyle w:val="BodyText"/>
      </w:pPr>
      <w:r>
        <w:t xml:space="preserve">In addition, as under PO1b, the costs of testing products would reportedly increase under PO1c due</w:t>
      </w:r>
      <w:r>
        <w:t xml:space="preserve"> </w:t>
      </w:r>
      <w:r>
        <w:t xml:space="preserve">to an anticipate increase in the complexity of the testing required. Based on industry input, the costs</w:t>
      </w:r>
      <w:r>
        <w:t xml:space="preserve"> </w:t>
      </w:r>
      <w:r>
        <w:t xml:space="preserve">of testing per product under PO1c would increase to approximately EUR 3,900 per new toy model.</w:t>
      </w:r>
      <w:r>
        <w:t xml:space="preserve"> </w:t>
      </w:r>
      <w:r>
        <w:t xml:space="preserve">Assuming that the 10-15% of toy models subject to adaptation efforts will be subject to these</w:t>
      </w:r>
      <w:r>
        <w:t xml:space="preserve"> </w:t>
      </w:r>
      <w:r>
        <w:t xml:space="preserve">increased testing costs, and applying the same percentages to the yearly number of tests (86,024)</w:t>
      </w:r>
      <w:r>
        <w:t xml:space="preserve"> </w:t>
      </w:r>
      <w:r>
        <w:t xml:space="preserve">yearly testing costs are estimated to incrementally increase compared to the baseline by around EUR</w:t>
      </w:r>
      <w:r>
        <w:t xml:space="preserve"> </w:t>
      </w:r>
      <w:r>
        <w:t xml:space="preserve">14.62-21.94 million.</w:t>
      </w:r>
      <w:r>
        <w:t xml:space="preserve"> </w:t>
      </w:r>
      <w:r>
        <w:t xml:space="preserve">Product withdrawals: In terms of product withdrawals, although the ultimate impact would depend</w:t>
      </w:r>
      <w:r>
        <w:t xml:space="preserve"> </w:t>
      </w:r>
      <w:r>
        <w:t xml:space="preserve">on the value of the toy models impacted, it is possible to indicate an estimate based on the turnover</w:t>
      </w:r>
      <w:r>
        <w:t xml:space="preserve"> </w:t>
      </w:r>
      <w:r>
        <w:t xml:space="preserve">achieved by the European toys industry. This option could impact between 10% and 15% of all toy</w:t>
      </w:r>
      <w:r>
        <w:t xml:space="preserve"> </w:t>
      </w:r>
      <w:r>
        <w:t xml:space="preserve">models that could no longer be made available. On the basis of 2020 data, PO1c could impact EUR</w:t>
      </w:r>
      <w:r>
        <w:t xml:space="preserve"> </w:t>
      </w:r>
      <w:r>
        <w:t xml:space="preserve">656 – 984 million worth of toys. Considering 2019 data EUR 826 million and 1.24 billion worth of</w:t>
      </w:r>
    </w:p>
    <w:p>
      <w:pPr>
        <w:pStyle w:val="BodyText"/>
      </w:pPr>
      <w:r>
        <w:t xml:space="preserve">391 These figures have been calculated using the following equation: total number of new toys in a given year (78,702) x</w:t>
      </w:r>
      <w:r>
        <w:t xml:space="preserve"> </w:t>
      </w:r>
      <w:r>
        <w:t xml:space="preserve">the proportion of products impacted by product adaptation x the costs of testing/redevelopment.</w:t>
      </w:r>
      <w:r>
        <w:t xml:space="preserve"> </w:t>
      </w:r>
      <w:r>
        <w:t xml:space="preserve">392 These figures have been calculated using the following equation: total number of new toys in a given year (78,702) x</w:t>
      </w:r>
      <w:r>
        <w:t xml:space="preserve"> </w:t>
      </w:r>
      <w:r>
        <w:t xml:space="preserve">the proportion of products impacted by product adaptation x the costs of testing/redevelopment.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189</w:t>
      </w:r>
      <w:r>
        <w:t xml:space="preserve"> </w:t>
      </w:r>
      <w:r>
        <w:t xml:space="preserve">EN</w:t>
      </w:r>
      <w:r>
        <w:t xml:space="preserve"> </w:t>
      </w:r>
      <w:r>
        <w:t xml:space="preserve">toys could no longer be made available. However, as mentioned throughout, this would not lead to a</w:t>
      </w:r>
      <w:r>
        <w:t xml:space="preserve"> </w:t>
      </w:r>
      <w:r>
        <w:t xml:space="preserve">direct market contraction of that size, given manufacturers will be provided with an appropriate</w:t>
      </w:r>
      <w:r>
        <w:t xml:space="preserve"> </w:t>
      </w:r>
      <w:r>
        <w:t xml:space="preserve">transition period in which they will be able to assess the viability of existing products and, if needed,</w:t>
      </w:r>
      <w:r>
        <w:t xml:space="preserve"> </w:t>
      </w:r>
      <w:r>
        <w:t xml:space="preserve">shift resources to the production and sale of alternative toy products. Moreover, consumers will in</w:t>
      </w:r>
      <w:r>
        <w:t xml:space="preserve"> </w:t>
      </w:r>
      <w:r>
        <w:t xml:space="preserve">many cases simply purchase an alternative toy product rather than not purchase anything.</w:t>
      </w:r>
      <w:r>
        <w:t xml:space="preserve"> </w:t>
      </w:r>
      <w:r>
        <w:t xml:space="preserve">Nonetheless, the severity of the measures under PO1c will render certain categories of toys</w:t>
      </w:r>
      <w:r>
        <w:t xml:space="preserve"> </w:t>
      </w:r>
      <w:r>
        <w:t xml:space="preserve">unavailable.</w:t>
      </w:r>
      <w:r>
        <w:t xml:space="preserve"> </w:t>
      </w:r>
      <w:r>
        <w:t xml:space="preserve">As detailed under the other policy options, these figures should not be read in isolation, as they are</w:t>
      </w:r>
      <w:r>
        <w:t xml:space="preserve"> </w:t>
      </w:r>
      <w:r>
        <w:t xml:space="preserve">subject to a range of important caveats. However, they illustrate the potential scale of the impact</w:t>
      </w:r>
      <w:r>
        <w:t xml:space="preserve"> </w:t>
      </w:r>
      <w:r>
        <w:t xml:space="preserve">arising from all measures proposed under policy option 1.</w:t>
      </w:r>
      <w:r>
        <w:t xml:space="preserve"> </w:t>
      </w:r>
      <w:r>
        <w:t xml:space="preserve">C) Policy options to reduce the number of non-compliant toys – Overarching analysis</w:t>
      </w:r>
      <w:r>
        <w:t xml:space="preserve"> </w:t>
      </w:r>
      <w:r>
        <w:t xml:space="preserve">There are no notable adjustment costs stemming from PO2a. All additional costs for industry are</w:t>
      </w:r>
      <w:r>
        <w:t xml:space="preserve"> </w:t>
      </w:r>
      <w:r>
        <w:t xml:space="preserve">discussed within the above section on administrative burden.</w:t>
      </w:r>
      <w:r>
        <w:br/>
      </w:r>
      <w:r>
        <w:t xml:space="preserve">For PO2b, there are no adjustment costs either as costs associated to the DPP are factored in as</w:t>
      </w:r>
      <w:r>
        <w:t xml:space="preserve"> </w:t>
      </w:r>
      <w:r>
        <w:t xml:space="preserve">administrative burden above. There could be some cost synergies and savings in that product</w:t>
      </w:r>
      <w:r>
        <w:t xml:space="preserve"> </w:t>
      </w:r>
      <w:r>
        <w:t xml:space="preserve">information digitalized through the DPP could be useful in demonstrating compliance with the toy</w:t>
      </w:r>
      <w:r>
        <w:t xml:space="preserve"> </w:t>
      </w:r>
      <w:r>
        <w:t xml:space="preserve">safety rules, as well as for meeting the requirements set out in horizontal legislation (such as REACH</w:t>
      </w:r>
      <w:r>
        <w:t xml:space="preserve"> </w:t>
      </w:r>
      <w:r>
        <w:t xml:space="preserve">and the CLP in relation to substances used in toys). The precise level of savings is not possible to</w:t>
      </w:r>
      <w:r>
        <w:t xml:space="preserve"> </w:t>
      </w:r>
      <w:r>
        <w:t xml:space="preserve">estimate.</w:t>
      </w:r>
      <w:r>
        <w:t xml:space="preserve"> </w:t>
      </w:r>
      <w:r>
        <w:t xml:space="preserve">2.</w:t>
      </w:r>
      <w:r>
        <w:t xml:space="preserve"> </w:t>
      </w:r>
      <w:r>
        <w:t xml:space="preserve">IMPACTS ON INNOVATION AND COMPETITIVENESS</w:t>
      </w:r>
      <w:r>
        <w:br/>
      </w:r>
      <w:r>
        <w:t xml:space="preserve">As per the Better Regulation guidelines, it is important to assess the impacts of changes to the TSD</w:t>
      </w:r>
      <w:r>
        <w:t xml:space="preserve"> </w:t>
      </w:r>
      <w:r>
        <w:t xml:space="preserve">and its possible transition to a Regulation on innovation, competitiveness and the single market.</w:t>
      </w:r>
      <w:r>
        <w:br/>
      </w:r>
      <w:r>
        <w:t xml:space="preserve">In this section, we discuss how the proposed changes to the TSD outlined under the different policy</w:t>
      </w:r>
      <w:r>
        <w:t xml:space="preserve"> </w:t>
      </w:r>
      <w:r>
        <w:t xml:space="preserve">options (POs) could potentially contribute towards the achievement of EU policy objectives relating</w:t>
      </w:r>
      <w:r>
        <w:t xml:space="preserve"> </w:t>
      </w:r>
      <w:r>
        <w:t xml:space="preserve">to strengthening innovation and industrial competitiveness. A summary is provided here, before a</w:t>
      </w:r>
      <w:r>
        <w:t xml:space="preserve"> </w:t>
      </w:r>
      <w:r>
        <w:t xml:space="preserve">more detailed analysis is presented below, by policy option:</w:t>
      </w:r>
      <w:r>
        <w:t xml:space="preserve"> </w:t>
      </w:r>
      <w:r>
        <w:t xml:space="preserve"> Under PO1a, the ability for the Commission to more easily change chemical Limit Values</w:t>
      </w:r>
      <w:r>
        <w:t xml:space="preserve"> </w:t>
      </w:r>
      <w:r>
        <w:t xml:space="preserve">could impact the ongoing feasibility of continuing to use the same substances in toy</w:t>
      </w:r>
      <w:r>
        <w:t xml:space="preserve"> </w:t>
      </w:r>
      <w:r>
        <w:t xml:space="preserve">production. There could be ongoing competitiveness risks related to the uncertainty of relying</w:t>
      </w:r>
      <w:r>
        <w:t xml:space="preserve"> </w:t>
      </w:r>
      <w:r>
        <w:t xml:space="preserve">on substances if they can only be used safely in very small quantities with a risk of them being</w:t>
      </w:r>
      <w:r>
        <w:t xml:space="preserve"> </w:t>
      </w:r>
      <w:r>
        <w:t xml:space="preserve">banned in future. This could incentivise producers to explore the use of chemical substitutes,</w:t>
      </w:r>
      <w:r>
        <w:t xml:space="preserve"> </w:t>
      </w:r>
      <w:r>
        <w:t xml:space="preserve">which could in theory drive innovation. However, in practice, industry stakeholders note that,</w:t>
      </w:r>
      <w:r>
        <w:t xml:space="preserve"> </w:t>
      </w:r>
      <w:r>
        <w:t xml:space="preserve">although the specific substances this option will impact are unknown, there are generally</w:t>
      </w:r>
      <w:r>
        <w:t xml:space="preserve"> </w:t>
      </w:r>
      <w:r>
        <w:t xml:space="preserve">limited suitable alternatives available and the toy industry lacks influence in the market to</w:t>
      </w:r>
      <w:r>
        <w:t xml:space="preserve"> </w:t>
      </w:r>
      <w:r>
        <w:t xml:space="preserve">drive targeted activities by the chemicals industry to identify appropriate alternatives.</w:t>
      </w:r>
      <w:r>
        <w:t xml:space="preserve"> </w:t>
      </w:r>
      <w:r>
        <w:t xml:space="preserve"> Under PO1a, a reduction in the limit values stipulated in the TSD relating to N-Nitrosamines</w:t>
      </w:r>
      <w:r>
        <w:t xml:space="preserve"> </w:t>
      </w:r>
      <w:r>
        <w:t xml:space="preserve">and N-nitrosatable substances to the levels already set out in the EN standard and in German</w:t>
      </w:r>
      <w:r>
        <w:t xml:space="preserve"> </w:t>
      </w:r>
      <w:r>
        <w:t xml:space="preserve">national legislation, which are lower, was generally supported by large toy manufacturers on</w:t>
      </w:r>
      <w:r>
        <w:t xml:space="preserve"> </w:t>
      </w:r>
      <w:r>
        <w:t xml:space="preserve">the basis that they largely already follow lower limit values compared with the TSD as per the</w:t>
      </w:r>
      <w:r>
        <w:t xml:space="preserve"> </w:t>
      </w:r>
      <w:r>
        <w:t xml:space="preserve">EN standard. As such, toy producers would not need to use chemical substitutes even if limit</w:t>
      </w:r>
      <w:r>
        <w:t xml:space="preserve"> </w:t>
      </w:r>
      <w:r>
        <w:t xml:space="preserve">values were reduced, as they are already below those reduced limit values anyway. However,</w:t>
      </w:r>
      <w:r>
        <w:t xml:space="preserve"> </w:t>
      </w:r>
      <w:r>
        <w:t xml:space="preserve">an exception in this regard was producers of certain toy products, such as balloons, where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190</w:t>
      </w:r>
      <w:r>
        <w:t xml:space="preserve"> </w:t>
      </w:r>
      <w:r>
        <w:t xml:space="preserve">EN</w:t>
      </w:r>
      <w:r>
        <w:t xml:space="preserve"> </w:t>
      </w:r>
      <w:r>
        <w:t xml:space="preserve">SMEs were highly concerned that changes beyond the limit values detailed in the EN standard</w:t>
      </w:r>
      <w:r>
        <w:t xml:space="preserve"> </w:t>
      </w:r>
      <w:r>
        <w:t xml:space="preserve">could result in them having to withdraw their products from the market.</w:t>
      </w:r>
      <w:r>
        <w:br/>
      </w:r>
      <w:r>
        <w:t xml:space="preserve"> Under PO2a, if conformity assessment was to be extended, with additional pre-conformity</w:t>
      </w:r>
      <w:r>
        <w:t xml:space="preserve"> </w:t>
      </w:r>
      <w:r>
        <w:t xml:space="preserve">assessment required through an EC-type examination, industry feedback was that this would</w:t>
      </w:r>
      <w:r>
        <w:t xml:space="preserve"> </w:t>
      </w:r>
      <w:r>
        <w:t xml:space="preserve">result in considerable additional compliance costs during the conformity assessment process</w:t>
      </w:r>
      <w:r>
        <w:t xml:space="preserve"> </w:t>
      </w:r>
      <w:r>
        <w:t xml:space="preserve">for the product types covered by the extended requirements. In case the measures would lead</w:t>
      </w:r>
      <w:r>
        <w:t xml:space="preserve"> </w:t>
      </w:r>
      <w:r>
        <w:t xml:space="preserve">to an improvement in enforcement this would have a very positive effect on competitiveness</w:t>
      </w:r>
      <w:r>
        <w:t xml:space="preserve"> </w:t>
      </w:r>
      <w:r>
        <w:t xml:space="preserve">of complying producers as they would win market share and the cheaper illicit competition</w:t>
      </w:r>
      <w:r>
        <w:t xml:space="preserve"> </w:t>
      </w:r>
      <w:r>
        <w:t xml:space="preserve">will be curtailed.</w:t>
      </w:r>
      <w:r>
        <w:t xml:space="preserve"> </w:t>
      </w:r>
      <w:r>
        <w:t xml:space="preserve"> Under PO2b, the facilitation of controls, a Digital Product Passport would be introduced. This</w:t>
      </w:r>
      <w:r>
        <w:t xml:space="preserve"> </w:t>
      </w:r>
      <w:r>
        <w:t xml:space="preserve">could facilitate the work of market surveillance authorities and customs authorities and lead</w:t>
      </w:r>
      <w:r>
        <w:t xml:space="preserve"> </w:t>
      </w:r>
      <w:r>
        <w:t xml:space="preserve">to efficiency savings, but this would not necessarily impact directly on innovation and</w:t>
      </w:r>
      <w:r>
        <w:t xml:space="preserve"> </w:t>
      </w:r>
      <w:r>
        <w:t xml:space="preserve">competitiveness per se. Again, in case the measures would lead to an improvement in</w:t>
      </w:r>
      <w:r>
        <w:t xml:space="preserve"> </w:t>
      </w:r>
      <w:r>
        <w:t xml:space="preserve">enforcement this would have a very positive effect on competitiveness of complying producers</w:t>
      </w:r>
      <w:r>
        <w:t xml:space="preserve"> </w:t>
      </w:r>
      <w:r>
        <w:t xml:space="preserve">as they would win market share and the cheaper illicit competition will be curtailed.</w:t>
      </w:r>
      <w:r>
        <w:t xml:space="preserve"> </w:t>
      </w:r>
      <w:r>
        <w:t xml:space="preserve">The impacts by policy option are now considered in detail:</w:t>
      </w:r>
      <w:r>
        <w:br/>
      </w:r>
      <w:r>
        <w:t xml:space="preserve">A) Baseline</w:t>
      </w:r>
      <w:r>
        <w:t xml:space="preserve"> </w:t>
      </w:r>
      <w:r>
        <w:t xml:space="preserve">The current baseline situation in relation to competitiveness and innovation is as follows:</w:t>
      </w:r>
      <w:r>
        <w:br/>
      </w:r>
      <w:r>
        <w:t xml:space="preserve"> Currently, a very selected number of derogations from restrictions on chemical substances are</w:t>
      </w:r>
      <w:r>
        <w:t xml:space="preserve"> </w:t>
      </w:r>
      <w:r>
        <w:t xml:space="preserve">possible under the TSD under Appendix A. This allows the toys sector to avoid the costs of</w:t>
      </w:r>
      <w:r>
        <w:t xml:space="preserve"> </w:t>
      </w:r>
      <w:r>
        <w:t xml:space="preserve">generic bans, given the absence of suitable substitute chemicals in many cases, which prevents</w:t>
      </w:r>
      <w:r>
        <w:t xml:space="preserve"> </w:t>
      </w:r>
      <w:r>
        <w:t xml:space="preserve">product withdrawal.</w:t>
      </w:r>
      <w:r>
        <w:br/>
      </w:r>
      <w:r>
        <w:t xml:space="preserve"> Limit values change rarely, and it can take considerable time to get limit values changed,</w:t>
      </w:r>
      <w:r>
        <w:t xml:space="preserve"> </w:t>
      </w:r>
      <w:r>
        <w:t xml:space="preserve">therefore there is a challenge that no fast-track mechanism exists to respond quickly if</w:t>
      </w:r>
      <w:r>
        <w:t xml:space="preserve"> </w:t>
      </w:r>
      <w:r>
        <w:t xml:space="preserve">scientific evidence suggests that limit values are unsafe. Whilst this avoids damaging</w:t>
      </w:r>
      <w:r>
        <w:t xml:space="preserve"> </w:t>
      </w:r>
      <w:r>
        <w:t xml:space="preserve">competitiveness by avoiding a situation in which limit values change regularly, it is not ideal</w:t>
      </w:r>
      <w:r>
        <w:t xml:space="preserve"> </w:t>
      </w:r>
      <w:r>
        <w:t xml:space="preserve">as the system for setting limit values is slow and inflexible, which may damage industry</w:t>
      </w:r>
      <w:r>
        <w:t xml:space="preserve"> </w:t>
      </w:r>
      <w:r>
        <w:t xml:space="preserve">competitiveness in the medium-long term.</w:t>
      </w:r>
      <w:r>
        <w:br/>
      </w:r>
      <w:r>
        <w:t xml:space="preserve"> The great majority of toys (around 97%) are not presently subject to an EC type examination.</w:t>
      </w:r>
      <w:r>
        <w:t xml:space="preserve"> </w:t>
      </w:r>
      <w:r>
        <w:t xml:space="preserve">This is viewed as being cost-effective by industry, who have a strong preference for following</w:t>
      </w:r>
      <w:r>
        <w:t xml:space="preserve"> </w:t>
      </w:r>
      <w:r>
        <w:t xml:space="preserve">Module A (internal production control).</w:t>
      </w:r>
      <w:r>
        <w:br/>
      </w:r>
      <w:r>
        <w:t xml:space="preserve"> The very high number of non-compliant toys in the Union market create a competitive</w:t>
      </w:r>
      <w:r>
        <w:t xml:space="preserve"> </w:t>
      </w:r>
      <w:r>
        <w:t xml:space="preserve">disadvantage for reputable manufacturers that spend a significant amount of resources in</w:t>
      </w:r>
      <w:r>
        <w:t xml:space="preserve"> </w:t>
      </w:r>
      <w:r>
        <w:t xml:space="preserve">complying with the TSD.</w:t>
      </w:r>
      <w:r>
        <w:t xml:space="preserve"> </w:t>
      </w:r>
      <w:r>
        <w:t xml:space="preserve">B) Policy options to strengthen the protection of children from harmful chemicals - PO1a</w:t>
      </w:r>
      <w:r>
        <w:t xml:space="preserve"> </w:t>
      </w:r>
      <w:r>
        <w:t xml:space="preserve">Strengthening the limit values for chemical substances could have mixed impacts, given that</w:t>
      </w:r>
      <w:r>
        <w:t xml:space="preserve"> </w:t>
      </w:r>
      <w:r>
        <w:t xml:space="preserve">tightening chemicals rules for toys is likely to serve as both a driver and inhibitor of innovation</w:t>
      </w:r>
      <w:r>
        <w:t xml:space="preserve"> </w:t>
      </w:r>
      <w:r>
        <w:t xml:space="preserve">and competitiveness.</w:t>
      </w:r>
      <w:r>
        <w:t xml:space="preserve"> </w:t>
      </w:r>
      <w:r>
        <w:t xml:space="preserve">Under PO1a, there would be an impact on innovation and competitiveness. In particular, the proposed</w:t>
      </w:r>
      <w:r>
        <w:t xml:space="preserve"> </w:t>
      </w:r>
      <w:r>
        <w:t xml:space="preserve">changes would incentivise, but not mandate chemicals substitution. Reductions in limit values</w:t>
      </w:r>
      <w:r>
        <w:t xml:space="preserve"> </w:t>
      </w:r>
      <w:r>
        <w:t xml:space="preserve">could require producers to reconsider which chemicals they use in toy production, for instance if they</w:t>
      </w:r>
      <w:r>
        <w:t xml:space="preserve"> </w:t>
      </w:r>
      <w:r>
        <w:t xml:space="preserve">can only use these in small quantities to avoid exceeding new limit values. Whilst in some cases, they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191</w:t>
      </w:r>
      <w:r>
        <w:t xml:space="preserve"> </w:t>
      </w:r>
      <w:r>
        <w:t xml:space="preserve">EN</w:t>
      </w:r>
      <w:r>
        <w:t xml:space="preserve"> </w:t>
      </w:r>
      <w:r>
        <w:t xml:space="preserve">could continue to use the same chemicals, there could be an increased risk in terms of the supply of</w:t>
      </w:r>
      <w:r>
        <w:t xml:space="preserve"> </w:t>
      </w:r>
      <w:r>
        <w:t xml:space="preserve">those chemicals in future if scientific evidence evolves and requires further changes to the limit</w:t>
      </w:r>
      <w:r>
        <w:t xml:space="preserve"> </w:t>
      </w:r>
      <w:r>
        <w:t xml:space="preserve">values, or even the substance being banned. The nature and magnitude of impacts would depend on</w:t>
      </w:r>
      <w:r>
        <w:t xml:space="preserve"> </w:t>
      </w:r>
      <w:r>
        <w:t xml:space="preserve">which limit values are put in place, which is not yet known at this stage, as PO1a is about giving</w:t>
      </w:r>
      <w:r>
        <w:t xml:space="preserve"> </w:t>
      </w:r>
      <w:r>
        <w:t xml:space="preserve">regulatory powers to change limit values to be more flexible and quicker to reflect evolving scientific</w:t>
      </w:r>
      <w:r>
        <w:t xml:space="preserve"> </w:t>
      </w:r>
      <w:r>
        <w:t xml:space="preserve">evidence.</w:t>
      </w:r>
      <w:r>
        <w:t xml:space="preserve"> </w:t>
      </w:r>
      <w:r>
        <w:t xml:space="preserve">Where no suitable alternative chemicals are available, this could lead to the withdrawal of particular</w:t>
      </w:r>
      <w:r>
        <w:t xml:space="preserve"> </w:t>
      </w:r>
      <w:r>
        <w:t xml:space="preserve">products from the market. However, whilst there could arguably be some withdrawals of products</w:t>
      </w:r>
      <w:r>
        <w:t xml:space="preserve"> </w:t>
      </w:r>
      <w:r>
        <w:t xml:space="preserve">from the market, estimated in the cost-benefit assessment at between 1% in a low case and 2% in a</w:t>
      </w:r>
      <w:r>
        <w:t xml:space="preserve"> </w:t>
      </w:r>
      <w:r>
        <w:t xml:space="preserve">high case, regarding the impacts on industry overall, this would be partially mitigated through the</w:t>
      </w:r>
      <w:r>
        <w:t xml:space="preserve"> </w:t>
      </w:r>
      <w:r>
        <w:t xml:space="preserve">effects of consumers switching to purchasing compliant products instead of a product they would</w:t>
      </w:r>
      <w:r>
        <w:t xml:space="preserve"> </w:t>
      </w:r>
      <w:r>
        <w:t xml:space="preserve">have otherwise purchased had it not been withdrawn from the market, as well as the possibility for</w:t>
      </w:r>
      <w:r>
        <w:t xml:space="preserve"> </w:t>
      </w:r>
      <w:r>
        <w:t xml:space="preserve">producers to adapt production through a sufficiently long transition period.</w:t>
      </w:r>
      <w:r>
        <w:t xml:space="preserve"> </w:t>
      </w:r>
      <w:r>
        <w:t xml:space="preserve">The SME survey examined views on what difference this package of options would make to</w:t>
      </w:r>
      <w:r>
        <w:t xml:space="preserve"> </w:t>
      </w:r>
      <w:r>
        <w:t xml:space="preserve">competitiveness of products. It should be noted that the views expressed cover all sub-measures</w:t>
      </w:r>
      <w:r>
        <w:t xml:space="preserve"> </w:t>
      </w:r>
      <w:r>
        <w:t xml:space="preserve">included in PO1a, which go beyond making changes to chemicals limit values alone.</w:t>
      </w:r>
      <w:r>
        <w:t xml:space="preserve"> </w:t>
      </w:r>
      <w:r>
        <w:t xml:space="preserve">Figure 18: PO1a minimum changes. Impacts on SMEs – on a scale of 1-5 (1 strong decrease, and 5 strong</w:t>
      </w:r>
      <w:r>
        <w:t xml:space="preserve"> </w:t>
      </w:r>
      <w:r>
        <w:t xml:space="preserve">increase in competitiveness), how would these measures presented above make your products more or less</w:t>
      </w:r>
      <w:r>
        <w:t xml:space="preserve"> </w:t>
      </w:r>
      <w:r>
        <w:t xml:space="preserve">competitive in comparison to imports and to larger manufacturers?</w:t>
      </w:r>
    </w:p>
    <w:p>
      <w:pPr>
        <w:pStyle w:val="BodyText"/>
      </w:pPr>
      <w:r>
        <w:t xml:space="preserve">Source: SME survey</w:t>
      </w:r>
      <w:r>
        <w:t xml:space="preserve"> </w:t>
      </w:r>
      <w:r>
        <w:t xml:space="preserve">Regarding the SME survey results, interestingly, SMEs are more concerned about the impact on</w:t>
      </w:r>
      <w:r>
        <w:t xml:space="preserve"> </w:t>
      </w:r>
      <w:r>
        <w:t xml:space="preserve">their relative competitiveness in comparison to large manufacturers compared with any concerns</w:t>
      </w:r>
      <w:r>
        <w:t xml:space="preserve"> </w:t>
      </w:r>
      <w:r>
        <w:t xml:space="preserve">they might have regarding the impact on imports from outside the EU. However, this is not surprising,</w:t>
      </w:r>
      <w:r>
        <w:t xml:space="preserve"> </w:t>
      </w:r>
      <w:r>
        <w:t xml:space="preserve">as any importers or toy manufacturers outside the EU would be subject to the same rules as</w:t>
      </w:r>
      <w:r>
        <w:t xml:space="preserve"> </w:t>
      </w:r>
      <w:r>
        <w:t xml:space="preserve">manufacturers within the EU-27, whereas SMEs would arguably be more impacted by changes to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192</w:t>
      </w:r>
      <w:r>
        <w:t xml:space="preserve"> </w:t>
      </w:r>
      <w:r>
        <w:t xml:space="preserve">EN</w:t>
      </w:r>
      <w:r>
        <w:t xml:space="preserve"> </w:t>
      </w:r>
      <w:r>
        <w:t xml:space="preserve">limit values in chemicals as they lack the economic clout of large producers and are more at risk of</w:t>
      </w:r>
      <w:r>
        <w:t xml:space="preserve"> </w:t>
      </w:r>
      <w:r>
        <w:t xml:space="preserve">speciality chemical producers discontinuing the production and supply of particular chemicals.</w:t>
      </w:r>
      <w:r>
        <w:t xml:space="preserve"> </w:t>
      </w:r>
      <w:r>
        <w:t xml:space="preserve">More positively, if limit values could be changed more easily by the Commission, this would promote</w:t>
      </w:r>
      <w:r>
        <w:t xml:space="preserve"> </w:t>
      </w:r>
      <w:r>
        <w:t xml:space="preserve">adaptability in case particular concerns come to light regarding chemicals used in toys and allow for</w:t>
      </w:r>
      <w:r>
        <w:t xml:space="preserve"> </w:t>
      </w:r>
      <w:r>
        <w:t xml:space="preserve">a rapid and flexible regulatory response to adjust limit values in light of any new or changed scientific</w:t>
      </w:r>
      <w:r>
        <w:t xml:space="preserve"> </w:t>
      </w:r>
      <w:r>
        <w:t xml:space="preserve">evidence. It is difficult to anticipate the impact on competitiveness and innovation that this would</w:t>
      </w:r>
      <w:r>
        <w:t xml:space="preserve"> </w:t>
      </w:r>
      <w:r>
        <w:t xml:space="preserve">have at a more granular level, as the precise chemicals whose limit values would be amended are not</w:t>
      </w:r>
      <w:r>
        <w:t xml:space="preserve"> </w:t>
      </w:r>
      <w:r>
        <w:t xml:space="preserve">known at this point in time.</w:t>
      </w:r>
      <w:r>
        <w:t xml:space="preserve"> </w:t>
      </w:r>
      <w:r>
        <w:t xml:space="preserve">The timing of changes to limit values could also impact on toy manufacturers’ competitiveness.</w:t>
      </w:r>
      <w:r>
        <w:t xml:space="preserve"> </w:t>
      </w:r>
      <w:r>
        <w:t xml:space="preserve">If these occur at short notice, this would cause regulatory uncertainty and make it more difficult to</w:t>
      </w:r>
      <w:r>
        <w:t xml:space="preserve"> </w:t>
      </w:r>
      <w:r>
        <w:t xml:space="preserve">adjust to the new limit values. This may hamper competitiveness and innovation in some cases.</w:t>
      </w:r>
      <w:r>
        <w:t xml:space="preserve"> </w:t>
      </w:r>
      <w:r>
        <w:t xml:space="preserve">Conversely, if sufficient time is given to manufacturers (especially SMEs) to adapt to changes to</w:t>
      </w:r>
      <w:r>
        <w:t xml:space="preserve"> </w:t>
      </w:r>
      <w:r>
        <w:t xml:space="preserve">limit values, then there would be fewer costs and adverse consequences on their competitiveness.</w:t>
      </w:r>
      <w:r>
        <w:t xml:space="preserve"> </w:t>
      </w:r>
      <w:r>
        <w:t xml:space="preserve">Balanced against this, if stricter limit values are introduced for certain chemicals used in toys, it could</w:t>
      </w:r>
      <w:r>
        <w:t xml:space="preserve"> </w:t>
      </w:r>
      <w:r>
        <w:t xml:space="preserve">incentivise toy manufacturers to search for safer chemical substitutes, which in turn could drive</w:t>
      </w:r>
      <w:r>
        <w:t xml:space="preserve"> </w:t>
      </w:r>
      <w:r>
        <w:t xml:space="preserve">innovation by spearheading investment in R&amp;D&amp;I. Some SME manufacturers interviewed (as well</w:t>
      </w:r>
      <w:r>
        <w:t xml:space="preserve"> </w:t>
      </w:r>
      <w:r>
        <w:t xml:space="preserve">as those taking part in workshops on the possible revision of the TSD) mentioned that, whilst changes</w:t>
      </w:r>
      <w:r>
        <w:t xml:space="preserve"> </w:t>
      </w:r>
      <w:r>
        <w:t xml:space="preserve">to limit values could be managed, the impact would strongly depend on what changes are made to</w:t>
      </w:r>
      <w:r>
        <w:t xml:space="preserve"> </w:t>
      </w:r>
      <w:r>
        <w:t xml:space="preserve">existing limit values, which is not yet known by the Commission as changes to limit values would be</w:t>
      </w:r>
      <w:r>
        <w:t xml:space="preserve"> </w:t>
      </w:r>
      <w:r>
        <w:t xml:space="preserve">made in future depending on which scientific evidence emerges regarding the use of particular</w:t>
      </w:r>
      <w:r>
        <w:t xml:space="preserve"> </w:t>
      </w:r>
      <w:r>
        <w:t xml:space="preserve">substances.</w:t>
      </w:r>
      <w:r>
        <w:br/>
      </w:r>
      <w:r>
        <w:t xml:space="preserve">Moreover, large firms interviewed commented that, generally, where particular substances are under</w:t>
      </w:r>
      <w:r>
        <w:t xml:space="preserve"> </w:t>
      </w:r>
      <w:r>
        <w:t xml:space="preserve">review or require authorisation under REACH, there could be a negative impact on their</w:t>
      </w:r>
      <w:r>
        <w:t xml:space="preserve"> </w:t>
      </w:r>
      <w:r>
        <w:t xml:space="preserve">competitiveness for two reasons 1) the lack of suitable alternative substances (i.e. chemical</w:t>
      </w:r>
      <w:r>
        <w:t xml:space="preserve"> </w:t>
      </w:r>
      <w:r>
        <w:t xml:space="preserve">substitutes) and 2) the impact of regulatory uncertainty, as this may lead to delayed investment,</w:t>
      </w:r>
      <w:r>
        <w:t xml:space="preserve"> </w:t>
      </w:r>
      <w:r>
        <w:t xml:space="preserve">uncertainty about whether they can continue to produce certain product lines in future etc. Regulatory</w:t>
      </w:r>
      <w:r>
        <w:t xml:space="preserve"> </w:t>
      </w:r>
      <w:r>
        <w:t xml:space="preserve">uncertainty will thus have a cost for toy manufacturers, although the precise level of cost is difficult</w:t>
      </w:r>
      <w:r>
        <w:t xml:space="preserve"> </w:t>
      </w:r>
      <w:r>
        <w:t xml:space="preserve">to ascertain.</w:t>
      </w:r>
      <w:r>
        <w:br/>
      </w:r>
      <w:r>
        <w:t xml:space="preserve">If limit values are made more stringent, in the short term, there could be negative impacts on</w:t>
      </w:r>
      <w:r>
        <w:t xml:space="preserve"> </w:t>
      </w:r>
      <w:r>
        <w:t xml:space="preserve">innovation and competitiveness, as firms may have to consider not using particular chemicals in the</w:t>
      </w:r>
      <w:r>
        <w:t xml:space="preserve"> </w:t>
      </w:r>
      <w:r>
        <w:t xml:space="preserve">manufacturing of particular toy product lines, and this could in turn lead to product withdrawals in</w:t>
      </w:r>
      <w:r>
        <w:t xml:space="preserve"> </w:t>
      </w:r>
      <w:r>
        <w:t xml:space="preserve">instances where there are no safe substitutes available. In addition, any decision to focus resources</w:t>
      </w:r>
      <w:r>
        <w:t xml:space="preserve"> </w:t>
      </w:r>
      <w:r>
        <w:t xml:space="preserve">on identifying chemical substitutes could also represent an opportunity cost for innovation, research</w:t>
      </w:r>
      <w:r>
        <w:t xml:space="preserve"> </w:t>
      </w:r>
      <w:r>
        <w:t xml:space="preserve">and development in relation to other types of toys. However, the scale of this opportunity cost is also</w:t>
      </w:r>
      <w:r>
        <w:t xml:space="preserve"> </w:t>
      </w:r>
      <w:r>
        <w:t xml:space="preserve">difficult to assess.</w:t>
      </w:r>
      <w:r>
        <w:t xml:space="preserve"> </w:t>
      </w:r>
      <w:r>
        <w:t xml:space="preserve">A 2021 Economic Analysis of the Impacts of the Chemicals Strategy for Sustainability undertaken by</w:t>
      </w:r>
      <w:r>
        <w:t xml:space="preserve"> </w:t>
      </w:r>
      <w:r>
        <w:t xml:space="preserve">consultants for CEFIC, for instance, attests to the difficulty in predicting how far products will either</w:t>
      </w:r>
      <w:r>
        <w:t xml:space="preserve"> </w:t>
      </w:r>
      <w:r>
        <w:t xml:space="preserve">be discontinued or substituted/reformulated. “The extent to which products will be discontinued or</w:t>
      </w:r>
      <w:r>
        <w:t xml:space="preserve"> </w:t>
      </w:r>
      <w:r>
        <w:t xml:space="preserve">substituted/reformulated as a result of CLP changes only has not been investigated directly, although</w:t>
      </w:r>
      <w:r>
        <w:t xml:space="preserve"> </w:t>
      </w:r>
      <w:r>
        <w:t xml:space="preserve">an assumption based on expert input has been considered”.</w:t>
      </w:r>
      <w:r>
        <w:t xml:space="preserve"> </w:t>
      </w:r>
      <w:r>
        <w:t xml:space="preserve">Regarding the innovation and competitiveness-related impacts of reducing the limit values for</w:t>
      </w:r>
      <w:r>
        <w:t xml:space="preserve"> </w:t>
      </w:r>
      <w:r>
        <w:t xml:space="preserve">nitrosamines and nitrosatable substances, these were seen as being neutral by many but not all</w:t>
      </w:r>
      <w:r>
        <w:t xml:space="preserve"> </w:t>
      </w:r>
      <w:r>
        <w:t xml:space="preserve">industry associations and manufacturers. The measure to adjust the limit values for N-nitrosatable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193</w:t>
      </w:r>
      <w:r>
        <w:t xml:space="preserve"> </w:t>
      </w:r>
      <w:r>
        <w:t xml:space="preserve">EN</w:t>
      </w:r>
      <w:r>
        <w:t xml:space="preserve"> </w:t>
      </w:r>
      <w:r>
        <w:t xml:space="preserve">substances393 and N-nitrosamines from the current level set out in the TSD to the levels already set</w:t>
      </w:r>
      <w:r>
        <w:t xml:space="preserve"> </w:t>
      </w:r>
      <w:r>
        <w:t xml:space="preserve">out in both the EN standard and in German national legislation, which are considerably lower, would</w:t>
      </w:r>
      <w:r>
        <w:t xml:space="preserve"> </w:t>
      </w:r>
      <w:r>
        <w:t xml:space="preserve">largely reflect current industry standards and not require much adjustment (apart from those</w:t>
      </w:r>
      <w:r>
        <w:t xml:space="preserve"> </w:t>
      </w:r>
      <w:r>
        <w:t xml:space="preserve">producers not presently following the EN standard). Among large toy manufacturers interviewed</w:t>
      </w:r>
      <w:r>
        <w:t xml:space="preserve"> </w:t>
      </w:r>
      <w:r>
        <w:t xml:space="preserve">and also during the stakeholder workshop on the possible revision of the TSD held in April 2022,</w:t>
      </w:r>
      <w:r>
        <w:t xml:space="preserve"> </w:t>
      </w:r>
      <w:r>
        <w:t xml:space="preserve">there was a broad stakeholder consensus that the current limit values for nitrosamines and nitrosatable</w:t>
      </w:r>
      <w:r>
        <w:t xml:space="preserve"> </w:t>
      </w:r>
      <w:r>
        <w:t xml:space="preserve">substances (0.5 mg of N-nitrosamines per kg of material) used in Directive 2009/48/EC are currently</w:t>
      </w:r>
      <w:r>
        <w:t xml:space="preserve"> </w:t>
      </w:r>
      <w:r>
        <w:t xml:space="preserve">too high and should be reduced.</w:t>
      </w:r>
      <w:r>
        <w:t xml:space="preserve"> </w:t>
      </w:r>
      <w:r>
        <w:t xml:space="preserve">The rationale for reducing limit values under PO1a is for health reasons, as some N-nitrosamines are</w:t>
      </w:r>
      <w:r>
        <w:t xml:space="preserve"> </w:t>
      </w:r>
      <w:r>
        <w:t xml:space="preserve">carcinogenic (Category 1B). However, as the limit values are widely acknowledged as being set too</w:t>
      </w:r>
      <w:r>
        <w:t xml:space="preserve"> </w:t>
      </w:r>
      <w:r>
        <w:t xml:space="preserve">high, reducing the limit values to more realistic safety levels was not viewed by stakeholders</w:t>
      </w:r>
      <w:r>
        <w:t xml:space="preserve"> </w:t>
      </w:r>
      <w:r>
        <w:t xml:space="preserve">(including industry) as causing problems from a competitiveness perspective.</w:t>
      </w:r>
      <w:r>
        <w:t xml:space="preserve"> </w:t>
      </w:r>
      <w:r>
        <w:t xml:space="preserve">In terms of the impact on innovation, arguably this could encourage manufacturers to reduce levels</w:t>
      </w:r>
      <w:r>
        <w:t xml:space="preserve"> </w:t>
      </w:r>
      <w:r>
        <w:t xml:space="preserve">of nitrosamines and nitrosatable substances in existing products and / or to search for alternatives</w:t>
      </w:r>
      <w:r>
        <w:t xml:space="preserve"> </w:t>
      </w:r>
      <w:r>
        <w:t xml:space="preserve">chemicals not containing such substances. However, there are limitations as to what is realistic. For</w:t>
      </w:r>
      <w:r>
        <w:t xml:space="preserve"> </w:t>
      </w:r>
      <w:r>
        <w:t xml:space="preserve">instance, several SMEs responding to the survey mentioned that there are no alternatives to these</w:t>
      </w:r>
      <w:r>
        <w:t xml:space="preserve"> </w:t>
      </w:r>
      <w:r>
        <w:t xml:space="preserve">substances for balloons.</w:t>
      </w:r>
      <w:r>
        <w:t xml:space="preserve"> </w:t>
      </w:r>
      <w:r>
        <w:t xml:space="preserve">An area where there could be a positive impact on innovation is not in manufacturing itself, but rather</w:t>
      </w:r>
      <w:r>
        <w:t xml:space="preserve"> </w:t>
      </w:r>
      <w:r>
        <w:t xml:space="preserve">improving the quality of test methods and the development of new equipment to test lower</w:t>
      </w:r>
      <w:r>
        <w:t xml:space="preserve"> </w:t>
      </w:r>
      <w:r>
        <w:t xml:space="preserve">levels of N-nitrosamines and N-nitrosatable substances for certain types of toys. EN 71-12</w:t>
      </w:r>
      <w:r>
        <w:t xml:space="preserve"> </w:t>
      </w:r>
      <w:r>
        <w:t xml:space="preserve">mentioned above provides test methods in support of the EU requirements for N-nitrosamines and</w:t>
      </w:r>
      <w:r>
        <w:t xml:space="preserve"> </w:t>
      </w:r>
      <w:r>
        <w:t xml:space="preserve">N-nitrosatable substances in certain types of toys. However, there needs to be new and more</w:t>
      </w:r>
      <w:r>
        <w:t xml:space="preserve"> </w:t>
      </w:r>
      <w:r>
        <w:t xml:space="preserve">sensitive testing equipment and validation techniques developed so as to ensure that limit values</w:t>
      </w:r>
      <w:r>
        <w:t xml:space="preserve"> </w:t>
      </w:r>
      <w:r>
        <w:t xml:space="preserve">of these substances can be tested to lower levels. According to stakeholder feedback, current testing</w:t>
      </w:r>
      <w:r>
        <w:t xml:space="preserve"> </w:t>
      </w:r>
      <w:r>
        <w:t xml:space="preserve">equipment is insufficient to test such substances to much lower limit values, which is a barrier to</w:t>
      </w:r>
      <w:r>
        <w:t xml:space="preserve"> </w:t>
      </w:r>
      <w:r>
        <w:t xml:space="preserve">regulatory change but would also result in costs for toy manufacturers. Whilst larger firms may</w:t>
      </w:r>
      <w:r>
        <w:t xml:space="preserve"> </w:t>
      </w:r>
      <w:r>
        <w:t xml:space="preserve">purchase the equipment themselves, SMEs would likely have to use a third-party testing house and</w:t>
      </w:r>
      <w:r>
        <w:t xml:space="preserve"> </w:t>
      </w:r>
      <w:r>
        <w:t xml:space="preserve">pay for the costs of testing as they would be unlikely to purchase new highly sensitive testing</w:t>
      </w:r>
      <w:r>
        <w:t xml:space="preserve"> </w:t>
      </w:r>
      <w:r>
        <w:t xml:space="preserve">equipment themselves as the costs could be prohibitive.</w:t>
      </w:r>
      <w:r>
        <w:t xml:space="preserve"> </w:t>
      </w:r>
      <w:r>
        <w:t xml:space="preserve">An SME responding to the SME survey agreed with other stakeholders interviewed (especially</w:t>
      </w:r>
      <w:r>
        <w:t xml:space="preserve"> </w:t>
      </w:r>
      <w:r>
        <w:t xml:space="preserve">market surveillance authorities and notified bodies) that testing of nitrosamines and nitrosatable</w:t>
      </w:r>
      <w:r>
        <w:t xml:space="preserve"> </w:t>
      </w:r>
      <w:r>
        <w:t xml:space="preserve">substances is presently unreliable, such that this causes uncertainty for business which can damage</w:t>
      </w:r>
      <w:r>
        <w:t xml:space="preserve"> </w:t>
      </w:r>
      <w:r>
        <w:t xml:space="preserve">competitiveness. Regarding nitrosamine and nitrosatable substance testing, they stated that “there</w:t>
      </w:r>
      <w:r>
        <w:t xml:space="preserve"> </w:t>
      </w:r>
      <w:r>
        <w:t xml:space="preserve">are discrepancies at the testing level between different laboratories, and within the same laboratories</w:t>
      </w:r>
      <w:r>
        <w:t xml:space="preserve"> </w:t>
      </w:r>
      <w:r>
        <w:t xml:space="preserve">themselves on chemically identical samples. We believe further work is required on why these</w:t>
      </w:r>
      <w:r>
        <w:t xml:space="preserve"> </w:t>
      </w:r>
      <w:r>
        <w:t xml:space="preserve">discrepancies occur to ensure that tests are robust, reliable and fit for purpose”.</w:t>
      </w:r>
      <w:r>
        <w:t xml:space="preserve"> </w:t>
      </w:r>
      <w:r>
        <w:t xml:space="preserve">PO1b</w:t>
      </w:r>
      <w:r>
        <w:t xml:space="preserve"> </w:t>
      </w:r>
      <w:r>
        <w:t xml:space="preserve">Many toy industry representatives and individual manufacturers interviewed (both large firms and</w:t>
      </w:r>
      <w:r>
        <w:t xml:space="preserve"> </w:t>
      </w:r>
      <w:r>
        <w:t xml:space="preserve">SMEs) expressed major concerns about the impacts on competitiveness of the extension of the</w:t>
      </w:r>
      <w:r>
        <w:t xml:space="preserve"> </w:t>
      </w:r>
      <w:r>
        <w:t xml:space="preserve">GRA and the removal of derogations related to the relevant concentrations in the CLP</w:t>
      </w:r>
      <w:r>
        <w:t xml:space="preserve"> </w:t>
      </w:r>
      <w:r>
        <w:t xml:space="preserve">Regulation so that certain chemical substances cannot continue to be used by the toy industry.</w:t>
      </w:r>
    </w:p>
    <w:p>
      <w:pPr>
        <w:pStyle w:val="BodyText"/>
      </w:pPr>
      <w:r>
        <w:t xml:space="preserve">393 “N-nitrosatable substances” refers to any substances capable of being converted into N-nitrosamines;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194</w:t>
      </w:r>
      <w:r>
        <w:t xml:space="preserve"> </w:t>
      </w:r>
      <w:r>
        <w:t xml:space="preserve">EN</w:t>
      </w:r>
      <w:r>
        <w:t xml:space="preserve"> </w:t>
      </w:r>
      <w:r>
        <w:t xml:space="preserve">Concerning the extension of the GRA to other substances, an industry association noted that, in their</w:t>
      </w:r>
      <w:r>
        <w:t xml:space="preserve"> </w:t>
      </w:r>
      <w:r>
        <w:t xml:space="preserve">understanding, many reputable toy manufacturers do not use the materials that would be subject to</w:t>
      </w:r>
      <w:r>
        <w:t xml:space="preserve"> </w:t>
      </w:r>
      <w:r>
        <w:t xml:space="preserve">generic bans under PO1b. However, this extension of the GRA could result in a 10-30% increase in</w:t>
      </w:r>
      <w:r>
        <w:t xml:space="preserve"> </w:t>
      </w:r>
      <w:r>
        <w:t xml:space="preserve">the number of substances and mixtures banned under a future Toy Safety Regulation. In this context,</w:t>
      </w:r>
      <w:r>
        <w:t xml:space="preserve"> </w:t>
      </w:r>
      <w:r>
        <w:t xml:space="preserve">other manufacturers noted that there would be an impact on their product portfolio, but the level of</w:t>
      </w:r>
      <w:r>
        <w:t xml:space="preserve"> </w:t>
      </w:r>
      <w:r>
        <w:t xml:space="preserve">the impact is difficult to estimate due to the lack of clarity on the substances that would be covered.</w:t>
      </w:r>
      <w:r>
        <w:t xml:space="preserve"> </w:t>
      </w:r>
      <w:r>
        <w:t xml:space="preserve">The removal of derogations related to the CLP will put an onus on individual firms to request</w:t>
      </w:r>
      <w:r>
        <w:t xml:space="preserve"> </w:t>
      </w:r>
      <w:r>
        <w:t xml:space="preserve">derogations. Whilst some may do so, others may decide to withdraw their product from the market</w:t>
      </w:r>
      <w:r>
        <w:t xml:space="preserve"> </w:t>
      </w:r>
      <w:r>
        <w:t xml:space="preserve">instead.</w:t>
      </w:r>
      <w:r>
        <w:t xml:space="preserve"> </w:t>
      </w:r>
      <w:r>
        <w:t xml:space="preserve">Manufacturers also anticipated some impact from the removal of the CLP derogations, given that</w:t>
      </w:r>
      <w:r>
        <w:t xml:space="preserve"> </w:t>
      </w:r>
      <w:r>
        <w:t xml:space="preserve">residual presence of certain chemical substances is common in some toy products. Even though</w:t>
      </w:r>
      <w:r>
        <w:t xml:space="preserve"> </w:t>
      </w:r>
      <w:r>
        <w:t xml:space="preserve">manufacturers consider such use safe, it would not be permitted under PO1b. However, the scale of</w:t>
      </w:r>
      <w:r>
        <w:t xml:space="preserve"> </w:t>
      </w:r>
      <w:r>
        <w:t xml:space="preserve">such impacts was again difficult for industry to anticipate.</w:t>
      </w:r>
      <w:r>
        <w:t xml:space="preserve"> </w:t>
      </w:r>
      <w:r>
        <w:t xml:space="preserve">In this context, toy industry manufacturers detailed a further challenge related to the identification of</w:t>
      </w:r>
      <w:r>
        <w:t xml:space="preserve"> </w:t>
      </w:r>
      <w:r>
        <w:t xml:space="preserve">appropriate chemical substitutes. More specifically, they noted that the toy industry is highly</w:t>
      </w:r>
      <w:r>
        <w:t xml:space="preserve"> </w:t>
      </w:r>
      <w:r>
        <w:t xml:space="preserve">dependent on the chemicals sector as intermediate users for the availability of chemicals despite these</w:t>
      </w:r>
      <w:r>
        <w:t xml:space="preserve"> </w:t>
      </w:r>
      <w:r>
        <w:t xml:space="preserve">being crucial to their competitiveness.</w:t>
      </w:r>
      <w:r>
        <w:br/>
      </w:r>
      <w:r>
        <w:t xml:space="preserve">Feedback was that, in comparison with other sectors that are bigger intermediate users of chemicals,</w:t>
      </w:r>
      <w:r>
        <w:t xml:space="preserve"> </w:t>
      </w:r>
      <w:r>
        <w:t xml:space="preserve">the toys sector (especially SMEs) habitually purchase speciality chemicals in low quantity.</w:t>
      </w:r>
      <w:r>
        <w:t xml:space="preserve"> </w:t>
      </w:r>
      <w:r>
        <w:t xml:space="preserve">Therefore, their market power is not that strong and any changes in the availability of particular</w:t>
      </w:r>
      <w:r>
        <w:t xml:space="preserve"> </w:t>
      </w:r>
      <w:r>
        <w:t xml:space="preserve">chemicals due to the implementation of horizontal legislation through REACH would have a major</w:t>
      </w:r>
      <w:r>
        <w:t xml:space="preserve"> </w:t>
      </w:r>
      <w:r>
        <w:t xml:space="preserve">impact if chemical producers decided to no longer produce particular substances, as there are often</w:t>
      </w:r>
      <w:r>
        <w:t xml:space="preserve"> </w:t>
      </w:r>
      <w:r>
        <w:t xml:space="preserve">no substitutes available, and most toy manufacturers (except the leading global players) lack the</w:t>
      </w:r>
      <w:r>
        <w:t xml:space="preserve"> </w:t>
      </w:r>
      <w:r>
        <w:t xml:space="preserve">market weight to work with chemical producers to carry out R&amp;D&amp;I into safe alternatives.</w:t>
      </w:r>
      <w:r>
        <w:br/>
      </w:r>
      <w:r>
        <w:t xml:space="preserve">Some product withdrawals would occur as a result of this policy option, estimated as being equivalent</w:t>
      </w:r>
      <w:r>
        <w:t xml:space="preserve"> </w:t>
      </w:r>
      <w:r>
        <w:t xml:space="preserve">to approximately 4% in the low case and 6% in the high case. The ultimate impact of product</w:t>
      </w:r>
      <w:r>
        <w:t xml:space="preserve"> </w:t>
      </w:r>
      <w:r>
        <w:t xml:space="preserve">withdrawals on the size of the market would be mitigated to some extent by the purchasing of</w:t>
      </w:r>
      <w:r>
        <w:t xml:space="preserve"> </w:t>
      </w:r>
      <w:r>
        <w:t xml:space="preserve">alternative toy products by consumers and the ability for manufacturers to shift resources to the</w:t>
      </w:r>
      <w:r>
        <w:t xml:space="preserve"> </w:t>
      </w:r>
      <w:r>
        <w:t xml:space="preserve">production and sale of alternative toy products should sufficiently long transition periods be</w:t>
      </w:r>
      <w:r>
        <w:t xml:space="preserve"> </w:t>
      </w:r>
      <w:r>
        <w:t xml:space="preserve">implemented. However, it is not clear that chemical substitutes will be available for all products</w:t>
      </w:r>
      <w:r>
        <w:t xml:space="preserve"> </w:t>
      </w:r>
      <w:r>
        <w:t xml:space="preserve">affected.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195</w:t>
      </w:r>
      <w:r>
        <w:t xml:space="preserve"> </w:t>
      </w:r>
      <w:r>
        <w:t xml:space="preserve">EN</w:t>
      </w:r>
      <w:r>
        <w:t xml:space="preserve"> </w:t>
      </w:r>
      <w:r>
        <w:t xml:space="preserve">Figure 19: PO1a On a scale of 1-5 (1 strong decrease, and 5 strong increase in competitiveness), how would those</w:t>
      </w:r>
      <w:r>
        <w:t xml:space="preserve"> </w:t>
      </w:r>
      <w:r>
        <w:t xml:space="preserve">measures presented above make your products more or less competitive in comparison to imports and to larger</w:t>
      </w:r>
      <w:r>
        <w:t xml:space="preserve"> </w:t>
      </w:r>
      <w:r>
        <w:t xml:space="preserve">manufacturers?</w:t>
      </w:r>
    </w:p>
    <w:p>
      <w:pPr>
        <w:pStyle w:val="BodyText"/>
      </w:pPr>
      <w:r>
        <w:t xml:space="preserve">Source: SME survey</w:t>
      </w:r>
      <w:r>
        <w:t xml:space="preserve"> </w:t>
      </w:r>
      <w:r>
        <w:t xml:space="preserve">As for PO1a, the results show that a greater proportion of SMEs are concerned about the impact of</w:t>
      </w:r>
      <w:r>
        <w:t xml:space="preserve"> </w:t>
      </w:r>
      <w:r>
        <w:t xml:space="preserve">the policy option on their competitiveness vis-à-vis large firms compared with their performance</w:t>
      </w:r>
      <w:r>
        <w:t xml:space="preserve"> </w:t>
      </w:r>
      <w:r>
        <w:t xml:space="preserve">against imports from outside the EU. However, as can be seen, an overall negative impact on SME</w:t>
      </w:r>
      <w:r>
        <w:t xml:space="preserve"> </w:t>
      </w:r>
      <w:r>
        <w:t xml:space="preserve">competitiveness is anticipated under PO1b.</w:t>
      </w:r>
      <w:r>
        <w:t xml:space="preserve"> </w:t>
      </w:r>
      <w:r>
        <w:t xml:space="preserve">PO1c</w:t>
      </w:r>
      <w:r>
        <w:t xml:space="preserve"> </w:t>
      </w:r>
      <w:r>
        <w:t xml:space="preserve">A large top 5 global manufacturer estimated that, under PO1c, an estimated 10-20% of toys would</w:t>
      </w:r>
      <w:r>
        <w:t xml:space="preserve"> </w:t>
      </w:r>
      <w:r>
        <w:t xml:space="preserve">have to be removed from the market, especially electric toys. The precise percentage of toys that</w:t>
      </w:r>
      <w:r>
        <w:t xml:space="preserve"> </w:t>
      </w:r>
      <w:r>
        <w:t xml:space="preserve">would have to be removed would depend on how rules on CMRs evolve in a future TSR. For example,</w:t>
      </w:r>
      <w:r>
        <w:t xml:space="preserve"> </w:t>
      </w:r>
      <w:r>
        <w:t xml:space="preserve">some monomers are CMRs, but the toy industry uses them only as polymers. Previous studies have</w:t>
      </w:r>
      <w:r>
        <w:t xml:space="preserve"> </w:t>
      </w:r>
      <w:r>
        <w:t xml:space="preserve">found that the migration of monomers from polymers has not led to children being exposed to</w:t>
      </w:r>
      <w:r>
        <w:t xml:space="preserve"> </w:t>
      </w:r>
      <w:r>
        <w:t xml:space="preserve">hazardous substances. This raises an issue as to the imperative of scientific evidence being robust</w:t>
      </w:r>
      <w:r>
        <w:t xml:space="preserve"> </w:t>
      </w:r>
      <w:r>
        <w:t xml:space="preserve">otherwise it could damage the competitiveness of the European toys industry (including international</w:t>
      </w:r>
      <w:r>
        <w:t xml:space="preserve"> </w:t>
      </w:r>
      <w:r>
        <w:t xml:space="preserve">toy manufacturers selling toys in Europe). This could be counter-productive from a safety perspective</w:t>
      </w:r>
      <w:r>
        <w:t xml:space="preserve"> </w:t>
      </w:r>
      <w:r>
        <w:t xml:space="preserve">too, given that such firms invest significantly in regulatory compliance with the TSD in comparison</w:t>
      </w:r>
      <w:r>
        <w:t xml:space="preserve"> </w:t>
      </w:r>
      <w:r>
        <w:t xml:space="preserve">with non-compliant firms in countries like China that may not be compliant with toy safety</w:t>
      </w:r>
      <w:r>
        <w:t xml:space="preserve"> </w:t>
      </w:r>
      <w:r>
        <w:t xml:space="preserve">requirements.</w:t>
      </w:r>
      <w:r>
        <w:br/>
      </w:r>
      <w:r>
        <w:t xml:space="preserve">A particular concern from a competitiveness perspective was that some monomers could also be</w:t>
      </w:r>
      <w:r>
        <w:t xml:space="preserve"> </w:t>
      </w:r>
      <w:r>
        <w:t xml:space="preserve">banned, even though no safety issues have been shown when used in polymers (ABS). Such polymers</w:t>
      </w:r>
      <w:r>
        <w:t xml:space="preserve"> </w:t>
      </w:r>
      <w:r>
        <w:t xml:space="preserve">have a significant mechanical impact on reliability and safety, and on the safety of users.</w:t>
      </w:r>
      <w:r>
        <w:t xml:space="preserve"> </w:t>
      </w:r>
      <w:r>
        <w:t xml:space="preserve">An example of a substance for which there is presently a derogation under the TSD is nickel,</w:t>
      </w:r>
      <w:r>
        <w:t xml:space="preserve"> </w:t>
      </w:r>
      <w:r>
        <w:t xml:space="preserve">which is mentioned in Annex A of the TSD. Nickel is essential as a conductor of electricity and is</w:t>
      </w:r>
      <w:r>
        <w:t xml:space="preserve"> </w:t>
      </w:r>
      <w:r>
        <w:t xml:space="preserve">extensively used in electric toys. Feedback from interviewees was that if such derogations were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196</w:t>
      </w:r>
      <w:r>
        <w:t xml:space="preserve"> </w:t>
      </w:r>
      <w:r>
        <w:t xml:space="preserve">EN</w:t>
      </w:r>
      <w:r>
        <w:t xml:space="preserve"> </w:t>
      </w:r>
      <w:r>
        <w:t xml:space="preserve">removed, it would also be very costly for industry. However, there was no data on the costs of</w:t>
      </w:r>
      <w:r>
        <w:t xml:space="preserve"> </w:t>
      </w:r>
      <w:r>
        <w:t xml:space="preserve">substitutes, largely as there were not seen as being any viable alternative safe chemicals presently.</w:t>
      </w:r>
      <w:r>
        <w:t xml:space="preserve"> </w:t>
      </w:r>
      <w:r>
        <w:t xml:space="preserve">Instead, the costs would relate more to the costs of product withdrawal.</w:t>
      </w:r>
      <w:r>
        <w:t xml:space="preserve"> </w:t>
      </w:r>
      <w:r>
        <w:t xml:space="preserve">As for PO1b, there will likely be some mitigation in terms of the ultimate impact of such product</w:t>
      </w:r>
      <w:r>
        <w:t xml:space="preserve"> </w:t>
      </w:r>
      <w:r>
        <w:t xml:space="preserve">withdrawals on the overall toy market. However, certain product types would likely cease to be sold</w:t>
      </w:r>
      <w:r>
        <w:t xml:space="preserve"> </w:t>
      </w:r>
      <w:r>
        <w:t xml:space="preserve">if appropriate substitutes cannot be identified.</w:t>
      </w:r>
      <w:r>
        <w:t xml:space="preserve"> </w:t>
      </w:r>
      <w:r>
        <w:t xml:space="preserve">Large industry players in chemicals can carry out periodic monitoring of the development of</w:t>
      </w:r>
      <w:r>
        <w:t xml:space="preserve"> </w:t>
      </w:r>
      <w:r>
        <w:t xml:space="preserve">legislation concerning their area of business operations, which is more difficult for SMEs. Secondly,</w:t>
      </w:r>
      <w:r>
        <w:t xml:space="preserve"> </w:t>
      </w:r>
      <w:r>
        <w:t xml:space="preserve">it has been pointed out that tightening the rules on chemicals under the TSD may not lead to a level</w:t>
      </w:r>
      <w:r>
        <w:t xml:space="preserve"> </w:t>
      </w:r>
      <w:r>
        <w:t xml:space="preserve">playing field as non-compliant firms might be favoured, as they would not be expected to invest in</w:t>
      </w:r>
      <w:r>
        <w:t xml:space="preserve"> </w:t>
      </w:r>
      <w:r>
        <w:t xml:space="preserve">compliance, whereas the ‘fair’ players would be forced to do so, which, again, would harm relative</w:t>
      </w:r>
      <w:r>
        <w:t xml:space="preserve"> </w:t>
      </w:r>
      <w:r>
        <w:t xml:space="preserve">competitive position of the compliant SMEs.</w:t>
      </w:r>
      <w:r>
        <w:t xml:space="preserve"> </w:t>
      </w:r>
      <w:r>
        <w:t xml:space="preserve">In the following figure, feedback from SMEs regarding the impacts of PO1c is provided.</w:t>
      </w:r>
      <w:r>
        <w:br/>
      </w:r>
      <w:r>
        <w:t xml:space="preserve">Figure 20: PO1c Maximum changes. On a scale of 1-5 (1 strong decrease, and 5 strong increase in competitiveness),</w:t>
      </w:r>
      <w:r>
        <w:t xml:space="preserve"> </w:t>
      </w:r>
      <w:r>
        <w:t xml:space="preserve">how would those measures presented above make your products more or less competitive in comparison to imports and</w:t>
      </w:r>
      <w:r>
        <w:t xml:space="preserve"> </w:t>
      </w:r>
      <w:r>
        <w:t xml:space="preserve">to larger manufacturers?</w:t>
      </w:r>
      <w:r>
        <w:t xml:space="preserve"> </w:t>
      </w:r>
      <w:r>
        <w:t xml:space="preserve">Source:</w:t>
      </w:r>
      <w:r>
        <w:t xml:space="preserve"> </w:t>
      </w:r>
      <w:r>
        <w:t xml:space="preserve">SME survey</w:t>
      </w:r>
      <w:r>
        <w:t xml:space="preserve"> </w:t>
      </w:r>
      <w:r>
        <w:t xml:space="preserve">The concerns of SMEs regarding PO1c were captured in the responses to the SME survey. Nearly</w:t>
      </w:r>
      <w:r>
        <w:t xml:space="preserve"> </w:t>
      </w:r>
      <w:r>
        <w:t xml:space="preserve">half of SME respondents (48.2%, 97) were concerned that their competitiveness would decrease</w:t>
      </w:r>
      <w:r>
        <w:t xml:space="preserve"> </w:t>
      </w:r>
      <w:r>
        <w:t xml:space="preserve">(14.4%) or strongly decrease (33.8%) compared with large firms, with a clear indication towards</w:t>
      </w:r>
      <w:r>
        <w:t xml:space="preserve"> </w:t>
      </w:r>
      <w:r>
        <w:t xml:space="preserve">stronger negative impacts. Although a negative impact on competitiveness is still anticipated, the</w:t>
      </w:r>
      <w:r>
        <w:t xml:space="preserve"> </w:t>
      </w:r>
      <w:r>
        <w:t xml:space="preserve">responses in respect of the impact of PO1c on the competitiveness of SMEs compared with importers</w:t>
      </w:r>
      <w:r>
        <w:t xml:space="preserve"> </w:t>
      </w:r>
      <w:r>
        <w:t xml:space="preserve">were lower, with 28.4% of SMEs responding that it would strongly decrease and 13.4% stating there</w:t>
      </w:r>
      <w:r>
        <w:t xml:space="preserve"> </w:t>
      </w:r>
      <w:r>
        <w:t xml:space="preserve">would be a decrease.</w:t>
      </w:r>
      <w:r>
        <w:t xml:space="preserve"> </w:t>
      </w:r>
      <w:r>
        <w:t xml:space="preserve">25,4% (51)</w:t>
      </w:r>
      <w:r>
        <w:t xml:space="preserve"> </w:t>
      </w:r>
      <w:r>
        <w:t xml:space="preserve">3,0% (6)</w:t>
      </w:r>
      <w:r>
        <w:t xml:space="preserve"> </w:t>
      </w:r>
      <w:r>
        <w:t xml:space="preserve">5,0% (10)</w:t>
      </w:r>
      <w:r>
        <w:t xml:space="preserve"> </w:t>
      </w:r>
      <w:r>
        <w:t xml:space="preserve">24,9% (50)</w:t>
      </w:r>
      <w:r>
        <w:t xml:space="preserve"> </w:t>
      </w:r>
      <w:r>
        <w:t xml:space="preserve">13,4% (27)</w:t>
      </w:r>
      <w:r>
        <w:t xml:space="preserve"> </w:t>
      </w:r>
      <w:r>
        <w:t xml:space="preserve">28,4% (57)</w:t>
      </w:r>
      <w:r>
        <w:t xml:space="preserve"> </w:t>
      </w:r>
      <w:r>
        <w:t xml:space="preserve">23,4% (47)</w:t>
      </w:r>
      <w:r>
        <w:t xml:space="preserve"> </w:t>
      </w:r>
      <w:r>
        <w:t xml:space="preserve">2,0% (4)</w:t>
      </w:r>
      <w:r>
        <w:t xml:space="preserve"> </w:t>
      </w:r>
      <w:r>
        <w:t xml:space="preserve">3,5% (9)</w:t>
      </w:r>
      <w:r>
        <w:t xml:space="preserve"> </w:t>
      </w:r>
      <w:r>
        <w:t xml:space="preserve">22,9% (46)</w:t>
      </w:r>
      <w:r>
        <w:t xml:space="preserve"> </w:t>
      </w:r>
      <w:r>
        <w:t xml:space="preserve">14,4% (29)</w:t>
      </w:r>
      <w:r>
        <w:t xml:space="preserve"> </w:t>
      </w:r>
      <w:r>
        <w:t xml:space="preserve">33,8% (68)</w:t>
      </w:r>
      <w:r>
        <w:t xml:space="preserve"> </w:t>
      </w:r>
      <w:r>
        <w:t xml:space="preserve">0,0% 5,0% 10,0% 15,0% 20,0% 25,0% 30,0% 35,0% 40,0%</w:t>
      </w:r>
      <w:r>
        <w:t xml:space="preserve"> </w:t>
      </w:r>
      <w:r>
        <w:t xml:space="preserve">I do not know – No opinion</w:t>
      </w:r>
      <w:r>
        <w:t xml:space="preserve"> </w:t>
      </w:r>
      <w:r>
        <w:t xml:space="preserve">5: Our competitiveness would strongly increase</w:t>
      </w:r>
      <w:r>
        <w:t xml:space="preserve"> </w:t>
      </w:r>
      <w:r>
        <w:t xml:space="preserve">4: Our competitiveness would increase</w:t>
      </w:r>
      <w:r>
        <w:t xml:space="preserve"> </w:t>
      </w:r>
      <w:r>
        <w:t xml:space="preserve">3: No change</w:t>
      </w:r>
      <w:r>
        <w:t xml:space="preserve"> </w:t>
      </w:r>
      <w:r>
        <w:t xml:space="preserve">2: Our competitiveness would decrease</w:t>
      </w:r>
      <w:r>
        <w:t xml:space="preserve"> </w:t>
      </w:r>
      <w:r>
        <w:t xml:space="preserve">1: Our competitiveness would strongly decrease</w:t>
      </w:r>
      <w:r>
        <w:t xml:space="preserve"> </w:t>
      </w:r>
      <w:r>
        <w:t xml:space="preserve">Large manufacturers</w:t>
      </w:r>
      <w:r>
        <w:t xml:space="preserve"> </w:t>
      </w:r>
      <w:r>
        <w:t xml:space="preserve">Imports from outside the EU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197</w:t>
      </w:r>
      <w:r>
        <w:t xml:space="preserve"> </w:t>
      </w:r>
      <w:r>
        <w:t xml:space="preserve">EN</w:t>
      </w:r>
      <w:r>
        <w:t xml:space="preserve"> </w:t>
      </w:r>
      <w:r>
        <w:t xml:space="preserve">However, it can be noted that there were a high percentage of ‘I do not knows’ for POs 1a, 1b and 1c,</w:t>
      </w:r>
      <w:r>
        <w:t xml:space="preserve"> </w:t>
      </w:r>
      <w:r>
        <w:t xml:space="preserve">which suggests that the impacts on competitiveness are difficult to confirm without further</w:t>
      </w:r>
      <w:r>
        <w:t xml:space="preserve"> </w:t>
      </w:r>
      <w:r>
        <w:t xml:space="preserve">information, for instance, on which chemical substances and mixtures would be restricted and to what</w:t>
      </w:r>
      <w:r>
        <w:t xml:space="preserve"> </w:t>
      </w:r>
      <w:r>
        <w:t xml:space="preserve">extent.</w:t>
      </w:r>
      <w:r>
        <w:t xml:space="preserve"> </w:t>
      </w:r>
      <w:r>
        <w:t xml:space="preserve">In summary, the main industry concerns regarding the removal of all derogations under PO1c are:</w:t>
      </w:r>
      <w:r>
        <w:br/>
      </w:r>
      <w:r>
        <w:t xml:space="preserve"> The general lack of suitable substitute substances for those presently the subject of a</w:t>
      </w:r>
      <w:r>
        <w:t xml:space="preserve"> </w:t>
      </w:r>
      <w:r>
        <w:t xml:space="preserve">derogation in the TSD’s Appendix A, which are permitted for specific use (example, the use</w:t>
      </w:r>
      <w:r>
        <w:t xml:space="preserve"> </w:t>
      </w:r>
      <w:r>
        <w:t xml:space="preserve">of nickel in stainless steel used in electric toys).</w:t>
      </w:r>
      <w:r>
        <w:br/>
      </w:r>
      <w:r>
        <w:t xml:space="preserve"> Whether if none of the existing derogations are permitted, substances will be available in a</w:t>
      </w:r>
      <w:r>
        <w:t xml:space="preserve"> </w:t>
      </w:r>
      <w:r>
        <w:t xml:space="preserve">sufficiently cost-effective and timely manner; and</w:t>
      </w:r>
      <w:r>
        <w:t xml:space="preserve"> </w:t>
      </w:r>
      <w:r>
        <w:t xml:space="preserve"> Whether alternative chemicals can be supplied on a large enough scale for the purposes of</w:t>
      </w:r>
      <w:r>
        <w:t xml:space="preserve"> </w:t>
      </w:r>
      <w:r>
        <w:t xml:space="preserve">their usage in toy manufacturing. Chemical substitutes are only any good to industry if they</w:t>
      </w:r>
      <w:r>
        <w:t xml:space="preserve"> </w:t>
      </w:r>
      <w:r>
        <w:t xml:space="preserve">can be produced at sufficient scale.</w:t>
      </w:r>
      <w:r>
        <w:br/>
      </w:r>
      <w:r>
        <w:t xml:space="preserve">C) Policy options to reduce the number of non-compliant toys</w:t>
      </w:r>
      <w:r>
        <w:t xml:space="preserve"> </w:t>
      </w:r>
      <w:r>
        <w:t xml:space="preserve">PO2a</w:t>
      </w:r>
      <w:r>
        <w:t xml:space="preserve"> </w:t>
      </w:r>
      <w:r>
        <w:t xml:space="preserve">It was estimated that this option would increase the costs of conformity assessment for manufacturers.</w:t>
      </w:r>
      <w:r>
        <w:t xml:space="preserve"> </w:t>
      </w:r>
      <w:r>
        <w:t xml:space="preserve">Increasing the use of EU type examinations for products deemed higher-risk was viewed as costly in</w:t>
      </w:r>
      <w:r>
        <w:t xml:space="preserve"> </w:t>
      </w:r>
      <w:r>
        <w:t xml:space="preserve">comparison to the self-declaration of conformity (SDoC). Secondly, it was perceived by large</w:t>
      </w:r>
      <w:r>
        <w:t xml:space="preserve"> </w:t>
      </w:r>
      <w:r>
        <w:t xml:space="preserve">manufacturers interviewed that more extensive mandatory use of a notified body to perform an EC-</w:t>
      </w:r>
      <w:r>
        <w:t xml:space="preserve"> </w:t>
      </w:r>
      <w:r>
        <w:t xml:space="preserve">type examination could lengthen lead times to market, which may undermine the competitiveness of</w:t>
      </w:r>
      <w:r>
        <w:t xml:space="preserve"> </w:t>
      </w:r>
      <w:r>
        <w:t xml:space="preserve">the European toys market compared with third countries not having any such requirements. The</w:t>
      </w:r>
      <w:r>
        <w:t xml:space="preserve"> </w:t>
      </w:r>
      <w:r>
        <w:t xml:space="preserve">percentage of toy products that would be affected by PO2a is difficult to estimate but evidence</w:t>
      </w:r>
      <w:r>
        <w:t xml:space="preserve"> </w:t>
      </w:r>
      <w:r>
        <w:t xml:space="preserve">gathered through the interview programme and desk research suggests about 20% of toys would be</w:t>
      </w:r>
      <w:r>
        <w:t xml:space="preserve"> </w:t>
      </w:r>
      <w:r>
        <w:t xml:space="preserve">affected in total (e.g. mainly those designed for the under 3s and to be put in the mouth plus toys such</w:t>
      </w:r>
      <w:r>
        <w:t xml:space="preserve"> </w:t>
      </w:r>
      <w:r>
        <w:t xml:space="preserve">as slimes, clays and paints for children).</w:t>
      </w:r>
      <w:r>
        <w:t xml:space="preserve"> </w:t>
      </w:r>
      <w:r>
        <w:t xml:space="preserve">The impacts on competitiveness would vary, however, between each of the proposed areas to be</w:t>
      </w:r>
      <w:r>
        <w:t xml:space="preserve"> </w:t>
      </w:r>
      <w:r>
        <w:t xml:space="preserve">covered as some situations in which conformity assessment would be extended are much more</w:t>
      </w:r>
      <w:r>
        <w:t xml:space="preserve"> </w:t>
      </w:r>
      <w:r>
        <w:t xml:space="preserve">common than others. Feedback on the specific types of products that would be subject to additional</w:t>
      </w:r>
      <w:r>
        <w:t xml:space="preserve"> </w:t>
      </w:r>
      <w:r>
        <w:t xml:space="preserve">conformity assessment procedures is summarised in the following table:</w:t>
      </w:r>
      <w:r>
        <w:br/>
      </w:r>
      <w:r>
        <w:t xml:space="preserve">Table 29: PO2a – specific types of products subject to additional CA procedures</w:t>
      </w:r>
      <w:r>
        <w:t xml:space="preserve"> </w:t>
      </w:r>
      <w:r>
        <w:t xml:space="preserve">PO2a</w:t>
      </w:r>
      <w:r>
        <w:t xml:space="preserve"> </w:t>
      </w:r>
      <w:r>
        <w:t xml:space="preserve">–</w:t>
      </w:r>
      <w:r>
        <w:t xml:space="preserve"> </w:t>
      </w:r>
      <w:r>
        <w:t xml:space="preserve">extending</w:t>
      </w:r>
      <w:r>
        <w:t xml:space="preserve"> </w:t>
      </w:r>
      <w:r>
        <w:t xml:space="preserve">conformity assessment</w:t>
      </w:r>
      <w:r>
        <w:br/>
      </w:r>
      <w:r>
        <w:t xml:space="preserve">Baseline situation/ background</w:t>
      </w:r>
      <w:r>
        <w:t xml:space="preserve"> </w:t>
      </w:r>
      <w:r>
        <w:t xml:space="preserve">Feedback on impacts</w:t>
      </w:r>
      <w:r>
        <w:t xml:space="preserve"> </w:t>
      </w:r>
      <w:r>
        <w:t xml:space="preserve">Toys which are chemical</w:t>
      </w:r>
      <w:r>
        <w:t xml:space="preserve"> </w:t>
      </w:r>
      <w:r>
        <w:t xml:space="preserve">mixtures or substances</w:t>
      </w:r>
      <w:r>
        <w:t xml:space="preserve"> </w:t>
      </w:r>
      <w:r>
        <w:t xml:space="preserve">(i.e. e.g. slime, modelling</w:t>
      </w:r>
      <w:r>
        <w:t xml:space="preserve"> </w:t>
      </w:r>
      <w:r>
        <w:t xml:space="preserve">clay or finger paint) for</w:t>
      </w:r>
      <w:r>
        <w:t xml:space="preserve"> </w:t>
      </w:r>
      <w:r>
        <w:t xml:space="preserve">which there are higher</w:t>
      </w:r>
      <w:r>
        <w:t xml:space="preserve"> </w:t>
      </w:r>
      <w:r>
        <w:t xml:space="preserve">risks</w:t>
      </w:r>
      <w:r>
        <w:t xml:space="preserve"> </w:t>
      </w:r>
      <w:r>
        <w:t xml:space="preserve">of</w:t>
      </w:r>
      <w:r>
        <w:t xml:space="preserve"> </w:t>
      </w:r>
      <w:r>
        <w:t xml:space="preserve">exposure</w:t>
      </w:r>
      <w:r>
        <w:t xml:space="preserve"> </w:t>
      </w:r>
      <w:r>
        <w:t xml:space="preserve">to</w:t>
      </w:r>
      <w:r>
        <w:t xml:space="preserve"> </w:t>
      </w:r>
      <w:r>
        <w:t xml:space="preserve">chemicals.</w:t>
      </w:r>
      <w:r>
        <w:br/>
      </w:r>
      <w:r>
        <w:t xml:space="preserve">Many toy products are chemical</w:t>
      </w:r>
      <w:r>
        <w:t xml:space="preserve"> </w:t>
      </w:r>
      <w:r>
        <w:t xml:space="preserve">mixtures or substances, as slime,</w:t>
      </w:r>
      <w:r>
        <w:t xml:space="preserve"> </w:t>
      </w:r>
      <w:r>
        <w:t xml:space="preserve">modelling clay and finger paints are</w:t>
      </w:r>
      <w:r>
        <w:t xml:space="preserve"> </w:t>
      </w:r>
      <w:r>
        <w:t xml:space="preserve">very popular among children. There are</w:t>
      </w:r>
      <w:r>
        <w:t xml:space="preserve"> </w:t>
      </w:r>
      <w:r>
        <w:t xml:space="preserve">greater health risks associated with such</w:t>
      </w:r>
      <w:r>
        <w:t xml:space="preserve"> </w:t>
      </w:r>
      <w:r>
        <w:t xml:space="preserve">products.</w:t>
      </w:r>
      <w:r>
        <w:br/>
      </w:r>
      <w:r>
        <w:t xml:space="preserve">Although the toys industry has argued</w:t>
      </w:r>
      <w:r>
        <w:t xml:space="preserve"> </w:t>
      </w:r>
      <w:r>
        <w:t xml:space="preserve">(e.g. during workshops, interviews) that</w:t>
      </w:r>
      <w:r>
        <w:t xml:space="preserve"> </w:t>
      </w:r>
      <w:r>
        <w:t xml:space="preserve">they proactively manage the risks of</w:t>
      </w:r>
      <w:r>
        <w:t xml:space="preserve"> </w:t>
      </w:r>
      <w:r>
        <w:t xml:space="preserve">Industry’s main concern is that</w:t>
      </w:r>
      <w:r>
        <w:t xml:space="preserve"> </w:t>
      </w:r>
      <w:r>
        <w:t xml:space="preserve">they would face higher costs of</w:t>
      </w:r>
      <w:r>
        <w:t xml:space="preserve"> </w:t>
      </w:r>
      <w:r>
        <w:t xml:space="preserve">undertaking</w:t>
      </w:r>
      <w:r>
        <w:t xml:space="preserve"> </w:t>
      </w:r>
      <w:r>
        <w:t xml:space="preserve">third-party</w:t>
      </w:r>
      <w:r>
        <w:t xml:space="preserve"> </w:t>
      </w:r>
      <w:r>
        <w:t xml:space="preserve">conformity assessment.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198</w:t>
      </w:r>
      <w:r>
        <w:t xml:space="preserve"> </w:t>
      </w:r>
      <w:r>
        <w:t xml:space="preserve">EN</w:t>
      </w:r>
      <w:r>
        <w:t xml:space="preserve"> </w:t>
      </w:r>
      <w:r>
        <w:t xml:space="preserve">PO2a</w:t>
      </w:r>
      <w:r>
        <w:t xml:space="preserve"> </w:t>
      </w:r>
      <w:r>
        <w:t xml:space="preserve">–</w:t>
      </w:r>
      <w:r>
        <w:t xml:space="preserve"> </w:t>
      </w:r>
      <w:r>
        <w:t xml:space="preserve">extending</w:t>
      </w:r>
      <w:r>
        <w:t xml:space="preserve"> </w:t>
      </w:r>
      <w:r>
        <w:t xml:space="preserve">conformity assessment</w:t>
      </w:r>
      <w:r>
        <w:br/>
      </w:r>
      <w:r>
        <w:t xml:space="preserve">Baseline situation/ background</w:t>
      </w:r>
      <w:r>
        <w:t xml:space="preserve"> </w:t>
      </w:r>
      <w:r>
        <w:t xml:space="preserve">Feedback on impacts</w:t>
      </w:r>
      <w:r>
        <w:t xml:space="preserve"> </w:t>
      </w:r>
      <w:r>
        <w:t xml:space="preserve">children ingesting chemicals used in</w:t>
      </w:r>
      <w:r>
        <w:t xml:space="preserve"> </w:t>
      </w:r>
      <w:r>
        <w:t xml:space="preserve">toys by managing exposure risks.</w:t>
      </w:r>
      <w:r>
        <w:br/>
      </w:r>
      <w:r>
        <w:t xml:space="preserve">Toys marketed at children</w:t>
      </w:r>
      <w:r>
        <w:t xml:space="preserve"> </w:t>
      </w:r>
      <w:r>
        <w:t xml:space="preserve">under the age of 36</w:t>
      </w:r>
      <w:r>
        <w:t xml:space="preserve"> </w:t>
      </w:r>
      <w:r>
        <w:t xml:space="preserve">months old or designed to</w:t>
      </w:r>
      <w:r>
        <w:t xml:space="preserve"> </w:t>
      </w:r>
      <w:r>
        <w:t xml:space="preserve">be put in the mouth.</w:t>
      </w:r>
      <w:r>
        <w:br/>
      </w:r>
      <w:r>
        <w:t xml:space="preserve">Toys marketed at children under the age</w:t>
      </w:r>
      <w:r>
        <w:t xml:space="preserve"> </w:t>
      </w:r>
      <w:r>
        <w:t xml:space="preserve">of 36 months old or designed to be put</w:t>
      </w:r>
      <w:r>
        <w:t xml:space="preserve"> </w:t>
      </w:r>
      <w:r>
        <w:t xml:space="preserve">in the mouth are very common and</w:t>
      </w:r>
      <w:r>
        <w:t xml:space="preserve"> </w:t>
      </w:r>
      <w:r>
        <w:t xml:space="preserve">industry stakeholders interviewed were</w:t>
      </w:r>
      <w:r>
        <w:t xml:space="preserve"> </w:t>
      </w:r>
      <w:r>
        <w:t xml:space="preserve">concerned that this would lead to</w:t>
      </w:r>
      <w:r>
        <w:t xml:space="preserve"> </w:t>
      </w:r>
      <w:r>
        <w:t xml:space="preserve">greatly</w:t>
      </w:r>
      <w:r>
        <w:t xml:space="preserve"> </w:t>
      </w:r>
      <w:r>
        <w:t xml:space="preserve">increased</w:t>
      </w:r>
      <w:r>
        <w:t xml:space="preserve"> </w:t>
      </w:r>
      <w:r>
        <w:t xml:space="preserve">testing</w:t>
      </w:r>
      <w:r>
        <w:t xml:space="preserve"> </w:t>
      </w:r>
      <w:r>
        <w:t xml:space="preserve">and</w:t>
      </w:r>
      <w:r>
        <w:t xml:space="preserve"> </w:t>
      </w:r>
      <w:r>
        <w:t xml:space="preserve">compliance costs as currently, only an</w:t>
      </w:r>
      <w:r>
        <w:t xml:space="preserve"> </w:t>
      </w:r>
      <w:r>
        <w:t xml:space="preserve">estimated 3% of toys require an EC type</w:t>
      </w:r>
      <w:r>
        <w:t xml:space="preserve"> </w:t>
      </w:r>
      <w:r>
        <w:t xml:space="preserve">examination.</w:t>
      </w:r>
    </w:p>
    <w:p>
      <w:pPr>
        <w:pStyle w:val="BodyText"/>
      </w:pPr>
      <w:r>
        <w:t xml:space="preserve">The main feedback from industry</w:t>
      </w:r>
      <w:r>
        <w:t xml:space="preserve"> </w:t>
      </w:r>
      <w:r>
        <w:t xml:space="preserve">was that they already implement</w:t>
      </w:r>
      <w:r>
        <w:t xml:space="preserve"> </w:t>
      </w:r>
      <w:r>
        <w:t xml:space="preserve">risk management approaches for</w:t>
      </w:r>
      <w:r>
        <w:t xml:space="preserve"> </w:t>
      </w:r>
      <w:r>
        <w:t xml:space="preserve">toys for the under 36 months and</w:t>
      </w:r>
      <w:r>
        <w:t xml:space="preserve"> </w:t>
      </w:r>
      <w:r>
        <w:t xml:space="preserve">for those designed to be put in the</w:t>
      </w:r>
      <w:r>
        <w:t xml:space="preserve"> </w:t>
      </w:r>
      <w:r>
        <w:t xml:space="preserve">mouth.</w:t>
      </w:r>
      <w:r>
        <w:t xml:space="preserve"> </w:t>
      </w:r>
      <w:r>
        <w:t xml:space="preserve">They were concerned about the</w:t>
      </w:r>
      <w:r>
        <w:t xml:space="preserve"> </w:t>
      </w:r>
      <w:r>
        <w:t xml:space="preserve">cost increase of having to carry</w:t>
      </w:r>
      <w:r>
        <w:t xml:space="preserve"> </w:t>
      </w:r>
      <w:r>
        <w:t xml:space="preserve">out</w:t>
      </w:r>
      <w:r>
        <w:t xml:space="preserve"> </w:t>
      </w:r>
      <w:r>
        <w:t xml:space="preserve">mandatory</w:t>
      </w:r>
      <w:r>
        <w:t xml:space="preserve"> </w:t>
      </w:r>
      <w:r>
        <w:t xml:space="preserve">third</w:t>
      </w:r>
      <w:r>
        <w:t xml:space="preserve"> </w:t>
      </w:r>
      <w:r>
        <w:t xml:space="preserve">-party</w:t>
      </w:r>
      <w:r>
        <w:t xml:space="preserve"> </w:t>
      </w:r>
      <w:r>
        <w:t xml:space="preserve">conformity assessment for such</w:t>
      </w:r>
      <w:r>
        <w:t xml:space="preserve"> </w:t>
      </w:r>
      <w:r>
        <w:t xml:space="preserve">toys. The concern was that this</w:t>
      </w:r>
      <w:r>
        <w:t xml:space="preserve"> </w:t>
      </w:r>
      <w:r>
        <w:t xml:space="preserve">cost would be borne by reputable</w:t>
      </w:r>
      <w:r>
        <w:t xml:space="preserve"> </w:t>
      </w:r>
      <w:r>
        <w:t xml:space="preserve">and</w:t>
      </w:r>
      <w:r>
        <w:t xml:space="preserve"> </w:t>
      </w:r>
      <w:r>
        <w:t xml:space="preserve">already</w:t>
      </w:r>
      <w:r>
        <w:t xml:space="preserve"> </w:t>
      </w:r>
      <w:r>
        <w:t xml:space="preserve">compliant</w:t>
      </w:r>
      <w:r>
        <w:t xml:space="preserve"> </w:t>
      </w:r>
      <w:r>
        <w:t xml:space="preserve">manufacturers rather than by non-</w:t>
      </w:r>
      <w:r>
        <w:t xml:space="preserve"> </w:t>
      </w:r>
      <w:r>
        <w:t xml:space="preserve">compliant manufacturers who do</w:t>
      </w:r>
      <w:r>
        <w:t xml:space="preserve"> </w:t>
      </w:r>
      <w:r>
        <w:t xml:space="preserve">not carefully test the chemicals</w:t>
      </w:r>
      <w:r>
        <w:t xml:space="preserve"> </w:t>
      </w:r>
      <w:r>
        <w:t xml:space="preserve">used in such products.</w:t>
      </w:r>
      <w:r>
        <w:br/>
      </w:r>
      <w:r>
        <w:t xml:space="preserve">Any increase in costs may</w:t>
      </w:r>
      <w:r>
        <w:t xml:space="preserve"> </w:t>
      </w:r>
      <w:r>
        <w:t xml:space="preserve">adversely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competitiveness.</w:t>
      </w:r>
    </w:p>
    <w:p>
      <w:pPr>
        <w:pStyle w:val="BodyText"/>
      </w:pPr>
      <w:r>
        <w:t xml:space="preserve">Stakeholders were concerned about the impacts on competitiveness by the delays in marketing a toy.</w:t>
      </w:r>
      <w:r>
        <w:t xml:space="preserve"> </w:t>
      </w:r>
      <w:r>
        <w:t xml:space="preserve">The costs of lead times to market are difficult to quantify, a leading top 5 global producer estimated</w:t>
      </w:r>
      <w:r>
        <w:t xml:space="preserve"> </w:t>
      </w:r>
      <w:r>
        <w:t xml:space="preserve">that mandatory could third-party conformity assessment could add an additional 4-6 months in the</w:t>
      </w:r>
      <w:r>
        <w:t xml:space="preserve"> </w:t>
      </w:r>
      <w:r>
        <w:t xml:space="preserve">process to place a product on the European market, with an adverse impact on competitiveness.</w:t>
      </w:r>
      <w:r>
        <w:t xml:space="preserve"> </w:t>
      </w:r>
      <w:r>
        <w:t xml:space="preserve">On a more positive note, stakeholders across a range of groups noted that any increase in costs for</w:t>
      </w:r>
      <w:r>
        <w:t xml:space="preserve"> </w:t>
      </w:r>
      <w:r>
        <w:t xml:space="preserve">rogue traders and producers would have a positive effect on the competitiveness of compliant</w:t>
      </w:r>
      <w:r>
        <w:t xml:space="preserve"> </w:t>
      </w:r>
      <w:r>
        <w:t xml:space="preserve">manufacturers, thereby improving the level playing field in the EU market and curtailing cheap, illicit</w:t>
      </w:r>
      <w:r>
        <w:t xml:space="preserve"> </w:t>
      </w:r>
      <w:r>
        <w:t xml:space="preserve">competition. Although the European toys industry may experience some negative impacts on</w:t>
      </w:r>
      <w:r>
        <w:t xml:space="preserve"> </w:t>
      </w:r>
      <w:r>
        <w:t xml:space="preserve">competitiveness through the above, PO2a should also help to strengthen the single market by</w:t>
      </w:r>
      <w:r>
        <w:t xml:space="preserve"> </w:t>
      </w:r>
      <w:r>
        <w:t xml:space="preserve">promoting a more level playing field between reputable and rogue manufacturers placing products</w:t>
      </w:r>
      <w:r>
        <w:t xml:space="preserve"> </w:t>
      </w:r>
      <w:r>
        <w:t xml:space="preserve">on the European market. However, PO2a would only have a positive effect on removing more non-</w:t>
      </w:r>
      <w:r>
        <w:t xml:space="preserve"> </w:t>
      </w:r>
      <w:r>
        <w:t xml:space="preserve">compliant products from the European market if market surveillance authorities adopt a proactive</w:t>
      </w:r>
      <w:r>
        <w:t xml:space="preserve"> </w:t>
      </w:r>
      <w:r>
        <w:t xml:space="preserve">approach in checking whether such products have been subject to a mandatory third-party conformity</w:t>
      </w:r>
      <w:r>
        <w:t xml:space="preserve"> </w:t>
      </w:r>
      <w:r>
        <w:t xml:space="preserve">assessment or not. There would remain a risk that reputable manufacturers invest in complying with</w:t>
      </w:r>
      <w:r>
        <w:t xml:space="preserve"> </w:t>
      </w:r>
      <w:r>
        <w:t xml:space="preserve">additional requirements which would impose additional costs, but rogue producers would still find</w:t>
      </w:r>
      <w:r>
        <w:t xml:space="preserve"> </w:t>
      </w:r>
      <w:r>
        <w:t xml:space="preserve">ways to manage to get their products on to the market illegally.</w:t>
      </w:r>
      <w:r>
        <w:br/>
      </w:r>
      <w:r>
        <w:t xml:space="preserve">However, some market surveillance authorities pointed out that it is more straight forward to check</w:t>
      </w:r>
      <w:r>
        <w:t xml:space="preserve"> </w:t>
      </w:r>
      <w:r>
        <w:t xml:space="preserve">technical compliance and make a decision whether they need to investigate if a third-party conformity</w:t>
      </w:r>
      <w:r>
        <w:t xml:space="preserve"> </w:t>
      </w:r>
      <w:r>
        <w:t xml:space="preserve">assessment body has already checked the product and the test results. This could save time for market</w:t>
      </w:r>
      <w:r>
        <w:t xml:space="preserve"> </w:t>
      </w:r>
      <w:r>
        <w:t xml:space="preserve">surveillance authorities and therefore allow them to perform more checks, which in turn could help</w:t>
      </w:r>
      <w:r>
        <w:t xml:space="preserve"> </w:t>
      </w:r>
      <w:r>
        <w:t xml:space="preserve">to reduce non-compliant products on the market. The positive impacts would be limited in this</w:t>
      </w:r>
      <w:r>
        <w:t xml:space="preserve"> </w:t>
      </w:r>
      <w:r>
        <w:t xml:space="preserve">instance to the types of products covered by this measure.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199</w:t>
      </w:r>
      <w:r>
        <w:t xml:space="preserve"> </w:t>
      </w:r>
      <w:r>
        <w:t xml:space="preserve">EN</w:t>
      </w:r>
      <w:r>
        <w:t xml:space="preserve"> </w:t>
      </w:r>
      <w:r>
        <w:t xml:space="preserve">Beyond the above general points, some targeted feedback through the SME survey was obtained</w:t>
      </w:r>
      <w:r>
        <w:t xml:space="preserve"> </w:t>
      </w:r>
      <w:r>
        <w:t xml:space="preserve">regarding the impacts on SMEs of making mandatory third-party conformity assessment for certain</w:t>
      </w:r>
      <w:r>
        <w:t xml:space="preserve"> </w:t>
      </w:r>
      <w:r>
        <w:t xml:space="preserve">higher-risk product categories. As shown below, nearly a quarter of respondents were unable to</w:t>
      </w:r>
      <w:r>
        <w:t xml:space="preserve"> </w:t>
      </w:r>
      <w:r>
        <w:t xml:space="preserve">provide or did not have an opinion on the issue. This suggests that many SMEs found it difficult to</w:t>
      </w:r>
      <w:r>
        <w:t xml:space="preserve"> </w:t>
      </w:r>
      <w:r>
        <w:t xml:space="preserve">conceptualise the impact of PO2a on their overall competitiveness.</w:t>
      </w:r>
      <w:r>
        <w:t xml:space="preserve"> </w:t>
      </w:r>
      <w:r>
        <w:t xml:space="preserve">However, of those SMEs that were able to respond, the figure illustrates a clear inclination towards</w:t>
      </w:r>
      <w:r>
        <w:t xml:space="preserve"> </w:t>
      </w:r>
      <w:r>
        <w:t xml:space="preserve">a decrease in SME competitiveness as compared to both larger manufacturers and imports from</w:t>
      </w:r>
      <w:r>
        <w:t xml:space="preserve"> </w:t>
      </w:r>
      <w:r>
        <w:t xml:space="preserve">outside the EU.</w:t>
      </w:r>
      <w:r>
        <w:t xml:space="preserve"> </w:t>
      </w:r>
      <w:r>
        <w:t xml:space="preserve">Figure 21: PO2a: Extending conformity assessment. Impacts on SMEs. On a scale of 1-5 (1 strong decrease, and 5</w:t>
      </w:r>
      <w:r>
        <w:t xml:space="preserve"> </w:t>
      </w:r>
      <w:r>
        <w:t xml:space="preserve">strong increase in competitiveness), how would these measures presented above make your products more or less</w:t>
      </w:r>
      <w:r>
        <w:t xml:space="preserve"> </w:t>
      </w:r>
      <w:r>
        <w:t xml:space="preserve">competitive in comparison to imports and to larger manufacturers?</w:t>
      </w:r>
    </w:p>
    <w:p>
      <w:pPr>
        <w:pStyle w:val="BodyText"/>
      </w:pPr>
      <w:r>
        <w:t xml:space="preserve">Source: SME survey</w:t>
      </w:r>
      <w:r>
        <w:t xml:space="preserve"> </w:t>
      </w:r>
      <w:r>
        <w:t xml:space="preserve">Overall, this PO would have some benefits but relatively minor impacts in terms of their scale in</w:t>
      </w:r>
      <w:r>
        <w:t xml:space="preserve"> </w:t>
      </w:r>
      <w:r>
        <w:t xml:space="preserve">reducing non-compliant products on the European market. Balanced against this would be a relatively</w:t>
      </w:r>
      <w:r>
        <w:t xml:space="preserve"> </w:t>
      </w:r>
      <w:r>
        <w:t xml:space="preserve">significant increase in testing costs as many reputable producers would face both internal and external</w:t>
      </w:r>
      <w:r>
        <w:t xml:space="preserve"> </w:t>
      </w:r>
      <w:r>
        <w:t xml:space="preserve">mandatory third party testing costs.</w:t>
      </w:r>
    </w:p>
    <w:p>
      <w:pPr>
        <w:pStyle w:val="BodyText"/>
      </w:pPr>
      <w:r>
        <w:t xml:space="preserve">PO2b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200</w:t>
      </w:r>
      <w:r>
        <w:t xml:space="preserve"> </w:t>
      </w:r>
      <w:r>
        <w:t xml:space="preserve">EN</w:t>
      </w:r>
      <w:r>
        <w:t xml:space="preserve"> </w:t>
      </w:r>
      <w:r>
        <w:t xml:space="preserve">There would be benefits from this PO that contribute towards enhancing toy producers’</w:t>
      </w:r>
      <w:r>
        <w:t xml:space="preserve"> </w:t>
      </w:r>
      <w:r>
        <w:t xml:space="preserve">competitiveness. Firstly, the digitalisation of product information (including regulatory compliance</w:t>
      </w:r>
      <w:r>
        <w:t xml:space="preserve"> </w:t>
      </w:r>
      <w:r>
        <w:t xml:space="preserve">aspects) could lead to greater efficiencies and cost savings. A potential impact is that the information</w:t>
      </w:r>
      <w:r>
        <w:t xml:space="preserve"> </w:t>
      </w:r>
      <w:r>
        <w:t xml:space="preserve">mandatorily required under the DPP could bring synergies if it also helps contribute towards meeting</w:t>
      </w:r>
      <w:r>
        <w:t xml:space="preserve"> </w:t>
      </w:r>
      <w:r>
        <w:t xml:space="preserve">TSD compliance requirements. This PO is difficult to assess in detail as the precise information</w:t>
      </w:r>
      <w:r>
        <w:t xml:space="preserve"> </w:t>
      </w:r>
      <w:r>
        <w:t xml:space="preserve">requirements of the DPP at the product level are not yet known.</w:t>
      </w:r>
      <w:r>
        <w:t xml:space="preserve"> </w:t>
      </w:r>
      <w:r>
        <w:t xml:space="preserve">However, it is highly likely that for instance, the chemical content of products will need to be</w:t>
      </w:r>
      <w:r>
        <w:t xml:space="preserve"> </w:t>
      </w:r>
      <w:r>
        <w:t xml:space="preserve">disclosed in a toy producers’ DPP. This could lead to cost savings for producers if having some of</w:t>
      </w:r>
      <w:r>
        <w:t xml:space="preserve"> </w:t>
      </w:r>
      <w:r>
        <w:t xml:space="preserve">this information already available in digital form could also be useful to demonstrate compliance</w:t>
      </w:r>
      <w:r>
        <w:t xml:space="preserve"> </w:t>
      </w:r>
      <w:r>
        <w:t xml:space="preserve">with the toy safety requirements.</w:t>
      </w:r>
      <w:r>
        <w:t xml:space="preserve"> </w:t>
      </w:r>
      <w:r>
        <w:t xml:space="preserve">Furthermore, stakeholders across a range of groups noted that any improvements in the functioning</w:t>
      </w:r>
      <w:r>
        <w:t xml:space="preserve"> </w:t>
      </w:r>
      <w:r>
        <w:t xml:space="preserve">of market surveillance and enforcement within the EU, but also at the EU border, would improve the</w:t>
      </w:r>
      <w:r>
        <w:t xml:space="preserve"> </w:t>
      </w:r>
      <w:r>
        <w:t xml:space="preserve">identification and control of non-compliant toys, thereby placing additional challenges and costs on</w:t>
      </w:r>
      <w:r>
        <w:t xml:space="preserve"> </w:t>
      </w:r>
      <w:r>
        <w:t xml:space="preserve">rogue traders and producers. This option should have significant impacts in the reduction of non-</w:t>
      </w:r>
      <w:r>
        <w:t xml:space="preserve"> </w:t>
      </w:r>
      <w:r>
        <w:t xml:space="preserve">compliant toys in the Union market. In turn, this would have a positive impact on the competitiveness</w:t>
      </w:r>
      <w:r>
        <w:t xml:space="preserve"> </w:t>
      </w:r>
      <w:r>
        <w:t xml:space="preserve">of reputable and compliant manufacturers by improving the level playing field and curtailing cheap,</w:t>
      </w:r>
      <w:r>
        <w:t xml:space="preserve"> </w:t>
      </w:r>
      <w:r>
        <w:t xml:space="preserve">illicit competition.</w:t>
      </w:r>
      <w:r>
        <w:t xml:space="preserve"> </w:t>
      </w:r>
      <w:r>
        <w:t xml:space="preserve">The views of SMEs, as expressed through the SME survey on this issue are now provided:</w:t>
      </w:r>
      <w:r>
        <w:br/>
      </w:r>
      <w:r>
        <w:t xml:space="preserve">Figure 22: PO2b: Facilitation of control. Impacts on SMEs. On a scale of 1-5 (1 strong decrease, and 5 strong increase</w:t>
      </w:r>
      <w:r>
        <w:t xml:space="preserve"> </w:t>
      </w:r>
      <w:r>
        <w:t xml:space="preserve">in competitiveness), how would these measures presented above make your products more or less competitive in</w:t>
      </w:r>
      <w:r>
        <w:t xml:space="preserve"> </w:t>
      </w:r>
      <w:r>
        <w:t xml:space="preserve">comparison to imports and to larger manufacturers?</w:t>
      </w:r>
    </w:p>
    <w:p>
      <w:pPr>
        <w:pStyle w:val="BodyText"/>
      </w:pPr>
      <w:r>
        <w:t xml:space="preserve">27,9% (56)</w:t>
      </w:r>
      <w:r>
        <w:t xml:space="preserve"> </w:t>
      </w:r>
      <w:r>
        <w:t xml:space="preserve">4,0% (8)</w:t>
      </w:r>
      <w:r>
        <w:t xml:space="preserve"> </w:t>
      </w:r>
      <w:r>
        <w:t xml:space="preserve">6,0% (12)</w:t>
      </w:r>
      <w:r>
        <w:t xml:space="preserve"> </w:t>
      </w:r>
      <w:r>
        <w:t xml:space="preserve">27,4% (55)</w:t>
      </w:r>
      <w:r>
        <w:t xml:space="preserve"> </w:t>
      </w:r>
      <w:r>
        <w:t xml:space="preserve">10,4% (21)</w:t>
      </w:r>
      <w:r>
        <w:t xml:space="preserve"> </w:t>
      </w:r>
      <w:r>
        <w:t xml:space="preserve">24,4% (49)</w:t>
      </w:r>
      <w:r>
        <w:t xml:space="preserve"> </w:t>
      </w:r>
      <w:r>
        <w:t xml:space="preserve">27,9% (56)</w:t>
      </w:r>
      <w:r>
        <w:t xml:space="preserve"> </w:t>
      </w:r>
      <w:r>
        <w:t xml:space="preserve">2,0% (4)</w:t>
      </w:r>
      <w:r>
        <w:t xml:space="preserve"> </w:t>
      </w:r>
      <w:r>
        <w:t xml:space="preserve">3,0% (6)</w:t>
      </w:r>
      <w:r>
        <w:t xml:space="preserve"> </w:t>
      </w:r>
      <w:r>
        <w:t xml:space="preserve">28,4% (57)</w:t>
      </w:r>
      <w:r>
        <w:t xml:space="preserve"> </w:t>
      </w:r>
      <w:r>
        <w:t xml:space="preserve">9,5% (19)</w:t>
      </w:r>
      <w:r>
        <w:t xml:space="preserve"> </w:t>
      </w:r>
      <w:r>
        <w:t xml:space="preserve">29,4% (59)</w:t>
      </w:r>
      <w:r>
        <w:t xml:space="preserve"> </w:t>
      </w:r>
      <w:r>
        <w:t xml:space="preserve">0,0%</w:t>
      </w:r>
      <w:r>
        <w:t xml:space="preserve"> </w:t>
      </w:r>
      <w:r>
        <w:t xml:space="preserve">5,0% 10,0% 15,0% 20,0% 25,0% 30,0% 35,0%</w:t>
      </w:r>
      <w:r>
        <w:t xml:space="preserve"> </w:t>
      </w:r>
      <w:r>
        <w:t xml:space="preserve">I do not know – No opinion</w:t>
      </w:r>
      <w:r>
        <w:t xml:space="preserve"> </w:t>
      </w:r>
      <w:r>
        <w:t xml:space="preserve">5: Our competitiveness would strongly increase</w:t>
      </w:r>
      <w:r>
        <w:t xml:space="preserve"> </w:t>
      </w:r>
      <w:r>
        <w:t xml:space="preserve">4: Our competitiveness would increase</w:t>
      </w:r>
      <w:r>
        <w:t xml:space="preserve"> </w:t>
      </w:r>
      <w:r>
        <w:t xml:space="preserve">3: No change</w:t>
      </w:r>
      <w:r>
        <w:t xml:space="preserve"> </w:t>
      </w:r>
      <w:r>
        <w:t xml:space="preserve">2: Our competitiveness would decrease</w:t>
      </w:r>
      <w:r>
        <w:t xml:space="preserve"> </w:t>
      </w:r>
      <w:r>
        <w:t xml:space="preserve">1: Our competitiveness would strongly decrease</w:t>
      </w:r>
      <w:r>
        <w:t xml:space="preserve"> </w:t>
      </w:r>
      <w:r>
        <w:t xml:space="preserve">Large manufacturers</w:t>
      </w:r>
      <w:r>
        <w:t xml:space="preserve"> </w:t>
      </w:r>
      <w:r>
        <w:t xml:space="preserve">Imports from outside the EU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201</w:t>
      </w:r>
      <w:r>
        <w:t xml:space="preserve"> </w:t>
      </w:r>
      <w:r>
        <w:t xml:space="preserve">EN</w:t>
      </w:r>
      <w:r>
        <w:t xml:space="preserve"> </w:t>
      </w:r>
      <w:r>
        <w:t xml:space="preserve">Whereas the EU’s mandatory DPP initiative will require some investment by toy producers, they</w:t>
      </w:r>
      <w:r>
        <w:t xml:space="preserve"> </w:t>
      </w:r>
      <w:r>
        <w:t xml:space="preserve">could potentially recoup some of this investment through cost savings as they would have the same</w:t>
      </w:r>
      <w:r>
        <w:t xml:space="preserve"> </w:t>
      </w:r>
      <w:r>
        <w:t xml:space="preserve">product information already available under digital form under the DPP for compliance. Generally,</w:t>
      </w:r>
      <w:r>
        <w:t xml:space="preserve"> </w:t>
      </w:r>
      <w:r>
        <w:t xml:space="preserve">the direction of travel is of increased digitalisation of product information, including to demonstrate</w:t>
      </w:r>
      <w:r>
        <w:t xml:space="preserve"> </w:t>
      </w:r>
      <w:r>
        <w:t xml:space="preserve">regulatory compliance to customs and market surveillance authorities, and enhancing traceability</w:t>
      </w:r>
      <w:r>
        <w:t xml:space="preserve"> </w:t>
      </w:r>
      <w:r>
        <w:t xml:space="preserve">within value chains. There could be potential cost savings for industry from digitalising product</w:t>
      </w:r>
      <w:r>
        <w:t xml:space="preserve"> </w:t>
      </w:r>
      <w:r>
        <w:t xml:space="preserve">compliance information. Previous studies have suggested a benchmark of about 10-15% savings from</w:t>
      </w:r>
      <w:r>
        <w:t xml:space="preserve"> </w:t>
      </w:r>
      <w:r>
        <w:t xml:space="preserve">full digitalisation, as the DPP will provide an alternative means to provide product compliance</w:t>
      </w:r>
      <w:r>
        <w:t xml:space="preserve"> </w:t>
      </w:r>
      <w:r>
        <w:t xml:space="preserve">information digitally and as physical documents (e.g DoCs) will no longer be required, then there</w:t>
      </w:r>
      <w:r>
        <w:t xml:space="preserve"> </w:t>
      </w:r>
      <w:r>
        <w:t xml:space="preserve">would be greater savings.394. These studies also estimate the provision of compliance information at</w:t>
      </w:r>
      <w:r>
        <w:t xml:space="preserve"> </w:t>
      </w:r>
      <w:r>
        <w:t xml:space="preserve">0.4% of turnover of the sector.395 Accordingly, savings could be estimated at around EUR 2.62 to</w:t>
      </w:r>
      <w:r>
        <w:t xml:space="preserve"> </w:t>
      </w:r>
      <w:r>
        <w:t xml:space="preserve">EUR 3.93 million per year only from moving to the digital provision of compliance information.</w:t>
      </w:r>
      <w:r>
        <w:br/>
      </w:r>
      <w:r>
        <w:t xml:space="preserve">Whilst 28.4% (57) of SMEs did not think this would lead to any changes in their competitiveness</w:t>
      </w:r>
      <w:r>
        <w:t xml:space="preserve"> </w:t>
      </w:r>
      <w:r>
        <w:t xml:space="preserve">vis-à-vis large firms and 27.4% (55) compared with imported products, 29.4% (59) were concerned</w:t>
      </w:r>
      <w:r>
        <w:t xml:space="preserve"> </w:t>
      </w:r>
      <w:r>
        <w:t xml:space="preserve">that this would strongly decrease their competitiveness compared with large firms. The rationale was</w:t>
      </w:r>
      <w:r>
        <w:t xml:space="preserve"> </w:t>
      </w:r>
      <w:r>
        <w:t xml:space="preserve">that large firms are more easily able to invest in digitalisation and the digitisation of product</w:t>
      </w:r>
      <w:r>
        <w:t xml:space="preserve"> </w:t>
      </w:r>
      <w:r>
        <w:t xml:space="preserve">information compared with SMEs.</w:t>
      </w:r>
    </w:p>
    <w:p>
      <w:pPr>
        <w:pStyle w:val="BodyText"/>
      </w:pPr>
      <w:r>
        <w:t xml:space="preserve">In general, this PO of introducing a DPP for all toy products was seen very positively by industry,</w:t>
      </w:r>
      <w:r>
        <w:t xml:space="preserve"> </w:t>
      </w:r>
      <w:r>
        <w:t xml:space="preserve">both by large firms and SMEs interviewed. This could provide a practical solution for toy</w:t>
      </w:r>
      <w:r>
        <w:t xml:space="preserve"> </w:t>
      </w:r>
      <w:r>
        <w:t xml:space="preserve">manufacturers as over time, there is an increasing volume of information to be provided about</w:t>
      </w:r>
      <w:r>
        <w:t xml:space="preserve"> </w:t>
      </w:r>
      <w:r>
        <w:t xml:space="preserve">products to different users and readers of product labels. market surveillance authorities require</w:t>
      </w:r>
      <w:r>
        <w:t xml:space="preserve"> </w:t>
      </w:r>
      <w:r>
        <w:t xml:space="preserve">detailed product information to check regulatory compliance. Toy product information also needs to</w:t>
      </w:r>
      <w:r>
        <w:t xml:space="preserve"> </w:t>
      </w:r>
      <w:r>
        <w:t xml:space="preserve">be communicated to other economic operators in the supply chain to ensure traceability. Lastly,</w:t>
      </w:r>
      <w:r>
        <w:t xml:space="preserve"> </w:t>
      </w:r>
      <w:r>
        <w:t xml:space="preserve">consumers also need relevant product information about products, such as whether the product is</w:t>
      </w:r>
      <w:r>
        <w:t xml:space="preserve"> </w:t>
      </w:r>
      <w:r>
        <w:t xml:space="preserve">intended for the under 3 years, and more generally, consumers increasingly demand more information</w:t>
      </w:r>
      <w:r>
        <w:t xml:space="preserve"> </w:t>
      </w:r>
      <w:r>
        <w:t xml:space="preserve">about chemicals used in products, including toys.</w:t>
      </w:r>
    </w:p>
    <w:p>
      <w:pPr>
        <w:pStyle w:val="BodyText"/>
      </w:pPr>
      <w:r>
        <w:t xml:space="preserve">PO2c</w:t>
      </w:r>
      <w:r>
        <w:br/>
      </w:r>
      <w:r>
        <w:t xml:space="preserve">The impacts on competitiveness and innovation would therefore be similar to those described under</w:t>
      </w:r>
      <w:r>
        <w:t xml:space="preserve"> </w:t>
      </w:r>
      <w:r>
        <w:t xml:space="preserve">PO2a and PO2b previously. However, there would also be the cumulative impacts on industry of</w:t>
      </w:r>
      <w:r>
        <w:t xml:space="preserve"> </w:t>
      </w:r>
      <w:r>
        <w:t xml:space="preserve">both requiring more mandatory third-party conformity assessments under PO2a and the digitalisation</w:t>
      </w:r>
      <w:r>
        <w:t xml:space="preserve"> </w:t>
      </w:r>
      <w:r>
        <w:t xml:space="preserve">of information under PO2b.</w:t>
      </w:r>
      <w:r>
        <w:br/>
      </w:r>
      <w:r>
        <w:t xml:space="preserve">Moreover, as for PO2a and PO2b separately, the implementation of PO2c would likely improve the</w:t>
      </w:r>
      <w:r>
        <w:t xml:space="preserve"> </w:t>
      </w:r>
      <w:r>
        <w:t xml:space="preserve">functioning of market surveillance and enforcement, thereby placing additional burdens on rogue</w:t>
      </w:r>
      <w:r>
        <w:t xml:space="preserve"> </w:t>
      </w:r>
      <w:r>
        <w:t xml:space="preserve">traders and limiting their ability to place non-compliant toys on the European market. In this respect,</w:t>
      </w:r>
      <w:r>
        <w:t xml:space="preserve"> </w:t>
      </w:r>
      <w:r>
        <w:t xml:space="preserve">reputable manufacturers would receive the benefits of a more level playing field and reduced illicit</w:t>
      </w:r>
      <w:r>
        <w:t xml:space="preserve"> </w:t>
      </w:r>
      <w:r>
        <w:t xml:space="preserve">competition.</w:t>
      </w:r>
    </w:p>
    <w:p>
      <w:pPr>
        <w:pStyle w:val="BodyText"/>
      </w:pPr>
      <w:r>
        <w:t xml:space="preserve">394 European Commission, Directorate-General for Internal Market, Industry, Entrepreneurship and SMEs, Supporting</w:t>
      </w:r>
      <w:r>
        <w:t xml:space="preserve"> </w:t>
      </w:r>
      <w:r>
        <w:t xml:space="preserve">study for the evaluation of certain aspects of the New Legislative Framework (Decision No 768/2008/EC and Regulation</w:t>
      </w:r>
      <w:r>
        <w:t xml:space="preserve"> </w:t>
      </w:r>
      <w:r>
        <w:t xml:space="preserve">(EC) No 765/2008), Publications Office of the European Union, 2022, https://data.europa.eu/doi/10.2873/625443</w:t>
      </w:r>
      <w:r>
        <w:t xml:space="preserve"> </w:t>
      </w:r>
      <w:r>
        <w:t xml:space="preserve">395 0.4% of turnover of EU toy industry in 2020 was EUR 26.2 million. The share of 0.4% is the result of a multiplication</w:t>
      </w:r>
      <w:r>
        <w:t xml:space="preserve"> </w:t>
      </w:r>
      <w:r>
        <w:t xml:space="preserve">of the total cost of compliance (2% of annual turnover, based on previous literature) by the share of the total cost</w:t>
      </w:r>
      <w:r>
        <w:t xml:space="preserve"> </w:t>
      </w:r>
      <w:r>
        <w:t xml:space="preserve">compliance related only to the cost of indicating compliance with EU harmonisation legislation (20%, based on</w:t>
      </w:r>
      <w:r>
        <w:t xml:space="preserve"> </w:t>
      </w:r>
      <w:r>
        <w:t xml:space="preserve">stakeholder consultation in the study supporting the Evaluation of the New Legislative Framework referred to above).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202</w:t>
      </w:r>
      <w:r>
        <w:t xml:space="preserve"> </w:t>
      </w:r>
      <w:r>
        <w:t xml:space="preserve">EN</w:t>
      </w:r>
      <w:r>
        <w:t xml:space="preserve"> </w:t>
      </w:r>
      <w:r>
        <w:t xml:space="preserve">Stakeholders did not have particular views about 2c as a combined package. Instead, industry</w:t>
      </w:r>
      <w:r>
        <w:t xml:space="preserve"> </w:t>
      </w:r>
      <w:r>
        <w:t xml:space="preserve">stakeholders reiterated their concerns about the increased cost of compliance under 2a and</w:t>
      </w:r>
      <w:r>
        <w:t xml:space="preserve"> </w:t>
      </w:r>
      <w:r>
        <w:t xml:space="preserve">highlighted that this could lead to a significant increase in their conformity assessment costs.</w:t>
      </w:r>
      <w:r>
        <w:t xml:space="preserve"> </w:t>
      </w:r>
      <w:r>
        <w:t xml:space="preserve">3.</w:t>
      </w:r>
      <w:r>
        <w:t xml:space="preserve"> </w:t>
      </w:r>
      <w:r>
        <w:t xml:space="preserve">IMPACTS ON THE SINGLE MARKET</w:t>
      </w:r>
      <w:r>
        <w:t xml:space="preserve"> </w:t>
      </w:r>
      <w:r>
        <w:t xml:space="preserve">Article 1 of the TSD establishes the focus of the Directive on ensuring the free movement of toys</w:t>
      </w:r>
      <w:r>
        <w:t xml:space="preserve"> </w:t>
      </w:r>
      <w:r>
        <w:t xml:space="preserve">within the EU, supported by Recital 1 and Article 12. Although the evaluation of the TSD reported a</w:t>
      </w:r>
      <w:r>
        <w:t xml:space="preserve"> </w:t>
      </w:r>
      <w:r>
        <w:t xml:space="preserve">generally positive assessment of the impact of the Directive on the European toys market, it did</w:t>
      </w:r>
      <w:r>
        <w:t xml:space="preserve"> </w:t>
      </w:r>
      <w:r>
        <w:t xml:space="preserve">highlight a range of application and market development challenges that limited this effectiveness to</w:t>
      </w:r>
      <w:r>
        <w:t xml:space="preserve"> </w:t>
      </w:r>
      <w:r>
        <w:t xml:space="preserve">some extent. Most prominently, the evaluation highlighted the presence of too many non-compliant</w:t>
      </w:r>
      <w:r>
        <w:t xml:space="preserve"> </w:t>
      </w:r>
      <w:r>
        <w:t xml:space="preserve">toys on the market and the associated impact on market fairness and product safety, as well as the</w:t>
      </w:r>
      <w:r>
        <w:t xml:space="preserve"> </w:t>
      </w:r>
      <w:r>
        <w:t xml:space="preserve">existence of implementation differences across the Member States in terms of both legal transposition</w:t>
      </w:r>
      <w:r>
        <w:t xml:space="preserve"> </w:t>
      </w:r>
      <w:r>
        <w:t xml:space="preserve">and practical implementation (e.g. regarding surveillance and enforcement).</w:t>
      </w:r>
      <w:r>
        <w:t xml:space="preserve"> </w:t>
      </w:r>
      <w:r>
        <w:t xml:space="preserve">As the free movement of toys will remain as an important objective under the future proposal for a</w:t>
      </w:r>
      <w:r>
        <w:t xml:space="preserve"> </w:t>
      </w:r>
      <w:r>
        <w:t xml:space="preserve">TSR, this section considers the impact of each policy option on the EU single market for toys and the</w:t>
      </w:r>
      <w:r>
        <w:t xml:space="preserve"> </w:t>
      </w:r>
      <w:r>
        <w:t xml:space="preserve">related application challenges identified through the evaluation.</w:t>
      </w:r>
      <w:r>
        <w:t xml:space="preserve"> </w:t>
      </w:r>
      <w:r>
        <w:t xml:space="preserve">A) Baseline</w:t>
      </w:r>
      <w:r>
        <w:t xml:space="preserve"> </w:t>
      </w:r>
      <w:r>
        <w:t xml:space="preserve">The 2020 evaluation concluded positively on the achievement of the TSD in relation to ensuring the</w:t>
      </w:r>
      <w:r>
        <w:t xml:space="preserve"> </w:t>
      </w:r>
      <w:r>
        <w:t xml:space="preserve">free movement of toys within the EU. In particular, manufacturers and other economic operators</w:t>
      </w:r>
      <w:r>
        <w:t xml:space="preserve"> </w:t>
      </w:r>
      <w:r>
        <w:t xml:space="preserve">highlighted the harmonisation of procedures and requirements as highly effective in supporting the</w:t>
      </w:r>
      <w:r>
        <w:t xml:space="preserve"> </w:t>
      </w:r>
      <w:r>
        <w:t xml:space="preserve">functioning of the single market.</w:t>
      </w:r>
      <w:r>
        <w:t xml:space="preserve"> </w:t>
      </w:r>
      <w:r>
        <w:t xml:space="preserve">However, the evaluation, as well as the research conducted for this impact assessment, identified a</w:t>
      </w:r>
      <w:r>
        <w:t xml:space="preserve"> </w:t>
      </w:r>
      <w:r>
        <w:t xml:space="preserve">range of challenges in the application and particularly the enforcement of the Directive that act as</w:t>
      </w:r>
      <w:r>
        <w:t xml:space="preserve"> </w:t>
      </w:r>
      <w:r>
        <w:t xml:space="preserve">barriers to the full realisation of the EU single market for toys:</w:t>
      </w:r>
      <w:r>
        <w:t xml:space="preserve"> </w:t>
      </w:r>
      <w:r>
        <w:t xml:space="preserve">Differences across the EU: In some cases, Member States have gone beyond the requirements of</w:t>
      </w:r>
      <w:r>
        <w:t xml:space="preserve"> </w:t>
      </w:r>
      <w:r>
        <w:t xml:space="preserve">the TSD. The most prominent example is the 2011 application by Germany to maintain certain stricter</w:t>
      </w:r>
      <w:r>
        <w:t xml:space="preserve"> </w:t>
      </w:r>
      <w:r>
        <w:t xml:space="preserve">national provisions on chemicals, including nitrosamines and nitrosatable substances. In 2012, this</w:t>
      </w:r>
      <w:r>
        <w:t xml:space="preserve"> </w:t>
      </w:r>
      <w:r>
        <w:t xml:space="preserve">application was approved by the Commission.396 In addition, under the current TSD, changes can be</w:t>
      </w:r>
      <w:r>
        <w:t xml:space="preserve"> </w:t>
      </w:r>
      <w:r>
        <w:t xml:space="preserve">made to limit values, with some 17 changes having been made to the TSD since its adoption.</w:t>
      </w:r>
      <w:r>
        <w:t xml:space="preserve"> </w:t>
      </w:r>
      <w:r>
        <w:t xml:space="preserve">However, there have been delays in the transposition of the different amendments to the Directive.</w:t>
      </w:r>
      <w:r>
        <w:t xml:space="preserve"> </w:t>
      </w:r>
      <w:r>
        <w:t xml:space="preserve">The fact that the legal instrument covering toy safety is a Directive means that every amendment to</w:t>
      </w:r>
      <w:r>
        <w:t xml:space="preserve"> </w:t>
      </w:r>
      <w:r>
        <w:t xml:space="preserve">the text must be transposed by all Member States. Significant resources are spent to ensure the</w:t>
      </w:r>
      <w:r>
        <w:t xml:space="preserve"> </w:t>
      </w:r>
      <w:r>
        <w:t xml:space="preserve">transposition of amendments in a timely manner. The study underpinning the evaluation identified</w:t>
      </w:r>
      <w:r>
        <w:t xml:space="preserve"> </w:t>
      </w:r>
      <w:r>
        <w:t xml:space="preserve">that the transposition of amendments of the TSD was excessively burdensome and time consuming.</w:t>
      </w:r>
      <w:r>
        <w:br/>
      </w:r>
      <w:r>
        <w:t xml:space="preserve">Surveillance and enforcement challenges: Given market surveillance is the responsibility of the</w:t>
      </w:r>
      <w:r>
        <w:t xml:space="preserve"> </w:t>
      </w:r>
      <w:r>
        <w:t xml:space="preserve">Member States, the resources allocated, and the approaches taken to surveillance and enforcement</w:t>
      </w:r>
      <w:r>
        <w:t xml:space="preserve"> </w:t>
      </w:r>
      <w:r>
        <w:t xml:space="preserve">were found to differ across the EU based on the specific circumstances of each country. This included</w:t>
      </w:r>
      <w:r>
        <w:t xml:space="preserve"> </w:t>
      </w:r>
      <w:r>
        <w:t xml:space="preserve">differences in the number and type of control procedures implemented, differing, and in some cases</w:t>
      </w:r>
      <w:r>
        <w:t xml:space="preserve"> </w:t>
      </w:r>
      <w:r>
        <w:t xml:space="preserve">insufficient, financial means allocated, and differences in testing capabilities, including lack of</w:t>
      </w:r>
    </w:p>
    <w:p>
      <w:pPr>
        <w:pStyle w:val="BodyText"/>
      </w:pPr>
      <w:r>
        <w:t xml:space="preserve">396 Commission Decision 2012/160/EU. OJ L 80, 20.3.2012, p. 19.</w:t>
      </w:r>
    </w:p>
    <w:p>
      <w:pPr>
        <w:pStyle w:val="BodyText"/>
      </w:pPr>
      <w:r>
        <w:t xml:space="preserve">http://eur-lex.europa.eu/legal-content/EN/TXT/?qid=1495625630954&amp;uri=CELEX:32012D0160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203</w:t>
      </w:r>
      <w:r>
        <w:t xml:space="preserve"> </w:t>
      </w:r>
      <w:r>
        <w:t xml:space="preserve">EN</w:t>
      </w:r>
      <w:r>
        <w:t xml:space="preserve"> </w:t>
      </w:r>
      <w:r>
        <w:t xml:space="preserve">appropriate testing laboratories in some countries. As a result, the evaluation found that the</w:t>
      </w:r>
      <w:r>
        <w:t xml:space="preserve"> </w:t>
      </w:r>
      <w:r>
        <w:t xml:space="preserve">effectiveness of market surveillance can be considered as limited.</w:t>
      </w:r>
      <w:r>
        <w:t xml:space="preserve"> </w:t>
      </w:r>
      <w:r>
        <w:t xml:space="preserve">Beyond these challenges, the study supporting the evaluation highlighted key emerging market trends</w:t>
      </w:r>
      <w:r>
        <w:t xml:space="preserve"> </w:t>
      </w:r>
      <w:r>
        <w:t xml:space="preserve">that impact the functioning and effectiveness of the single market, as well as the safety of toys and</w:t>
      </w:r>
      <w:r>
        <w:t xml:space="preserve"> </w:t>
      </w:r>
      <w:r>
        <w:t xml:space="preserve">are thus important to consider within the baseline. These most prominently include an increase in</w:t>
      </w:r>
      <w:r>
        <w:t xml:space="preserve"> </w:t>
      </w:r>
      <w:r>
        <w:t xml:space="preserve">online sales of toys, which has caused both enforcement and traceability issues, as well as a reported</w:t>
      </w:r>
      <w:r>
        <w:t xml:space="preserve"> </w:t>
      </w:r>
      <w:r>
        <w:t xml:space="preserve">increase in counterfeit toys being placed on the EU market, bringing both product safety and IP risks.</w:t>
      </w:r>
      <w:r>
        <w:t xml:space="preserve"> </w:t>
      </w:r>
      <w:r>
        <w:t xml:space="preserve">Within this context, the evaluation noted the concerns of stakeholders that too many non-compliant</w:t>
      </w:r>
      <w:r>
        <w:t xml:space="preserve"> </w:t>
      </w:r>
      <w:r>
        <w:t xml:space="preserve">products were being placed on the EU single market, stating that this can impact market fairness.</w:t>
      </w:r>
      <w:r>
        <w:t xml:space="preserve"> </w:t>
      </w:r>
      <w:r>
        <w:t xml:space="preserve">Tackling this overarching challenge is a key policy objective for the possible revisions to the TSD.</w:t>
      </w:r>
      <w:r>
        <w:t xml:space="preserve"> </w:t>
      </w:r>
      <w:r>
        <w:t xml:space="preserve">One recent development that is important to note within the context of the baseline scenario is the</w:t>
      </w:r>
      <w:r>
        <w:t xml:space="preserve"> </w:t>
      </w:r>
      <w:r>
        <w:t xml:space="preserve">adoption of the Market Surveillance Regulation (EU) 2019/1020, which has applied since 16 July</w:t>
      </w:r>
      <w:r>
        <w:t xml:space="preserve"> </w:t>
      </w:r>
      <w:r>
        <w:t xml:space="preserve">2021. More specifically, the Regulation aims to address key surveillance and enforcement challenges,</w:t>
      </w:r>
      <w:r>
        <w:t xml:space="preserve"> </w:t>
      </w:r>
      <w:r>
        <w:t xml:space="preserve">including the challenges related to online sales and the role played by foreign manufacturers in the</w:t>
      </w:r>
      <w:r>
        <w:t xml:space="preserve"> </w:t>
      </w:r>
      <w:r>
        <w:t xml:space="preserve">market. Given its recent application, the effectiveness of these measures is yet to be evaluated;</w:t>
      </w:r>
      <w:r>
        <w:t xml:space="preserve"> </w:t>
      </w:r>
      <w:r>
        <w:t xml:space="preserve">however, the impacts on surveillance, and thus the functioning of the single market (including for</w:t>
      </w:r>
      <w:r>
        <w:t xml:space="preserve"> </w:t>
      </w:r>
      <w:r>
        <w:t xml:space="preserve">toys), are anticipated to be positive.</w:t>
      </w:r>
      <w:r>
        <w:t xml:space="preserve"> </w:t>
      </w:r>
      <w:r>
        <w:t xml:space="preserve">B) Policy options to strengthen the protection of children from harmful chemicals –</w:t>
      </w:r>
      <w:r>
        <w:t xml:space="preserve"> </w:t>
      </w:r>
      <w:r>
        <w:t xml:space="preserve">Overarching analysis</w:t>
      </w:r>
      <w:r>
        <w:t xml:space="preserve"> </w:t>
      </w:r>
      <w:r>
        <w:t xml:space="preserve">The proposed sub-options under PO1 aim to address problems of toy safety, rather than the</w:t>
      </w:r>
      <w:r>
        <w:t xml:space="preserve"> </w:t>
      </w:r>
      <w:r>
        <w:t xml:space="preserve">functioning and effectiveness of the single market. However, as detailed in the above discussion on</w:t>
      </w:r>
      <w:r>
        <w:t xml:space="preserve"> </w:t>
      </w:r>
      <w:r>
        <w:t xml:space="preserve">innovation and competitiveness, the introduction of further chemical restrictions through these policy</w:t>
      </w:r>
      <w:r>
        <w:t xml:space="preserve"> </w:t>
      </w:r>
      <w:r>
        <w:t xml:space="preserve">options could lead to the need for toy manufacturers to identify chemical substitutes for use in certain</w:t>
      </w:r>
      <w:r>
        <w:t xml:space="preserve"> </w:t>
      </w:r>
      <w:r>
        <w:t xml:space="preserve">toys.</w:t>
      </w:r>
      <w:r>
        <w:br/>
      </w:r>
      <w:r>
        <w:t xml:space="preserve">Any changes to the limit values would continue to be applicable across the whole EU to all economic</w:t>
      </w:r>
      <w:r>
        <w:t xml:space="preserve"> </w:t>
      </w:r>
      <w:r>
        <w:t xml:space="preserve">operators who would all be affected by the same set of changes to the limit values. However, there</w:t>
      </w:r>
      <w:r>
        <w:t xml:space="preserve"> </w:t>
      </w:r>
      <w:r>
        <w:t xml:space="preserve">could be some disbenefits for the single market if the limit values are set in a very stringent manner,</w:t>
      </w:r>
      <w:r>
        <w:t xml:space="preserve"> </w:t>
      </w:r>
      <w:r>
        <w:t xml:space="preserve">such that products would have to be withdrawn from the market, thus reducing consumer choice.</w:t>
      </w:r>
      <w:r>
        <w:t xml:space="preserve"> </w:t>
      </w:r>
      <w:r>
        <w:t xml:space="preserve">There would be some positive single market benefits by having a uniform approach across the EU to</w:t>
      </w:r>
      <w:r>
        <w:t xml:space="preserve"> </w:t>
      </w:r>
      <w:r>
        <w:t xml:space="preserve">meeting the limit values for nitrosamines and nitrosatable substances in line with the German and EN</w:t>
      </w:r>
      <w:r>
        <w:t xml:space="preserve"> </w:t>
      </w:r>
      <w:r>
        <w:t xml:space="preserve">standards.</w:t>
      </w:r>
      <w:r>
        <w:br/>
      </w:r>
      <w:r>
        <w:t xml:space="preserve">C) Policy options to reduce the number of non-compliant toys</w:t>
      </w:r>
      <w:r>
        <w:t xml:space="preserve"> </w:t>
      </w:r>
      <w:r>
        <w:t xml:space="preserve">The proposed sub-options under PO2 aim to address challenges related to the functioning and</w:t>
      </w:r>
      <w:r>
        <w:t xml:space="preserve"> </w:t>
      </w:r>
      <w:r>
        <w:t xml:space="preserve">effectiveness of the single market; namely, the existence of too many non-compliant toys on the</w:t>
      </w:r>
      <w:r>
        <w:t xml:space="preserve"> </w:t>
      </w:r>
      <w:r>
        <w:t xml:space="preserve">market. According to stakeholders across all relevant groups (e.g. industry, national authorities,</w:t>
      </w:r>
      <w:r>
        <w:t xml:space="preserve"> </w:t>
      </w:r>
      <w:r>
        <w:t xml:space="preserve">notified bodies etc.), this non-compliance is driven by products sold into Europe from economic</w:t>
      </w:r>
      <w:r>
        <w:t xml:space="preserve"> </w:t>
      </w:r>
      <w:r>
        <w:t xml:space="preserve">operators based outside the EU and facilitated by increased access to the EU market through online</w:t>
      </w:r>
      <w:r>
        <w:t xml:space="preserve"> </w:t>
      </w:r>
      <w:r>
        <w:t xml:space="preserve">platforms / marketplaces.</w:t>
      </w:r>
      <w:r>
        <w:t xml:space="preserve"> </w:t>
      </w:r>
      <w:r>
        <w:t xml:space="preserve">Although the SafetyGate alert data is not representative in this regard, due to the influence of differing</w:t>
      </w:r>
      <w:r>
        <w:t xml:space="preserve"> </w:t>
      </w:r>
      <w:r>
        <w:t xml:space="preserve">approaches and priorities of Member State market surveillance authorities, the data do suggest that</w:t>
      </w:r>
      <w:r>
        <w:t xml:space="preserve"> </w:t>
      </w:r>
      <w:r>
        <w:t xml:space="preserve">foreign-manufactured toys pose extensive safety and non-compliance problems. For instance, 85.6%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204</w:t>
      </w:r>
      <w:r>
        <w:t xml:space="preserve"> </w:t>
      </w:r>
      <w:r>
        <w:t xml:space="preserve">EN</w:t>
      </w:r>
      <w:r>
        <w:t xml:space="preserve"> </w:t>
      </w:r>
      <w:r>
        <w:t xml:space="preserve">of the toy-related alerts in the period 2016-2021 concern products originating in China (see full</w:t>
      </w:r>
      <w:r>
        <w:t xml:space="preserve"> </w:t>
      </w:r>
      <w:r>
        <w:t xml:space="preserve">analysis in Annex 11).</w:t>
      </w:r>
      <w:r>
        <w:t xml:space="preserve"> </w:t>
      </w:r>
      <w:r>
        <w:t xml:space="preserve">Moreover, the SafetyGate data suggests that non-compliance in relation to specific types of product</w:t>
      </w:r>
      <w:r>
        <w:t xml:space="preserve"> </w:t>
      </w:r>
      <w:r>
        <w:t xml:space="preserve">safety risk requires further attention within the TSD. In fact, over the period 2016-2021, the two most</w:t>
      </w:r>
      <w:r>
        <w:t xml:space="preserve"> </w:t>
      </w:r>
      <w:r>
        <w:t xml:space="preserve">common toy-related risks – by a large margin – were choking risks (1,507 alerts, 37.7%) and chemical</w:t>
      </w:r>
      <w:r>
        <w:t xml:space="preserve"> </w:t>
      </w:r>
      <w:r>
        <w:t xml:space="preserve">risks (1,404, 35.1%).</w:t>
      </w:r>
      <w:r>
        <w:t xml:space="preserve"> </w:t>
      </w:r>
      <w:r>
        <w:t xml:space="preserve">PO2a</w:t>
      </w:r>
      <w:r>
        <w:br/>
      </w:r>
      <w:r>
        <w:t xml:space="preserve">Policy option 2a seeks to extend the list of toys for which mandatory pre-marketing third party</w:t>
      </w:r>
      <w:r>
        <w:t xml:space="preserve"> </w:t>
      </w:r>
      <w:r>
        <w:t xml:space="preserve">conformity assessment is necessary. The logical mechanism for tackling the identified problem (i.e. </w:t>
      </w:r>
      <w:r>
        <w:t xml:space="preserve"> </w:t>
      </w:r>
      <w:r>
        <w:t xml:space="preserve">too many non-compliant toys on the market) is that, for certain products that pose a particularly high</w:t>
      </w:r>
      <w:r>
        <w:t xml:space="preserve"> </w:t>
      </w:r>
      <w:r>
        <w:t xml:space="preserve">safety and/or non-compliance risk, obliging manufacturers to independently test those products prior</w:t>
      </w:r>
      <w:r>
        <w:t xml:space="preserve"> </w:t>
      </w:r>
      <w:r>
        <w:t xml:space="preserve">to placement on the market will improve compliance rates for those product types. The product types</w:t>
      </w:r>
      <w:r>
        <w:t xml:space="preserve"> </w:t>
      </w:r>
      <w:r>
        <w:t xml:space="preserve">to would be subjected to mandatory 3rd party examination by a notified body under the policy option</w:t>
      </w:r>
      <w:r>
        <w:t xml:space="preserve"> </w:t>
      </w:r>
      <w:r>
        <w:t xml:space="preserve">and commentary on their relevance is now provided:</w:t>
      </w:r>
      <w:r>
        <w:t xml:space="preserve"> </w:t>
      </w:r>
      <w:r>
        <w:t xml:space="preserve"> Toys using chemicals mixtures or substances for which there are higher risks of</w:t>
      </w:r>
      <w:r>
        <w:t xml:space="preserve"> </w:t>
      </w:r>
      <w:r>
        <w:t xml:space="preserve">exposure – as highlighted by the abovementioned SafetyGate data, chemical-related risks are</w:t>
      </w:r>
      <w:r>
        <w:t xml:space="preserve"> </w:t>
      </w:r>
      <w:r>
        <w:t xml:space="preserve">among the most common reasons for safety and non-compliance issues in toys. As such, their</w:t>
      </w:r>
      <w:r>
        <w:t xml:space="preserve"> </w:t>
      </w:r>
      <w:r>
        <w:t xml:space="preserve">coverage through option 2a appears relevant.</w:t>
      </w:r>
      <w:r>
        <w:t xml:space="preserve"> </w:t>
      </w:r>
      <w:r>
        <w:t xml:space="preserve"> Toys marketed to under 36 months old or designed to be put in the mouth – as for</w:t>
      </w:r>
      <w:r>
        <w:t xml:space="preserve"> </w:t>
      </w:r>
      <w:r>
        <w:t xml:space="preserve">chemical risks, such toys have been found to be particularly challenging from a compliance</w:t>
      </w:r>
      <w:r>
        <w:t xml:space="preserve"> </w:t>
      </w:r>
      <w:r>
        <w:t xml:space="preserve">and safety standpoint. As highlighted in the SafetyGate data, choking (primarily on small</w:t>
      </w:r>
      <w:r>
        <w:t xml:space="preserve"> </w:t>
      </w:r>
      <w:r>
        <w:t xml:space="preserve">parts) is the most common safety risk identified and alerted by market surveillance authorities,</w:t>
      </w:r>
      <w:r>
        <w:t xml:space="preserve"> </w:t>
      </w:r>
      <w:r>
        <w:t xml:space="preserve">whilst the evaluation of the TSD noted that there is insufficient clarity regarding whether a</w:t>
      </w:r>
      <w:r>
        <w:t xml:space="preserve"> </w:t>
      </w:r>
      <w:r>
        <w:t xml:space="preserve">toy is marketed to children under 3 years or not. As such, their coverage within this policy</w:t>
      </w:r>
      <w:r>
        <w:t xml:space="preserve"> </w:t>
      </w:r>
      <w:r>
        <w:t xml:space="preserve">option appears relevant.</w:t>
      </w:r>
      <w:r>
        <w:t xml:space="preserve"> </w:t>
      </w:r>
      <w:r>
        <w:t xml:space="preserve">In terms of the functioning and effectiveness of the EU single market for toys, this policy option</w:t>
      </w:r>
      <w:r>
        <w:t xml:space="preserve"> </w:t>
      </w:r>
      <w:r>
        <w:t xml:space="preserve">could improve compliance levels and product safety within the above categories by ensuring</w:t>
      </w:r>
      <w:r>
        <w:t xml:space="preserve"> </w:t>
      </w:r>
      <w:r>
        <w:t xml:space="preserve">independent testing of these product types. Such an impact could benefit the single market by</w:t>
      </w:r>
      <w:r>
        <w:t xml:space="preserve"> </w:t>
      </w:r>
      <w:r>
        <w:t xml:space="preserve">improving consumer trust, stimulating market growth and improving market fairness for these</w:t>
      </w:r>
      <w:r>
        <w:t xml:space="preserve"> </w:t>
      </w:r>
      <w:r>
        <w:t xml:space="preserve">product types.</w:t>
      </w:r>
      <w:r>
        <w:t xml:space="preserve"> </w:t>
      </w:r>
      <w:r>
        <w:t xml:space="preserve">However, many stakeholders noted a dichotomy between compliant manufacturers, who already</w:t>
      </w:r>
      <w:r>
        <w:t xml:space="preserve"> </w:t>
      </w:r>
      <w:r>
        <w:t xml:space="preserve">undertake appropriate compliance checks and report limited instances of identified non-compliance,</w:t>
      </w:r>
      <w:r>
        <w:t xml:space="preserve"> </w:t>
      </w:r>
      <w:r>
        <w:t xml:space="preserve">and rogue economic operators, who place potentially non-compliant and unsafe products on the</w:t>
      </w:r>
      <w:r>
        <w:t xml:space="preserve"> </w:t>
      </w:r>
      <w:r>
        <w:t xml:space="preserve">market will little chance of being identified and punished.</w:t>
      </w:r>
      <w:r>
        <w:br/>
      </w:r>
      <w:r>
        <w:t xml:space="preserve">According to these stakeholders, this policy option would not improve the functioning of the single</w:t>
      </w:r>
      <w:r>
        <w:t xml:space="preserve"> </w:t>
      </w:r>
      <w:r>
        <w:t xml:space="preserve">market but would in fact negatively impact market fairness. The rationale being that compliant</w:t>
      </w:r>
      <w:r>
        <w:t xml:space="preserve"> </w:t>
      </w:r>
      <w:r>
        <w:t xml:space="preserve">manufacturers of these types of toys will bear the further costs (i.e. related to engaging a notified</w:t>
      </w:r>
      <w:r>
        <w:t xml:space="preserve"> </w:t>
      </w:r>
      <w:r>
        <w:t xml:space="preserve">body), while rogue traders, who it is assumed are responsible for the vast majority of non-compliant</w:t>
      </w:r>
      <w:r>
        <w:t xml:space="preserve"> </w:t>
      </w:r>
      <w:r>
        <w:t xml:space="preserve">and unsafe products placed on the market, will continue to operate in the market without fear of</w:t>
      </w:r>
      <w:r>
        <w:t xml:space="preserve"> </w:t>
      </w:r>
      <w:r>
        <w:t xml:space="preserve">punishment (e.g. by using fraudulent test certificates).</w:t>
      </w:r>
      <w:r>
        <w:t xml:space="preserve"> </w:t>
      </w:r>
      <w:r>
        <w:t xml:space="preserve">In this respect, these stakeholders note that the primary factor limiting the effective functioning of</w:t>
      </w:r>
      <w:r>
        <w:t xml:space="preserve"> </w:t>
      </w:r>
      <w:r>
        <w:t xml:space="preserve">the single market for toys is the lack of effective market surveillance, rather than any provisions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205</w:t>
      </w:r>
      <w:r>
        <w:t xml:space="preserve"> </w:t>
      </w:r>
      <w:r>
        <w:t xml:space="preserve">EN</w:t>
      </w:r>
      <w:r>
        <w:t xml:space="preserve"> </w:t>
      </w:r>
      <w:r>
        <w:t xml:space="preserve">within the TSD itself. Regulation 2019/1020 on market surveillance introduces measures aimed at</w:t>
      </w:r>
      <w:r>
        <w:t xml:space="preserve"> </w:t>
      </w:r>
      <w:r>
        <w:t xml:space="preserve">tackling online sales and foreign manufacturers; however, it is not yet known whether these measures</w:t>
      </w:r>
      <w:r>
        <w:t xml:space="preserve"> </w:t>
      </w:r>
      <w:r>
        <w:t xml:space="preserve">will have the desired impact on product compliance.</w:t>
      </w:r>
      <w:r>
        <w:t xml:space="preserve"> </w:t>
      </w:r>
      <w:r>
        <w:t xml:space="preserve">PO2b</w:t>
      </w:r>
      <w:r>
        <w:br/>
      </w:r>
      <w:r>
        <w:t xml:space="preserve">Policy option 2b aims to facilitate controls by market surveillance authorities through the introduction</w:t>
      </w:r>
      <w:r>
        <w:t xml:space="preserve"> </w:t>
      </w:r>
      <w:r>
        <w:t xml:space="preserve">of a digital product passport containing the EU declaration of conformity (DoC). This would provide</w:t>
      </w:r>
      <w:r>
        <w:t xml:space="preserve"> </w:t>
      </w:r>
      <w:r>
        <w:t xml:space="preserve">market surveillance authorities – with the support of customs authorities, who will verify the</w:t>
      </w:r>
      <w:r>
        <w:t xml:space="preserve"> </w:t>
      </w:r>
      <w:r>
        <w:t xml:space="preserve">existence of the DPP – with more efficient access to the key information on which to assess the</w:t>
      </w:r>
      <w:r>
        <w:t xml:space="preserve"> </w:t>
      </w:r>
      <w:r>
        <w:t xml:space="preserve">compliance of a toy product.</w:t>
      </w:r>
      <w:r>
        <w:t xml:space="preserve"> </w:t>
      </w:r>
      <w:r>
        <w:t xml:space="preserve">In practice, this improved access to information could enable market surveillance authorities to</w:t>
      </w:r>
      <w:r>
        <w:t xml:space="preserve"> </w:t>
      </w:r>
      <w:r>
        <w:t xml:space="preserve">conduct more checks over a given time-period and improve cross-border circulation of toys, both into</w:t>
      </w:r>
      <w:r>
        <w:t xml:space="preserve"> </w:t>
      </w:r>
      <w:r>
        <w:t xml:space="preserve">and within the EU. However, although the efficiency benefits for these stakeholders are clear, their</w:t>
      </w:r>
      <w:r>
        <w:t xml:space="preserve"> </w:t>
      </w:r>
      <w:r>
        <w:t xml:space="preserve">potential effectiveness in tackling the key problem of product non-compliance was questioned by</w:t>
      </w:r>
      <w:r>
        <w:t xml:space="preserve"> </w:t>
      </w:r>
      <w:r>
        <w:t xml:space="preserve">industry and market surveillance stakeholders.</w:t>
      </w:r>
      <w:r>
        <w:t xml:space="preserve"> </w:t>
      </w:r>
      <w:r>
        <w:t xml:space="preserve">PO2b would also have a beneficial impact on the level playing field as non-compliance with the</w:t>
      </w:r>
      <w:r>
        <w:t xml:space="preserve"> </w:t>
      </w:r>
      <w:r>
        <w:t xml:space="preserve">mandatory requirement to ensure that a toy is accompanied by a DPP could lead to customs</w:t>
      </w:r>
      <w:r>
        <w:t xml:space="preserve"> </w:t>
      </w:r>
      <w:r>
        <w:t xml:space="preserve">authorities preventing the free circulation of any product missing a DPP. Strengthening the</w:t>
      </w:r>
      <w:r>
        <w:t xml:space="preserve"> </w:t>
      </w:r>
      <w:r>
        <w:t xml:space="preserve">transparency of product compliance information through its inclusion in a DPP would make it easier</w:t>
      </w:r>
      <w:r>
        <w:t xml:space="preserve"> </w:t>
      </w:r>
      <w:r>
        <w:t xml:space="preserve">for market surveillance authorities to determine which products are non-compliant thereby improving</w:t>
      </w:r>
      <w:r>
        <w:t xml:space="preserve"> </w:t>
      </w:r>
      <w:r>
        <w:t xml:space="preserve">efficiency and allowing for higher volumes of checks.</w:t>
      </w:r>
      <w:r>
        <w:t xml:space="preserve"> </w:t>
      </w:r>
      <w:r>
        <w:t xml:space="preserve">Conversion to a Regulation</w:t>
      </w:r>
      <w:r>
        <w:t xml:space="preserve"> </w:t>
      </w:r>
      <w:r>
        <w:t xml:space="preserve">In addition to the above measures, the proposed conversion of the TSD to a Regulation would bring</w:t>
      </w:r>
      <w:r>
        <w:t xml:space="preserve"> </w:t>
      </w:r>
      <w:r>
        <w:t xml:space="preserve">single market benefits. As highlighted above, the evaluation of the TSD identified instances of</w:t>
      </w:r>
      <w:r>
        <w:t xml:space="preserve"> </w:t>
      </w:r>
      <w:r>
        <w:t xml:space="preserve">inconsistency in the transposition and application of the Directive by the Member States. Through its</w:t>
      </w:r>
      <w:r>
        <w:t xml:space="preserve"> </w:t>
      </w:r>
      <w:r>
        <w:t xml:space="preserve">direct application, the Regulation would remove the possibility for such inconsistencies, while also</w:t>
      </w:r>
      <w:r>
        <w:t xml:space="preserve"> </w:t>
      </w:r>
      <w:r>
        <w:t xml:space="preserve">freeing up the resources currently used by Member State authorities and the Commission to ensure</w:t>
      </w:r>
      <w:r>
        <w:t xml:space="preserve"> </w:t>
      </w:r>
      <w:r>
        <w:t xml:space="preserve">transposition and alignment. This could, for instance, allow for greater investment in market</w:t>
      </w:r>
      <w:r>
        <w:t xml:space="preserve"> </w:t>
      </w:r>
      <w:r>
        <w:t xml:space="preserve">surveillance and enforcement</w:t>
      </w:r>
      <w:r>
        <w:br/>
      </w:r>
      <w:r>
        <w:t xml:space="preserve">4.</w:t>
      </w:r>
      <w:r>
        <w:t xml:space="preserve"> </w:t>
      </w:r>
      <w:r>
        <w:t xml:space="preserve">SOCIAL IMPACTS: IMPACTS ON HUMAN HEALTH</w:t>
      </w:r>
      <w:r>
        <w:t xml:space="preserve"> </w:t>
      </w:r>
      <w:r>
        <w:t xml:space="preserve">Seeing that the main objective of the TSD is safeguarding the health of children in their use of toys</w:t>
      </w:r>
      <w:r>
        <w:t xml:space="preserve"> </w:t>
      </w:r>
      <w:r>
        <w:t xml:space="preserve">it is not surprising that the two main problems identified in the TSD evaluation of 2020 and this</w:t>
      </w:r>
      <w:r>
        <w:t xml:space="preserve"> </w:t>
      </w:r>
      <w:r>
        <w:t xml:space="preserve">impact assessment are also very much linked to potential risks for human health.</w:t>
      </w:r>
      <w:r>
        <w:br/>
      </w:r>
      <w:r>
        <w:t xml:space="preserve"> Scientific evidence on human health risks is constantly evolving and the TSD needs to keep</w:t>
      </w:r>
      <w:r>
        <w:t xml:space="preserve"> </w:t>
      </w:r>
      <w:r>
        <w:t xml:space="preserve">pace with the available knowledge on human health risks of substances used for toys.</w:t>
      </w:r>
      <w:r>
        <w:t xml:space="preserve"> </w:t>
      </w:r>
      <w:r>
        <w:t xml:space="preserve"> Too many toys in the market are not complying with the TSD provisions and some of them</w:t>
      </w:r>
      <w:r>
        <w:t xml:space="preserve"> </w:t>
      </w:r>
      <w:r>
        <w:t xml:space="preserve">pose an additional risk to children’s health due to this non-compliance.</w:t>
      </w:r>
      <w:r>
        <w:br/>
      </w:r>
      <w:r>
        <w:t xml:space="preserve">The impact assessment considers the following human health impacts to be the most relevant for the</w:t>
      </w:r>
      <w:r>
        <w:t xml:space="preserve"> </w:t>
      </w:r>
      <w:r>
        <w:t xml:space="preserve">proposed policy options.</w:t>
      </w:r>
      <w:r>
        <w:br/>
      </w:r>
      <w:r>
        <w:t xml:space="preserve">A) Baseline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206</w:t>
      </w:r>
      <w:r>
        <w:t xml:space="preserve"> </w:t>
      </w:r>
      <w:r>
        <w:t xml:space="preserve">EN</w:t>
      </w:r>
      <w:r>
        <w:t xml:space="preserve"> </w:t>
      </w:r>
      <w:r>
        <w:t xml:space="preserve">The current problems identified in the protection of health of children will remain. The evaluation,</w:t>
      </w:r>
      <w:r>
        <w:t xml:space="preserve"> </w:t>
      </w:r>
      <w:r>
        <w:t xml:space="preserve">stakeholders and the literature have identified several safety concerns from dangerous substances for</w:t>
      </w:r>
      <w:r>
        <w:t xml:space="preserve"> </w:t>
      </w:r>
      <w:r>
        <w:t xml:space="preserve">children when using toys. Without a quick and regular update of substances and limit values these</w:t>
      </w:r>
      <w:r>
        <w:t xml:space="preserve"> </w:t>
      </w:r>
      <w:r>
        <w:t xml:space="preserve">concerns will increase over time.</w:t>
      </w:r>
      <w:r>
        <w:br/>
      </w:r>
      <w:r>
        <w:t xml:space="preserve">There is also significant evidence of remaining human health challenges caused by chemical hazards</w:t>
      </w:r>
      <w:r>
        <w:t xml:space="preserve"> </w:t>
      </w:r>
      <w:r>
        <w:t xml:space="preserve">despite the existing regulatory frameworks and a significant number of them relate to illnesses and</w:t>
      </w:r>
      <w:r>
        <w:t xml:space="preserve"> </w:t>
      </w:r>
      <w:r>
        <w:t xml:space="preserve">risk for children too. A study397 from 2017 listed the following relevant human health impacts:</w:t>
      </w:r>
      <w:r>
        <w:br/>
      </w:r>
      <w:r>
        <w:t xml:space="preserve"> The costs of childhood asthma were estimated to be approximately EUR 1.6 billion per year.</w:t>
      </w:r>
      <w:r>
        <w:t xml:space="preserve"> </w:t>
      </w:r>
      <w:r>
        <w:t xml:space="preserve">This is linked to the respiratory hazard class.</w:t>
      </w:r>
      <w:r>
        <w:br/>
      </w:r>
      <w:r>
        <w:t xml:space="preserve"> 30,000 DALYs per year are estimated to be potentially caused by chemical exposure.</w:t>
      </w:r>
      <w:r>
        <w:br/>
      </w:r>
      <w:r>
        <w:t xml:space="preserve"> Exposure to endocrine Disruptors are linked with several illnesses linked to children like</w:t>
      </w:r>
      <w:r>
        <w:t xml:space="preserve"> </w:t>
      </w:r>
      <w:r>
        <w:t xml:space="preserve">childhood obesity and diabetes, autism and ADS. The costs of that are conservatively</w:t>
      </w:r>
      <w:r>
        <w:t xml:space="preserve"> </w:t>
      </w:r>
      <w:r>
        <w:t xml:space="preserve">estimated to be between EUR 8-29 billion a year.</w:t>
      </w:r>
      <w:r>
        <w:br/>
      </w:r>
      <w:r>
        <w:t xml:space="preserve">Establishing with precision the quantitatively exposure to harmful chemicals via toys is not possible</w:t>
      </w:r>
      <w:r>
        <w:t xml:space="preserve"> </w:t>
      </w:r>
      <w:r>
        <w:t xml:space="preserve">as children are exposed to chemicals in many other ways. However, seeing the time that children</w:t>
      </w:r>
      <w:r>
        <w:t xml:space="preserve"> </w:t>
      </w:r>
      <w:r>
        <w:t xml:space="preserve">spend with their toys every day it is likely that an important part of the exposure happens through</w:t>
      </w:r>
      <w:r>
        <w:t xml:space="preserve"> </w:t>
      </w:r>
      <w:r>
        <w:t xml:space="preserve">them. For example in terms of metals, the main source of exposure of children is via the diet.</w:t>
      </w:r>
      <w:r>
        <w:t xml:space="preserve"> </w:t>
      </w:r>
      <w:r>
        <w:t xml:space="preserve">Ingestion of metals through chewing toys will be an additional source. Under these circumstances</w:t>
      </w:r>
      <w:r>
        <w:t xml:space="preserve"> </w:t>
      </w:r>
      <w:r>
        <w:t xml:space="preserve">the Scientific Committee (CSTEE, predecessor of SCHEER) recommended that the current</w:t>
      </w:r>
      <w:r>
        <w:t xml:space="preserve"> </w:t>
      </w:r>
      <w:r>
        <w:t xml:space="preserve">maximum tolerable intakes or limit values for food should be used and 10% allowed as a maximum</w:t>
      </w:r>
      <w:r>
        <w:t xml:space="preserve"> </w:t>
      </w:r>
      <w:r>
        <w:t xml:space="preserve">contribution from toys398. In practice, the limit values for other chemicals in the TSD are set at 10%</w:t>
      </w:r>
      <w:r>
        <w:t xml:space="preserve"> </w:t>
      </w:r>
      <w:r>
        <w:t xml:space="preserve">of the tolerable daily intake set by the European Food Safety Agency (see for example the</w:t>
      </w:r>
      <w:r>
        <w:t xml:space="preserve"> </w:t>
      </w:r>
      <w:r>
        <w:t xml:space="preserve">amendments to the TSD setting limit values for BPA) and for particularly toxic substances, at half of</w:t>
      </w:r>
      <w:r>
        <w:t xml:space="preserve"> </w:t>
      </w:r>
      <w:r>
        <w:t xml:space="preserve">that level (5%) (see recital 22 of the TSD).</w:t>
      </w:r>
      <w:r>
        <w:br/>
      </w:r>
      <w:r>
        <w:t xml:space="preserve">B) Policy options to strengthen the protection of children from harmful chemicals - PO1a</w:t>
      </w:r>
      <w:r>
        <w:t xml:space="preserve"> </w:t>
      </w:r>
      <w:r>
        <w:t xml:space="preserve">Lower limit values for nitrosamines and nitrosatable substances will align the limit values with other</w:t>
      </w:r>
      <w:r>
        <w:t xml:space="preserve"> </w:t>
      </w:r>
      <w:r>
        <w:t xml:space="preserve">products relevant for children using similar substances (e.g. dummies). This could improve the safety</w:t>
      </w:r>
      <w:r>
        <w:t xml:space="preserve"> </w:t>
      </w:r>
      <w:r>
        <w:t xml:space="preserve">especially of balloons and similar toys.</w:t>
      </w:r>
      <w:r>
        <w:t xml:space="preserve"> </w:t>
      </w:r>
      <w:r>
        <w:t xml:space="preserve">Many respondents also agreed with the need to amend the TSD to enable the Commission to introduce</w:t>
      </w:r>
      <w:r>
        <w:t xml:space="preserve"> </w:t>
      </w:r>
      <w:r>
        <w:t xml:space="preserve">and change these limit values for all toys as scientific evidence evolves. Several examples were</w:t>
      </w:r>
      <w:r>
        <w:t xml:space="preserve"> </w:t>
      </w:r>
      <w:r>
        <w:t xml:space="preserve">mentioned, where limit values for chemicals in toys for children above three years are necessary, e.g. </w:t>
      </w:r>
      <w:r>
        <w:t xml:space="preserve"> </w:t>
      </w:r>
      <w:r>
        <w:t xml:space="preserve">preservatives and emission of volatile organic chemicals (VOCs). Most authorities therefore assessed</w:t>
      </w:r>
      <w:r>
        <w:t xml:space="preserve"> </w:t>
      </w:r>
      <w:r>
        <w:t xml:space="preserve">that a modest increase in safety is likely if those limit values were introduced. At the same time, some</w:t>
      </w:r>
      <w:r>
        <w:t xml:space="preserve"> </w:t>
      </w:r>
      <w:r>
        <w:t xml:space="preserve">authorities thought this solution would not their perceived challenge of regulatory processes being</w:t>
      </w:r>
      <w:r>
        <w:t xml:space="preserve"> </w:t>
      </w:r>
      <w:r>
        <w:t xml:space="preserve">too slow and that it would take too long to reach the protection goals. There have been severe delays</w:t>
      </w:r>
      <w:r>
        <w:t xml:space="preserve"> </w:t>
      </w:r>
      <w:r>
        <w:t xml:space="preserve">in updating annexes, as well as an inability in addressing emerging risks under the Toy Safety</w:t>
      </w:r>
      <w:r>
        <w:t xml:space="preserve"> </w:t>
      </w:r>
      <w:r>
        <w:t xml:space="preserve">Directive as mentioned in a joint letter of several ministers to the Commissioner in 2019399. Some</w:t>
      </w:r>
      <w:r>
        <w:t xml:space="preserve"> </w:t>
      </w:r>
      <w:r>
        <w:t xml:space="preserve">commentators therefore suggested to limit the annex to a reduced number of the most hazardous</w:t>
      </w:r>
    </w:p>
    <w:p>
      <w:pPr>
        <w:pStyle w:val="BodyText"/>
      </w:pPr>
      <w:r>
        <w:t xml:space="preserve">397 Study on the cumulative health and environmental benefits of chemical legislation, 2017.</w:t>
      </w:r>
      <w:r>
        <w:t xml:space="preserve"> </w:t>
      </w:r>
      <w:r>
        <w:t xml:space="preserve">398 Opinion of the Scientific Committee on Toxicity, Ecotoxicity and the Environment (CSTEE) on “Assessment of the</w:t>
      </w:r>
      <w:r>
        <w:t xml:space="preserve"> </w:t>
      </w:r>
      <w:r>
        <w:t xml:space="preserve">bioavailability of certain elements in toys”, June 2004, Opinion on bioavailability of certain elements in toys, CSTEE</w:t>
      </w:r>
      <w:r>
        <w:t xml:space="preserve"> </w:t>
      </w:r>
      <w:r>
        <w:t xml:space="preserve">plenary, written procedure (europa.eu)</w:t>
      </w:r>
      <w:r>
        <w:t xml:space="preserve"> </w:t>
      </w:r>
      <w:r>
        <w:t xml:space="preserve">399 Evaluation of the toy safety Directive 2019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207</w:t>
      </w:r>
      <w:r>
        <w:t xml:space="preserve"> </w:t>
      </w:r>
      <w:r>
        <w:t xml:space="preserve">EN</w:t>
      </w:r>
      <w:r>
        <w:t xml:space="preserve"> </w:t>
      </w:r>
      <w:r>
        <w:t xml:space="preserve">substances. In their view, the Commission would never have the time and resources to go through</w:t>
      </w:r>
      <w:r>
        <w:t xml:space="preserve"> </w:t>
      </w:r>
      <w:r>
        <w:t xml:space="preserve">the full list of substances, which is why they support an umbrella solution limited to 40 or less specific</w:t>
      </w:r>
      <w:r>
        <w:t xml:space="preserve"> </w:t>
      </w:r>
      <w:r>
        <w:t xml:space="preserve">items as opposed to thousands of substances.</w:t>
      </w:r>
      <w:r>
        <w:t xml:space="preserve"> </w:t>
      </w:r>
      <w:r>
        <w:t xml:space="preserve">Combination Effects: Not many interviewees had an opinion on the human health impacts of</w:t>
      </w:r>
      <w:r>
        <w:t xml:space="preserve"> </w:t>
      </w:r>
      <w:r>
        <w:t xml:space="preserve">combination effects. One interviewee though argued that an inclusion would increase safety, as</w:t>
      </w:r>
      <w:r>
        <w:t xml:space="preserve"> </w:t>
      </w:r>
      <w:r>
        <w:t xml:space="preserve">children are exposed to other chemicals with the same mode of action from other toys and other</w:t>
      </w:r>
      <w:r>
        <w:t xml:space="preserve"> </w:t>
      </w:r>
      <w:r>
        <w:t xml:space="preserve">products and this exposure is not taken into account today.</w:t>
      </w:r>
      <w:r>
        <w:t xml:space="preserve"> </w:t>
      </w:r>
      <w:r>
        <w:t xml:space="preserve">There is by now a significant body of evidence400 on the human health impacts of mixtures. For many</w:t>
      </w:r>
      <w:r>
        <w:t xml:space="preserve"> </w:t>
      </w:r>
      <w:r>
        <w:t xml:space="preserve">mixtures the assessment by the risks of the single substances is appropriate as their combined risk</w:t>
      </w:r>
      <w:r>
        <w:t xml:space="preserve"> </w:t>
      </w:r>
      <w:r>
        <w:t xml:space="preserve">levels are lower or equal to the additions of the risk of the single substances. But in some cases, the</w:t>
      </w:r>
      <w:r>
        <w:t xml:space="preserve"> </w:t>
      </w:r>
      <w:r>
        <w:t xml:space="preserve">combined risk level can be higher and currently the TSD has no legal provisions to take account of</w:t>
      </w:r>
      <w:r>
        <w:t xml:space="preserve"> </w:t>
      </w:r>
      <w:r>
        <w:t xml:space="preserve">those cases where the assessment of single substances leaves a significant risk factor out.</w:t>
      </w:r>
      <w:r>
        <w:br/>
      </w:r>
      <w:r>
        <w:t xml:space="preserve">PO1b</w:t>
      </w:r>
      <w:r>
        <w:t xml:space="preserve"> </w:t>
      </w:r>
      <w:r>
        <w:t xml:space="preserve">The human health impacts of an extension of the GRA and the end of existing derogations on CRM</w:t>
      </w:r>
      <w:r>
        <w:t xml:space="preserve"> </w:t>
      </w:r>
      <w:r>
        <w:t xml:space="preserve">substances would bring overall a positive impact on human health but the scale of this benefit was</w:t>
      </w:r>
      <w:r>
        <w:t xml:space="preserve"> </w:t>
      </w:r>
      <w:r>
        <w:t xml:space="preserve">controversially discussed by stakeholders.</w:t>
      </w:r>
      <w:r>
        <w:br/>
      </w:r>
      <w:r>
        <w:t xml:space="preserve">Currently the extension of the GRA approach is also discussed in the review of the REACH</w:t>
      </w:r>
      <w:r>
        <w:t xml:space="preserve"> </w:t>
      </w:r>
      <w:r>
        <w:t xml:space="preserve">regulation. A use mapping was conducted in that Impact Assessment on the basis of the ECHA</w:t>
      </w:r>
      <w:r>
        <w:t xml:space="preserve"> </w:t>
      </w:r>
      <w:r>
        <w:t xml:space="preserve">registration dossiers. For the most relevant product categories an assessment on the number of</w:t>
      </w:r>
      <w:r>
        <w:t xml:space="preserve"> </w:t>
      </w:r>
      <w:r>
        <w:t xml:space="preserve">substances that would fall under specific hazard classes was developed. The results for 3 product</w:t>
      </w:r>
      <w:r>
        <w:t xml:space="preserve"> </w:t>
      </w:r>
      <w:r>
        <w:t xml:space="preserve">categories particularly relevant for toys: PC 32: Polymers, PC9a: Finger paints and PC9c: Plasters</w:t>
      </w:r>
      <w:r>
        <w:t xml:space="preserve"> </w:t>
      </w:r>
      <w:r>
        <w:t xml:space="preserve">and modelling clay have been considered. It is quite clear that many substances counted under this</w:t>
      </w:r>
      <w:r>
        <w:t xml:space="preserve"> </w:t>
      </w:r>
      <w:r>
        <w:t xml:space="preserve">will not be used in toys but seeing the variety of toys and the polymer compounds used in them it is</w:t>
      </w:r>
      <w:r>
        <w:t xml:space="preserve"> </w:t>
      </w:r>
      <w:r>
        <w:t xml:space="preserve">nonetheless a good approximation to understand the scale of the challenge. Another caveat is that the</w:t>
      </w:r>
      <w:r>
        <w:t xml:space="preserve"> </w:t>
      </w:r>
      <w:r>
        <w:t xml:space="preserve">analysis eliminated as far as possible the overlap to substances already covered. But as the TSD and</w:t>
      </w:r>
      <w:r>
        <w:t xml:space="preserve"> </w:t>
      </w:r>
      <w:r>
        <w:t xml:space="preserve">REACH do not have the same scope this might mean that some substances relevant for the TSD were</w:t>
      </w:r>
      <w:r>
        <w:t xml:space="preserve"> </w:t>
      </w:r>
      <w:r>
        <w:t xml:space="preserve">eliminated while others should have been eliminated (as already banned in the TSD) but were not.</w:t>
      </w:r>
      <w:r>
        <w:t xml:space="preserve"> </w:t>
      </w:r>
      <w:r>
        <w:t xml:space="preserve">An extension to all the hazard classes for the most harmful chemicals (EDs, respiratory sensitizers,</w:t>
      </w:r>
      <w:r>
        <w:t xml:space="preserve"> </w:t>
      </w:r>
      <w:r>
        <w:t xml:space="preserve">immunotoxic and neurotoxic substances (currently under STOT) would mean that the number of</w:t>
      </w:r>
      <w:r>
        <w:t xml:space="preserve"> </w:t>
      </w:r>
      <w:r>
        <w:t xml:space="preserve">substances covered might increase by about 10-30%401. That has of course implications for the costs</w:t>
      </w:r>
      <w:r>
        <w:t xml:space="preserve"> </w:t>
      </w:r>
      <w:r>
        <w:t xml:space="preserve">of substitution, the cost of regulation and the human health and environmental impacts.</w:t>
      </w:r>
      <w:r>
        <w:br/>
      </w:r>
      <w:r>
        <w:t xml:space="preserve">The evidence on existing chemical risks (although not directly linked to toys) on especially children’s</w:t>
      </w:r>
      <w:r>
        <w:t xml:space="preserve"> </w:t>
      </w:r>
      <w:r>
        <w:t xml:space="preserve">illnesses shows that especially the ban of endocrine disruptors and substances affecting the</w:t>
      </w:r>
      <w:r>
        <w:t xml:space="preserve"> </w:t>
      </w:r>
      <w:r>
        <w:t xml:space="preserve">respiratory systems could be very relevant for toys. A significant amount of research has been</w:t>
      </w:r>
      <w:r>
        <w:t xml:space="preserve"> </w:t>
      </w:r>
      <w:r>
        <w:t xml:space="preserve">conducted on the risks for human health of endocrine disruptors, immunotoxic, neurotoxic, STOTs</w:t>
      </w:r>
      <w:r>
        <w:t xml:space="preserve"> </w:t>
      </w:r>
      <w:r>
        <w:t xml:space="preserve">and substances affecting the respiratory systems. Recent studies402 have revealed alarming levels of</w:t>
      </w:r>
      <w:r>
        <w:t xml:space="preserve"> </w:t>
      </w:r>
      <w:r>
        <w:t xml:space="preserve">cadmium and lead in products intended for children and compounds in plastics, such as phthalates</w:t>
      </w:r>
      <w:r>
        <w:t xml:space="preserve"> </w:t>
      </w:r>
      <w:r>
        <w:t xml:space="preserve">and bisphenol A, that are suspected of harmful effects. Especially the risks of endocrine disruptors</w:t>
      </w:r>
      <w:r>
        <w:t xml:space="preserve"> </w:t>
      </w:r>
      <w:r>
        <w:t xml:space="preserve">for children are set out in recent literature403. Given their capacity to mimic, obstruct and block natural</w:t>
      </w:r>
      <w:r>
        <w:t xml:space="preserve"> </w:t>
      </w:r>
      <w:r>
        <w:t xml:space="preserve">hormones, exposure to even tiny amounts of EDs may result in severe and irreversible effects on</w:t>
      </w:r>
      <w:r>
        <w:t xml:space="preserve"> </w:t>
      </w:r>
      <w:r>
        <w:t xml:space="preserve">human health, such as infertility, cancers, genital malformations, IQ loss or obesity. Other</w:t>
      </w:r>
    </w:p>
    <w:p>
      <w:pPr>
        <w:pStyle w:val="BodyText"/>
      </w:pPr>
      <w:r>
        <w:t xml:space="preserve">400 https://ec.europa.eu/environment/pdf/chemicals/2020/10/SWD_mixtures.pdf</w:t>
      </w:r>
      <w:r>
        <w:br/>
      </w:r>
      <w:r>
        <w:t xml:space="preserve">401 See annex 10.D for the precise estimates.</w:t>
      </w:r>
      <w:r>
        <w:t xml:space="preserve"> </w:t>
      </w:r>
      <w:r>
        <w:t xml:space="preserve">402 https://pubs.acs.org/doi/10.1021/es1009407</w:t>
      </w:r>
      <w:r>
        <w:br/>
      </w:r>
      <w:r>
        <w:t xml:space="preserve">403 https://www.beuc.eu/publications/beuc-x-2020-004_endocrine_disruptors.pdf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208</w:t>
      </w:r>
      <w:r>
        <w:t xml:space="preserve"> </w:t>
      </w:r>
      <w:r>
        <w:t xml:space="preserve">EN</w:t>
      </w:r>
      <w:r>
        <w:t xml:space="preserve"> </w:t>
      </w:r>
      <w:r>
        <w:t xml:space="preserve">literature404 showed that the exposure of children especially by mouthing to endocrine disruptors does</w:t>
      </w:r>
      <w:r>
        <w:t xml:space="preserve"> </w:t>
      </w:r>
      <w:r>
        <w:t xml:space="preserve">surpass safe levels in a very significant number of cases. A special focus of the research405 has been</w:t>
      </w:r>
      <w:r>
        <w:t xml:space="preserve"> </w:t>
      </w:r>
      <w:r>
        <w:t xml:space="preserve">the impact of phthalates and Bisphenol A in plastic applications.</w:t>
      </w:r>
      <w:r>
        <w:t xml:space="preserve"> </w:t>
      </w:r>
      <w:r>
        <w:t xml:space="preserve">The findings of the baseline show that especially two hazard classes might be most important for the</w:t>
      </w:r>
      <w:r>
        <w:t xml:space="preserve"> </w:t>
      </w:r>
      <w:r>
        <w:t xml:space="preserve">Toy sector. Due to the closer link of endocrine disruptors and substances affecting the respiratory</w:t>
      </w:r>
      <w:r>
        <w:t xml:space="preserve"> </w:t>
      </w:r>
      <w:r>
        <w:t xml:space="preserve">systems tor childhood diseases these hazard classes can be seen as the most urgent to be included in</w:t>
      </w:r>
      <w:r>
        <w:t xml:space="preserve"> </w:t>
      </w:r>
      <w:r>
        <w:t xml:space="preserve">the GRA.</w:t>
      </w:r>
      <w:r>
        <w:br/>
      </w:r>
      <w:r>
        <w:t xml:space="preserve">The not yet published impact assessment for the REACH revision on an extension of the GRA</w:t>
      </w:r>
      <w:r>
        <w:t xml:space="preserve"> </w:t>
      </w:r>
      <w:r>
        <w:t xml:space="preserve">approach provides some interesting estimates on the impact of a generic ban on endocrine disruptors.</w:t>
      </w:r>
      <w:r>
        <w:t xml:space="preserve"> </w:t>
      </w:r>
      <w:r>
        <w:t xml:space="preserve">The assessment of different health outcomes linked to endocrine disruptors in that IA brought the</w:t>
      </w:r>
      <w:r>
        <w:t xml:space="preserve"> </w:t>
      </w:r>
      <w:r>
        <w:t xml:space="preserve">following results. Overall 11 health outcomes were identified, where a statistical relationship with</w:t>
      </w:r>
      <w:r>
        <w:t xml:space="preserve"> </w:t>
      </w:r>
      <w:r>
        <w:t xml:space="preserve">the exposure to endocrine disruptors can be established (Very low birth weight, Intellectual</w:t>
      </w:r>
      <w:r>
        <w:t xml:space="preserve"> </w:t>
      </w:r>
      <w:r>
        <w:t xml:space="preserve">disabilities, Childhood obesity, Male infertility, Cryptorchidism, Hypospadias, Testicular cancer,</w:t>
      </w:r>
      <w:r>
        <w:t xml:space="preserve"> </w:t>
      </w:r>
      <w:r>
        <w:t xml:space="preserve">Autism Spectrum Disorder, ADHD in children and adolescents, ADHD in adults, Diabetes) . For</w:t>
      </w:r>
      <w:r>
        <w:t xml:space="preserve"> </w:t>
      </w:r>
      <w:r>
        <w:t xml:space="preserve">those 11 health outcomes information on the prevalence , the costs per case and the PAF (Prevalence</w:t>
      </w:r>
      <w:r>
        <w:t xml:space="preserve"> </w:t>
      </w:r>
      <w:r>
        <w:t xml:space="preserve">attributable Fraction) were available. For the attributable fraction the evidence was much less robust</w:t>
      </w:r>
      <w:r>
        <w:t xml:space="preserve"> </w:t>
      </w:r>
      <w:r>
        <w:t xml:space="preserve">and therefore estimates of 1%, 2.5% and 10% were used.</w:t>
      </w:r>
      <w:r>
        <w:br/>
      </w:r>
      <w:r>
        <w:t xml:space="preserve">The estimates show that exposure to endocrine disruptors causes very significant health effects that</w:t>
      </w:r>
      <w:r>
        <w:t xml:space="preserve"> </w:t>
      </w:r>
      <w:r>
        <w:t xml:space="preserve">can be estimated on the basis of these 11 identified health outcomes to be at around 24 billion EUR</w:t>
      </w:r>
      <w:r>
        <w:t xml:space="preserve"> </w:t>
      </w:r>
      <w:r>
        <w:t xml:space="preserve">per year). It is important to note that this annual benefit will be only reached after a very long time</w:t>
      </w:r>
      <w:r>
        <w:t xml:space="preserve"> </w:t>
      </w:r>
      <w:r>
        <w:t xml:space="preserve">span as many of the avoided negative health outcomes will only not materialise in 50 years or more.</w:t>
      </w:r>
      <w:r>
        <w:t xml:space="preserve"> </w:t>
      </w:r>
      <w:r>
        <w:t xml:space="preserve">This is especially true for endocrine disruptors and children where the costs of infertility or diabetes</w:t>
      </w:r>
      <w:r>
        <w:t xml:space="preserve"> </w:t>
      </w:r>
      <w:r>
        <w:t xml:space="preserve">will show only many years after the exposure to EDs. So even a 20 year or even 30 year assessment</w:t>
      </w:r>
      <w:r>
        <w:t xml:space="preserve"> </w:t>
      </w:r>
      <w:r>
        <w:t xml:space="preserve">period will not capture many of those benefits. On the other hand the costs for toy companies will</w:t>
      </w:r>
      <w:r>
        <w:t xml:space="preserve"> </w:t>
      </w:r>
      <w:r>
        <w:t xml:space="preserve">happen in the very near future.</w:t>
      </w:r>
      <w:r>
        <w:br/>
      </w:r>
      <w:r>
        <w:t xml:space="preserve">As explained above only a part of this exposure is linked to toys. The evidence on the share of</w:t>
      </w:r>
      <w:r>
        <w:t xml:space="preserve"> </w:t>
      </w:r>
      <w:r>
        <w:t xml:space="preserve">exposure that is linked to toys is missing. On the one hand the type of adverse health outcomes are</w:t>
      </w:r>
      <w:r>
        <w:t xml:space="preserve"> </w:t>
      </w:r>
      <w:r>
        <w:t xml:space="preserve">especially relevant to be avoided in children as they are linked to chronic illnesses like Diabetes or</w:t>
      </w:r>
      <w:r>
        <w:t xml:space="preserve"> </w:t>
      </w:r>
      <w:r>
        <w:t xml:space="preserve">infertility. On the other hand children are only a smaller part of the population so many of the</w:t>
      </w:r>
      <w:r>
        <w:t xml:space="preserve"> </w:t>
      </w:r>
      <w:r>
        <w:t xml:space="preserve">damages described above are happening to the adult population not much affected by toy legislation,</w:t>
      </w:r>
      <w:r>
        <w:t xml:space="preserve"> </w:t>
      </w:r>
      <w:r>
        <w:t xml:space="preserve">but exposure to such substances at a young age can lead to such health problems. But certainly seeing</w:t>
      </w:r>
      <w:r>
        <w:t xml:space="preserve"> </w:t>
      </w:r>
      <w:r>
        <w:t xml:space="preserve">the amount of time children spend with their toys and especially in young age how closely they</w:t>
      </w:r>
      <w:r>
        <w:t xml:space="preserve"> </w:t>
      </w:r>
      <w:r>
        <w:t xml:space="preserve">interact with them may suggest that the fraction is not trivial. First of all, the specific limit values in</w:t>
      </w:r>
      <w:r>
        <w:t xml:space="preserve"> </w:t>
      </w:r>
      <w:r>
        <w:t xml:space="preserve">the current TSD are based on the fact that toys should only contribute to 10% of tolerable daily intakes</w:t>
      </w:r>
      <w:r>
        <w:t xml:space="preserve"> </w:t>
      </w:r>
      <w:r>
        <w:t xml:space="preserve">of harmful chemicals, and 5% for particularly toxic metals406. Furthermore, the limit values were also</w:t>
      </w:r>
      <w:r>
        <w:t xml:space="preserve"> </w:t>
      </w:r>
      <w:r>
        <w:t xml:space="preserve">based on the assumption that a child would ingest per day 100 mg of dry, brittle, powder-like or</w:t>
      </w:r>
      <w:r>
        <w:t xml:space="preserve"> </w:t>
      </w:r>
      <w:r>
        <w:t xml:space="preserve">pliable toy material, 400 mg of liquid or sticky toy material, and 8 mg of scraped-off toy material.</w:t>
      </w:r>
    </w:p>
    <w:p>
      <w:pPr>
        <w:pStyle w:val="BodyText"/>
      </w:pPr>
      <w:r>
        <w:t xml:space="preserve">404</w:t>
      </w:r>
      <w:r>
        <w:t xml:space="preserve"> </w:t>
      </w:r>
      <w:r>
        <w:t xml:space="preserve">https://journals.plos.org/plosone/article?id=10.1371/journal.pone.0231171</w:t>
      </w:r>
      <w:r>
        <w:t xml:space="preserve"> </w:t>
      </w:r>
      <w:r>
        <w:t xml:space="preserve">and</w:t>
      </w:r>
      <w:r>
        <w:t xml:space="preserve"> </w:t>
      </w:r>
      <w:r>
        <w:t xml:space="preserve">https://link.springer.com/article/10.1007/s11356-016-7616-y and https://sdg.iisd.org/news/harmful-chemicals-found-in-</w:t>
      </w:r>
      <w:r>
        <w:t xml:space="preserve"> </w:t>
      </w:r>
      <w:r>
        <w:t xml:space="preserve">25-of-childrens-toys-unep-study-finds/</w:t>
      </w:r>
      <w:r>
        <w:t xml:space="preserve"> </w:t>
      </w:r>
      <w:r>
        <w:t xml:space="preserve">405</w:t>
      </w:r>
      <w:r>
        <w:t xml:space="preserve"> </w:t>
      </w:r>
      <w:r>
        <w:t xml:space="preserve">https://www.researchgate.net/profile/Valentina-Christova-</w:t>
      </w:r>
      <w:r>
        <w:t xml:space="preserve"> </w:t>
      </w:r>
      <w:r>
        <w:t xml:space="preserve">Bagdassarian/publication/282972605_Phthalate_Plasticizers_and_Safety_of_Toys_-</w:t>
      </w:r>
      <w:r>
        <w:t xml:space="preserve"> </w:t>
      </w:r>
      <w:r>
        <w:t xml:space="preserve">_Problems_and_Perspectives/links/56247c5c08ae93a5c92cbb0a/Phthalate-Plasticizers-and-Safety-of-Toys-Problems-</w:t>
      </w:r>
      <w:r>
        <w:t xml:space="preserve"> </w:t>
      </w:r>
      <w:r>
        <w:t xml:space="preserve">and-Perspectives.pdf and https://drive.google.com/file/d/1FubTn67W1Y-mjpydS6OeFpaS68hjxQBv/view</w:t>
      </w:r>
      <w:r>
        <w:t xml:space="preserve"> </w:t>
      </w:r>
      <w:r>
        <w:t xml:space="preserve">406 Opinion of the Scientific Committee on Toxicity, Ecotoxicity and the Environment (CSTEE) on “Assessment of the</w:t>
      </w:r>
      <w:r>
        <w:t xml:space="preserve"> </w:t>
      </w:r>
      <w:r>
        <w:t xml:space="preserve">bioavailability of certain elements in toys”, June 2004, Opinion onbioavailability of certain elements in toys, CSTEE</w:t>
      </w:r>
      <w:r>
        <w:t xml:space="preserve"> </w:t>
      </w:r>
      <w:r>
        <w:t xml:space="preserve">plenary, written procedure (europa.eu)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209</w:t>
      </w:r>
      <w:r>
        <w:t xml:space="preserve"> </w:t>
      </w:r>
      <w:r>
        <w:t xml:space="preserve">EN</w:t>
      </w:r>
      <w:r>
        <w:t xml:space="preserve"> </w:t>
      </w:r>
      <w:r>
        <w:t xml:space="preserve">These assumptions are based on a number of studies on children mouthing behaviour and have been</w:t>
      </w:r>
      <w:r>
        <w:t xml:space="preserve"> </w:t>
      </w:r>
      <w:r>
        <w:t xml:space="preserve">validated by SCHEER407.</w:t>
      </w:r>
      <w:r>
        <w:t xml:space="preserve"> </w:t>
      </w:r>
      <w:r>
        <w:t xml:space="preserve">Based on the overall figures above, if only 1-5% of the overall exposure to endocrine disruptors will</w:t>
      </w:r>
      <w:r>
        <w:t xml:space="preserve"> </w:t>
      </w:r>
      <w:r>
        <w:t xml:space="preserve">be caused by toys that would mean that the damage caused by exposure to endocrine disruptors could</w:t>
      </w:r>
      <w:r>
        <w:t xml:space="preserve"> </w:t>
      </w:r>
      <w:r>
        <w:t xml:space="preserve">be valuated at between EUR 240 million and EUR 1.23 billion per year, in terms of avoided health</w:t>
      </w:r>
      <w:r>
        <w:t xml:space="preserve"> </w:t>
      </w:r>
      <w:r>
        <w:t xml:space="preserve">damage. This is certainly an estimate on the low side due to the lack of evidence on the attributable</w:t>
      </w:r>
      <w:r>
        <w:t xml:space="preserve"> </w:t>
      </w:r>
      <w:r>
        <w:t xml:space="preserve">portion of toy exposure. It is also worth noting that this is only the estimate for the impacts of</w:t>
      </w:r>
      <w:r>
        <w:t xml:space="preserve"> </w:t>
      </w:r>
      <w:r>
        <w:t xml:space="preserve">endocrine disruptors and the GRA will include other hazard classes too.</w:t>
      </w:r>
      <w:r>
        <w:br/>
      </w:r>
      <w:r>
        <w:t xml:space="preserve">Table 30: Estimated values of current human health damages caused by endocrine disruptors</w:t>
      </w:r>
      <w:r>
        <w:br/>
      </w:r>
      <w:r>
        <w:t xml:space="preserve">Hazard classes/</w:t>
      </w:r>
      <w:r>
        <w:t xml:space="preserve"> </w:t>
      </w:r>
      <w:r>
        <w:t xml:space="preserve">properties</w:t>
      </w:r>
      <w:r>
        <w:t xml:space="preserve"> </w:t>
      </w:r>
      <w:r>
        <w:t xml:space="preserve">Health</w:t>
      </w:r>
      <w:r>
        <w:t xml:space="preserve"> </w:t>
      </w:r>
      <w:r>
        <w:t xml:space="preserve">outcome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metric</w:t>
      </w:r>
      <w:r>
        <w:t xml:space="preserve"> </w:t>
      </w:r>
      <w:r>
        <w:t xml:space="preserve">2022 Value*</w:t>
      </w:r>
      <w:r>
        <w:t xml:space="preserve"> </w:t>
      </w:r>
      <w:r>
        <w:t xml:space="preserve">Prevalence</w:t>
      </w:r>
      <w:r>
        <w:t xml:space="preserve"> </w:t>
      </w:r>
      <w:r>
        <w:t xml:space="preserve">/</w:t>
      </w:r>
      <w:r>
        <w:t xml:space="preserve"> </w:t>
      </w:r>
      <w:r>
        <w:t xml:space="preserve">incidence</w:t>
      </w:r>
      <w:r>
        <w:t xml:space="preserve"> </w:t>
      </w:r>
      <w:r>
        <w:t xml:space="preserve">Population</w:t>
      </w:r>
      <w:r>
        <w:t xml:space="preserve"> </w:t>
      </w:r>
      <w:r>
        <w:t xml:space="preserve">Casses per</w:t>
      </w:r>
      <w:r>
        <w:t xml:space="preserve"> </w:t>
      </w:r>
      <w:r>
        <w:t xml:space="preserve">year</w:t>
      </w:r>
    </w:p>
    <w:p>
      <w:pPr>
        <w:pStyle w:val="BodyText"/>
      </w:pPr>
      <w:r>
        <w:t xml:space="preserve">Attributable</w:t>
      </w:r>
      <w:r>
        <w:t xml:space="preserve"> </w:t>
      </w:r>
      <w:r>
        <w:t xml:space="preserve">cases of EDs</w:t>
      </w:r>
      <w:r>
        <w:t xml:space="preserve"> </w:t>
      </w:r>
      <w:r>
        <w:t xml:space="preserve">per</w:t>
      </w:r>
      <w:r>
        <w:t xml:space="preserve"> </w:t>
      </w:r>
      <w:r>
        <w:t xml:space="preserve">year</w:t>
      </w:r>
      <w:r>
        <w:t xml:space="preserve"> </w:t>
      </w:r>
      <w:r>
        <w:t xml:space="preserve">(PAF: 1%)</w:t>
      </w:r>
      <w:r>
        <w:t xml:space="preserve"> </w:t>
      </w:r>
      <w:r>
        <w:t xml:space="preserve">Endocrine</w:t>
      </w:r>
      <w:r>
        <w:t xml:space="preserve"> </w:t>
      </w:r>
      <w:r>
        <w:t xml:space="preserve">disruptors and</w:t>
      </w:r>
      <w:r>
        <w:t xml:space="preserve"> </w:t>
      </w:r>
      <w:r>
        <w:t xml:space="preserve">reprotoxicants</w:t>
      </w:r>
      <w:r>
        <w:t xml:space="preserve"> </w:t>
      </w:r>
      <w:r>
        <w:t xml:space="preserve">Very low birth</w:t>
      </w:r>
      <w:r>
        <w:t xml:space="preserve"> </w:t>
      </w:r>
      <w:r>
        <w:t xml:space="preserve">weight</w:t>
      </w:r>
      <w:r>
        <w:t xml:space="preserve"> </w:t>
      </w:r>
      <w:r>
        <w:t xml:space="preserve">Willingness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to</w:t>
      </w:r>
      <w:r>
        <w:t xml:space="preserve"> </w:t>
      </w:r>
      <w:r>
        <w:t xml:space="preserve">avoid a case</w:t>
      </w:r>
      <w:r>
        <w:t xml:space="preserve"> </w:t>
      </w:r>
      <w:r>
        <w:t xml:space="preserve">€140,000</w:t>
      </w:r>
      <w:r>
        <w:t xml:space="preserve"> </w:t>
      </w:r>
      <w:r>
        <w:t xml:space="preserve">-</w:t>
      </w:r>
      <w:r>
        <w:t xml:space="preserve"> </w:t>
      </w:r>
      <w:r>
        <w:t xml:space="preserve">€450,000</w:t>
      </w:r>
      <w:r>
        <w:t xml:space="preserve"> </w:t>
      </w:r>
      <w:r>
        <w:t xml:space="preserve">1% (incidence)</w:t>
      </w:r>
      <w:r>
        <w:t xml:space="preserve"> </w:t>
      </w:r>
      <w:r>
        <w:t xml:space="preserve">4,000,000 (EU 27 -</w:t>
      </w:r>
      <w:r>
        <w:t xml:space="preserve"> </w:t>
      </w:r>
      <w:r>
        <w:t xml:space="preserve">live births in each</w:t>
      </w:r>
      <w:r>
        <w:t xml:space="preserve"> </w:t>
      </w:r>
      <w:r>
        <w:t xml:space="preserve">and every year)</w:t>
      </w:r>
      <w:r>
        <w:t xml:space="preserve"> </w:t>
      </w:r>
      <w:r>
        <w:t xml:space="preserve">40,000</w:t>
      </w:r>
      <w:r>
        <w:br/>
      </w:r>
      <w:r>
        <w:t xml:space="preserve">400</w:t>
      </w:r>
      <w:r>
        <w:br/>
      </w:r>
      <w:r>
        <w:t xml:space="preserve">Endocrine</w:t>
      </w:r>
      <w:r>
        <w:t xml:space="preserve"> </w:t>
      </w:r>
      <w:r>
        <w:t xml:space="preserve">disruptors and</w:t>
      </w:r>
      <w:r>
        <w:t xml:space="preserve"> </w:t>
      </w:r>
      <w:r>
        <w:t xml:space="preserve">neurotoxicants</w:t>
      </w:r>
      <w:r>
        <w:t xml:space="preserve"> </w:t>
      </w:r>
      <w:r>
        <w:t xml:space="preserve">Intellectual</w:t>
      </w:r>
      <w:r>
        <w:t xml:space="preserve"> </w:t>
      </w:r>
      <w:r>
        <w:t xml:space="preserve">disabilities</w:t>
      </w:r>
      <w:r>
        <w:t xml:space="preserve"> </w:t>
      </w:r>
      <w:r>
        <w:t xml:space="preserve">Average</w:t>
      </w:r>
      <w:r>
        <w:t xml:space="preserve"> </w:t>
      </w:r>
      <w:r>
        <w:t xml:space="preserve">lifetime costs</w:t>
      </w:r>
      <w:r>
        <w:t xml:space="preserve"> </w:t>
      </w:r>
      <w:r>
        <w:t xml:space="preserve">per case of</w:t>
      </w:r>
      <w:r>
        <w:t xml:space="preserve"> </w:t>
      </w:r>
      <w:r>
        <w:t xml:space="preserve">intellectual</w:t>
      </w:r>
      <w:r>
        <w:t xml:space="preserve"> </w:t>
      </w:r>
      <w:r>
        <w:t xml:space="preserve">disability</w:t>
      </w:r>
      <w:r>
        <w:t xml:space="preserve"> </w:t>
      </w:r>
      <w:r>
        <w:t xml:space="preserve">€ 1,700,000</w:t>
      </w:r>
      <w:r>
        <w:t xml:space="preserve"> </w:t>
      </w:r>
      <w:r>
        <w:t xml:space="preserve">1% (incidence)</w:t>
      </w:r>
      <w:r>
        <w:t xml:space="preserve"> </w:t>
      </w:r>
      <w:r>
        <w:t xml:space="preserve">4,000,000 (EU 27 -</w:t>
      </w:r>
      <w:r>
        <w:t xml:space="preserve"> </w:t>
      </w:r>
      <w:r>
        <w:t xml:space="preserve">live births in each</w:t>
      </w:r>
      <w:r>
        <w:t xml:space="preserve"> </w:t>
      </w:r>
      <w:r>
        <w:t xml:space="preserve">and every year)</w:t>
      </w:r>
      <w:r>
        <w:t xml:space="preserve"> </w:t>
      </w:r>
      <w:r>
        <w:t xml:space="preserve">40,000</w:t>
      </w:r>
      <w:r>
        <w:br/>
      </w:r>
      <w:r>
        <w:t xml:space="preserve">400</w:t>
      </w:r>
      <w:r>
        <w:br/>
      </w:r>
      <w:r>
        <w:t xml:space="preserve">Endocrine</w:t>
      </w:r>
      <w:r>
        <w:t xml:space="preserve"> </w:t>
      </w:r>
      <w:r>
        <w:t xml:space="preserve">disruptors</w:t>
      </w:r>
      <w:r>
        <w:t xml:space="preserve"> </w:t>
      </w:r>
      <w:r>
        <w:t xml:space="preserve">Childhood</w:t>
      </w:r>
      <w:r>
        <w:t xml:space="preserve"> </w:t>
      </w:r>
      <w:r>
        <w:t xml:space="preserve">obesity</w:t>
      </w:r>
      <w:r>
        <w:t xml:space="preserve"> </w:t>
      </w:r>
      <w:r>
        <w:t xml:space="preserve">Total lifetime</w:t>
      </w:r>
      <w:r>
        <w:t xml:space="preserve"> </w:t>
      </w:r>
      <w:r>
        <w:t xml:space="preserve">excess</w:t>
      </w:r>
      <w:r>
        <w:t xml:space="preserve"> </w:t>
      </w:r>
      <w:r>
        <w:t xml:space="preserve">cost</w:t>
      </w:r>
      <w:r>
        <w:t xml:space="preserve"> </w:t>
      </w:r>
      <w:r>
        <w:t xml:space="preserve">per</w:t>
      </w:r>
      <w:r>
        <w:t xml:space="preserve"> </w:t>
      </w:r>
      <w:r>
        <w:t xml:space="preserve">obese</w:t>
      </w:r>
      <w:r>
        <w:t xml:space="preserve"> </w:t>
      </w:r>
      <w:r>
        <w:t xml:space="preserve">child</w:t>
      </w:r>
      <w:r>
        <w:t xml:space="preserve"> </w:t>
      </w:r>
      <w:r>
        <w:t xml:space="preserve">€ 160,000</w:t>
      </w:r>
      <w:r>
        <w:t xml:space="preserve"> </w:t>
      </w:r>
      <w:r>
        <w:t xml:space="preserve">12% (incidence)</w:t>
      </w:r>
      <w:r>
        <w:t xml:space="preserve"> </w:t>
      </w:r>
      <w:r>
        <w:t xml:space="preserve">4,000,000 (EU27 –</w:t>
      </w:r>
      <w:r>
        <w:t xml:space="preserve"> </w:t>
      </w:r>
      <w:r>
        <w:t xml:space="preserve">number of 8 years</w:t>
      </w:r>
      <w:r>
        <w:t xml:space="preserve"> </w:t>
      </w:r>
      <w:r>
        <w:t xml:space="preserve">old in each and</w:t>
      </w:r>
      <w:r>
        <w:t xml:space="preserve"> </w:t>
      </w:r>
      <w:r>
        <w:t xml:space="preserve">every year)</w:t>
      </w:r>
      <w:r>
        <w:t xml:space="preserve"> </w:t>
      </w:r>
      <w:r>
        <w:t xml:space="preserve">480,000</w:t>
      </w:r>
      <w:r>
        <w:br/>
      </w:r>
      <w:r>
        <w:t xml:space="preserve">4,800</w:t>
      </w:r>
      <w:r>
        <w:br/>
      </w:r>
      <w:r>
        <w:t xml:space="preserve">Endocrine</w:t>
      </w:r>
      <w:r>
        <w:t xml:space="preserve"> </w:t>
      </w:r>
      <w:r>
        <w:t xml:space="preserve">disruptors and</w:t>
      </w:r>
      <w:r>
        <w:t xml:space="preserve"> </w:t>
      </w:r>
      <w:r>
        <w:t xml:space="preserve">reprotoxicants</w:t>
      </w:r>
      <w:r>
        <w:t xml:space="preserve"> </w:t>
      </w:r>
      <w:r>
        <w:t xml:space="preserve">Male infertility</w:t>
      </w:r>
      <w:r>
        <w:t xml:space="preserve"> </w:t>
      </w:r>
      <w:r>
        <w:t xml:space="preserve">Value of a</w:t>
      </w:r>
      <w:r>
        <w:t xml:space="preserve"> </w:t>
      </w:r>
      <w:r>
        <w:t xml:space="preserve">statistical</w:t>
      </w:r>
      <w:r>
        <w:t xml:space="preserve"> </w:t>
      </w:r>
      <w:r>
        <w:t xml:space="preserve">pregnancy</w:t>
      </w:r>
      <w:r>
        <w:t xml:space="preserve"> </w:t>
      </w:r>
      <w:r>
        <w:t xml:space="preserve">among</w:t>
      </w:r>
      <w:r>
        <w:t xml:space="preserve"> </w:t>
      </w:r>
      <w:r>
        <w:t xml:space="preserve">the</w:t>
      </w:r>
      <w:r>
        <w:t xml:space="preserve"> </w:t>
      </w:r>
      <w:r>
        <w:t xml:space="preserve">general</w:t>
      </w:r>
      <w:r>
        <w:t xml:space="preserve"> </w:t>
      </w:r>
      <w:r>
        <w:t xml:space="preserve">population</w:t>
      </w:r>
      <w:r>
        <w:t xml:space="preserve"> </w:t>
      </w:r>
      <w:r>
        <w:t xml:space="preserve">€25,000</w:t>
      </w:r>
      <w:r>
        <w:t xml:space="preserve"> </w:t>
      </w:r>
      <w:r>
        <w:t xml:space="preserve">-</w:t>
      </w:r>
      <w:r>
        <w:t xml:space="preserve"> </w:t>
      </w:r>
      <w:r>
        <w:t xml:space="preserve">€45,000</w:t>
      </w:r>
      <w:r>
        <w:t xml:space="preserve"> </w:t>
      </w:r>
      <w:r>
        <w:t xml:space="preserve">7.50%</w:t>
      </w:r>
      <w:r>
        <w:t xml:space="preserve"> </w:t>
      </w:r>
      <w:r>
        <w:t xml:space="preserve">(50%</w:t>
      </w:r>
      <w:r>
        <w:t xml:space="preserve"> </w:t>
      </w:r>
      <w:r>
        <w:t xml:space="preserve">of</w:t>
      </w:r>
      <w:r>
        <w:t xml:space="preserve"> </w:t>
      </w:r>
      <w:r>
        <w:t xml:space="preserve">prevalence</w:t>
      </w:r>
      <w:r>
        <w:t xml:space="preserve"> </w:t>
      </w:r>
      <w:r>
        <w:t xml:space="preserve">of</w:t>
      </w:r>
      <w:r>
        <w:t xml:space="preserve"> </w:t>
      </w:r>
      <w:r>
        <w:t xml:space="preserve">couple infertility)</w:t>
      </w:r>
      <w:r>
        <w:t xml:space="preserve"> </w:t>
      </w:r>
      <w:r>
        <w:t xml:space="preserve">2,000,000 (EU 27 -</w:t>
      </w:r>
      <w:r>
        <w:t xml:space="preserve"> </w:t>
      </w:r>
      <w:r>
        <w:t xml:space="preserve">live male births in</w:t>
      </w:r>
      <w:r>
        <w:t xml:space="preserve"> </w:t>
      </w:r>
      <w:r>
        <w:t xml:space="preserve">each</w:t>
      </w:r>
      <w:r>
        <w:t xml:space="preserve"> </w:t>
      </w:r>
      <w:r>
        <w:t xml:space="preserve">and</w:t>
      </w:r>
      <w:r>
        <w:t xml:space="preserve"> </w:t>
      </w:r>
      <w:r>
        <w:t xml:space="preserve">every</w:t>
      </w:r>
      <w:r>
        <w:t xml:space="preserve"> </w:t>
      </w:r>
      <w:r>
        <w:t xml:space="preserve">year)</w:t>
      </w:r>
      <w:r>
        <w:t xml:space="preserve"> </w:t>
      </w:r>
      <w:r>
        <w:t xml:space="preserve">150,000</w:t>
      </w:r>
      <w:r>
        <w:t xml:space="preserve"> </w:t>
      </w:r>
      <w:r>
        <w:t xml:space="preserve">Men</w:t>
      </w:r>
      <w:r>
        <w:t xml:space="preserve"> </w:t>
      </w:r>
      <w:r>
        <w:t xml:space="preserve">born</w:t>
      </w:r>
      <w:r>
        <w:t xml:space="preserve"> </w:t>
      </w:r>
      <w:r>
        <w:t xml:space="preserve">with</w:t>
      </w:r>
      <w:r>
        <w:t xml:space="preserve"> </w:t>
      </w:r>
      <w:r>
        <w:t xml:space="preserve">reduced</w:t>
      </w:r>
      <w:r>
        <w:t xml:space="preserve"> </w:t>
      </w:r>
      <w:r>
        <w:t xml:space="preserve">semen</w:t>
      </w:r>
      <w:r>
        <w:t xml:space="preserve"> </w:t>
      </w:r>
      <w:r>
        <w:t xml:space="preserve">quality</w:t>
      </w:r>
      <w:r>
        <w:t xml:space="preserve"> </w:t>
      </w:r>
      <w:r>
        <w:t xml:space="preserve">resulting in</w:t>
      </w:r>
      <w:r>
        <w:t xml:space="preserve"> </w:t>
      </w:r>
      <w:r>
        <w:t xml:space="preserve">infertility</w:t>
      </w:r>
      <w:r>
        <w:t xml:space="preserve"> </w:t>
      </w:r>
      <w:r>
        <w:t xml:space="preserve">Fertility</w:t>
      </w:r>
      <w:r>
        <w:t xml:space="preserve"> </w:t>
      </w:r>
      <w:r>
        <w:t xml:space="preserve">ratio:</w:t>
      </w:r>
      <w:r>
        <w:t xml:space="preserve"> </w:t>
      </w:r>
      <w:r>
        <w:t xml:space="preserve">1.50461</w:t>
      </w:r>
      <w:r>
        <w:t xml:space="preserve"> </w:t>
      </w:r>
      <w:r>
        <w:t xml:space="preserve">Number of</w:t>
      </w:r>
      <w:r>
        <w:t xml:space="preserve"> </w:t>
      </w:r>
      <w:r>
        <w:t xml:space="preserve">children</w:t>
      </w:r>
      <w:r>
        <w:t xml:space="preserve"> </w:t>
      </w:r>
      <w:r>
        <w:t xml:space="preserve">that will not</w:t>
      </w:r>
      <w:r>
        <w:t xml:space="preserve"> </w:t>
      </w:r>
      <w:r>
        <w:t xml:space="preserve">be</w:t>
      </w:r>
      <w:r>
        <w:t xml:space="preserve"> </w:t>
      </w:r>
      <w:r>
        <w:t xml:space="preserve">born</w:t>
      </w:r>
      <w:r>
        <w:t xml:space="preserve"> </w:t>
      </w:r>
      <w:r>
        <w:t xml:space="preserve">naturally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reduced</w:t>
      </w:r>
      <w:r>
        <w:t xml:space="preserve"> </w:t>
      </w:r>
      <w:r>
        <w:t xml:space="preserve">semen</w:t>
      </w:r>
      <w:r>
        <w:t xml:space="preserve"> </w:t>
      </w:r>
      <w:r>
        <w:t xml:space="preserve">quality:</w:t>
      </w:r>
      <w:r>
        <w:t xml:space="preserve"> </w:t>
      </w:r>
      <w:r>
        <w:t xml:space="preserve">230,000</w:t>
      </w:r>
      <w:r>
        <w:t xml:space="preserve"> </w:t>
      </w:r>
      <w:r>
        <w:t xml:space="preserve">2,300</w:t>
      </w:r>
      <w:r>
        <w:br/>
      </w:r>
      <w:r>
        <w:t xml:space="preserve">Endocrine</w:t>
      </w:r>
      <w:r>
        <w:t xml:space="preserve"> </w:t>
      </w:r>
      <w:r>
        <w:t xml:space="preserve">disruptors and</w:t>
      </w:r>
      <w:r>
        <w:t xml:space="preserve"> </w:t>
      </w:r>
      <w:r>
        <w:t xml:space="preserve">reprotoxicants</w:t>
      </w:r>
      <w:r>
        <w:t xml:space="preserve"> </w:t>
      </w:r>
      <w:r>
        <w:t xml:space="preserve">Cryptorchidism</w:t>
      </w:r>
      <w:r>
        <w:t xml:space="preserve"> </w:t>
      </w:r>
      <w:r>
        <w:t xml:space="preserve">Direct,</w:t>
      </w:r>
      <w:r>
        <w:t xml:space="preserve"> </w:t>
      </w:r>
      <w:r>
        <w:t xml:space="preserve">indirect and</w:t>
      </w:r>
      <w:r>
        <w:t xml:space="preserve"> </w:t>
      </w:r>
      <w:r>
        <w:t xml:space="preserve">intangible</w:t>
      </w:r>
      <w:r>
        <w:t xml:space="preserve"> </w:t>
      </w:r>
      <w:r>
        <w:t xml:space="preserve">costs</w:t>
      </w:r>
      <w:r>
        <w:t xml:space="preserve"> </w:t>
      </w:r>
      <w:r>
        <w:t xml:space="preserve">per</w:t>
      </w:r>
      <w:r>
        <w:t xml:space="preserve"> </w:t>
      </w:r>
      <w:r>
        <w:t xml:space="preserve">case</w:t>
      </w:r>
      <w:r>
        <w:t xml:space="preserve"> </w:t>
      </w:r>
      <w:r>
        <w:t xml:space="preserve">€ 40,000</w:t>
      </w:r>
      <w:r>
        <w:t xml:space="preserve"> </w:t>
      </w:r>
      <w:r>
        <w:t xml:space="preserve">1%</w:t>
      </w:r>
      <w:r>
        <w:t xml:space="preserve"> </w:t>
      </w:r>
      <w:r>
        <w:t xml:space="preserve">2,000,000 (EU 27 -</w:t>
      </w:r>
      <w:r>
        <w:t xml:space="preserve"> </w:t>
      </w:r>
      <w:r>
        <w:t xml:space="preserve">live male births in</w:t>
      </w:r>
      <w:r>
        <w:t xml:space="preserve"> </w:t>
      </w:r>
      <w:r>
        <w:t xml:space="preserve">each</w:t>
      </w:r>
      <w:r>
        <w:t xml:space="preserve"> </w:t>
      </w:r>
      <w:r>
        <w:t xml:space="preserve">and</w:t>
      </w:r>
      <w:r>
        <w:t xml:space="preserve"> </w:t>
      </w:r>
      <w:r>
        <w:t xml:space="preserve">every</w:t>
      </w:r>
      <w:r>
        <w:t xml:space="preserve"> </w:t>
      </w:r>
      <w:r>
        <w:t xml:space="preserve">year)</w:t>
      </w:r>
      <w:r>
        <w:t xml:space="preserve"> </w:t>
      </w:r>
      <w:r>
        <w:t xml:space="preserve">20,000</w:t>
      </w:r>
      <w:r>
        <w:br/>
      </w:r>
      <w:r>
        <w:t xml:space="preserve">200</w:t>
      </w:r>
    </w:p>
    <w:p>
      <w:pPr>
        <w:pStyle w:val="BodyText"/>
      </w:pPr>
      <w:r>
        <w:t xml:space="preserve">407 SCHER (Scientific Committee on Health and Environmental Risks), Final Opinion on estimates of the amount of toy</w:t>
      </w:r>
      <w:r>
        <w:t xml:space="preserve"> </w:t>
      </w:r>
      <w:r>
        <w:t xml:space="preserve">materials ingested by children, 8 April 2016 Estimates of the amount of toy materials ingested by children (europa.eu)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210</w:t>
      </w:r>
      <w:r>
        <w:t xml:space="preserve"> </w:t>
      </w:r>
      <w:r>
        <w:t xml:space="preserve">EN</w:t>
      </w:r>
      <w:r>
        <w:t xml:space="preserve"> </w:t>
      </w:r>
      <w:r>
        <w:t xml:space="preserve">Hazard classes/</w:t>
      </w:r>
      <w:r>
        <w:t xml:space="preserve"> </w:t>
      </w:r>
      <w:r>
        <w:t xml:space="preserve">properties</w:t>
      </w:r>
      <w:r>
        <w:t xml:space="preserve"> </w:t>
      </w:r>
      <w:r>
        <w:t xml:space="preserve">Health</w:t>
      </w:r>
      <w:r>
        <w:t xml:space="preserve"> </w:t>
      </w:r>
      <w:r>
        <w:t xml:space="preserve">outcome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metric</w:t>
      </w:r>
      <w:r>
        <w:t xml:space="preserve"> </w:t>
      </w:r>
      <w:r>
        <w:t xml:space="preserve">2022 Value*</w:t>
      </w:r>
      <w:r>
        <w:t xml:space="preserve"> </w:t>
      </w:r>
      <w:r>
        <w:t xml:space="preserve">Prevalence</w:t>
      </w:r>
      <w:r>
        <w:t xml:space="preserve"> </w:t>
      </w:r>
      <w:r>
        <w:t xml:space="preserve">/</w:t>
      </w:r>
      <w:r>
        <w:t xml:space="preserve"> </w:t>
      </w:r>
      <w:r>
        <w:t xml:space="preserve">incidence</w:t>
      </w:r>
      <w:r>
        <w:t xml:space="preserve"> </w:t>
      </w:r>
      <w:r>
        <w:t xml:space="preserve">Population</w:t>
      </w:r>
      <w:r>
        <w:t xml:space="preserve"> </w:t>
      </w:r>
      <w:r>
        <w:t xml:space="preserve">Casses per</w:t>
      </w:r>
      <w:r>
        <w:t xml:space="preserve"> </w:t>
      </w:r>
      <w:r>
        <w:t xml:space="preserve">year</w:t>
      </w:r>
    </w:p>
    <w:p>
      <w:pPr>
        <w:pStyle w:val="BodyText"/>
      </w:pPr>
      <w:r>
        <w:t xml:space="preserve">Attributable</w:t>
      </w:r>
      <w:r>
        <w:t xml:space="preserve"> </w:t>
      </w:r>
      <w:r>
        <w:t xml:space="preserve">cases of EDs</w:t>
      </w:r>
      <w:r>
        <w:t xml:space="preserve"> </w:t>
      </w:r>
      <w:r>
        <w:t xml:space="preserve">per</w:t>
      </w:r>
      <w:r>
        <w:t xml:space="preserve"> </w:t>
      </w:r>
      <w:r>
        <w:t xml:space="preserve">year</w:t>
      </w:r>
      <w:r>
        <w:t xml:space="preserve"> </w:t>
      </w:r>
      <w:r>
        <w:t xml:space="preserve">(PAF: 1%)</w:t>
      </w:r>
      <w:r>
        <w:t xml:space="preserve"> </w:t>
      </w:r>
      <w:r>
        <w:t xml:space="preserve">Endocrine</w:t>
      </w:r>
      <w:r>
        <w:t xml:space="preserve"> </w:t>
      </w:r>
      <w:r>
        <w:t xml:space="preserve">disruptors and</w:t>
      </w:r>
      <w:r>
        <w:t xml:space="preserve"> </w:t>
      </w:r>
      <w:r>
        <w:t xml:space="preserve">reprotoxicants</w:t>
      </w:r>
      <w:r>
        <w:t xml:space="preserve"> </w:t>
      </w:r>
      <w:r>
        <w:t xml:space="preserve">Hypospadias</w:t>
      </w:r>
      <w:r>
        <w:t xml:space="preserve"> </w:t>
      </w:r>
      <w:r>
        <w:t xml:space="preserve">Direct,</w:t>
      </w:r>
      <w:r>
        <w:t xml:space="preserve"> </w:t>
      </w:r>
      <w:r>
        <w:t xml:space="preserve">indirect and</w:t>
      </w:r>
      <w:r>
        <w:t xml:space="preserve"> </w:t>
      </w:r>
      <w:r>
        <w:t xml:space="preserve">intangible</w:t>
      </w:r>
      <w:r>
        <w:t xml:space="preserve"> </w:t>
      </w:r>
      <w:r>
        <w:t xml:space="preserve">costs</w:t>
      </w:r>
      <w:r>
        <w:t xml:space="preserve"> </w:t>
      </w:r>
      <w:r>
        <w:t xml:space="preserve">per</w:t>
      </w:r>
      <w:r>
        <w:t xml:space="preserve"> </w:t>
      </w:r>
      <w:r>
        <w:t xml:space="preserve">case</w:t>
      </w:r>
      <w:r>
        <w:t xml:space="preserve"> </w:t>
      </w:r>
      <w:r>
        <w:t xml:space="preserve">€ 45,000</w:t>
      </w:r>
      <w:r>
        <w:t xml:space="preserve"> </w:t>
      </w:r>
      <w:r>
        <w:t xml:space="preserve">0.2% (19.9 over</w:t>
      </w:r>
      <w:r>
        <w:t xml:space="preserve"> </w:t>
      </w:r>
      <w:r>
        <w:t xml:space="preserve">10,000</w:t>
      </w:r>
      <w:r>
        <w:t xml:space="preserve"> </w:t>
      </w:r>
      <w:r>
        <w:t xml:space="preserve">births</w:t>
      </w:r>
      <w:r>
        <w:t xml:space="preserve"> </w:t>
      </w:r>
      <w:r>
        <w:t xml:space="preserve">regardless of sex)</w:t>
      </w:r>
      <w:r>
        <w:t xml:space="preserve"> </w:t>
      </w:r>
      <w:r>
        <w:t xml:space="preserve">4,000,000 (EU27 -</w:t>
      </w:r>
      <w:r>
        <w:t xml:space="preserve"> </w:t>
      </w:r>
      <w:r>
        <w:t xml:space="preserve">live births in each</w:t>
      </w:r>
      <w:r>
        <w:t xml:space="preserve"> </w:t>
      </w:r>
      <w:r>
        <w:t xml:space="preserve">and every year)</w:t>
      </w:r>
      <w:r>
        <w:t xml:space="preserve"> </w:t>
      </w:r>
      <w:r>
        <w:t xml:space="preserve">10,000</w:t>
      </w:r>
      <w:r>
        <w:t xml:space="preserve"> </w:t>
      </w:r>
      <w:r>
        <w:t xml:space="preserve">100</w:t>
      </w:r>
      <w:r>
        <w:t xml:space="preserve"> </w:t>
      </w:r>
      <w:r>
        <w:t xml:space="preserve">Endocrine</w:t>
      </w:r>
      <w:r>
        <w:t xml:space="preserve"> </w:t>
      </w:r>
      <w:r>
        <w:t xml:space="preserve">disruptors and</w:t>
      </w:r>
      <w:r>
        <w:t xml:space="preserve"> </w:t>
      </w:r>
      <w:r>
        <w:t xml:space="preserve">reprotoxicants</w:t>
      </w:r>
      <w:r>
        <w:t xml:space="preserve"> </w:t>
      </w:r>
      <w:r>
        <w:t xml:space="preserve">Testicular</w:t>
      </w:r>
      <w:r>
        <w:t xml:space="preserve"> </w:t>
      </w:r>
      <w:r>
        <w:t xml:space="preserve">cancer</w:t>
      </w:r>
      <w:r>
        <w:t xml:space="preserve"> </w:t>
      </w:r>
      <w:r>
        <w:t xml:space="preserve">Direct,</w:t>
      </w:r>
      <w:r>
        <w:t xml:space="preserve"> </w:t>
      </w:r>
      <w:r>
        <w:t xml:space="preserve">indirect and</w:t>
      </w:r>
      <w:r>
        <w:t xml:space="preserve"> </w:t>
      </w:r>
      <w:r>
        <w:t xml:space="preserve">intangible</w:t>
      </w:r>
      <w:r>
        <w:t xml:space="preserve"> </w:t>
      </w:r>
      <w:r>
        <w:t xml:space="preserve">costs</w:t>
      </w:r>
      <w:r>
        <w:t xml:space="preserve"> </w:t>
      </w:r>
      <w:r>
        <w:t xml:space="preserve">per</w:t>
      </w:r>
      <w:r>
        <w:t xml:space="preserve"> </w:t>
      </w:r>
      <w:r>
        <w:t xml:space="preserve">case</w:t>
      </w:r>
      <w:r>
        <w:t xml:space="preserve"> </w:t>
      </w:r>
      <w:r>
        <w:t xml:space="preserve">€90,000</w:t>
      </w:r>
      <w:r>
        <w:t xml:space="preserve"> </w:t>
      </w:r>
      <w:r>
        <w:t xml:space="preserve">0.01% (incidence)</w:t>
      </w:r>
      <w:r>
        <w:t xml:space="preserve"> </w:t>
      </w:r>
      <w:r>
        <w:t xml:space="preserve">130,000,000 (EU27</w:t>
      </w:r>
      <w:r>
        <w:t xml:space="preserve"> </w:t>
      </w:r>
      <w:r>
        <w:t xml:space="preserve">–</w:t>
      </w:r>
      <w:r>
        <w:t xml:space="preserve"> </w:t>
      </w:r>
      <w:r>
        <w:t xml:space="preserve">male</w:t>
      </w:r>
      <w:r>
        <w:t xml:space="preserve"> </w:t>
      </w:r>
      <w:r>
        <w:t xml:space="preserve">adult</w:t>
      </w:r>
      <w:r>
        <w:t xml:space="preserve"> </w:t>
      </w:r>
      <w:r>
        <w:t xml:space="preserve">population</w:t>
      </w:r>
      <w:r>
        <w:t xml:space="preserve"> </w:t>
      </w:r>
      <w:r>
        <w:t xml:space="preserve">(20-</w:t>
      </w:r>
      <w:r>
        <w:t xml:space="preserve"> </w:t>
      </w:r>
      <w:r>
        <w:t xml:space="preserve">69y))</w:t>
      </w:r>
      <w:r>
        <w:t xml:space="preserve"> </w:t>
      </w:r>
      <w:r>
        <w:t xml:space="preserve">10,000</w:t>
      </w:r>
      <w:r>
        <w:t xml:space="preserve"> </w:t>
      </w:r>
      <w:r>
        <w:t xml:space="preserve">100</w:t>
      </w:r>
      <w:r>
        <w:t xml:space="preserve"> </w:t>
      </w:r>
      <w:r>
        <w:t xml:space="preserve">Endocrine</w:t>
      </w:r>
      <w:r>
        <w:t xml:space="preserve"> </w:t>
      </w:r>
      <w:r>
        <w:t xml:space="preserve">disruptors and</w:t>
      </w:r>
      <w:r>
        <w:t xml:space="preserve"> </w:t>
      </w:r>
      <w:r>
        <w:t xml:space="preserve">neurotoxicants</w:t>
      </w:r>
      <w:r>
        <w:t xml:space="preserve"> </w:t>
      </w:r>
      <w:r>
        <w:t xml:space="preserve">Autism</w:t>
      </w:r>
      <w:r>
        <w:t xml:space="preserve"> </w:t>
      </w:r>
      <w:r>
        <w:t xml:space="preserve">Spectrum</w:t>
      </w:r>
      <w:r>
        <w:t xml:space="preserve"> </w:t>
      </w:r>
      <w:r>
        <w:t xml:space="preserve">Disorder</w:t>
      </w:r>
      <w:r>
        <w:t xml:space="preserve"> </w:t>
      </w:r>
      <w:r>
        <w:t xml:space="preserve">Lifetime</w:t>
      </w:r>
      <w:r>
        <w:t xml:space="preserve"> </w:t>
      </w:r>
      <w:r>
        <w:t xml:space="preserve">excess costs -</w:t>
      </w:r>
      <w:r>
        <w:t xml:space="preserve"> </w:t>
      </w:r>
      <w:r>
        <w:t xml:space="preserve">Direct health</w:t>
      </w:r>
      <w:r>
        <w:t xml:space="preserve"> </w:t>
      </w:r>
      <w:r>
        <w:t xml:space="preserve">care costs and</w:t>
      </w:r>
      <w:r>
        <w:t xml:space="preserve"> </w:t>
      </w:r>
      <w:r>
        <w:t xml:space="preserve">indirect</w:t>
      </w:r>
      <w:r>
        <w:t xml:space="preserve"> </w:t>
      </w:r>
      <w:r>
        <w:t xml:space="preserve">societal costs</w:t>
      </w:r>
      <w:r>
        <w:t xml:space="preserve"> </w:t>
      </w:r>
      <w:r>
        <w:t xml:space="preserve">€490,000</w:t>
      </w:r>
      <w:r>
        <w:t xml:space="preserve"> </w:t>
      </w:r>
      <w:r>
        <w:t xml:space="preserve">1% (incidence)</w:t>
      </w:r>
      <w:r>
        <w:t xml:space="preserve"> </w:t>
      </w:r>
      <w:r>
        <w:t xml:space="preserve">4,000,000 (EU 27 -</w:t>
      </w:r>
      <w:r>
        <w:t xml:space="preserve"> </w:t>
      </w:r>
      <w:r>
        <w:t xml:space="preserve">live births in each</w:t>
      </w:r>
      <w:r>
        <w:t xml:space="preserve"> </w:t>
      </w:r>
      <w:r>
        <w:t xml:space="preserve">and every year)</w:t>
      </w:r>
      <w:r>
        <w:t xml:space="preserve"> </w:t>
      </w:r>
      <w:r>
        <w:t xml:space="preserve">40,000</w:t>
      </w:r>
      <w:r>
        <w:t xml:space="preserve"> </w:t>
      </w:r>
      <w:r>
        <w:t xml:space="preserve">400</w:t>
      </w:r>
      <w:r>
        <w:t xml:space="preserve"> </w:t>
      </w:r>
      <w:r>
        <w:t xml:space="preserve">Endocrine</w:t>
      </w:r>
      <w:r>
        <w:t xml:space="preserve"> </w:t>
      </w:r>
      <w:r>
        <w:t xml:space="preserve">disruptors and</w:t>
      </w:r>
      <w:r>
        <w:t xml:space="preserve"> </w:t>
      </w:r>
      <w:r>
        <w:t xml:space="preserve">neurotoxicants</w:t>
      </w:r>
      <w:r>
        <w:t xml:space="preserve"> </w:t>
      </w:r>
      <w:r>
        <w:t xml:space="preserve">ADHD</w:t>
      </w:r>
      <w:r>
        <w:t xml:space="preserve"> </w:t>
      </w:r>
      <w:r>
        <w:t xml:space="preserve">in</w:t>
      </w:r>
      <w:r>
        <w:t xml:space="preserve"> </w:t>
      </w:r>
      <w:r>
        <w:t xml:space="preserve">children</w:t>
      </w:r>
      <w:r>
        <w:t xml:space="preserve"> </w:t>
      </w:r>
      <w:r>
        <w:t xml:space="preserve">and</w:t>
      </w:r>
      <w:r>
        <w:t xml:space="preserve"> </w:t>
      </w:r>
      <w:r>
        <w:t xml:space="preserve">adolescents</w:t>
      </w:r>
      <w:r>
        <w:t xml:space="preserve"> </w:t>
      </w:r>
      <w:r>
        <w:t xml:space="preserve">Average total</w:t>
      </w:r>
      <w:r>
        <w:t xml:space="preserve"> </w:t>
      </w:r>
      <w:r>
        <w:t xml:space="preserve">ADHD-</w:t>
      </w:r>
      <w:r>
        <w:t xml:space="preserve"> </w:t>
      </w:r>
      <w:r>
        <w:t xml:space="preserve">related costs</w:t>
      </w:r>
      <w:r>
        <w:t xml:space="preserve"> </w:t>
      </w:r>
      <w:r>
        <w:t xml:space="preserve">per child /</w:t>
      </w:r>
      <w:r>
        <w:t xml:space="preserve"> </w:t>
      </w:r>
      <w:r>
        <w:t xml:space="preserve">adolescent</w:t>
      </w:r>
      <w:r>
        <w:t xml:space="preserve"> </w:t>
      </w:r>
      <w:r>
        <w:t xml:space="preserve">€ 120,000</w:t>
      </w:r>
      <w:r>
        <w:t xml:space="preserve"> </w:t>
      </w:r>
      <w:r>
        <w:t xml:space="preserve">4.8% (prevalence)</w:t>
      </w:r>
      <w:r>
        <w:t xml:space="preserve"> </w:t>
      </w:r>
      <w:r>
        <w:t xml:space="preserve">66,000,000 children</w:t>
      </w:r>
      <w:r>
        <w:t xml:space="preserve"> </w:t>
      </w:r>
      <w:r>
        <w:t xml:space="preserve">and adolescents (3-</w:t>
      </w:r>
      <w:r>
        <w:t xml:space="preserve"> </w:t>
      </w:r>
      <w:r>
        <w:t xml:space="preserve">18 years old) in 2050</w:t>
      </w:r>
      <w:r>
        <w:t xml:space="preserve"> </w:t>
      </w:r>
      <w:r>
        <w:t xml:space="preserve">in EU27</w:t>
      </w:r>
      <w:r>
        <w:t xml:space="preserve"> </w:t>
      </w:r>
      <w:r>
        <w:t xml:space="preserve">3,170,000</w:t>
      </w:r>
      <w:r>
        <w:t xml:space="preserve"> </w:t>
      </w:r>
      <w:r>
        <w:t xml:space="preserve">32,000</w:t>
      </w:r>
      <w:r>
        <w:t xml:space="preserve"> </w:t>
      </w:r>
      <w:r>
        <w:t xml:space="preserve">Endocrine</w:t>
      </w:r>
      <w:r>
        <w:t xml:space="preserve"> </w:t>
      </w:r>
      <w:r>
        <w:t xml:space="preserve">disruptors and</w:t>
      </w:r>
      <w:r>
        <w:t xml:space="preserve"> </w:t>
      </w:r>
      <w:r>
        <w:t xml:space="preserve">neurotoxicants</w:t>
      </w:r>
      <w:r>
        <w:t xml:space="preserve"> </w:t>
      </w:r>
      <w:r>
        <w:t xml:space="preserve">ADHD in adults</w:t>
      </w:r>
      <w:r>
        <w:t xml:space="preserve"> </w:t>
      </w:r>
      <w:r>
        <w:t xml:space="preserve">Lifetime</w:t>
      </w:r>
      <w:r>
        <w:t xml:space="preserve"> </w:t>
      </w:r>
      <w:r>
        <w:t xml:space="preserve">excess costs</w:t>
      </w:r>
      <w:r>
        <w:t xml:space="preserve"> </w:t>
      </w:r>
      <w:r>
        <w:t xml:space="preserve">per case</w:t>
      </w:r>
      <w:r>
        <w:br/>
      </w:r>
      <w:r>
        <w:t xml:space="preserve">€ 270,000</w:t>
      </w:r>
      <w:r>
        <w:t xml:space="preserve"> </w:t>
      </w:r>
      <w:r>
        <w:t xml:space="preserve">0.15%</w:t>
      </w:r>
      <w:r>
        <w:t xml:space="preserve"> </w:t>
      </w:r>
      <w:r>
        <w:t xml:space="preserve">(prevalence)</w:t>
      </w:r>
      <w:r>
        <w:t xml:space="preserve"> </w:t>
      </w:r>
      <w:r>
        <w:t xml:space="preserve">240,000,000 work-</w:t>
      </w:r>
      <w:r>
        <w:t xml:space="preserve"> </w:t>
      </w:r>
      <w:r>
        <w:t xml:space="preserve">age adults (19-65</w:t>
      </w:r>
      <w:r>
        <w:t xml:space="preserve"> </w:t>
      </w:r>
      <w:r>
        <w:t xml:space="preserve">years old) in 2050 in</w:t>
      </w:r>
      <w:r>
        <w:t xml:space="preserve"> </w:t>
      </w:r>
      <w:r>
        <w:t xml:space="preserve">EU27</w:t>
      </w:r>
      <w:r>
        <w:t xml:space="preserve"> </w:t>
      </w:r>
      <w:r>
        <w:t xml:space="preserve">360,000</w:t>
      </w:r>
      <w:r>
        <w:t xml:space="preserve"> </w:t>
      </w:r>
      <w:r>
        <w:t xml:space="preserve">3,600</w:t>
      </w:r>
      <w:r>
        <w:t xml:space="preserve"> </w:t>
      </w:r>
      <w:r>
        <w:t xml:space="preserve">Endocrine</w:t>
      </w:r>
      <w:r>
        <w:t xml:space="preserve"> </w:t>
      </w:r>
      <w:r>
        <w:t xml:space="preserve">disruptors</w:t>
      </w:r>
      <w:r>
        <w:t xml:space="preserve"> </w:t>
      </w:r>
      <w:r>
        <w:t xml:space="preserve">Diabetes</w:t>
      </w:r>
    </w:p>
    <w:p>
      <w:pPr>
        <w:pStyle w:val="BodyText"/>
      </w:pPr>
      <w:r>
        <w:t xml:space="preserve">Lifetime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indirect</w:t>
      </w:r>
      <w:r>
        <w:t xml:space="preserve"> </w:t>
      </w:r>
      <w:r>
        <w:t xml:space="preserve">healthcare</w:t>
      </w:r>
      <w:r>
        <w:t xml:space="preserve"> </w:t>
      </w:r>
      <w:r>
        <w:t xml:space="preserve">costs per case</w:t>
      </w:r>
      <w:r>
        <w:t xml:space="preserve"> </w:t>
      </w:r>
      <w:r>
        <w:t xml:space="preserve">€ 55,000</w:t>
      </w:r>
      <w:r>
        <w:t xml:space="preserve"> </w:t>
      </w:r>
      <w:r>
        <w:t xml:space="preserve">10.4%</w:t>
      </w:r>
      <w:r>
        <w:t xml:space="preserve"> </w:t>
      </w:r>
      <w:r>
        <w:t xml:space="preserve">310,000,000 (EU27</w:t>
      </w:r>
      <w:r>
        <w:t xml:space="preserve"> </w:t>
      </w:r>
      <w:r>
        <w:t xml:space="preserve">adult</w:t>
      </w:r>
      <w:r>
        <w:t xml:space="preserve"> </w:t>
      </w:r>
      <w:r>
        <w:t xml:space="preserve">population</w:t>
      </w:r>
      <w:r>
        <w:t xml:space="preserve"> </w:t>
      </w:r>
      <w:r>
        <w:t xml:space="preserve">(20-79y) in 2050)</w:t>
      </w:r>
      <w:r>
        <w:t xml:space="preserve"> </w:t>
      </w:r>
      <w:r>
        <w:t xml:space="preserve">32,000,000</w:t>
      </w:r>
      <w:r>
        <w:t xml:space="preserve"> </w:t>
      </w:r>
      <w:r>
        <w:t xml:space="preserve">320,000</w:t>
      </w:r>
      <w:r>
        <w:t xml:space="preserve"> </w:t>
      </w:r>
      <w:r>
        <w:t xml:space="preserve">*Rounded to the nearest five thousand</w:t>
      </w:r>
    </w:p>
    <w:p>
      <w:pPr>
        <w:pStyle w:val="BodyText"/>
      </w:pPr>
      <w:r>
        <w:t xml:space="preserve">The increased speed of the regulation is the key benefit of this option too. By reaching the protection</w:t>
      </w:r>
      <w:r>
        <w:t xml:space="preserve"> </w:t>
      </w:r>
      <w:r>
        <w:t xml:space="preserve">targets quicker than under the baseline or PO1a human health impacts could be achieved quicker too.</w:t>
      </w:r>
      <w:r>
        <w:br/>
      </w:r>
      <w:r>
        <w:t xml:space="preserve">It is worth noting though that this increase in safety could only be realised for the compliant toys on</w:t>
      </w:r>
      <w:r>
        <w:t xml:space="preserve"> </w:t>
      </w:r>
      <w:r>
        <w:t xml:space="preserve">the market. Without proper enforcement the higher risks of illicit toys would stay the same or even</w:t>
      </w:r>
      <w:r>
        <w:t xml:space="preserve"> </w:t>
      </w:r>
      <w:r>
        <w:t xml:space="preserve">increase due to higher compliance costs of the compliant producers.</w:t>
      </w:r>
      <w:r>
        <w:br/>
      </w:r>
      <w:r>
        <w:t xml:space="preserve">The human health impacts of the removal of the CLP-based derogation are hard to predict but would</w:t>
      </w:r>
      <w:r>
        <w:t xml:space="preserve"> </w:t>
      </w:r>
      <w:r>
        <w:t xml:space="preserve">be potentially significant.</w:t>
      </w:r>
      <w:r>
        <w:br/>
      </w:r>
      <w:r>
        <w:t xml:space="preserve">Another important condition is the link to the currently discussed implementation of the GRA in</w:t>
      </w:r>
      <w:r>
        <w:t xml:space="preserve"> </w:t>
      </w:r>
      <w:r>
        <w:t xml:space="preserve">REACH. If the same hazard classes and substances are banned under REACH it will be much easier</w:t>
      </w:r>
      <w:r>
        <w:t xml:space="preserve"> </w:t>
      </w:r>
      <w:r>
        <w:t xml:space="preserve">for the Toy industry to be compliant as chemical manufactures will need to adapt their practices.</w:t>
      </w:r>
      <w:r>
        <w:br/>
      </w:r>
      <w:r>
        <w:t xml:space="preserve">PO1c</w:t>
      </w:r>
      <w:r>
        <w:t xml:space="preserve"> </w:t>
      </w:r>
      <w:r>
        <w:t xml:space="preserve">Most of the benefits for human health described above under PO1b are also relevant also for PO1c.</w:t>
      </w:r>
      <w:r>
        <w:t xml:space="preserve"> </w:t>
      </w:r>
      <w:r>
        <w:t xml:space="preserve">The key difference is the number of derogations that can be expected. Under this option both the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211</w:t>
      </w:r>
      <w:r>
        <w:t xml:space="preserve"> </w:t>
      </w:r>
      <w:r>
        <w:t xml:space="preserve">EN</w:t>
      </w:r>
      <w:r>
        <w:t xml:space="preserve"> </w:t>
      </w:r>
      <w:r>
        <w:t xml:space="preserve">existing derogations for CRM substances and also potential future derogations on other hazard</w:t>
      </w:r>
      <w:r>
        <w:t xml:space="preserve"> </w:t>
      </w:r>
      <w:r>
        <w:t xml:space="preserve">categories would be not implemented or abandoned.</w:t>
      </w:r>
      <w:r>
        <w:br/>
      </w:r>
      <w:r>
        <w:t xml:space="preserve">Regarding the existing derogations, the evaluation of the TSD concluded that they do not pose an</w:t>
      </w:r>
      <w:r>
        <w:t xml:space="preserve"> </w:t>
      </w:r>
      <w:r>
        <w:t xml:space="preserve">additional human health risk, beyond the CLP-based derogation.</w:t>
      </w:r>
      <w:r>
        <w:br/>
      </w:r>
      <w:r>
        <w:t xml:space="preserve">Companies were very sceptical about the positive health impacts of removing derogations. Their</w:t>
      </w:r>
      <w:r>
        <w:t xml:space="preserve"> </w:t>
      </w:r>
      <w:r>
        <w:t xml:space="preserve">argument was that if derogations follow the procedure and the risk can be clearly avoided following</w:t>
      </w:r>
      <w:r>
        <w:t xml:space="preserve"> </w:t>
      </w:r>
      <w:r>
        <w:t xml:space="preserve">the conditions of the derogations, no extra human health risks are avoided by scraping the derogation.</w:t>
      </w:r>
      <w:r>
        <w:t xml:space="preserve"> </w:t>
      </w:r>
      <w:r>
        <w:t xml:space="preserve">In their opinion, the existing derogations are not abused and do not result in additional risks.</w:t>
      </w:r>
      <w:r>
        <w:br/>
      </w:r>
      <w:r>
        <w:t xml:space="preserve">Apart from the CLP-based derogation authorities did not point out either to another derogation that</w:t>
      </w:r>
      <w:r>
        <w:t xml:space="preserve"> </w:t>
      </w:r>
      <w:r>
        <w:t xml:space="preserve">would cause additional risk to the health of children.</w:t>
      </w:r>
      <w:r>
        <w:br/>
      </w:r>
      <w:r>
        <w:t xml:space="preserve">Consumer organisations considered that option 1c will give better tools to responsible authorities to</w:t>
      </w:r>
      <w:r>
        <w:t xml:space="preserve"> </w:t>
      </w:r>
      <w:r>
        <w:t xml:space="preserve">protect children. It should ensure the higher possibility of safe toys present in the single market of</w:t>
      </w:r>
      <w:r>
        <w:t xml:space="preserve"> </w:t>
      </w:r>
      <w:r>
        <w:t xml:space="preserve">the EU and if it will also implement new provisions which strengthen the requirements to ensure that</w:t>
      </w:r>
      <w:r>
        <w:t xml:space="preserve"> </w:t>
      </w:r>
      <w:r>
        <w:t xml:space="preserve">only safe toys enter the market, this should significantly increase the protection of the children health.</w:t>
      </w:r>
      <w:r>
        <w:t xml:space="preserve"> </w:t>
      </w:r>
      <w:r>
        <w:t xml:space="preserve">Many commentators from all sides argued that the derogation criteria are an important factor in the</w:t>
      </w:r>
      <w:r>
        <w:t xml:space="preserve"> </w:t>
      </w:r>
      <w:r>
        <w:t xml:space="preserve">choice between option 1b and 1c. If the derogation criteria can avoid all residual risks, no derogations</w:t>
      </w:r>
      <w:r>
        <w:t xml:space="preserve"> </w:t>
      </w:r>
      <w:r>
        <w:t xml:space="preserve">would be a regulation overreach but if not the human health impacts of 1c compared to 1b might be</w:t>
      </w:r>
      <w:r>
        <w:t xml:space="preserve"> </w:t>
      </w:r>
      <w:r>
        <w:t xml:space="preserve">significant. Yet, derogations for the most harmful substances under PO1b could be based on minimal</w:t>
      </w:r>
      <w:r>
        <w:t xml:space="preserve"> </w:t>
      </w:r>
      <w:r>
        <w:t xml:space="preserve">effects as a means to determine the safe use and in that respect PO1c could be more protective of</w:t>
      </w:r>
      <w:r>
        <w:t xml:space="preserve"> </w:t>
      </w:r>
      <w:r>
        <w:t xml:space="preserve">human health, as in that there could be no exposure to those substances.</w:t>
      </w:r>
      <w:r>
        <w:t xml:space="preserve"> </w:t>
      </w:r>
      <w:r>
        <w:t xml:space="preserve">Many commentators also formulated the concern that criteria that are too strict could inadvertently</w:t>
      </w:r>
      <w:r>
        <w:t xml:space="preserve"> </w:t>
      </w:r>
      <w:r>
        <w:t xml:space="preserve">foster the illicit toys market and increase human health risks in this way.</w:t>
      </w:r>
      <w:r>
        <w:br/>
      </w:r>
      <w:r>
        <w:t xml:space="preserve">C) Policy options to reduce the number of non-compliant toys</w:t>
      </w:r>
      <w:r>
        <w:t xml:space="preserve"> </w:t>
      </w:r>
      <w:r>
        <w:t xml:space="preserve">PO2a</w:t>
      </w:r>
      <w:r>
        <w:t xml:space="preserve"> </w:t>
      </w:r>
      <w:r>
        <w:t xml:space="preserve">Non-compliant toys are on average less safe for children. The available evidence and stakeholder</w:t>
      </w:r>
      <w:r>
        <w:t xml:space="preserve"> </w:t>
      </w:r>
      <w:r>
        <w:t xml:space="preserve">comments showed that this PO is expected to lead only to a very limited improvement in the number</w:t>
      </w:r>
      <w:r>
        <w:t xml:space="preserve"> </w:t>
      </w:r>
      <w:r>
        <w:t xml:space="preserve">of illicit toys is to be expected from the market and with that the risks of illicit toys would only</w:t>
      </w:r>
      <w:r>
        <w:t xml:space="preserve"> </w:t>
      </w:r>
      <w:r>
        <w:t xml:space="preserve">decrease slightly. Both authorities and companies agree overall that even third party conformity</w:t>
      </w:r>
      <w:r>
        <w:t xml:space="preserve"> </w:t>
      </w:r>
      <w:r>
        <w:t xml:space="preserve">assessments would be too easy to forge. Rogue traders could place their products on the EU market</w:t>
      </w:r>
      <w:r>
        <w:t xml:space="preserve"> </w:t>
      </w:r>
      <w:r>
        <w:t xml:space="preserve">without complying with the third-party conformity assessment, as they do today for other</w:t>
      </w:r>
      <w:r>
        <w:t xml:space="preserve"> </w:t>
      </w:r>
      <w:r>
        <w:t xml:space="preserve">requirements.</w:t>
      </w:r>
      <w:r>
        <w:t xml:space="preserve"> </w:t>
      </w:r>
      <w:r>
        <w:t xml:space="preserve">On the other hand the available evidence showed that the health risks of illicit toys are very substantial</w:t>
      </w:r>
      <w:r>
        <w:t xml:space="preserve"> </w:t>
      </w:r>
      <w:r>
        <w:t xml:space="preserve">and any positive impacts on the market share of those toys could would have an important impact on</w:t>
      </w:r>
      <w:r>
        <w:t xml:space="preserve"> </w:t>
      </w:r>
      <w:r>
        <w:t xml:space="preserve">human health.</w:t>
      </w:r>
      <w:r>
        <w:t xml:space="preserve"> </w:t>
      </w:r>
      <w:r>
        <w:t xml:space="preserve">PO2b</w:t>
      </w:r>
      <w:r>
        <w:t xml:space="preserve"> </w:t>
      </w:r>
      <w:r>
        <w:t xml:space="preserve">As this PO is expected to reduce significantly the number of non-compliant toys on the Union market,</w:t>
      </w:r>
      <w:r>
        <w:t xml:space="preserve"> </w:t>
      </w:r>
      <w:r>
        <w:t xml:space="preserve">it would have significant impacts on the health risks of those. The introduction of a DPP would make</w:t>
      </w:r>
      <w:r>
        <w:t xml:space="preserve"> </w:t>
      </w:r>
      <w:r>
        <w:t xml:space="preserve">it easier and less resource intensive for customs authorities and other market surveillance authorities</w:t>
      </w:r>
      <w:r>
        <w:t xml:space="preserve"> </w:t>
      </w:r>
      <w:r>
        <w:t xml:space="preserve">to identify non-compliant products. Digital product passports would help in reducing the number of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212</w:t>
      </w:r>
      <w:r>
        <w:t xml:space="preserve"> </w:t>
      </w:r>
      <w:r>
        <w:t xml:space="preserve">EN</w:t>
      </w:r>
      <w:r>
        <w:t xml:space="preserve"> </w:t>
      </w:r>
      <w:r>
        <w:t xml:space="preserve">illicit toys in the EU as currently authorities needs to reach out to the seller, importer and</w:t>
      </w:r>
      <w:r>
        <w:t xml:space="preserve"> </w:t>
      </w:r>
      <w:r>
        <w:t xml:space="preserve">manufacturer to collect all the necessary information, which can be a lengthy process. Withdrawing</w:t>
      </w:r>
      <w:r>
        <w:t xml:space="preserve"> </w:t>
      </w:r>
      <w:r>
        <w:t xml:space="preserve">non-compliant toys from the market will be quicker with the digital product passport.</w:t>
      </w:r>
      <w:r>
        <w:br/>
      </w:r>
      <w:r>
        <w:t xml:space="preserve">Finally, as the DPP will be required for toys coming from third countries to be placed on the Union</w:t>
      </w:r>
      <w:r>
        <w:t xml:space="preserve"> </w:t>
      </w:r>
      <w:r>
        <w:t xml:space="preserve">market, it will prevent a significant number of non-compliant toys from reaching the Union market.</w:t>
      </w:r>
      <w:r>
        <w:br/>
      </w:r>
      <w:r>
        <w:t xml:space="preserve">PO2c</w:t>
      </w:r>
      <w:r>
        <w:t xml:space="preserve"> </w:t>
      </w:r>
      <w:r>
        <w:t xml:space="preserve">Overall it is very likely that option 2c will be more effective than 2b and 2a in safeguarding and</w:t>
      </w:r>
      <w:r>
        <w:t xml:space="preserve"> </w:t>
      </w:r>
      <w:r>
        <w:t xml:space="preserve">improving human health. The two options combined in option 2c could reinforce each other with</w:t>
      </w:r>
      <w:r>
        <w:t xml:space="preserve"> </w:t>
      </w:r>
      <w:r>
        <w:t xml:space="preserve">more certainty on the assessments coming from third party conformity assessments and the</w:t>
      </w:r>
      <w:r>
        <w:t xml:space="preserve"> </w:t>
      </w:r>
      <w:r>
        <w:t xml:space="preserve">information more easily available with the DPP a real improvement in surveillance and controls at</w:t>
      </w:r>
      <w:r>
        <w:t xml:space="preserve"> </w:t>
      </w:r>
      <w:r>
        <w:t xml:space="preserve">customs could be achieved. However, seeing that the main impact will be expected from option 2b</w:t>
      </w:r>
      <w:r>
        <w:t xml:space="preserve"> </w:t>
      </w:r>
      <w:r>
        <w:t xml:space="preserve">though it can be discussed whether the added impact of option 2c is (compared to 2b) more than</w:t>
      </w:r>
      <w:r>
        <w:t xml:space="preserve"> </w:t>
      </w:r>
      <w:r>
        <w:t xml:space="preserve">marginal.</w:t>
      </w:r>
      <w:r>
        <w:t xml:space="preserve"> </w:t>
      </w:r>
      <w:r>
        <w:t xml:space="preserve">5.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While the TSD concerns the safety of children and not environmental protection or sustainability</w:t>
      </w:r>
      <w:r>
        <w:t xml:space="preserve"> </w:t>
      </w:r>
      <w:r>
        <w:t xml:space="preserve">aspects, certain indirect environmental impacts could be expected from the different policy options.</w:t>
      </w:r>
      <w:r>
        <w:t xml:space="preserve"> </w:t>
      </w:r>
      <w:r>
        <w:t xml:space="preserve">Several environmental concerns linked to TSD can clearly be identified, such as the presence of</w:t>
      </w:r>
      <w:r>
        <w:t xml:space="preserve"> </w:t>
      </w:r>
      <w:r>
        <w:t xml:space="preserve">hazardous substances (e.g., ED, CMR) in the toys that may be harmful not only for human health but</w:t>
      </w:r>
      <w:r>
        <w:t xml:space="preserve"> </w:t>
      </w:r>
      <w:r>
        <w:t xml:space="preserve">also for the environment, the recycling process of these toys and the submission in paper of</w:t>
      </w:r>
      <w:r>
        <w:t xml:space="preserve"> </w:t>
      </w:r>
      <w:r>
        <w:t xml:space="preserve">information on toys by the manufacturers.</w:t>
      </w:r>
      <w:r>
        <w:br/>
      </w:r>
      <w:r>
        <w:t xml:space="preserve">A) Baseline</w:t>
      </w:r>
      <w:r>
        <w:t xml:space="preserve"> </w:t>
      </w:r>
      <w:r>
        <w:t xml:space="preserve">Under the baseline scenario, specific environmental concerns regarding chemical substances will be</w:t>
      </w:r>
      <w:r>
        <w:t xml:space="preserve"> </w:t>
      </w:r>
      <w:r>
        <w:t xml:space="preserve">addressed by REACH. Sustainability requirements for toys may be set, as appropriate, under the</w:t>
      </w:r>
      <w:r>
        <w:t xml:space="preserve"> </w:t>
      </w:r>
      <w:r>
        <w:t xml:space="preserve">ESPR even though this is not foreseen in the medium term.</w:t>
      </w:r>
      <w:r>
        <w:br/>
      </w:r>
      <w:r>
        <w:t xml:space="preserve">Most information on the toy will continue to be provided on paper, such as the technical</w:t>
      </w:r>
      <w:r>
        <w:t xml:space="preserve"> </w:t>
      </w:r>
      <w:r>
        <w:t xml:space="preserve">documentation or the Declaration of Conformity, upon request of the market surveillance authorities.</w:t>
      </w:r>
      <w:r>
        <w:t xml:space="preserve"> </w:t>
      </w:r>
      <w:r>
        <w:t xml:space="preserve">B) Policy options to strengthen the protection of children from harmful chemicals - PO1a</w:t>
      </w:r>
      <w:r>
        <w:t xml:space="preserve"> </w:t>
      </w:r>
      <w:r>
        <w:t xml:space="preserve">Policy option 1a could have a positive effect on the environment, notably because it could lead to</w:t>
      </w:r>
      <w:r>
        <w:t xml:space="preserve"> </w:t>
      </w:r>
      <w:r>
        <w:t xml:space="preserve">less dangerous substances from toy materials and from recycled materials. This means that fewer</w:t>
      </w:r>
      <w:r>
        <w:t xml:space="preserve"> </w:t>
      </w:r>
      <w:r>
        <w:t xml:space="preserve">harmful chemicals would reach the environment through end-of-life toys.</w:t>
      </w:r>
      <w:r>
        <w:br/>
      </w:r>
      <w:r>
        <w:t xml:space="preserve">If depending on transition period requirements, already ordered and produced toys may need to be</w:t>
      </w:r>
      <w:r>
        <w:t xml:space="preserve"> </w:t>
      </w:r>
      <w:r>
        <w:t xml:space="preserve">sent for destruction, and this could thus have a negative impact on waste.</w:t>
      </w:r>
      <w:r>
        <w:t xml:space="preserve"> </w:t>
      </w:r>
      <w:r>
        <w:t xml:space="preserve">As concerns the combination of chemicals under this option, it should be consistently approached</w:t>
      </w:r>
      <w:r>
        <w:t xml:space="preserve"> </w:t>
      </w:r>
      <w:r>
        <w:t xml:space="preserve">across EU legislation on chemicals.</w:t>
      </w:r>
      <w:r>
        <w:t xml:space="preserve"> </w:t>
      </w:r>
      <w:r>
        <w:t xml:space="preserve">PO1b</w:t>
      </w:r>
      <w:r>
        <w:t xml:space="preserve"> </w:t>
      </w:r>
      <w:r>
        <w:t xml:space="preserve">The majority of stakeholders who expressed their opinion on the impacts of policy option 1b on the</w:t>
      </w:r>
      <w:r>
        <w:t xml:space="preserve"> </w:t>
      </w:r>
      <w:r>
        <w:t xml:space="preserve">environment highlighted that the main environmental concern linked to toys is the presence of</w:t>
      </w:r>
      <w:r>
        <w:t xml:space="preserve"> </w:t>
      </w:r>
      <w:r>
        <w:t xml:space="preserve">endocrine disruptors (EDs), PBT, vPvBs and CMR substances in the toys. These substances are</w:t>
      </w:r>
      <w:r>
        <w:t xml:space="preserve"> </w:t>
      </w:r>
      <w:r>
        <w:t xml:space="preserve">indeed present in toys, but not mentioned in the TSD (apart from CMR substance) and they are not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213</w:t>
      </w:r>
      <w:r>
        <w:t xml:space="preserve"> </w:t>
      </w:r>
      <w:r>
        <w:t xml:space="preserve">EN</w:t>
      </w:r>
      <w:r>
        <w:t xml:space="preserve"> </w:t>
      </w:r>
      <w:r>
        <w:t xml:space="preserve">all regulated yet at the level of horizontal chemical legislation. Many of the chemical substances that</w:t>
      </w:r>
      <w:r>
        <w:t xml:space="preserve"> </w:t>
      </w:r>
      <w:r>
        <w:t xml:space="preserve">would be covered by a generic ban in PO1b may not only be harmful for human health but also for</w:t>
      </w:r>
      <w:r>
        <w:t xml:space="preserve"> </w:t>
      </w:r>
      <w:r>
        <w:t xml:space="preserve">the environment. This PO will thus have greater benefits for the environment by addressing those.</w:t>
      </w:r>
      <w:r>
        <w:t xml:space="preserve"> </w:t>
      </w:r>
      <w:r>
        <w:t xml:space="preserve">If less chemicals are included in the toys produced, it could have a positive impact on the environment</w:t>
      </w:r>
      <w:r>
        <w:t xml:space="preserve"> </w:t>
      </w:r>
      <w:r>
        <w:t xml:space="preserve">as less dangerous substances from toy materials and from recycled materials would reach the</w:t>
      </w:r>
      <w:r>
        <w:t xml:space="preserve"> </w:t>
      </w:r>
      <w:r>
        <w:t xml:space="preserve">environment. As this option is expected to have more substances banned from the outset, it would</w:t>
      </w:r>
      <w:r>
        <w:t xml:space="preserve"> </w:t>
      </w:r>
      <w:r>
        <w:t xml:space="preserve">have higher benefits on the environment than PO1b.</w:t>
      </w:r>
      <w:r>
        <w:br/>
      </w:r>
      <w:r>
        <w:t xml:space="preserve">PO1c</w:t>
      </w:r>
      <w:r>
        <w:t xml:space="preserve"> </w:t>
      </w:r>
      <w:r>
        <w:t xml:space="preserve">Many of the impacts described above are relevant also for option 1c. The key difference is the number</w:t>
      </w:r>
      <w:r>
        <w:t xml:space="preserve"> </w:t>
      </w:r>
      <w:r>
        <w:t xml:space="preserve">of derogations that can be expected. Under this option both the existing derogations for CMR</w:t>
      </w:r>
      <w:r>
        <w:t xml:space="preserve"> </w:t>
      </w:r>
      <w:r>
        <w:t xml:space="preserve">substances and also potential future derogations on other hazard categories would be not implemented</w:t>
      </w:r>
      <w:r>
        <w:t xml:space="preserve"> </w:t>
      </w:r>
      <w:r>
        <w:t xml:space="preserve">or abandoned. Less derogations could mean that less harmful substances would be present in the</w:t>
      </w:r>
      <w:r>
        <w:t xml:space="preserve"> </w:t>
      </w:r>
      <w:r>
        <w:t xml:space="preserve">waste stream, which would thus have a positive impact on the environment, greater than for PO1b.</w:t>
      </w:r>
      <w:r>
        <w:t xml:space="preserve"> </w:t>
      </w:r>
      <w:r>
        <w:t xml:space="preserve">C) Policy options to reduce the number of non-compliant toys</w:t>
      </w:r>
      <w:r>
        <w:t xml:space="preserve"> </w:t>
      </w:r>
      <w:r>
        <w:t xml:space="preserve">PO2a</w:t>
      </w:r>
      <w:r>
        <w:t xml:space="preserve"> </w:t>
      </w:r>
      <w:r>
        <w:t xml:space="preserve">An increased number of third-party conformity assessment would allow to reduce the number of non-</w:t>
      </w:r>
      <w:r>
        <w:t xml:space="preserve"> </w:t>
      </w:r>
      <w:r>
        <w:t xml:space="preserve">compliant toys. Non-compliant toys are likely to be more harmful to the environment, therefore, a</w:t>
      </w:r>
      <w:r>
        <w:t xml:space="preserve"> </w:t>
      </w:r>
      <w:r>
        <w:t xml:space="preserve">reduction of the number of such toys would mean less pollution. Such a reduction would also favour</w:t>
      </w:r>
      <w:r>
        <w:t xml:space="preserve"> </w:t>
      </w:r>
      <w:r>
        <w:t xml:space="preserve">recycling as safer materials could be used to produce recycled toys.</w:t>
      </w:r>
      <w:r>
        <w:t xml:space="preserve"> </w:t>
      </w:r>
      <w:r>
        <w:t xml:space="preserve">Additionally, toys found to be non-compliant would not be shipped to the EU (and in some cases not</w:t>
      </w:r>
      <w:r>
        <w:t xml:space="preserve"> </w:t>
      </w:r>
      <w:r>
        <w:t xml:space="preserve">even produced) and this would have a positive impact on the environment as these non-compliant</w:t>
      </w:r>
      <w:r>
        <w:t xml:space="preserve"> </w:t>
      </w:r>
      <w:r>
        <w:t xml:space="preserve">toys would not have to be destroyed. This would mean that less waste is created, and the</w:t>
      </w:r>
      <w:r>
        <w:t xml:space="preserve"> </w:t>
      </w:r>
      <w:r>
        <w:t xml:space="preserve">environmental costs are also decreased due to the products not being transported.</w:t>
      </w:r>
      <w:r>
        <w:br/>
      </w:r>
      <w:r>
        <w:t xml:space="preserve">PO2b</w:t>
      </w:r>
      <w:r>
        <w:t xml:space="preserve"> </w:t>
      </w:r>
      <w:r>
        <w:t xml:space="preserve">Illicit toys are more harmful to the environment, therefore, a reduction of the number of such toys</w:t>
      </w:r>
      <w:r>
        <w:t xml:space="preserve"> </w:t>
      </w:r>
      <w:r>
        <w:t xml:space="preserve">would mean less pollution. It would also favour recycling for the production of toys as less harmful</w:t>
      </w:r>
      <w:r>
        <w:t xml:space="preserve"> </w:t>
      </w:r>
      <w:r>
        <w:t xml:space="preserve">substances would be present in recycled materials.</w:t>
      </w:r>
      <w:r>
        <w:t xml:space="preserve"> </w:t>
      </w:r>
      <w:r>
        <w:t xml:space="preserve">A post-marketing facilitation of controls on toys through the introduction of the digital product</w:t>
      </w:r>
      <w:r>
        <w:t xml:space="preserve"> </w:t>
      </w:r>
      <w:r>
        <w:t xml:space="preserve">passport could help reduce the number of non-compliant toys, and thus have a positive impact on the</w:t>
      </w:r>
      <w:r>
        <w:t xml:space="preserve"> </w:t>
      </w:r>
      <w:r>
        <w:t xml:space="preserve">environment. It could also help reducing the packaging of toys, which is an important part of the</w:t>
      </w:r>
      <w:r>
        <w:t xml:space="preserve"> </w:t>
      </w:r>
      <w:r>
        <w:t xml:space="preserve">waste creation linked to toys. Also, toys without proper documentation would not be shipped to the</w:t>
      </w:r>
      <w:r>
        <w:t xml:space="preserve"> </w:t>
      </w:r>
      <w:r>
        <w:t xml:space="preserve">EU, so it would not have to be destroyed in the EU either.</w:t>
      </w:r>
      <w:r>
        <w:br/>
      </w:r>
      <w:r>
        <w:t xml:space="preserve">Additionally, the digital passport for toys could help reduce the number of papers used by economic</w:t>
      </w:r>
      <w:r>
        <w:t xml:space="preserve"> </w:t>
      </w:r>
      <w:r>
        <w:t xml:space="preserve">operators and national authorities. It could even incentivise toy manufacturers to use higher quality</w:t>
      </w:r>
      <w:r>
        <w:t xml:space="preserve"> </w:t>
      </w:r>
      <w:r>
        <w:t xml:space="preserve">materials that do not have a negative impact on the environment.</w:t>
      </w:r>
      <w:r>
        <w:t xml:space="preserve"> </w:t>
      </w:r>
      <w:r>
        <w:t xml:space="preserve">In particular, policy option 2b would have overall a positive impact on the environment.</w:t>
      </w:r>
      <w:r>
        <w:br/>
      </w:r>
      <w:r>
        <w:t xml:space="preserve">Less non-compliant toys: The introduction of a digital product passport for toys would facilitate the</w:t>
      </w:r>
      <w:r>
        <w:t xml:space="preserve"> </w:t>
      </w:r>
      <w:r>
        <w:t xml:space="preserve">control of illicit toys as the EU declaration of conformity and information related to the toys could</w:t>
      </w:r>
      <w:r>
        <w:t xml:space="preserve"> </w:t>
      </w:r>
      <w:r>
        <w:t xml:space="preserve">be consulted by the market surveillance authorities quicker and at the entry into the EU market. This</w:t>
      </w:r>
      <w:r>
        <w:t xml:space="preserve"> </w:t>
      </w:r>
      <w:r>
        <w:t xml:space="preserve">would help to reduce the number of illicit toys on the EU market. As non-compliant toys have</w:t>
      </w:r>
      <w:r>
        <w:t xml:space="preserve"> </w:t>
      </w:r>
      <w:r>
        <w:t xml:space="preserve">negative impacts on the environment due to the harmful substances contained in them, a reduced</w:t>
      </w:r>
      <w:r>
        <w:t xml:space="preserve"> </w:t>
      </w:r>
      <w:r>
        <w:t xml:space="preserve">number of such toys would be beneficial for the environment.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214</w:t>
      </w:r>
      <w:r>
        <w:t xml:space="preserve"> </w:t>
      </w:r>
      <w:r>
        <w:t xml:space="preserve">EN</w:t>
      </w:r>
      <w:r>
        <w:t xml:space="preserve"> </w:t>
      </w:r>
      <w:r>
        <w:t xml:space="preserve">Less waste: The introduction of a digital passport for toys would benefit the environment because</w:t>
      </w:r>
      <w:r>
        <w:t xml:space="preserve"> </w:t>
      </w:r>
      <w:r>
        <w:t xml:space="preserve">digitalisation would reduce the packaging of toys, which is an important part of the waste creation</w:t>
      </w:r>
      <w:r>
        <w:t xml:space="preserve"> </w:t>
      </w:r>
      <w:r>
        <w:t xml:space="preserve">linked to toys. Also, as toys without proper documentation would not be shipped to the EU, it would</w:t>
      </w:r>
      <w:r>
        <w:t xml:space="preserve"> </w:t>
      </w:r>
      <w:r>
        <w:t xml:space="preserve">not have to be destroyed in the EU either. Thus, this would decrease overall the amount of waste</w:t>
      </w:r>
      <w:r>
        <w:t xml:space="preserve"> </w:t>
      </w:r>
      <w:r>
        <w:t xml:space="preserve">produced in the EU and the amount of energy needed for the destruction of the products.</w:t>
      </w:r>
      <w:r>
        <w:br/>
      </w:r>
      <w:r>
        <w:t xml:space="preserve">Paper savings: the digital passport for toys could help reduce the number of papers used by economic</w:t>
      </w:r>
      <w:r>
        <w:t xml:space="preserve"> </w:t>
      </w:r>
      <w:r>
        <w:t xml:space="preserve">operators and national authorities. Indeed, if part of the information that accompanies the toys in a</w:t>
      </w:r>
      <w:r>
        <w:t xml:space="preserve"> </w:t>
      </w:r>
      <w:r>
        <w:t xml:space="preserve">physical form now can be added to the digital product passport, it could reduce the amount of</w:t>
      </w:r>
      <w:r>
        <w:t xml:space="preserve"> </w:t>
      </w:r>
      <w:r>
        <w:t xml:space="preserve">packaging and of paper accompanying the products.</w:t>
      </w:r>
      <w:r>
        <w:br/>
      </w:r>
      <w:r>
        <w:t xml:space="preserve">Higher quality materials: A national authority added that the introduction of a digital passport for</w:t>
      </w:r>
      <w:r>
        <w:t xml:space="preserve"> </w:t>
      </w:r>
      <w:r>
        <w:t xml:space="preserve">toys would incentivise toy manufacturers to use higher quality materials that do not have a negative</w:t>
      </w:r>
      <w:r>
        <w:t xml:space="preserve"> </w:t>
      </w:r>
      <w:r>
        <w:t xml:space="preserve">impact on the environment.</w:t>
      </w:r>
    </w:p>
    <w:p>
      <w:pPr>
        <w:pStyle w:val="BodyText"/>
      </w:pPr>
      <w:r>
        <w:t xml:space="preserve">PO2c</w:t>
      </w:r>
      <w:r>
        <w:t xml:space="preserve"> </w:t>
      </w:r>
      <w:r>
        <w:t xml:space="preserve">On the one hand, the digital product passport would facilitate the control of toys by allowing a quicker</w:t>
      </w:r>
      <w:r>
        <w:t xml:space="preserve"> </w:t>
      </w:r>
      <w:r>
        <w:t xml:space="preserve">verification of market surveillance authorities and check before entering the EU market. On the other</w:t>
      </w:r>
      <w:r>
        <w:t xml:space="preserve"> </w:t>
      </w:r>
      <w:r>
        <w:t xml:space="preserve">hand, more conformity assessments would make it more likely that toys are overall compliant and do</w:t>
      </w:r>
      <w:r>
        <w:t xml:space="preserve"> </w:t>
      </w:r>
      <w:r>
        <w:t xml:space="preserve">not include harmful substances.</w:t>
      </w:r>
      <w:r>
        <w:t xml:space="preserve"> </w:t>
      </w:r>
      <w:r>
        <w:t xml:space="preserve">Both measures combined would thus allow to have fewer non-compliant toys in the EU market, and</w:t>
      </w:r>
      <w:r>
        <w:t xml:space="preserve"> </w:t>
      </w:r>
      <w:r>
        <w:t xml:space="preserve">thus less negative impact on the environment. This would also incentivise recycling as the toys could</w:t>
      </w:r>
      <w:r>
        <w:t xml:space="preserve"> </w:t>
      </w:r>
      <w:r>
        <w:t xml:space="preserve">use safer recycled materials.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215</w:t>
      </w:r>
      <w:r>
        <w:t xml:space="preserve"> </w:t>
      </w:r>
      <w:r>
        <w:t xml:space="preserve">EN</w:t>
      </w:r>
      <w:r>
        <w:t xml:space="preserve"> </w:t>
      </w:r>
      <w:r>
        <w:t xml:space="preserve">ANNEX 15: BIBLIOGRAPHY</w:t>
      </w:r>
      <w:r>
        <w:t xml:space="preserve"> </w:t>
      </w:r>
      <w:r>
        <w:t xml:space="preserve">1. Directive 2001/95/EC of the European Parliament and of the Council of 3 December 2001 on</w:t>
      </w:r>
      <w:r>
        <w:t xml:space="preserve"> </w:t>
      </w:r>
      <w:r>
        <w:t xml:space="preserve">general product safety, OJ L 11 of 15.01.2002</w:t>
      </w:r>
      <w:r>
        <w:t xml:space="preserve"> </w:t>
      </w:r>
      <w:r>
        <w:t xml:space="preserve">2. Regulation (EC) No 1935/2004 of the European Parliament and of the Council of 27 October</w:t>
      </w:r>
      <w:r>
        <w:t xml:space="preserve"> </w:t>
      </w:r>
      <w:r>
        <w:t xml:space="preserve">2004 on materials and articles intended to come into contact with food and repealing Directives</w:t>
      </w:r>
      <w:r>
        <w:t xml:space="preserve"> </w:t>
      </w:r>
      <w:r>
        <w:t xml:space="preserve">80/590/EEC and 89/109/EEC</w:t>
      </w:r>
      <w:r>
        <w:t xml:space="preserve"> </w:t>
      </w:r>
      <w:r>
        <w:t xml:space="preserve">3. Regulation 1907/2006, concerning the Registration, Evaluation, Authorisation and Restriction</w:t>
      </w:r>
      <w:r>
        <w:t xml:space="preserve"> </w:t>
      </w:r>
      <w:r>
        <w:t xml:space="preserve">of Chemicals (REACH), establishing a European Chemicals Agency, amending Directive</w:t>
      </w:r>
      <w:r>
        <w:t xml:space="preserve"> </w:t>
      </w:r>
      <w:r>
        <w:t xml:space="preserve">1999/45/EC and repealing Council Regulation (EEC) No 793/93 and Commission Regulation</w:t>
      </w:r>
      <w:r>
        <w:t xml:space="preserve"> </w:t>
      </w:r>
      <w:r>
        <w:t xml:space="preserve">(EC) No 1488/94 as well as Council Directive 76/769/EEC and Commission Directives</w:t>
      </w:r>
      <w:r>
        <w:t xml:space="preserve"> </w:t>
      </w:r>
      <w:r>
        <w:t xml:space="preserve">91/155/EEC, 93/67/EEC, 93/105/EC and 2000/21/EC</w:t>
      </w:r>
      <w:r>
        <w:t xml:space="preserve"> </w:t>
      </w:r>
      <w:r>
        <w:t xml:space="preserve">4. Regulation (EC) No 765/2008 of the European Parliament and of the Council of 9 July 2008</w:t>
      </w:r>
      <w:r>
        <w:t xml:space="preserve"> </w:t>
      </w:r>
      <w:r>
        <w:t xml:space="preserve">setting out the requirements for accreditation and market surveillance relating to the marketing</w:t>
      </w:r>
      <w:r>
        <w:t xml:space="preserve"> </w:t>
      </w:r>
      <w:r>
        <w:t xml:space="preserve">of products and repealing Regulation (EEC) No 339/93</w:t>
      </w:r>
      <w:r>
        <w:t xml:space="preserve"> </w:t>
      </w:r>
      <w:r>
        <w:t xml:space="preserve">5. Decision No 768/2008/EC of the European Parliament and of the Council of 9 July 2008 on a</w:t>
      </w:r>
      <w:r>
        <w:t xml:space="preserve"> </w:t>
      </w:r>
      <w:r>
        <w:t xml:space="preserve">common framework for the marketing of products, and repealing Council Decision</w:t>
      </w:r>
      <w:r>
        <w:t xml:space="preserve"> </w:t>
      </w:r>
      <w:r>
        <w:t xml:space="preserve">93/465/EEC</w:t>
      </w:r>
      <w:r>
        <w:t xml:space="preserve"> </w:t>
      </w:r>
      <w:r>
        <w:t xml:space="preserve">6. Regulation (EC) No 1272/2008 on classification, labelling and packaging of substances and</w:t>
      </w:r>
      <w:r>
        <w:t xml:space="preserve"> </w:t>
      </w:r>
      <w:r>
        <w:t xml:space="preserve">mixtures (CLP), amending and repealing Directives 67/548/EEC and 1999/45/EC, and</w:t>
      </w:r>
      <w:r>
        <w:t xml:space="preserve"> </w:t>
      </w:r>
      <w:r>
        <w:t xml:space="preserve">amending Regulation (EC) No 1907/2006Directive 2011/65/EU, on the restriction of the use</w:t>
      </w:r>
      <w:r>
        <w:t xml:space="preserve"> </w:t>
      </w:r>
      <w:r>
        <w:t xml:space="preserve">of certain hazardous substances in electrical and electronic equipment (RoHS)</w:t>
      </w:r>
      <w:r>
        <w:t xml:space="preserve"> </w:t>
      </w:r>
      <w:r>
        <w:t xml:space="preserve">7. Directive 2009/48/EC of the European Parliament and of the Council of 18 June 2009 on the</w:t>
      </w:r>
      <w:r>
        <w:t xml:space="preserve"> </w:t>
      </w:r>
      <w:r>
        <w:t xml:space="preserve">safety of toys</w:t>
      </w:r>
      <w:r>
        <w:t xml:space="preserve"> </w:t>
      </w:r>
      <w:r>
        <w:t xml:space="preserve">8. Regulation (EC) No 1223/2009 of the European Parliament and of the Council of 30</w:t>
      </w:r>
      <w:r>
        <w:t xml:space="preserve"> </w:t>
      </w:r>
      <w:r>
        <w:t xml:space="preserve">November 2009 on cosmetic products (recast)</w:t>
      </w:r>
      <w:r>
        <w:br/>
      </w:r>
      <w:r>
        <w:t xml:space="preserve">9. Directive 2011/65/EU of the European Parliament and of the Council of 8 June 2011 on the</w:t>
      </w:r>
      <w:r>
        <w:t xml:space="preserve"> </w:t>
      </w:r>
      <w:r>
        <w:t xml:space="preserve">restriction of the use of certain hazardous substances in electrical and electronic equipment</w:t>
      </w:r>
      <w:r>
        <w:t xml:space="preserve"> </w:t>
      </w:r>
      <w:r>
        <w:t xml:space="preserve">10. Directive 2014/53/EU of the European Parliament and of the Council of 16 April 2014 on the</w:t>
      </w:r>
      <w:r>
        <w:t xml:space="preserve"> </w:t>
      </w:r>
      <w:r>
        <w:t xml:space="preserve">harmonisation of the laws of the Member States relating to the making available on the market</w:t>
      </w:r>
      <w:r>
        <w:t xml:space="preserve"> </w:t>
      </w:r>
      <w:r>
        <w:t xml:space="preserve">of radio equipment and repealing Directive 1999/5/EC</w:t>
      </w:r>
      <w:r>
        <w:t xml:space="preserve"> </w:t>
      </w:r>
      <w:r>
        <w:t xml:space="preserve">11. Regulation (EU) 2016/679 of the European Parliament and of the Council of 27 April 2016 on</w:t>
      </w:r>
      <w:r>
        <w:t xml:space="preserve"> </w:t>
      </w:r>
      <w:r>
        <w:t xml:space="preserve">the protection of natural persons with regard to the processing of personal data and on the free</w:t>
      </w:r>
      <w:r>
        <w:t xml:space="preserve"> </w:t>
      </w:r>
      <w:r>
        <w:t xml:space="preserve">movement of such data, and repealing Directive 95/46/EC</w:t>
      </w:r>
      <w:r>
        <w:t xml:space="preserve"> </w:t>
      </w:r>
      <w:r>
        <w:t xml:space="preserve">12. Regulation (EU) 2019/881 of the European Parliament and of the Council of 17 April 2019 on</w:t>
      </w:r>
      <w:r>
        <w:t xml:space="preserve"> </w:t>
      </w:r>
      <w:r>
        <w:t xml:space="preserve">ENISA (the European Union Agency for Cybersecurity) and on information and</w:t>
      </w:r>
      <w:r>
        <w:t xml:space="preserve"> </w:t>
      </w:r>
      <w:r>
        <w:t xml:space="preserve">communications technology cybersecurity certification and repealing Regulation (EU) No</w:t>
      </w:r>
      <w:r>
        <w:t xml:space="preserve"> </w:t>
      </w:r>
      <w:r>
        <w:t xml:space="preserve">526/2013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216</w:t>
      </w:r>
      <w:r>
        <w:t xml:space="preserve"> </w:t>
      </w:r>
      <w:r>
        <w:t xml:space="preserve">EN</w:t>
      </w:r>
      <w:r>
        <w:t xml:space="preserve"> </w:t>
      </w:r>
      <w:r>
        <w:t xml:space="preserve">13. Regulation (EU) 2019/1020 of the European Parliament and of the Council of 20 June 2019</w:t>
      </w:r>
      <w:r>
        <w:t xml:space="preserve"> </w:t>
      </w:r>
      <w:r>
        <w:t xml:space="preserve">on market surveillance and compliance of products and amending Directive 2004/42/EC and</w:t>
      </w:r>
      <w:r>
        <w:t xml:space="preserve"> </w:t>
      </w:r>
      <w:r>
        <w:t xml:space="preserve">Regulations (EC) No 765/2008 and (EU) No 305/2011</w:t>
      </w:r>
      <w:r>
        <w:t xml:space="preserve"> </w:t>
      </w:r>
      <w:r>
        <w:t xml:space="preserve">14. Commission</w:t>
      </w:r>
      <w:r>
        <w:t xml:space="preserve"> </w:t>
      </w:r>
      <w:r>
        <w:t xml:space="preserve">Delegated Regulation (EU) 2022/30</w:t>
      </w:r>
      <w:r>
        <w:t xml:space="preserve"> </w:t>
      </w:r>
      <w:r>
        <w:t xml:space="preserve">of 29.10.2021 supplementing</w:t>
      </w:r>
      <w:r>
        <w:t xml:space="preserve"> </w:t>
      </w:r>
      <w:r>
        <w:t xml:space="preserve">Directive 2014/53/EU of the European Parliament and of the Council with regard to the</w:t>
      </w:r>
      <w:r>
        <w:t xml:space="preserve"> </w:t>
      </w:r>
      <w:r>
        <w:t xml:space="preserve">application of the essential requirements referred to in Article 3(3), points (d), (e) and (f), of</w:t>
      </w:r>
      <w:r>
        <w:t xml:space="preserve"> </w:t>
      </w:r>
      <w:r>
        <w:t xml:space="preserve">that directive, C(2021) 7672</w:t>
      </w:r>
      <w:r>
        <w:t xml:space="preserve"> </w:t>
      </w:r>
      <w:r>
        <w:t xml:space="preserve">15. Regulation (EU) 2022/2065 of the European Parliament and of the Council of 19 October 2022</w:t>
      </w:r>
      <w:r>
        <w:t xml:space="preserve"> </w:t>
      </w:r>
      <w:r>
        <w:t xml:space="preserve">on a Single Market For Digital Services and amending Directive 2000/31/EC (Digital Services</w:t>
      </w:r>
      <w:r>
        <w:t xml:space="preserve"> </w:t>
      </w:r>
      <w:r>
        <w:t xml:space="preserve">Act) OJ L 277, 27.10.2022, p. 1</w:t>
      </w:r>
      <w:r>
        <w:t xml:space="preserve"> </w:t>
      </w:r>
      <w:r>
        <w:t xml:space="preserve">16. Proposal for a Regulation of the European Parliament and of the Council laying down</w:t>
      </w:r>
      <w:r>
        <w:t xml:space="preserve"> </w:t>
      </w:r>
      <w:r>
        <w:t xml:space="preserve">harmonised rules on artificial intelligence (Artificial Intelligence Act) and amending certain</w:t>
      </w:r>
      <w:r>
        <w:t xml:space="preserve"> </w:t>
      </w:r>
      <w:r>
        <w:t xml:space="preserve">union legislative acts, COM(2021) 206</w:t>
      </w:r>
      <w:r>
        <w:t xml:space="preserve"> </w:t>
      </w:r>
      <w:r>
        <w:t xml:space="preserve">17. Regulation (EU) 2023/988 of the European Parliament and of the Council of 10 May 2023 on</w:t>
      </w:r>
      <w:r>
        <w:t xml:space="preserve"> </w:t>
      </w:r>
      <w:r>
        <w:t xml:space="preserve">general product safety, amending Regulation (EU) No 1025/2012 of the European Parliament</w:t>
      </w:r>
      <w:r>
        <w:t xml:space="preserve"> </w:t>
      </w:r>
      <w:r>
        <w:t xml:space="preserve">and of the Council and Directive (EU) 2020/1828 of the European Parliament and the Council,</w:t>
      </w:r>
      <w:r>
        <w:t xml:space="preserve"> </w:t>
      </w:r>
      <w:r>
        <w:t xml:space="preserve">and repealing Directive 2001/95/EC of the European Parliament and of the Council and</w:t>
      </w:r>
      <w:r>
        <w:t xml:space="preserve"> </w:t>
      </w:r>
      <w:r>
        <w:t xml:space="preserve">Council Directive 87/357/EEC, OJ L 135, 23.5.2023, p. 1</w:t>
      </w:r>
      <w:r>
        <w:br/>
      </w:r>
      <w:r>
        <w:t xml:space="preserve">18. Proposal for a Regulation of the European Parliament and of the Council establishing a</w:t>
      </w:r>
      <w:r>
        <w:t xml:space="preserve"> </w:t>
      </w:r>
      <w:r>
        <w:t xml:space="preserve">framework for setting ecodesign requirements for sustainable products and repealing Directive</w:t>
      </w:r>
      <w:r>
        <w:t xml:space="preserve"> </w:t>
      </w:r>
      <w:r>
        <w:t xml:space="preserve">2009/125/EC, COM(2022) 142</w:t>
      </w:r>
      <w:r>
        <w:t xml:space="preserve"> </w:t>
      </w:r>
      <w:r>
        <w:t xml:space="preserve">19. Chemicals Strategy for Sustainability: Towards a Toxic-Free Environment, COM(2020) 667</w:t>
      </w:r>
      <w:r>
        <w:br/>
      </w:r>
      <w:r>
        <w:t xml:space="preserve">20. New Consumer Agenda, COM(2020) 696</w:t>
      </w:r>
      <w:r>
        <w:t xml:space="preserve"> </w:t>
      </w:r>
      <w:r>
        <w:t xml:space="preserve">21. Cyber Resilience Act, Call for evidence for an impact assessment (2021)</w:t>
      </w:r>
      <w:r>
        <w:t xml:space="preserve"> </w:t>
      </w:r>
      <w:r>
        <w:t xml:space="preserve">22. European Parliament resolution of 16 February 2022 on the implementation of Directive</w:t>
      </w:r>
      <w:r>
        <w:t xml:space="preserve"> </w:t>
      </w:r>
      <w:r>
        <w:t xml:space="preserve">2009/48/EC of the European Parliament and of the Council on the safety of toys (Toy Safety</w:t>
      </w:r>
      <w:r>
        <w:t xml:space="preserve"> </w:t>
      </w:r>
      <w:r>
        <w:t xml:space="preserve">Directive), 2021/2040(INI)</w:t>
      </w:r>
      <w:r>
        <w:t xml:space="preserve"> </w:t>
      </w:r>
      <w:r>
        <w:t xml:space="preserve">23. Commission staff working document - Evaluation of Directive 2009/48/EC of the European</w:t>
      </w:r>
      <w:r>
        <w:t xml:space="preserve"> </w:t>
      </w:r>
      <w:r>
        <w:t xml:space="preserve">Parliament and of the Council on the safety of toys (SWD(2020) 288 final), 19 November</w:t>
      </w:r>
      <w:r>
        <w:t xml:space="preserve"> </w:t>
      </w:r>
      <w:r>
        <w:t xml:space="preserve">2020.</w:t>
      </w:r>
      <w:r>
        <w:t xml:space="preserve"> </w:t>
      </w:r>
      <w:r>
        <w:t xml:space="preserve">24. Commission notice The ‘Blue Guide’ on the implementation of EU product rules 2022 -</w:t>
      </w:r>
      <w:r>
        <w:t xml:space="preserve"> </w:t>
      </w:r>
      <w:r>
        <w:t xml:space="preserve">2022/C 247/01</w:t>
      </w:r>
      <w:r>
        <w:t xml:space="preserve"> </w:t>
      </w:r>
      <w:r>
        <w:t xml:space="preserve">25. Commission Decision 2012/160/EU of 1 March 2012 concerning the national provisions</w:t>
      </w:r>
      <w:r>
        <w:t xml:space="preserve"> </w:t>
      </w:r>
      <w:r>
        <w:t xml:space="preserve">notified by the German Federal Government maintaining the limit values for lead, barium,</w:t>
      </w:r>
      <w:r>
        <w:t xml:space="preserve"> </w:t>
      </w:r>
      <w:r>
        <w:t xml:space="preserve">arsenic, antimony, mercury and nitrosamines and nitrosatable substances in toys beyond the</w:t>
      </w:r>
      <w:r>
        <w:t xml:space="preserve"> </w:t>
      </w:r>
      <w:r>
        <w:t xml:space="preserve">entry into application of Directive 2009/48/EC of the European Parliament and of the Council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safety</w:t>
      </w:r>
      <w:r>
        <w:t xml:space="preserve"> </w:t>
      </w:r>
      <w:r>
        <w:t xml:space="preserve">of</w:t>
      </w:r>
      <w:r>
        <w:t xml:space="preserve"> </w:t>
      </w:r>
      <w:r>
        <w:t xml:space="preserve">toys,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content/EN/TXT/?qid=1495625630954&amp;uri=CELEX:32012D0160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217</w:t>
      </w:r>
      <w:r>
        <w:t xml:space="preserve"> </w:t>
      </w:r>
      <w:r>
        <w:t xml:space="preserve">EN</w:t>
      </w:r>
      <w:r>
        <w:t xml:space="preserve"> </w:t>
      </w:r>
      <w:r>
        <w:t xml:space="preserve">26. Study for the revision of the Toy Safety Directive, 2022, by VVA, CSES and Asterisk, to be</w:t>
      </w:r>
      <w:r>
        <w:t xml:space="preserve"> </w:t>
      </w:r>
      <w:r>
        <w:t xml:space="preserve">published.</w:t>
      </w:r>
      <w:r>
        <w:t xml:space="preserve"> </w:t>
      </w:r>
      <w:r>
        <w:t xml:space="preserve">27. Commission staff working document - Impact Assessment report accompanying the Review</w:t>
      </w:r>
      <w:r>
        <w:t xml:space="preserve"> </w:t>
      </w:r>
      <w:r>
        <w:t xml:space="preserve">of the CLP Regulation, not yet published.</w:t>
      </w:r>
      <w:r>
        <w:t xml:space="preserve"> </w:t>
      </w:r>
      <w:r>
        <w:t xml:space="preserve">28. The European Toy Market 2020 and Digital Trends 2021, February</w:t>
      </w:r>
      <w:r>
        <w:t xml:space="preserve"> </w:t>
      </w:r>
      <w:r>
        <w:t xml:space="preserve">2021.</w:t>
      </w:r>
      <w:r>
        <w:t xml:space="preserve"> </w:t>
      </w:r>
      <w:r>
        <w:t xml:space="preserve">https://globaltoynews.com/2021/02/05/the-european-toy-market-2020-and-digital-trends-</w:t>
      </w:r>
      <w:r>
        <w:t xml:space="preserve"> </w:t>
      </w:r>
      <w:r>
        <w:t xml:space="preserve">2021/</w:t>
      </w:r>
      <w:r>
        <w:t xml:space="preserve"> </w:t>
      </w:r>
      <w:r>
        <w:t xml:space="preserve">29. ECSIP Consortium (2013). Study on the competitiveness of the toy industry – Final Report,</w:t>
      </w:r>
      <w:r>
        <w:t xml:space="preserve"> </w:t>
      </w:r>
      <w:r>
        <w:t xml:space="preserve">p. </w:t>
      </w:r>
      <w:r>
        <w:t xml:space="preserve"> </w:t>
      </w:r>
      <w:r>
        <w:t xml:space="preserve">17.</w:t>
      </w:r>
      <w:r>
        <w:t xml:space="preserve"> </w:t>
      </w:r>
      <w:r>
        <w:t xml:space="preserve">https://ec.europa.eu/DocsRoom/documents/6653/attachments/1/translations/en/renditions/nat</w:t>
      </w:r>
      <w:r>
        <w:t xml:space="preserve"> </w:t>
      </w:r>
      <w:r>
        <w:t xml:space="preserve">ive</w:t>
      </w:r>
      <w:r>
        <w:t xml:space="preserve"> </w:t>
      </w:r>
      <w:r>
        <w:t xml:space="preserve">30. Khajeheian, D. (2018). Market analysis, strategy diagnosis and opportunity recognition in toy</w:t>
      </w:r>
      <w:r>
        <w:t xml:space="preserve"> </w:t>
      </w:r>
      <w:r>
        <w:t xml:space="preserve">industry [in:] “International Journal of Entrepreneurship and Small Business”, 33(2),</w:t>
      </w:r>
      <w:r>
        <w:t xml:space="preserve"> </w:t>
      </w:r>
      <w:r>
        <w:t xml:space="preserve">DOI:10.1504/ijesb.2018.090138.</w:t>
      </w:r>
      <w:r>
        <w:t xml:space="preserve"> </w:t>
      </w:r>
      <w:r>
        <w:t xml:space="preserve">31. Ismail, R., et al. (2020). Toy Safety in the ASEAN and European Union: A Comparative</w:t>
      </w:r>
      <w:r>
        <w:t xml:space="preserve"> </w:t>
      </w:r>
      <w:r>
        <w:t xml:space="preserve">Approach [in:] International Journal of Innovation, Creativity and Change, vol. 10/11, online.</w:t>
      </w:r>
      <w:r>
        <w:t xml:space="preserve"> </w:t>
      </w:r>
      <w:r>
        <w:t xml:space="preserve">32. What is driving online toy sales? July 2021, available at: https://www.npd.com/news/thought-</w:t>
      </w:r>
      <w:r>
        <w:t xml:space="preserve"> </w:t>
      </w:r>
      <w:r>
        <w:t xml:space="preserve">leadership/2021/whats-driving-online-toy-sales/</w:t>
      </w:r>
      <w:r>
        <w:t xml:space="preserve"> </w:t>
      </w:r>
      <w:r>
        <w:t xml:space="preserve">33. Commission staff working document - Fitness check of the most relevant chemicals legislation</w:t>
      </w:r>
      <w:r>
        <w:t xml:space="preserve"> </w:t>
      </w:r>
      <w:r>
        <w:t xml:space="preserve">(excluding REACH), as well as related aspects of legislation applied to downstream industries,</w:t>
      </w:r>
      <w:r>
        <w:t xml:space="preserve"> </w:t>
      </w:r>
      <w:r>
        <w:t xml:space="preserve">COM(2019)264 final, 18 July 2019.</w:t>
      </w:r>
      <w:r>
        <w:t xml:space="preserve"> </w:t>
      </w:r>
      <w:r>
        <w:t xml:space="preserve">34. Commission staff working document - Progress report on the assessment and management of</w:t>
      </w:r>
      <w:r>
        <w:t xml:space="preserve"> </w:t>
      </w:r>
      <w:r>
        <w:t xml:space="preserve">combined exposures to multiple chemicals (chemical mixtures) and associated risks</w:t>
      </w:r>
      <w:r>
        <w:t xml:space="preserve"> </w:t>
      </w:r>
      <w:r>
        <w:t xml:space="preserve">SWD(2020) 250, 14 October 2020.</w:t>
      </w:r>
      <w:r>
        <w:t xml:space="preserve"> </w:t>
      </w:r>
      <w:r>
        <w:t xml:space="preserve">35. United Nations Environment Programme, State of the Science of Endocrine Disputing</w:t>
      </w:r>
      <w:r>
        <w:t xml:space="preserve"> </w:t>
      </w:r>
      <w:r>
        <w:t xml:space="preserve">Chemicals - IPCP-2012.</w:t>
      </w:r>
      <w:r>
        <w:t xml:space="preserve"> </w:t>
      </w:r>
      <w:r>
        <w:t xml:space="preserve">36. L.N. Vandenberg &amp; J.L. Turgeon, Endocrine disrupting chemicals: Understanding what</w:t>
      </w:r>
      <w:r>
        <w:t xml:space="preserve"> </w:t>
      </w:r>
      <w:r>
        <w:t xml:space="preserve">matters. In L. N. Vandenberg, &amp; J. L. Turgeon (Eds.), Endocrine-Disrupting Chemicals,</w:t>
      </w:r>
      <w:r>
        <w:t xml:space="preserve"> </w:t>
      </w:r>
      <w:r>
        <w:t xml:space="preserve">2021. Combined effects on two year old children (mst.dk)</w:t>
      </w:r>
      <w:r>
        <w:t xml:space="preserve"> </w:t>
      </w:r>
      <w:r>
        <w:t xml:space="preserve">37. Prederi, Barbara, Alves, Crésio A.D. et Lughetti Lorenzo. “New insights on the effects of</w:t>
      </w:r>
      <w:r>
        <w:t xml:space="preserve"> </w:t>
      </w:r>
      <w:r>
        <w:t xml:space="preserve">endocrine disrupting chemicals on children” Jornal de Pediatria Volume 98, supplement 1,</w:t>
      </w:r>
      <w:r>
        <w:t xml:space="preserve"> </w:t>
      </w:r>
      <w:r>
        <w:t xml:space="preserve">March-April 2022, p. S73. https://doi.org/10.1016/j.jped.2021.11.003</w:t>
      </w:r>
      <w:r>
        <w:t xml:space="preserve"> </w:t>
      </w:r>
      <w:r>
        <w:t xml:space="preserve">38. Commission staff working document - Fitness Check on endocrine disruptors and its</w:t>
      </w:r>
      <w:r>
        <w:t xml:space="preserve"> </w:t>
      </w:r>
      <w:r>
        <w:t xml:space="preserve">Executive Summary, accompanying the Chemicals Strategy for Sustainability SWD(2020)</w:t>
      </w:r>
      <w:r>
        <w:t xml:space="preserve"> </w:t>
      </w:r>
      <w:r>
        <w:t xml:space="preserve">251 final, 14 October 2020.</w:t>
      </w:r>
      <w:r>
        <w:t xml:space="preserve"> </w:t>
      </w:r>
      <w:r>
        <w:t xml:space="preserve">39. Endocrine Disruptors: from Scientific Evidence to Human Health Protection, 2019 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https://www.aesan.gob.es/AECOSAN/docs/documentos/noticias/2019/Disruptores_endocrin</w:t>
      </w:r>
      <w:r>
        <w:t xml:space="preserve"> </w:t>
      </w:r>
      <w:r>
        <w:t xml:space="preserve">os.pdf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218</w:t>
      </w:r>
      <w:r>
        <w:t xml:space="preserve"> </w:t>
      </w:r>
      <w:r>
        <w:t xml:space="preserve">EN</w:t>
      </w:r>
      <w:r>
        <w:t xml:space="preserve"> </w:t>
      </w:r>
      <w:r>
        <w:t xml:space="preserve">40. Commission Implementing Decision (EU) 2021/1992 of 15 November 2021 on harmonised</w:t>
      </w:r>
      <w:r>
        <w:t xml:space="preserve"> </w:t>
      </w:r>
      <w:r>
        <w:t xml:space="preserve">standards for toys drafted in support of Directive 2009/48/EC of the European Parliament and</w:t>
      </w:r>
      <w:r>
        <w:t xml:space="preserve"> </w:t>
      </w:r>
      <w:r>
        <w:t xml:space="preserve">of the Council, OJ L 405, 16.11.2021, p. 14 http://data.europa.eu/eli/dec_impl/2021/1992/oj</w:t>
      </w:r>
      <w:r>
        <w:t xml:space="preserve"> </w:t>
      </w:r>
      <w:r>
        <w:t xml:space="preserve">41. Study for the technical and Scientific Support to the Commission’s Impact Assessment for the</w:t>
      </w:r>
      <w:r>
        <w:t xml:space="preserve"> </w:t>
      </w:r>
      <w:r>
        <w:t xml:space="preserve">Revision of the Regulation on Classification, Labelling and Packaging of Substances and</w:t>
      </w:r>
      <w:r>
        <w:t xml:space="preserve"> </w:t>
      </w:r>
      <w:r>
        <w:t xml:space="preserve">Mixtures (CLP), to be published.</w:t>
      </w:r>
      <w:r>
        <w:t xml:space="preserve"> </w:t>
      </w:r>
      <w:r>
        <w:t xml:space="preserve">42. I. Rijk, M. van Duursen, and M. van den Berg, Health cost that may be associated with</w:t>
      </w:r>
      <w:r>
        <w:t xml:space="preserve"> </w:t>
      </w:r>
      <w:r>
        <w:t xml:space="preserve">Endocrine Disrupting Chemicals — An inventory, evaluation and way forward to assess the</w:t>
      </w:r>
      <w:r>
        <w:t xml:space="preserve"> </w:t>
      </w:r>
      <w:r>
        <w:t xml:space="preserve">potential health impact of EDC-associated health effects in the EU, Institute for Risk</w:t>
      </w:r>
      <w:r>
        <w:t xml:space="preserve"> </w:t>
      </w:r>
      <w:r>
        <w:t xml:space="preserve">Assessment Sciences, University of Utrecht, 2016.</w:t>
      </w:r>
      <w:r>
        <w:t xml:space="preserve"> </w:t>
      </w:r>
      <w:r>
        <w:t xml:space="preserve">43. The toxic truth Children’s exposure to lead pollution undermines a generation of future</w:t>
      </w:r>
      <w:r>
        <w:t xml:space="preserve"> </w:t>
      </w:r>
      <w:r>
        <w:t xml:space="preserve">potential, UNICEF 2020, https://www.unicef.org/reports/toxic-truth-childrens-exposure-to-</w:t>
      </w:r>
      <w:r>
        <w:t xml:space="preserve"> </w:t>
      </w:r>
      <w:r>
        <w:t xml:space="preserve">lead-pollution-2020.</w:t>
      </w:r>
      <w:r>
        <w:t xml:space="preserve"> </w:t>
      </w:r>
      <w:r>
        <w:t xml:space="preserve">44. European Commission, Directorate-General for Environment, Study on the cumulative health</w:t>
      </w:r>
      <w:r>
        <w:t xml:space="preserve"> </w:t>
      </w:r>
      <w:r>
        <w:t xml:space="preserve">and environmental benefits of chemical legislation : final report, Publications Office,</w:t>
      </w:r>
      <w:r>
        <w:t xml:space="preserve"> </w:t>
      </w:r>
      <w:r>
        <w:t xml:space="preserve">2017, https://data.europa.eu/doi/10.2779/070159</w:t>
      </w:r>
      <w:r>
        <w:t xml:space="preserve"> </w:t>
      </w:r>
      <w:r>
        <w:t xml:space="preserve">45. European Commission, Directorate-General for Environment, Bakker, J., Reihlen, A., Meura,</w:t>
      </w:r>
      <w:r>
        <w:t xml:space="preserve"> </w:t>
      </w:r>
      <w:r>
        <w:t xml:space="preserve">L., et al., Study for the strategy for a non-toxic environment of the 7th Environment Action</w:t>
      </w:r>
      <w:r>
        <w:t xml:space="preserve"> </w:t>
      </w:r>
      <w:r>
        <w:t xml:space="preserve">Programme : final report, Publications Office, 2017, https://data.europa.eu/doi/10.2779/025</w:t>
      </w:r>
      <w:r>
        <w:t xml:space="preserve"> </w:t>
      </w:r>
      <w:r>
        <w:t xml:space="preserve">46. OECD - Considerations when assessing children’s exposure to chemicals from products -</w:t>
      </w:r>
      <w:r>
        <w:t xml:space="preserve"> </w:t>
      </w:r>
      <w:r>
        <w:t xml:space="preserve">Series</w:t>
      </w:r>
      <w:r>
        <w:t xml:space="preserve"> </w:t>
      </w:r>
      <w:r>
        <w:t xml:space="preserve">on</w:t>
      </w:r>
      <w:r>
        <w:t xml:space="preserve"> </w:t>
      </w:r>
      <w:r>
        <w:t xml:space="preserve">Testing</w:t>
      </w:r>
      <w:r>
        <w:t xml:space="preserve"> </w:t>
      </w:r>
      <w:r>
        <w:t xml:space="preserve">and</w:t>
      </w:r>
      <w:r>
        <w:t xml:space="preserve"> </w:t>
      </w:r>
      <w:r>
        <w:t xml:space="preserve">Assessment</w:t>
      </w:r>
      <w:r>
        <w:t xml:space="preserve"> </w:t>
      </w:r>
      <w:r>
        <w:t xml:space="preserve">No. </w:t>
      </w:r>
      <w:r>
        <w:t xml:space="preserve"> </w:t>
      </w:r>
      <w:r>
        <w:t xml:space="preserve">310,</w:t>
      </w:r>
      <w:r>
        <w:t xml:space="preserve"> </w:t>
      </w:r>
      <w:r>
        <w:t xml:space="preserve">September</w:t>
      </w:r>
      <w:r>
        <w:t xml:space="preserve"> </w:t>
      </w:r>
      <w:r>
        <w:t xml:space="preserve">2019</w:t>
      </w:r>
      <w:r>
        <w:t xml:space="preserve"> </w:t>
      </w:r>
      <w:r>
        <w:t xml:space="preserve">https://www.oecd.org/officialdocuments/publicdisplaydocumentpdf/?cote=ENV/JM/MONO(</w:t>
      </w:r>
      <w:r>
        <w:t xml:space="preserve"> </w:t>
      </w:r>
      <w:r>
        <w:t xml:space="preserve">2019)29&amp;docLanguage=en.</w:t>
      </w:r>
      <w:r>
        <w:t xml:space="preserve"> </w:t>
      </w:r>
      <w:r>
        <w:t xml:space="preserve">47. Carroquino, Maria J. et al. “Environmental Toxicology: Children at Risk.” Environmental</w:t>
      </w:r>
      <w:r>
        <w:t xml:space="preserve"> </w:t>
      </w:r>
      <w:r>
        <w:t xml:space="preserve">Toxicology: Selected Entries from the Encyclopedia of Sustainability Science and</w:t>
      </w:r>
      <w:r>
        <w:t xml:space="preserve"> </w:t>
      </w:r>
      <w:r>
        <w:t xml:space="preserve">Technology 239–291. 4 Dec. 2012, doi:10.1007/978-1-4614-5764-0_11</w:t>
      </w:r>
      <w:r>
        <w:t xml:space="preserve"> </w:t>
      </w:r>
      <w:r>
        <w:t xml:space="preserve">48. Scientific Committee on Toxicity, Ecotoxicity and the Environment (CSTEE), Opinion of the</w:t>
      </w:r>
      <w:r>
        <w:t xml:space="preserve"> </w:t>
      </w:r>
      <w:r>
        <w:t xml:space="preserve">on “Assessment of the bioavailability of certain elements in toys”, June 2004,</w:t>
      </w:r>
      <w:r>
        <w:t xml:space="preserve"> </w:t>
      </w:r>
      <w:r>
        <w:t xml:space="preserve">https://ec.europa.eu/health/ph_risk/committees/sct/documents/out235_en.pdf</w:t>
      </w:r>
      <w:r>
        <w:t xml:space="preserve"> </w:t>
      </w:r>
      <w:r>
        <w:t xml:space="preserve">49. Scientific Committee on Health and Environmental Risks (SCHER) Final Opinion on</w:t>
      </w:r>
      <w:r>
        <w:t xml:space="preserve"> </w:t>
      </w:r>
      <w:r>
        <w:t xml:space="preserve">Estimates of the amount of toy materials ingested by children, 8 April 2016,</w:t>
      </w:r>
      <w:r>
        <w:t xml:space="preserve"> </w:t>
      </w:r>
      <w:r>
        <w:t xml:space="preserve">https://health.ec.europa.eu/publications/estimates-amount-toy-materials-ingested-children_en</w:t>
      </w:r>
      <w:r>
        <w:t xml:space="preserve"> </w:t>
      </w:r>
      <w:r>
        <w:t xml:space="preserve">50. Kirchnawy C, Hager F, Osorio Piniella V, Jeschko M, Washüttl M, Mertl J, et al. </w:t>
      </w:r>
      <w:r>
        <w:t xml:space="preserve"> </w:t>
      </w:r>
      <w:r>
        <w:t xml:space="preserve">(2020) “Potential endocrine disrupting properties of toys for babies and infants” PLoS ONE</w:t>
      </w:r>
      <w:r>
        <w:t xml:space="preserve"> </w:t>
      </w:r>
      <w:r>
        <w:t xml:space="preserve">15(4): e0231171: https://doi.org/10.1371/journal.pone.0231171</w:t>
      </w:r>
      <w:r>
        <w:t xml:space="preserve"> </w:t>
      </w:r>
      <w:r>
        <w:t xml:space="preserve">51. UN Environment Programme (UNEP) “Chemicals of concern in plastic toys” available at:</w:t>
      </w:r>
      <w:r>
        <w:t xml:space="preserve"> </w:t>
      </w:r>
      <w:r>
        <w:t xml:space="preserve">https://doi.org/10.1016/j.envint.2020.106194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219</w:t>
      </w:r>
      <w:r>
        <w:t xml:space="preserve"> </w:t>
      </w:r>
      <w:r>
        <w:t xml:space="preserve">EN</w:t>
      </w:r>
      <w:r>
        <w:t xml:space="preserve"> </w:t>
      </w:r>
      <w:r>
        <w:t xml:space="preserve">52. Danish Environmental Protection Agency “CMR Substances in Toys – Market Surveillance</w:t>
      </w:r>
      <w:r>
        <w:t xml:space="preserve"> </w:t>
      </w:r>
      <w:r>
        <w:t xml:space="preserve">and</w:t>
      </w:r>
      <w:r>
        <w:t xml:space="preserve"> </w:t>
      </w:r>
      <w:r>
        <w:t xml:space="preserve">Risk</w:t>
      </w:r>
      <w:r>
        <w:t xml:space="preserve"> </w:t>
      </w:r>
      <w:r>
        <w:t xml:space="preserve">Assessment”</w:t>
      </w:r>
      <w:r>
        <w:t xml:space="preserve"> </w:t>
      </w:r>
      <w:r>
        <w:t xml:space="preserve">2015,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https://www2.mst.dk/Udgiv/publications/2015/10/978-87-93352-79-7.pdf</w:t>
      </w:r>
      <w:r>
        <w:t xml:space="preserve"> </w:t>
      </w:r>
      <w:r>
        <w:t xml:space="preserve">53. Scientific Committee on Health and Environmental Risks (SCHER) “Risk from organic CMR</w:t>
      </w:r>
      <w:r>
        <w:t xml:space="preserve"> </w:t>
      </w:r>
      <w:r>
        <w:t xml:space="preserve">substances</w:t>
      </w:r>
      <w:r>
        <w:t xml:space="preserve"> </w:t>
      </w:r>
      <w:r>
        <w:t xml:space="preserve">in</w:t>
      </w:r>
      <w:r>
        <w:t xml:space="preserve"> </w:t>
      </w:r>
      <w:r>
        <w:t xml:space="preserve">toys”,</w:t>
      </w:r>
      <w:r>
        <w:t xml:space="preserve"> </w:t>
      </w:r>
      <w:r>
        <w:t xml:space="preserve">18</w:t>
      </w:r>
      <w:r>
        <w:t xml:space="preserve"> </w:t>
      </w:r>
      <w:r>
        <w:t xml:space="preserve">May</w:t>
      </w:r>
      <w:r>
        <w:t xml:space="preserve"> </w:t>
      </w:r>
      <w:r>
        <w:t xml:space="preserve">2010</w:t>
      </w:r>
      <w:r>
        <w:t xml:space="preserve"> </w:t>
      </w:r>
      <w:r>
        <w:t xml:space="preserve">https://ec.europa.eu/health/scientific_committees/environmental_risks/docs/scher_o_121.pdf</w:t>
      </w:r>
      <w:r>
        <w:t xml:space="preserve"> </w:t>
      </w:r>
      <w:r>
        <w:t xml:space="preserve">54. Scientific Committee on Health and Environmental Risks (SCHER), Opinion on</w:t>
      </w:r>
      <w:r>
        <w:t xml:space="preserve"> </w:t>
      </w:r>
      <w:r>
        <w:t xml:space="preserve">“CEN’s</w:t>
      </w:r>
      <w:r>
        <w:t xml:space="preserve"> </w:t>
      </w:r>
      <w:r>
        <w:t xml:space="preserve">response to the opinion of the CSTEE on the assessment of CEN report on the risk assessment</w:t>
      </w:r>
      <w:r>
        <w:t xml:space="preserve"> </w:t>
      </w:r>
      <w:r>
        <w:t xml:space="preserve">of</w:t>
      </w:r>
      <w:r>
        <w:t xml:space="preserve"> </w:t>
      </w:r>
      <w:r>
        <w:t xml:space="preserve">organic</w:t>
      </w:r>
      <w:r>
        <w:t xml:space="preserve"> </w:t>
      </w:r>
      <w:r>
        <w:t xml:space="preserve">chemicals</w:t>
      </w:r>
      <w:r>
        <w:t xml:space="preserve"> </w:t>
      </w:r>
      <w:r>
        <w:t xml:space="preserve">in</w:t>
      </w:r>
      <w:r>
        <w:t xml:space="preserve"> </w:t>
      </w:r>
      <w:r>
        <w:t xml:space="preserve">toys”</w:t>
      </w:r>
      <w:r>
        <w:t xml:space="preserve">,</w:t>
      </w:r>
      <w:r>
        <w:t xml:space="preserve"> </w:t>
      </w:r>
      <w:r>
        <w:t xml:space="preserve">adopted</w:t>
      </w:r>
      <w:r>
        <w:t xml:space="preserve"> </w:t>
      </w:r>
      <w:r>
        <w:t xml:space="preserve">on</w:t>
      </w:r>
      <w:r>
        <w:t xml:space="preserve"> </w:t>
      </w:r>
      <w:r>
        <w:t xml:space="preserve">29</w:t>
      </w:r>
      <w:r>
        <w:t xml:space="preserve"> </w:t>
      </w:r>
      <w:r>
        <w:t xml:space="preserve">May</w:t>
      </w:r>
      <w:r>
        <w:t xml:space="preserve"> </w:t>
      </w:r>
      <w:r>
        <w:t xml:space="preserve">2007</w:t>
      </w:r>
      <w:r>
        <w:t xml:space="preserve"> </w:t>
      </w:r>
      <w:r>
        <w:t xml:space="preserve">https://ec.europa.eu/health/archive/ph_risk/committees/04_scher/docs/scher_o_056.pdf</w:t>
      </w:r>
      <w:r>
        <w:t xml:space="preserve"> </w:t>
      </w:r>
      <w:r>
        <w:t xml:space="preserve">55. TIE report on EU Toy Safety: the problem of unreputable sellers on online marketplaces</w:t>
      </w:r>
      <w:r>
        <w:t xml:space="preserve"> </w:t>
      </w:r>
      <w:r>
        <w:t xml:space="preserve">https://www.toyindustries.eu/ties-eu-toy-safety-the-problem-of-unreputable-sellers-on-</w:t>
      </w:r>
      <w:r>
        <w:t xml:space="preserve"> </w:t>
      </w:r>
      <w:r>
        <w:t xml:space="preserve">online-marketplaces/</w:t>
      </w:r>
      <w:r>
        <w:t xml:space="preserve"> </w:t>
      </w:r>
      <w:r>
        <w:t xml:space="preserve">56. BTHA</w:t>
      </w:r>
      <w:r>
        <w:t xml:space="preserve"> </w:t>
      </w:r>
      <w:r>
        <w:t xml:space="preserve">report</w:t>
      </w:r>
      <w:r>
        <w:t xml:space="preserve"> </w:t>
      </w:r>
      <w:r>
        <w:t xml:space="preserve">“Still</w:t>
      </w:r>
      <w:r>
        <w:t xml:space="preserve"> </w:t>
      </w:r>
      <w:r>
        <w:t xml:space="preserve">Toying</w:t>
      </w:r>
      <w:r>
        <w:t xml:space="preserve"> </w:t>
      </w:r>
      <w:r>
        <w:t xml:space="preserve">with</w:t>
      </w:r>
      <w:r>
        <w:t xml:space="preserve"> </w:t>
      </w:r>
      <w:r>
        <w:t xml:space="preserve">Children’s</w:t>
      </w:r>
      <w:r>
        <w:t xml:space="preserve"> </w:t>
      </w:r>
      <w:r>
        <w:t xml:space="preserve">Safety”</w:t>
      </w:r>
      <w:r>
        <w:t xml:space="preserve"> </w:t>
      </w:r>
      <w:r>
        <w:t xml:space="preserve">https://toysafety.co.uk/wp-</w:t>
      </w:r>
      <w:r>
        <w:t xml:space="preserve"> </w:t>
      </w:r>
      <w:r>
        <w:t xml:space="preserve">content/uploads/2021/10/BTHA-Online-Marketplace-Report.pdf</w:t>
      </w:r>
      <w:r>
        <w:t xml:space="preserve"> </w:t>
      </w:r>
      <w:r>
        <w:t xml:space="preserve">57. BEUC March 2022 “Products from online marketplaces continue to fail safety tests –</w:t>
      </w:r>
      <w:r>
        <w:t xml:space="preserve"> </w:t>
      </w:r>
      <w:r>
        <w:t xml:space="preserve">Compilation of research on unsafe products from online marketplaces from 2021 and 2022”</w:t>
      </w:r>
      <w:r>
        <w:t xml:space="preserve"> </w:t>
      </w:r>
      <w:r>
        <w:t xml:space="preserve">https://www.beuc.eu/sites/default/files/publications/beuc-x-2022-</w:t>
      </w:r>
      <w:r>
        <w:t xml:space="preserve"> </w:t>
      </w:r>
      <w:r>
        <w:t xml:space="preserve">029_products_from_online_marketplaces_continue_to_fail_safety_tests.pdf</w:t>
      </w:r>
      <w:r>
        <w:t xml:space="preserve"> </w:t>
      </w:r>
      <w:r>
        <w:t xml:space="preserve">58. OECD (2016),</w:t>
      </w:r>
      <w:r>
        <w:t xml:space="preserve"> </w:t>
      </w:r>
      <w:r>
        <w:t xml:space="preserve">“Online Product Safety Sweep Results: Australian Competition and Consumer</w:t>
      </w:r>
      <w:r>
        <w:t xml:space="preserve"> </w:t>
      </w:r>
      <w:r>
        <w:t xml:space="preserve">Commission”</w:t>
      </w:r>
      <w:r>
        <w:t xml:space="preserve">, OECD Digital Economy Papers, No. 262, OECD Publishing, Paris,</w:t>
      </w:r>
      <w:r>
        <w:t xml:space="preserve"> </w:t>
      </w:r>
      <w:r>
        <w:t xml:space="preserve">https://doi.org/10.1787/5jlnb5q64ktd-en.</w:t>
      </w:r>
      <w:r>
        <w:t xml:space="preserve"> </w:t>
      </w:r>
      <w:r>
        <w:t xml:space="preserve">59. Eurostat E-commerce statistics based on the results of the 2021 Survey on ICT usage and e-</w:t>
      </w:r>
      <w:r>
        <w:t xml:space="preserve"> </w:t>
      </w:r>
      <w:r>
        <w:t xml:space="preserve">commerce in enterprises, https://ec.europa.eu/eurostat/statistics-explained/index.php?title=E-</w:t>
      </w:r>
      <w:r>
        <w:t xml:space="preserve"> </w:t>
      </w:r>
      <w:r>
        <w:t xml:space="preserve">commerce_statistics</w:t>
      </w:r>
      <w:r>
        <w:t xml:space="preserve"> </w:t>
      </w:r>
      <w:r>
        <w:t xml:space="preserve">60. Eurostat E-commerce statistics for individuals based on the results of the 2021 survey on ICT</w:t>
      </w:r>
      <w:r>
        <w:t xml:space="preserve"> </w:t>
      </w:r>
      <w:r>
        <w:t xml:space="preserve">usage</w:t>
      </w:r>
      <w:r>
        <w:t xml:space="preserve"> </w:t>
      </w:r>
      <w:r>
        <w:t xml:space="preserve">in</w:t>
      </w:r>
      <w:r>
        <w:t xml:space="preserve"> </w:t>
      </w:r>
      <w:r>
        <w:t xml:space="preserve">households</w:t>
      </w:r>
      <w:r>
        <w:t xml:space="preserve"> </w:t>
      </w:r>
      <w:r>
        <w:t xml:space="preserve">and</w:t>
      </w:r>
      <w:r>
        <w:t xml:space="preserve"> </w:t>
      </w:r>
      <w:r>
        <w:t xml:space="preserve">by</w:t>
      </w:r>
      <w:r>
        <w:t xml:space="preserve"> </w:t>
      </w:r>
      <w:r>
        <w:t xml:space="preserve">individuals,</w:t>
      </w:r>
      <w:r>
        <w:t xml:space="preserve"> </w:t>
      </w:r>
      <w:r>
        <w:t xml:space="preserve">https://ec.europa.eu/eurostat/statistics-</w:t>
      </w:r>
      <w:r>
        <w:t xml:space="preserve"> </w:t>
      </w:r>
      <w:r>
        <w:t xml:space="preserve">explained/index.php?title=E-commerce_statistics_for_individuals</w:t>
      </w:r>
      <w:r>
        <w:t xml:space="preserve"> </w:t>
      </w:r>
      <w:r>
        <w:t xml:space="preserve">61. OECD Policy Responses to Coronavirus (COVID-19) - Connecting Businesses and</w:t>
      </w:r>
      <w:r>
        <w:t xml:space="preserve"> </w:t>
      </w:r>
      <w:r>
        <w:t xml:space="preserve">Consumers</w:t>
      </w:r>
      <w:r>
        <w:t xml:space="preserve"> </w:t>
      </w:r>
      <w:r>
        <w:t xml:space="preserve">During</w:t>
      </w:r>
      <w:r>
        <w:t xml:space="preserve"> </w:t>
      </w:r>
      <w:r>
        <w:t xml:space="preserve">COVID-19:</w:t>
      </w:r>
      <w:r>
        <w:t xml:space="preserve"> </w:t>
      </w:r>
      <w:r>
        <w:t xml:space="preserve">Trade</w:t>
      </w:r>
      <w:r>
        <w:t xml:space="preserve"> </w:t>
      </w:r>
      <w:r>
        <w:t xml:space="preserve">in</w:t>
      </w:r>
      <w:r>
        <w:t xml:space="preserve"> </w:t>
      </w:r>
      <w:r>
        <w:t xml:space="preserve">Parcels</w:t>
      </w:r>
      <w:r>
        <w:t xml:space="preserve"> </w:t>
      </w:r>
      <w:r>
        <w:t xml:space="preserve">9</w:t>
      </w:r>
      <w:r>
        <w:t xml:space="preserve"> </w:t>
      </w:r>
      <w:r>
        <w:t xml:space="preserve">July</w:t>
      </w:r>
      <w:r>
        <w:t xml:space="preserve"> </w:t>
      </w:r>
      <w:r>
        <w:t xml:space="preserve">2020,</w:t>
      </w:r>
      <w:r>
        <w:t xml:space="preserve"> </w:t>
      </w:r>
      <w:r>
        <w:t xml:space="preserve">https://www.oecd.org/coronavirus/policy-responses/connecting-businesses-and-consumers-</w:t>
      </w:r>
      <w:r>
        <w:t xml:space="preserve"> </w:t>
      </w:r>
      <w:r>
        <w:t xml:space="preserve">during-covid-19-trade-in-parcels-d18de131/</w:t>
      </w:r>
      <w:r>
        <w:t xml:space="preserve"> </w:t>
      </w:r>
      <w:r>
        <w:t xml:space="preserve">62. Swedish Chemicals Agency (KEMI) Increased e-commerce – increased chemicals risks? A</w:t>
      </w:r>
      <w:r>
        <w:t xml:space="preserve"> </w:t>
      </w:r>
      <w:r>
        <w:t xml:space="preserve">mapping of the challenges of e-commerce and proposed measures. Report of a government</w:t>
      </w:r>
      <w:r>
        <w:t xml:space="preserve"> </w:t>
      </w:r>
      <w:r>
        <w:t xml:space="preserve">assignment,</w:t>
      </w:r>
      <w:r>
        <w:t xml:space="preserve"> </w:t>
      </w:r>
      <w:r>
        <w:t xml:space="preserve">2021</w:t>
      </w:r>
      <w:r>
        <w:t xml:space="preserve"> </w:t>
      </w:r>
      <w:r>
        <w:t xml:space="preserve">https://www.kemi.se/download/18.10a06a7017c771cb35422e/1634280087819/Report-6-21-</w:t>
      </w:r>
      <w:r>
        <w:t xml:space="preserve"> </w:t>
      </w:r>
      <w:r>
        <w:t xml:space="preserve">Increased-e-commerce-increased-chemicals-risks.pdf</w:t>
      </w:r>
      <w:r>
        <w:t xml:space="preserve"> </w:t>
      </w:r>
      <w:r>
        <w:t xml:space="preserve">63. Europol</w:t>
      </w:r>
      <w:r>
        <w:t xml:space="preserve"> </w:t>
      </w:r>
      <w:r>
        <w:t xml:space="preserve">Guide</w:t>
      </w:r>
      <w:r>
        <w:t xml:space="preserve"> </w:t>
      </w:r>
      <w:r>
        <w:t xml:space="preserve">How</w:t>
      </w:r>
      <w:r>
        <w:t xml:space="preserve"> </w:t>
      </w:r>
      <w:r>
        <w:t xml:space="preserve">to</w:t>
      </w:r>
      <w:r>
        <w:t xml:space="preserve"> </w:t>
      </w:r>
      <w:r>
        <w:t xml:space="preserve">recognise</w:t>
      </w:r>
      <w:r>
        <w:t xml:space="preserve"> </w:t>
      </w:r>
      <w:r>
        <w:t xml:space="preserve">fake</w:t>
      </w:r>
      <w:r>
        <w:t xml:space="preserve"> </w:t>
      </w:r>
      <w:r>
        <w:t xml:space="preserve">and</w:t>
      </w:r>
      <w:r>
        <w:t xml:space="preserve"> </w:t>
      </w:r>
      <w:r>
        <w:t xml:space="preserve">hazardous</w:t>
      </w:r>
      <w:r>
        <w:t xml:space="preserve"> </w:t>
      </w:r>
      <w:r>
        <w:t xml:space="preserve">toys,</w:t>
      </w:r>
      <w:r>
        <w:t xml:space="preserve"> </w:t>
      </w:r>
      <w:r>
        <w:t xml:space="preserve">2022</w:t>
      </w:r>
      <w:r>
        <w:t xml:space="preserve"> </w:t>
      </w:r>
      <w:r>
        <w:t xml:space="preserve">https://www.europol.europa.eu/operations-services-and-innovation/public-awareness-and-</w:t>
      </w:r>
      <w:r>
        <w:t xml:space="preserve"> </w:t>
      </w:r>
      <w:r>
        <w:t xml:space="preserve">prevention-guides/how-to-recognise-fake-and-hazardous-toys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220</w:t>
      </w:r>
      <w:r>
        <w:t xml:space="preserve"> </w:t>
      </w:r>
      <w:r>
        <w:t xml:space="preserve">EN</w:t>
      </w:r>
      <w:r>
        <w:t xml:space="preserve"> </w:t>
      </w:r>
      <w:r>
        <w:t xml:space="preserve">64. Europol 2021, Cute, but deadly: law enforcement seize over €16 million worth of fake toys</w:t>
      </w:r>
      <w:r>
        <w:t xml:space="preserve"> </w:t>
      </w:r>
      <w:r>
        <w:t xml:space="preserve">https://www.europol.europa.eu/media-press/newsroom/news/cute-deadly-law-enforcement-</w:t>
      </w:r>
      <w:r>
        <w:t xml:space="preserve"> </w:t>
      </w:r>
      <w:r>
        <w:t xml:space="preserve">seize-over-%E2%82%AC16-million-worth-of-fake-toys</w:t>
      </w:r>
      <w:r>
        <w:t xml:space="preserve"> </w:t>
      </w:r>
      <w:r>
        <w:t xml:space="preserve">65. Putting more Union in the European Customs - Ten proposals to make the EU Customs Union</w:t>
      </w:r>
      <w:r>
        <w:t xml:space="preserve"> </w:t>
      </w:r>
      <w:r>
        <w:t xml:space="preserve">fit for a Geopolitical Europe Report by the Wise Persons Group on the Reform of the EU</w:t>
      </w:r>
      <w:r>
        <w:t xml:space="preserve"> </w:t>
      </w:r>
      <w:r>
        <w:t xml:space="preserve">Customs</w:t>
      </w:r>
      <w:r>
        <w:t xml:space="preserve"> </w:t>
      </w:r>
      <w:r>
        <w:t xml:space="preserve">Union</w:t>
      </w:r>
      <w:r>
        <w:t xml:space="preserve"> </w:t>
      </w:r>
      <w:r>
        <w:t xml:space="preserve">–</w:t>
      </w:r>
      <w:r>
        <w:t xml:space="preserve"> </w:t>
      </w:r>
      <w:r>
        <w:t xml:space="preserve">Brussels</w:t>
      </w:r>
      <w:r>
        <w:t xml:space="preserve"> </w:t>
      </w:r>
      <w:r>
        <w:t xml:space="preserve">March</w:t>
      </w:r>
      <w:r>
        <w:t xml:space="preserve"> </w:t>
      </w:r>
      <w:r>
        <w:t xml:space="preserve">2022</w:t>
      </w:r>
      <w:r>
        <w:t xml:space="preserve"> </w:t>
      </w:r>
      <w:r>
        <w:t xml:space="preserve">https://taxation-</w:t>
      </w:r>
      <w:r>
        <w:t xml:space="preserve"> </w:t>
      </w:r>
      <w:r>
        <w:t xml:space="preserve">customs.ec.europa.eu/system/files/2022-03/TAX-20-002-Future%20customs-</w:t>
      </w:r>
      <w:r>
        <w:t xml:space="preserve"> </w:t>
      </w:r>
      <w:r>
        <w:t xml:space="preserve">REPORT_BIS_v5%20(WEB).pdf</w:t>
      </w:r>
      <w:r>
        <w:t xml:space="preserve"> </w:t>
      </w:r>
      <w:r>
        <w:t xml:space="preserve">66. World Trade Organization E-commerce, trade and the Covid-19 pandemic, 4 May 2020</w:t>
      </w:r>
      <w:r>
        <w:t xml:space="preserve"> </w:t>
      </w:r>
      <w:r>
        <w:t xml:space="preserve">https://www.wto.org/english/tratop_e/covid19_e/ecommerce_report_e.pdf</w:t>
      </w:r>
      <w:r>
        <w:t xml:space="preserve"> </w:t>
      </w:r>
      <w:r>
        <w:t xml:space="preserve">67. European Commission, Directorate-General for Internal Market, Industry, Entrepreneurship</w:t>
      </w:r>
      <w:r>
        <w:t xml:space="preserve"> </w:t>
      </w:r>
      <w:r>
        <w:t xml:space="preserve">and SMEs, Supporting study for the evaluation of certain aspects of the New Legislative</w:t>
      </w:r>
      <w:r>
        <w:t xml:space="preserve"> </w:t>
      </w:r>
      <w:r>
        <w:t xml:space="preserve">Framework (Decision No 768/2008/EC and Regulation (EC) No 765/2008), Publications</w:t>
      </w:r>
      <w:r>
        <w:t xml:space="preserve"> </w:t>
      </w:r>
      <w:r>
        <w:t xml:space="preserve">Office of the European Union, 2022, https://data.europa.eu/doi/10.2873/625443</w:t>
      </w:r>
      <w:r>
        <w:t xml:space="preserve"> </w:t>
      </w:r>
      <w:r>
        <w:t xml:space="preserve">68. Scientific Committee on Non-Food Products (SCCNFP) An initial list of perfumery materials</w:t>
      </w:r>
      <w:r>
        <w:t xml:space="preserve"> </w:t>
      </w:r>
      <w:r>
        <w:t xml:space="preserve">which must not form part of cosmetic products. Opinion SCCNFP/0320/00 final, 3.5.2000.</w:t>
      </w:r>
    </w:p>
    <w:p>
      <w:pPr>
        <w:pStyle w:val="BodyText"/>
      </w:pPr>
      <w:r>
        <w:t xml:space="preserve">https://ec.europa.eu/health/ph_risk/committees/sccp/documents/out116_en.pdf</w:t>
      </w:r>
      <w:r>
        <w:t xml:space="preserve"> </w:t>
      </w:r>
      <w:r>
        <w:t xml:space="preserve">69. Scientific Committee on Non-Food Products (SCCNFP) An update of the initial list of</w:t>
      </w:r>
      <w:r>
        <w:t xml:space="preserve"> </w:t>
      </w:r>
      <w:r>
        <w:t xml:space="preserve">perfumery materials which must not form part of cosmetic products. Opinion</w:t>
      </w:r>
      <w:r>
        <w:t xml:space="preserve"> </w:t>
      </w:r>
      <w:r>
        <w:t xml:space="preserve">SCCNFP/0771/03</w:t>
      </w:r>
      <w:r>
        <w:t xml:space="preserve"> </w:t>
      </w:r>
      <w:r>
        <w:t xml:space="preserve">final,</w:t>
      </w:r>
      <w:r>
        <w:t xml:space="preserve"> </w:t>
      </w:r>
      <w:r>
        <w:t xml:space="preserve">9.12.2003.</w:t>
      </w:r>
      <w:r>
        <w:t xml:space="preserve"> </w:t>
      </w:r>
      <w:r>
        <w:t xml:space="preserve">https://ec.europa.eu/health/ph_risk/committees/sccp/documents/out251_en.pdf</w:t>
      </w:r>
      <w:r>
        <w:t xml:space="preserve"> </w:t>
      </w:r>
      <w:r>
        <w:t xml:space="preserve">70. Scientific Committee on Non-Food Products (SCCNFP) Fragrance allergy in consumers.</w:t>
      </w:r>
      <w:r>
        <w:t xml:space="preserve"> </w:t>
      </w:r>
      <w:r>
        <w:t xml:space="preserve">Opinion SCCNFP/0017/98 final, 8.12.1999. Table 6a, p. 22.</w:t>
      </w:r>
    </w:p>
    <w:p>
      <w:pPr>
        <w:pStyle w:val="BodyText"/>
      </w:pPr>
      <w:r>
        <w:t xml:space="preserve">https://ec.europa.eu/health/ph_risk/committees/sccp/documents/out98_en.pdf</w:t>
      </w:r>
      <w:r>
        <w:t xml:space="preserve"> </w:t>
      </w:r>
      <w:r>
        <w:t xml:space="preserve">71. Scientific Committee on Non-Food Products (SCCNFP) An initial list of perfumery materials</w:t>
      </w:r>
      <w:r>
        <w:t xml:space="preserve"> </w:t>
      </w:r>
      <w:r>
        <w:t xml:space="preserve">which must not form part of cosmetic products except subject to the restrictions and conditions</w:t>
      </w:r>
      <w:r>
        <w:t xml:space="preserve"> </w:t>
      </w:r>
      <w:r>
        <w:t xml:space="preserve">laid</w:t>
      </w:r>
      <w:r>
        <w:t xml:space="preserve"> </w:t>
      </w:r>
      <w:r>
        <w:t xml:space="preserve">down.</w:t>
      </w:r>
      <w:r>
        <w:t xml:space="preserve"> </w:t>
      </w:r>
      <w:r>
        <w:t xml:space="preserve">SCCNFP/392/00</w:t>
      </w:r>
      <w:r>
        <w:t xml:space="preserve"> </w:t>
      </w:r>
      <w:r>
        <w:t xml:space="preserve">final,</w:t>
      </w:r>
      <w:r>
        <w:t xml:space="preserve"> </w:t>
      </w:r>
      <w:r>
        <w:t xml:space="preserve">25.9.2001.</w:t>
      </w:r>
      <w:r>
        <w:t xml:space="preserve"> </w:t>
      </w:r>
      <w:r>
        <w:t xml:space="preserve">https://ec.europa.eu/health/ph_risk/committees/sccp/documents/out150_en.pdf</w:t>
      </w:r>
      <w:r>
        <w:t xml:space="preserve"> </w:t>
      </w:r>
      <w:r>
        <w:t xml:space="preserve">72. Scientific Committee on Consumer Products (SCCP) Opinion on Oak moss / Tree moss</w:t>
      </w:r>
      <w:r>
        <w:t xml:space="preserve"> </w:t>
      </w:r>
      <w:r>
        <w:t xml:space="preserve">(sensitisation only). SCCP/1131/07, 15.4.2008.</w:t>
      </w:r>
    </w:p>
    <w:p>
      <w:pPr>
        <w:pStyle w:val="BodyText"/>
      </w:pPr>
      <w:r>
        <w:t xml:space="preserve">https://ec.europa.eu/health/ph_risk/committees/04_sccp/docs/sccp_o_131.pdf</w:t>
      </w:r>
      <w:r>
        <w:t xml:space="preserve"> </w:t>
      </w:r>
      <w:r>
        <w:t xml:space="preserve">73. Larson DB, Jordan SR (2018) Playing it safe: toy safety and conformity assessment in Europe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States.</w:t>
      </w:r>
      <w:r>
        <w:t xml:space="preserve"> </w:t>
      </w:r>
      <w:r>
        <w:t xml:space="preserve">Sage</w:t>
      </w:r>
      <w:r>
        <w:t xml:space="preserve"> </w:t>
      </w:r>
      <w:r>
        <w:t xml:space="preserve">journals.</w:t>
      </w:r>
      <w:r>
        <w:br/>
      </w:r>
      <w:r>
        <w:t xml:space="preserve">https://journals.sagepub.com/doi/full/10.1177/0020852317747370</w:t>
      </w:r>
      <w:r>
        <w:t xml:space="preserve"> </w:t>
      </w:r>
      <w:r>
        <w:t xml:space="preserve">74. Ismail, R., et al. (2021). Towards a Framework for Establishing Children’s Toys Safety Policy</w:t>
      </w:r>
      <w:r>
        <w:t xml:space="preserve"> </w:t>
      </w:r>
      <w:r>
        <w:t xml:space="preserve">in ASEAN [in:] “International Journal of Academic Research in Business and Social</w:t>
      </w:r>
      <w:r>
        <w:t xml:space="preserve"> </w:t>
      </w:r>
      <w:r>
        <w:t xml:space="preserve">Sciences”, vol. 11(3), DOI:10.6007/IJARBSS/v11-i3/8812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221</w:t>
      </w:r>
      <w:r>
        <w:t xml:space="preserve"> </w:t>
      </w:r>
      <w:r>
        <w:t xml:space="preserve">EN</w:t>
      </w:r>
      <w:r>
        <w:t xml:space="preserve"> </w:t>
      </w:r>
      <w:r>
        <w:t xml:space="preserve">75. Holloway, D. &amp; Green, L. (2016). The Internet of Toys. [in:] “Communication Research and</w:t>
      </w:r>
      <w:r>
        <w:t xml:space="preserve"> </w:t>
      </w:r>
      <w:r>
        <w:t xml:space="preserve">Practice, Special Issue: ANZCA 2016 Creating Space in the Fifth Estate”, Vol. 2, Issue 4, (eds. </w:t>
      </w:r>
      <w:r>
        <w:t xml:space="preserve"> </w:t>
      </w:r>
      <w:r>
        <w:t xml:space="preserve">Fulton, J. &amp; McIntyre, P.), DOI: 10.1080/22041451.2016.1266124.</w:t>
      </w:r>
      <w:r>
        <w:t xml:space="preserve"> </w:t>
      </w:r>
      <w:r>
        <w:t xml:space="preserve">76. 2021</w:t>
      </w:r>
      <w:r>
        <w:t xml:space="preserve"> </w:t>
      </w:r>
      <w:r>
        <w:t xml:space="preserve">European</w:t>
      </w:r>
      <w:r>
        <w:t xml:space="preserve"> </w:t>
      </w:r>
      <w:r>
        <w:t xml:space="preserve">e-commerce</w:t>
      </w:r>
      <w:r>
        <w:t xml:space="preserve"> </w:t>
      </w:r>
      <w:r>
        <w:t xml:space="preserve">report,</w:t>
      </w:r>
      <w:r>
        <w:t xml:space="preserve"> </w:t>
      </w:r>
      <w:r>
        <w:t xml:space="preserve">https://ecommerce-europe.eu/wp-</w:t>
      </w:r>
      <w:r>
        <w:t xml:space="preserve"> </w:t>
      </w:r>
      <w:r>
        <w:t xml:space="preserve">content/uploads/2021/09/2021-European-E-commerce-Report-LIGHT-VERSION.pdf</w:t>
      </w:r>
      <w:r>
        <w:t xml:space="preserve"> </w:t>
      </w:r>
      <w:r>
        <w:t xml:space="preserve">77. Bjerkan, K. Y., Bjørgen, A., Hjelkrem, O. A. (2020). E-commerce and prevalence of last mile</w:t>
      </w:r>
      <w:r>
        <w:t xml:space="preserve"> </w:t>
      </w:r>
      <w:r>
        <w:t xml:space="preserve">practices,</w:t>
      </w:r>
      <w:r>
        <w:t xml:space="preserve"> </w:t>
      </w:r>
      <w:r>
        <w:t xml:space="preserve">[in:]</w:t>
      </w:r>
      <w:r>
        <w:t xml:space="preserve"> </w:t>
      </w:r>
      <w:r>
        <w:t xml:space="preserve">“Transportation</w:t>
      </w:r>
      <w:r>
        <w:t xml:space="preserve"> </w:t>
      </w:r>
      <w:r>
        <w:t xml:space="preserve">Research</w:t>
      </w:r>
      <w:r>
        <w:t xml:space="preserve"> </w:t>
      </w:r>
      <w:r>
        <w:t xml:space="preserve">Procedia”,</w:t>
      </w:r>
      <w:r>
        <w:t xml:space="preserve"> </w:t>
      </w:r>
      <w:r>
        <w:t xml:space="preserve">vol. </w:t>
      </w:r>
      <w:r>
        <w:t xml:space="preserve"> </w:t>
      </w:r>
      <w:r>
        <w:t xml:space="preserve">46,</w:t>
      </w:r>
      <w:r>
        <w:t xml:space="preserve"> </w:t>
      </w:r>
      <w:r>
        <w:t xml:space="preserve">DOI:</w:t>
      </w:r>
      <w:r>
        <w:t xml:space="preserve"> </w:t>
      </w:r>
      <w:r>
        <w:t xml:space="preserve">10.1016/j.trpro.2020.03.193</w:t>
      </w:r>
      <w:r>
        <w:t xml:space="preserve"> </w:t>
      </w:r>
      <w:r>
        <w:t xml:space="preserve">78. Lone, S., Harboul, N., &amp; Weltevreden, J. W. J. (2021). 2021 European E-commerce Report,</w:t>
      </w:r>
      <w:r>
        <w:t xml:space="preserve"> </w:t>
      </w:r>
      <w:r>
        <w:t xml:space="preserve">online:</w:t>
      </w:r>
      <w:r>
        <w:t xml:space="preserve"> </w:t>
      </w:r>
      <w:r>
        <w:t xml:space="preserve">https://www.cmihva.nl/wp-content/uploads/2021/09/EuropeanEcommerce-Report-</w:t>
      </w:r>
      <w:r>
        <w:t xml:space="preserve"> </w:t>
      </w:r>
      <w:r>
        <w:t xml:space="preserve">2021.pdf</w:t>
      </w:r>
      <w:r>
        <w:t xml:space="preserve"> </w:t>
      </w:r>
      <w:r>
        <w:t xml:space="preserve">79. Metapack (2022). Ecommerce Delivery Benchmark Report 2022. Welcome to the age of</w:t>
      </w:r>
      <w:r>
        <w:t xml:space="preserve"> </w:t>
      </w:r>
      <w:r>
        <w:t xml:space="preserve">ecommerce,</w:t>
      </w:r>
      <w:r>
        <w:t xml:space="preserve"> </w:t>
      </w:r>
      <w:r>
        <w:t xml:space="preserve">online:</w:t>
      </w:r>
      <w:r>
        <w:t xml:space="preserve"> </w:t>
      </w:r>
      <w:r>
        <w:t xml:space="preserve">https://info.metapack.com/rs/700-ZMT-</w:t>
      </w:r>
      <w:r>
        <w:t xml:space="preserve"> </w:t>
      </w:r>
      <w:r>
        <w:t xml:space="preserve">762/images/Ecommerce%20Delivery%20Benchmark%20Report%202022%20%282%29.pd</w:t>
      </w:r>
      <w:r>
        <w:t xml:space="preserve"> </w:t>
      </w:r>
      <w:r>
        <w:t xml:space="preserve">f</w:t>
      </w:r>
      <w:r>
        <w:t xml:space="preserve"> </w:t>
      </w:r>
      <w:r>
        <w:t xml:space="preserve">80. Negev, M. et al. (2018). Regulation of Chemicals in Children’s Products: How U.S. and EU</w:t>
      </w:r>
      <w:r>
        <w:t xml:space="preserve"> </w:t>
      </w:r>
      <w:r>
        <w:t xml:space="preserve">Regulation Impacts Small Markets [in:] “Science of the Total Environment”, vol. 616-617,</w:t>
      </w:r>
      <w:r>
        <w:t xml:space="preserve"> </w:t>
      </w:r>
      <w:r>
        <w:t xml:space="preserve">DOI: https://doi.org/10.1016/j.scitotenv.2017.10.198</w:t>
      </w:r>
      <w:r>
        <w:t xml:space="preserve"> </w:t>
      </w:r>
      <w:r>
        <w:t xml:space="preserve">81. He, L., Reimers, I., &amp; Shiller, B. (2021) Does Amazon Exercise its Market Power? Evidence</w:t>
      </w:r>
      <w:r>
        <w:t xml:space="preserve"> </w:t>
      </w:r>
      <w:r>
        <w:t xml:space="preserve">from Toys R Us. Online: http://dx.doi.org/10.2139/ssrn.3910636</w:t>
      </w:r>
      <w:r>
        <w:t xml:space="preserve"> </w:t>
      </w:r>
      <w:r>
        <w:t xml:space="preserve">82. International Programme on Chemical Safety. (2002). Global assessment on the state of the</w:t>
      </w:r>
      <w:r>
        <w:t xml:space="preserve"> </w:t>
      </w:r>
      <w:r>
        <w:t xml:space="preserve">science</w:t>
      </w:r>
      <w:r>
        <w:t xml:space="preserve"> </w:t>
      </w:r>
      <w:r>
        <w:t xml:space="preserve">of</w:t>
      </w:r>
      <w:r>
        <w:t xml:space="preserve"> </w:t>
      </w:r>
      <w:r>
        <w:t xml:space="preserve">endocrine</w:t>
      </w:r>
      <w:r>
        <w:t xml:space="preserve"> </w:t>
      </w:r>
      <w:r>
        <w:t xml:space="preserve">disruptors.</w:t>
      </w:r>
      <w:r>
        <w:t xml:space="preserve"> </w:t>
      </w:r>
      <w:r>
        <w:t xml:space="preserve">World</w:t>
      </w:r>
      <w:r>
        <w:t xml:space="preserve"> </w:t>
      </w:r>
      <w:r>
        <w:t xml:space="preserve">Health</w:t>
      </w:r>
      <w:r>
        <w:t xml:space="preserve"> </w:t>
      </w:r>
      <w:r>
        <w:t xml:space="preserve">Organization.</w:t>
      </w:r>
      <w:r>
        <w:t xml:space="preserve"> </w:t>
      </w:r>
      <w:r>
        <w:t xml:space="preserve">https://apps.who.int/iris/handle/10665/67357</w:t>
      </w:r>
      <w:r>
        <w:t xml:space="preserve"> </w:t>
      </w:r>
      <w:r>
        <w:t xml:space="preserve">83. UNEP State of the Science of Endocrine Disputing Chemicals - IPCP-2012, available at:</w:t>
      </w:r>
      <w:r>
        <w:t xml:space="preserve"> </w:t>
      </w:r>
      <w:r>
        <w:t xml:space="preserve">https://www.unep.org/resources/publication/state-science-endocrine-disputing-chemicals-</w:t>
      </w:r>
      <w:r>
        <w:t xml:space="preserve"> </w:t>
      </w:r>
      <w:r>
        <w:t xml:space="preserve">ipcp-2012?_ga=2.148289463.183897156.1643356524-1526509983.1643356524</w:t>
      </w:r>
      <w:r>
        <w:t xml:space="preserve"> </w:t>
      </w:r>
      <w:r>
        <w:t xml:space="preserve">84. National Institute of Environmental Health Sciences. (n.d.) Endocrine Disruptors.</w:t>
      </w:r>
      <w:r>
        <w:t xml:space="preserve"> </w:t>
      </w:r>
      <w:r>
        <w:t xml:space="preserve">https://www.niehs.nih.gov/health/topics/agents/endocrine/index.cfm</w:t>
      </w:r>
      <w:r>
        <w:t xml:space="preserve"> </w:t>
      </w:r>
      <w:r>
        <w:t xml:space="preserve">85. Attina TM, Trasande L. Economic costs of childhood lead exposure in low- and middle-</w:t>
      </w:r>
      <w:r>
        <w:t xml:space="preserve"> </w:t>
      </w:r>
      <w:r>
        <w:t xml:space="preserve">income</w:t>
      </w:r>
      <w:r>
        <w:t xml:space="preserve"> </w:t>
      </w:r>
      <w:r>
        <w:t xml:space="preserve">countries.</w:t>
      </w:r>
      <w:r>
        <w:t xml:space="preserve"> </w:t>
      </w:r>
      <w:r>
        <w:t xml:space="preserve">Environ</w:t>
      </w:r>
      <w:r>
        <w:t xml:space="preserve"> </w:t>
      </w:r>
      <w:r>
        <w:t xml:space="preserve">Health</w:t>
      </w:r>
      <w:r>
        <w:t xml:space="preserve"> </w:t>
      </w:r>
      <w:r>
        <w:t xml:space="preserve">Perspect.</w:t>
      </w:r>
      <w:r>
        <w:t xml:space="preserve"> </w:t>
      </w:r>
      <w:r>
        <w:t xml:space="preserve">2013</w:t>
      </w:r>
      <w:r>
        <w:t xml:space="preserve"> </w:t>
      </w:r>
      <w:r>
        <w:t xml:space="preserve">Sep;121(9):1097-102.</w:t>
      </w:r>
      <w:r>
        <w:t xml:space="preserve"> </w:t>
      </w:r>
      <w:r>
        <w:t xml:space="preserve">doi:</w:t>
      </w:r>
      <w:r>
        <w:t xml:space="preserve"> </w:t>
      </w:r>
      <w:r>
        <w:t xml:space="preserve">10.1289/ehp.1206424</w:t>
      </w:r>
      <w:r>
        <w:t xml:space="preserve"> </w:t>
      </w:r>
      <w:r>
        <w:t xml:space="preserve">86. Trasande L, Liu Y. Reducing the staggering costs of environmental disease in children,</w:t>
      </w:r>
      <w:r>
        <w:t xml:space="preserve"> </w:t>
      </w:r>
      <w:r>
        <w:t xml:space="preserve">estimated at $76.6 billion in 2008. Health Aff (Millwood). 2011 May;30(5):863-70. doi:</w:t>
      </w:r>
      <w:r>
        <w:t xml:space="preserve"> </w:t>
      </w:r>
      <w:r>
        <w:t xml:space="preserve">10.1377/hlthaff.2010.1239.</w:t>
      </w:r>
      <w:r>
        <w:br/>
      </w:r>
      <w:r>
        <w:t xml:space="preserve">87. Bellanger, M., Pichery, C., Aerts, D. et al. Economic benefits of methylmercury exposure</w:t>
      </w:r>
      <w:r>
        <w:t xml:space="preserve"> </w:t>
      </w:r>
      <w:r>
        <w:t xml:space="preserve">control in Europe: Monetary value of neurotoxicity prevention. Environ Health 12, 3 (2013).</w:t>
      </w:r>
      <w:r>
        <w:t xml:space="preserve"> </w:t>
      </w:r>
      <w:r>
        <w:t xml:space="preserve">https://doi.org/10.1186/1476-069X-12-3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222</w:t>
      </w:r>
      <w:r>
        <w:t xml:space="preserve"> </w:t>
      </w:r>
      <w:r>
        <w:t xml:space="preserve">EN</w:t>
      </w:r>
      <w:r>
        <w:t xml:space="preserve"> </w:t>
      </w:r>
      <w:r>
        <w:t xml:space="preserve">88. National Institute for Public Health and the Environment (RIVM) Chemicals in Toys A general</w:t>
      </w:r>
      <w:r>
        <w:t xml:space="preserve"> </w:t>
      </w:r>
      <w:r>
        <w:t xml:space="preserve">methodology for assessment of chemical safety of toys with a focus on elements RIVM report</w:t>
      </w:r>
      <w:r>
        <w:t xml:space="preserve"> </w:t>
      </w:r>
      <w:r>
        <w:t xml:space="preserve">320003001/2008 at https://www.rivm.nl/bibliotheek/rapporten/320003001.pdf</w:t>
      </w:r>
      <w:r>
        <w:t xml:space="preserve"> </w:t>
      </w:r>
      <w:r>
        <w:t xml:space="preserve">89. Joint Research Centre, Institute for Health and Consumer Protection, Updated European Union</w:t>
      </w:r>
      <w:r>
        <w:t xml:space="preserve"> </w:t>
      </w:r>
      <w:r>
        <w:t xml:space="preserve">risk assessment report 4,4’-isopropylidenediphenol (bisphenol-A) : human health addendum</w:t>
      </w:r>
      <w:r>
        <w:t xml:space="preserve"> </w:t>
      </w:r>
      <w:r>
        <w:t xml:space="preserve">of February 2008, Pakalin, S.(editor), Aschberger, K.(editor), Munn, S.(editor), Publications</w:t>
      </w:r>
      <w:r>
        <w:t xml:space="preserve"> </w:t>
      </w:r>
      <w:r>
        <w:t xml:space="preserve">Office, 2010, https://data.europa.eu/doi/10.2788/40301</w:t>
      </w:r>
      <w:r>
        <w:t xml:space="preserve"> </w:t>
      </w:r>
      <w:r>
        <w:t xml:space="preserve">90. Good practice for market surveillance. Guidance document developed by market surveillance</w:t>
      </w:r>
      <w:r>
        <w:t xml:space="preserve"> </w:t>
      </w:r>
      <w:r>
        <w:t xml:space="preserve">experts who are members or Chairpersons of various Administrative Cooperation (AdCo)</w:t>
      </w:r>
      <w:r>
        <w:t xml:space="preserve"> </w:t>
      </w:r>
      <w:r>
        <w:t xml:space="preserve">groups.</w:t>
      </w:r>
      <w:r>
        <w:br/>
      </w:r>
      <w:r>
        <w:t xml:space="preserve">https://ec.europa.eu/docsroom/documents/23041/attachments/1/translations/en/renditions/pdf</w:t>
      </w:r>
      <w:r>
        <w:t xml:space="preserve"> </w:t>
      </w:r>
      <w:r>
        <w:t xml:space="preserve">91. OECD (2018),</w:t>
      </w:r>
      <w:r>
        <w:t xml:space="preserve"> </w:t>
      </w:r>
      <w:r>
        <w:t xml:space="preserve">“Consumer product safety in the Internet of Things”</w:t>
      </w:r>
      <w:r>
        <w:t xml:space="preserve">, OECD Digital Economy</w:t>
      </w:r>
      <w:r>
        <w:t xml:space="preserve"> </w:t>
      </w:r>
      <w:r>
        <w:t xml:space="preserve">Papers, No. 267, OECD Publishing, Paris, https://doi.org/10.1787/7c45fa66-en</w:t>
      </w:r>
      <w:r>
        <w:t xml:space="preserve"> </w:t>
      </w:r>
      <w:r>
        <w:t xml:space="preserve">92. World Economic Forum Generation AI: What happens when your child’s friend is an AI toy</w:t>
      </w:r>
      <w:r>
        <w:t xml:space="preserve"> </w:t>
      </w:r>
      <w:r>
        <w:t xml:space="preserve">that talks back?, 2018 https://www.weforum.org/agenda/2018/05/generation-ai-what-</w:t>
      </w:r>
      <w:r>
        <w:t xml:space="preserve"> </w:t>
      </w:r>
      <w:r>
        <w:t xml:space="preserve">happens-when-your-childs-invisible-friend-is-an-ai-toy-that-talks-back/</w:t>
      </w:r>
      <w:r>
        <w:t xml:space="preserve"> </w:t>
      </w:r>
      <w:r>
        <w:t xml:space="preserve">93. OECD (2021),</w:t>
      </w:r>
      <w:r>
        <w:t xml:space="preserve"> </w:t>
      </w:r>
      <w:r>
        <w:t xml:space="preserve">“Children in the digital environment: Revised typology of risks”</w:t>
      </w:r>
      <w:r>
        <w:t xml:space="preserve">, OECD Digital</w:t>
      </w:r>
      <w:r>
        <w:t xml:space="preserve"> </w:t>
      </w:r>
      <w:r>
        <w:t xml:space="preserve">Economy Papers, No. 302, OECD Publishing, Paris, https://doi.org/10.1787/9b8f222e-en</w:t>
      </w:r>
      <w:r>
        <w:t xml:space="preserve"> </w:t>
      </w:r>
      <w:r>
        <w:t xml:space="preserve">94. Article 29 Data Protection Working Party (2018). Guidelines on Automated individual</w:t>
      </w:r>
      <w:r>
        <w:t xml:space="preserve"> </w:t>
      </w:r>
      <w:r>
        <w:t xml:space="preserve">decision-making and Profiling for the purposes of Regulation 2016/679, WP251rev.01:</w:t>
      </w:r>
      <w:r>
        <w:t xml:space="preserve"> </w:t>
      </w:r>
      <w:r>
        <w:t xml:space="preserve">https://ec.europa.eu/newsroom/article29/items/612053</w:t>
      </w:r>
      <w:r>
        <w:br/>
      </w:r>
      <w:r>
        <w:t xml:space="preserve">95. Chaudron, S., et al. (2017) Kaleidoscope on the Internet of Toys Safety, security, privacy and</w:t>
      </w:r>
      <w:r>
        <w:t xml:space="preserve"> </w:t>
      </w:r>
      <w:r>
        <w:t xml:space="preserve">societal</w:t>
      </w:r>
      <w:r>
        <w:t xml:space="preserve"> </w:t>
      </w:r>
      <w:r>
        <w:t xml:space="preserve">insights,</w:t>
      </w:r>
      <w:r>
        <w:t xml:space="preserve"> </w:t>
      </w:r>
      <w:r>
        <w:t xml:space="preserve">JRC</w:t>
      </w:r>
      <w:r>
        <w:t xml:space="preserve"> </w:t>
      </w:r>
      <w:r>
        <w:t xml:space="preserve">Technical</w:t>
      </w:r>
      <w:r>
        <w:t xml:space="preserve"> </w:t>
      </w:r>
      <w:r>
        <w:t xml:space="preserve">Reports,</w:t>
      </w:r>
      <w:r>
        <w:t xml:space="preserve"> </w:t>
      </w:r>
      <w:r>
        <w:t xml:space="preserve">online:</w:t>
      </w:r>
      <w:r>
        <w:t xml:space="preserve"> </w:t>
      </w:r>
      <w:r>
        <w:t xml:space="preserve">http://publications.jrc.ec.europa.eu/repository/bitstream/JRC105061/jrc105061_final_online.</w:t>
      </w:r>
      <w:r>
        <w:t xml:space="preserve"> </w:t>
      </w:r>
      <w:r>
        <w:t xml:space="preserve">pdf, DOI:10.2788/05383.</w:t>
      </w:r>
      <w:r>
        <w:t xml:space="preserve"> </w:t>
      </w:r>
      <w:r>
        <w:t xml:space="preserve">96. Mordor Intelligence (2021). Connected Toys Market – Growth, Trends, COVID-19 Impact,</w:t>
      </w:r>
      <w:r>
        <w:t xml:space="preserve"> </w:t>
      </w:r>
      <w:r>
        <w:t xml:space="preserve">and</w:t>
      </w:r>
      <w:r>
        <w:t xml:space="preserve"> </w:t>
      </w:r>
      <w:r>
        <w:t xml:space="preserve">Forecasts</w:t>
      </w:r>
      <w:r>
        <w:t xml:space="preserve"> </w:t>
      </w:r>
      <w:r>
        <w:t xml:space="preserve">(2022-2027),</w:t>
      </w:r>
      <w:r>
        <w:t xml:space="preserve"> </w:t>
      </w:r>
      <w:r>
        <w:t xml:space="preserve">online:</w:t>
      </w:r>
      <w:r>
        <w:t xml:space="preserve"> </w:t>
      </w:r>
      <w:r>
        <w:t xml:space="preserve">https://www.mordorintelligence.com/industry-</w:t>
      </w:r>
      <w:r>
        <w:t xml:space="preserve"> </w:t>
      </w:r>
      <w:r>
        <w:t xml:space="preserve">reports/connected-toys-market</w:t>
      </w:r>
      <w:r>
        <w:t xml:space="preserve"> </w:t>
      </w:r>
      <w:r>
        <w:t xml:space="preserve">97. BusinessWire (2021). Global Connected Toys Market Report 2021: Market to Reach $18.9</w:t>
      </w:r>
      <w:r>
        <w:t xml:space="preserve"> </w:t>
      </w:r>
      <w:r>
        <w:t xml:space="preserve">Billion by 2027 - Console-Connected Toys is Projected to Account for $7.7 Billion -</w:t>
      </w:r>
      <w:r>
        <w:t xml:space="preserve"> </w:t>
      </w:r>
      <w:r>
        <w:t xml:space="preserve">ResearchAndMarkets.com,</w:t>
      </w:r>
      <w:r>
        <w:t xml:space="preserve"> </w:t>
      </w:r>
      <w:r>
        <w:t xml:space="preserve">online:</w:t>
      </w:r>
      <w:r>
        <w:t xml:space="preserve"> </w:t>
      </w:r>
      <w:r>
        <w:t xml:space="preserve">https://www.businesswire.com/news/home/20210318005627/en/Global-Connected-Toys-</w:t>
      </w:r>
      <w:r>
        <w:t xml:space="preserve"> </w:t>
      </w:r>
      <w:r>
        <w:t xml:space="preserve">Market-Report-2021-Market-to-Reach-18.9-Billion-by-2027—Console-Connected-Toys-is-</w:t>
      </w:r>
      <w:r>
        <w:t xml:space="preserve"> </w:t>
      </w:r>
      <w:r>
        <w:t xml:space="preserve">Projected-to-Account-for-7.7-Billion—ResearchAndMarkets.com</w:t>
      </w:r>
      <w:r>
        <w:t xml:space="preserve"> </w:t>
      </w:r>
      <w:r>
        <w:t xml:space="preserve">98. Jung, S. (2017). Research on synchronization between smart toys and smart phones for</w:t>
      </w:r>
      <w:r>
        <w:t xml:space="preserve"> </w:t>
      </w:r>
      <w:r>
        <w:t xml:space="preserve">classifying smart toys, [in:] “International Journal of Internet, Broadcasting and</w:t>
      </w:r>
      <w:r>
        <w:t xml:space="preserve"> </w:t>
      </w:r>
      <w:r>
        <w:t xml:space="preserve">Communication”, Vol.9, No.4, pp. 25-30, DOI: 10.7236/IJIBC.2017.9.4.25, p. 29.</w:t>
      </w:r>
      <w:r>
        <w:t xml:space="preserve"> </w:t>
      </w:r>
      <w:r>
        <w:t xml:space="preserve">99. Nelson, B. (2016). Children’s Connected Toys: Data Security and Privacy Concerns. Office</w:t>
      </w:r>
      <w:r>
        <w:t xml:space="preserve"> </w:t>
      </w:r>
      <w:r>
        <w:t xml:space="preserve">of Oversight and Investigations, Minority Staff Report, Committee On Commerce, Science,</w:t>
      </w:r>
      <w:r>
        <w:t xml:space="preserve"> </w:t>
      </w:r>
      <w:r>
        <w:t xml:space="preserve">and Transportation, United States Senate, online: https://www.hsdl.org/?view&amp;did=797394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223</w:t>
      </w:r>
      <w:r>
        <w:t xml:space="preserve"> </w:t>
      </w:r>
      <w:r>
        <w:t xml:space="preserve">EN</w:t>
      </w:r>
      <w:r>
        <w:t xml:space="preserve"> </w:t>
      </w:r>
      <w:r>
        <w:t xml:space="preserve">100. Toyfail report by Norwegian Consumer Association - https://fil.forbrukerradet.no/wp-</w:t>
      </w:r>
      <w:r>
        <w:t xml:space="preserve"> </w:t>
      </w:r>
      <w:r>
        <w:t xml:space="preserve">content/uploads/2016/12/toyfail-report-desember2016.pdf</w:t>
      </w:r>
      <w:r>
        <w:t xml:space="preserve"> </w:t>
      </w:r>
      <w:r>
        <w:t xml:space="preserve">101. Michalitsi-Psarrou, et al. (2019). Empowering Product Co-creation Approaches Through</w:t>
      </w:r>
      <w:r>
        <w:t xml:space="preserve"> </w:t>
      </w:r>
      <w:r>
        <w:t xml:space="preserve">Business Interoperability Concepts: The Toy Industry Case, [in:] (K. Popplewell et al., eds.)</w:t>
      </w:r>
      <w:r>
        <w:t xml:space="preserve"> </w:t>
      </w:r>
      <w:r>
        <w:t xml:space="preserve">“Enterprise Interoperability VIII, Proceedings of the I-ESA Conferences 9”, DOI:</w:t>
      </w:r>
      <w:r>
        <w:t xml:space="preserve"> </w:t>
      </w:r>
      <w:r>
        <w:t xml:space="preserve">10.1007/978-3-030-13693-2_33</w:t>
      </w:r>
      <w:r>
        <w:t xml:space="preserve"> </w:t>
      </w:r>
      <w:r>
        <w:t xml:space="preserve">102. Kwong, C. W., Mak, S. L. &amp; Li, C. H. (2020). The Exploration of a Technical Model for Toy</w:t>
      </w:r>
      <w:r>
        <w:t xml:space="preserve"> </w:t>
      </w:r>
      <w:r>
        <w:t xml:space="preserve">Factories in China to Deal with European and US Toy Safety Requirements, [in:]</w:t>
      </w:r>
      <w:r>
        <w:t xml:space="preserve"> </w:t>
      </w:r>
      <w:r>
        <w:t xml:space="preserve">“International Journal of Business, Humanities and Technology”, Vol. 10, No. 2,</w:t>
      </w:r>
      <w:r>
        <w:t xml:space="preserve"> </w:t>
      </w:r>
      <w:r>
        <w:t xml:space="preserve">DOI:10.30845/ijbht.v10n2p4</w:t>
      </w:r>
      <w:r>
        <w:t xml:space="preserve"> </w:t>
      </w:r>
      <w:r>
        <w:t xml:space="preserve">103. Hansson, S.O., Molander, L., Rudén, C., 2011. The substitution principle. Regulatory</w:t>
      </w:r>
      <w:r>
        <w:t xml:space="preserve"> </w:t>
      </w:r>
      <w:r>
        <w:t xml:space="preserve">Toxicology and Pharmacology 59, pp. 454–460. https://doi.org/10.1016/j.yrtph.2011.01.011</w:t>
      </w:r>
      <w:r>
        <w:t xml:space="preserve"> </w:t>
      </w:r>
      <w:r>
        <w:t xml:space="preserve">104. Lofstedt, R., 2014. The substitution principle in chemical regulation: a constructive critique.</w:t>
      </w:r>
      <w:r>
        <w:t xml:space="preserve"> </w:t>
      </w:r>
      <w:r>
        <w:t xml:space="preserve">Journal of Risk Research 17, pp. 543–564. https://doi.org/10.1080/13669877.2013.841733</w:t>
      </w:r>
      <w:r>
        <w:t xml:space="preserve"> </w:t>
      </w:r>
      <w:r>
        <w:t xml:space="preserve">105. Öberg, T., 2014. Substitution of chemicals based on assessment of hazard, risk and impact.</w:t>
      </w:r>
      <w:r>
        <w:t xml:space="preserve"> </w:t>
      </w:r>
      <w:r>
        <w:t xml:space="preserve">Journal of Risk Research 17, pp. 565–568. https://doi.org/10.1080/13669877.2013.841737</w:t>
      </w:r>
      <w:r>
        <w:t xml:space="preserve"> </w:t>
      </w:r>
      <w:r>
        <w:t xml:space="preserve">106. ChemSec (2016). The bigger picture. Assessing economic aspects of chemicals substitution,</w:t>
      </w:r>
      <w:r>
        <w:t xml:space="preserve"> </w:t>
      </w:r>
      <w:r>
        <w:t xml:space="preserve">online:</w:t>
      </w:r>
      <w:r>
        <w:t xml:space="preserve"> </w:t>
      </w:r>
      <w:r>
        <w:t xml:space="preserve">https://chemycal.com/dap/files/The_bigger_picture_160217_print.pdf,</w:t>
      </w:r>
      <w:r>
        <w:t xml:space="preserve"> </w:t>
      </w:r>
      <w:r>
        <w:t xml:space="preserve">accessed:</w:t>
      </w:r>
      <w:r>
        <w:t xml:space="preserve"> </w:t>
      </w:r>
      <w:r>
        <w:t xml:space="preserve">30.05.2022</w:t>
      </w:r>
      <w:r>
        <w:t xml:space="preserve"> </w:t>
      </w:r>
      <w:r>
        <w:t xml:space="preserve">107. BEUC</w:t>
      </w:r>
      <w:r>
        <w:t xml:space="preserve"> </w:t>
      </w:r>
      <w:r>
        <w:t xml:space="preserve">Factsheet</w:t>
      </w:r>
      <w:r>
        <w:t xml:space="preserve"> </w:t>
      </w:r>
      <w:r>
        <w:t xml:space="preserve">on</w:t>
      </w:r>
      <w:r>
        <w:t xml:space="preserve"> </w:t>
      </w:r>
      <w:r>
        <w:t xml:space="preserve">Endocrine</w:t>
      </w:r>
      <w:r>
        <w:t xml:space="preserve"> </w:t>
      </w:r>
      <w:r>
        <w:t xml:space="preserve">disruptors,</w:t>
      </w:r>
      <w:r>
        <w:t xml:space="preserve"> </w:t>
      </w:r>
      <w:r>
        <w:t xml:space="preserve">2020</w:t>
      </w:r>
      <w:r>
        <w:t xml:space="preserve"> </w:t>
      </w:r>
      <w:r>
        <w:t xml:space="preserve">https://www.beuc.eu/sites/default/files/publications/beuc-x-2020-</w:t>
      </w:r>
      <w:r>
        <w:t xml:space="preserve"> </w:t>
      </w:r>
      <w:r>
        <w:t xml:space="preserve">004_endocrine_disruptors.pdf</w:t>
      </w:r>
      <w:r>
        <w:t xml:space="preserve"> </w:t>
      </w:r>
      <w:r>
        <w:t xml:space="preserve">108. Szczepańska, N., Namieśnik, J. &amp; Kudłak, B. Assessment of toxic and endocrine potential of</w:t>
      </w:r>
      <w:r>
        <w:t xml:space="preserve"> </w:t>
      </w:r>
      <w:r>
        <w:t xml:space="preserve">substances migrating from selected toys and baby products. Environ Sci Pollut Res 23, 24890–</w:t>
      </w:r>
      <w:r>
        <w:t xml:space="preserve"> </w:t>
      </w:r>
      <w:r>
        <w:t xml:space="preserve">24900 (2016). https://doi.org/10.1007/s11356-016-7616-y</w:t>
      </w:r>
      <w:r>
        <w:t xml:space="preserve"> </w:t>
      </w:r>
      <w:r>
        <w:t xml:space="preserve">109. Gangadhar Andaluri, Muruganandham Manickavachagam &amp; Rominder Suri Plastic toys as a</w:t>
      </w:r>
      <w:r>
        <w:t xml:space="preserve"> </w:t>
      </w:r>
      <w:r>
        <w:t xml:space="preserve">source</w:t>
      </w:r>
      <w:r>
        <w:t xml:space="preserve"> </w:t>
      </w:r>
      <w:r>
        <w:t xml:space="preserve">of</w:t>
      </w:r>
      <w:r>
        <w:t xml:space="preserve"> </w:t>
      </w:r>
      <w:r>
        <w:t xml:space="preserve">exposure</w:t>
      </w:r>
      <w:r>
        <w:t xml:space="preserve"> </w:t>
      </w:r>
      <w:r>
        <w:t xml:space="preserve">to</w:t>
      </w:r>
      <w:r>
        <w:t xml:space="preserve"> </w:t>
      </w:r>
      <w:r>
        <w:t xml:space="preserve">bisphenol-A</w:t>
      </w:r>
      <w:r>
        <w:t xml:space="preserve"> </w:t>
      </w:r>
      <w:r>
        <w:t xml:space="preserve">and</w:t>
      </w:r>
      <w:r>
        <w:t xml:space="preserve"> </w:t>
      </w:r>
      <w:r>
        <w:t xml:space="preserve">phthalates</w:t>
      </w:r>
      <w:r>
        <w:t xml:space="preserve"> </w:t>
      </w:r>
      <w:r>
        <w:t xml:space="preserve">at</w:t>
      </w:r>
      <w:r>
        <w:t xml:space="preserve"> </w:t>
      </w:r>
      <w:r>
        <w:t xml:space="preserve">childcare</w:t>
      </w:r>
      <w:r>
        <w:t xml:space="preserve"> </w:t>
      </w:r>
      <w:r>
        <w:t xml:space="preserve">facilities,</w:t>
      </w:r>
      <w:r>
        <w:t xml:space="preserve"> </w:t>
      </w:r>
      <w:r>
        <w:t xml:space="preserve">https://doi.org/10.1007/s10661-017-6438-9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822">
    <w:nsid w:val="00A99822"/>
    <w:multiLevelType w:val="multilevel"/>
    <w:lvl w:ilvl="0">
      <w:start w:val="2"/>
      <w:numFmt w:val="upperLetter"/>
      <w:lvlText w:val="%1)"/>
      <w:lvlJc w:val="left"/>
      <w:pPr>
        <w:ind w:left="720" w:hanging="360"/>
      </w:pPr>
    </w:lvl>
    <w:lvl w:ilvl="1">
      <w:start w:val="2"/>
      <w:numFmt w:val="upperLetter"/>
      <w:lvlText w:val="%2)"/>
      <w:lvlJc w:val="left"/>
      <w:pPr>
        <w:ind w:left="1440" w:hanging="360"/>
      </w:pPr>
    </w:lvl>
    <w:lvl w:ilvl="2">
      <w:start w:val="2"/>
      <w:numFmt w:val="upperLetter"/>
      <w:lvlText w:val="%3)"/>
      <w:lvlJc w:val="left"/>
      <w:pPr>
        <w:ind w:left="2160" w:hanging="360"/>
      </w:pPr>
    </w:lvl>
    <w:lvl w:ilvl="3">
      <w:start w:val="2"/>
      <w:numFmt w:val="upperLetter"/>
      <w:lvlText w:val="%4)"/>
      <w:lvlJc w:val="left"/>
      <w:pPr>
        <w:ind w:left="2880" w:hanging="360"/>
      </w:pPr>
    </w:lvl>
    <w:lvl w:ilvl="4">
      <w:start w:val="2"/>
      <w:numFmt w:val="upperLetter"/>
      <w:lvlText w:val="%5)"/>
      <w:lvlJc w:val="left"/>
      <w:pPr>
        <w:ind w:left="3600" w:hanging="360"/>
      </w:pPr>
    </w:lvl>
    <w:lvl w:ilvl="5">
      <w:start w:val="2"/>
      <w:numFmt w:val="upperLetter"/>
      <w:lvlText w:val="%6)"/>
      <w:lvlJc w:val="left"/>
      <w:pPr>
        <w:ind w:left="4320" w:hanging="360"/>
      </w:pPr>
    </w:lvl>
    <w:lvl w:ilvl="6">
      <w:start w:val="2"/>
      <w:numFmt w:val="upperLetter"/>
      <w:lvlText w:val="%7)"/>
      <w:lvlJc w:val="left"/>
      <w:pPr>
        <w:ind w:left="5040" w:hanging="360"/>
      </w:pPr>
    </w:lvl>
    <w:lvl w:ilvl="7">
      <w:start w:val="2"/>
      <w:numFmt w:val="upperLetter"/>
      <w:lvlText w:val="%8)"/>
      <w:lvlJc w:val="left"/>
      <w:pPr>
        <w:ind w:left="5760" w:hanging="360"/>
      </w:pPr>
    </w:lvl>
    <w:lvl w:ilvl="8">
      <w:start w:val="2"/>
      <w:numFmt w:val="upperLetter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2026-07-31T16:48:04Z</dcterms:created>
  <dcterms:modified xsi:type="dcterms:W3CDTF">2026-07-31T16:48:04Z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