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24.5.2023</w:t>
      </w:r>
      <w:r>
        <w:br/>
      </w:r>
      <w:r>
        <w:t xml:space="preserve">SWD(2023) 278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Directive of the European Parliament and of the Council amending Directives (EU)</w:t>
      </w:r>
      <w:r>
        <w:t xml:space="preserve"> </w:t>
      </w:r>
      <w:r>
        <w:t xml:space="preserve">2009/65/EC, 2009/138/EC, 2011/61/EU, 2014/65/EU and (EU) 2016/97 as regards the</w:t>
      </w:r>
      <w:r>
        <w:t xml:space="preserve"> </w:t>
      </w:r>
      <w:r>
        <w:t xml:space="preserve">Union retail investor protection rules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Regulation of the European Parliament and of the Council amending Regulation (EU) No</w:t>
      </w:r>
      <w:r>
        <w:t xml:space="preserve"> </w:t>
      </w:r>
      <w:r>
        <w:t xml:space="preserve">1286/2014 as regards the modernisation of the key information document</w:t>
      </w:r>
      <w:r>
        <w:t xml:space="preserve"> </w:t>
      </w:r>
      <w:r>
        <w:t xml:space="preserve">{COM(2023) 278-279 final} - {SEC(2023) 330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 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………………………………………………………………………………………………….. 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ACT?………………………………………………………………………………………….21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…………………………………………………………………22</w:t>
      </w:r>
      <w:r>
        <w:t xml:space="preserve"> </w:t>
      </w:r>
      <w:r>
        <w:t xml:space="preserve">5.</w:t>
      </w:r>
      <w:r>
        <w:t xml:space="preserve"> </w:t>
      </w:r>
      <w:r>
        <w:t xml:space="preserve">DESCRIPTION OF THE POLICY OPTIONS …………………………………………………………………….24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 THEY COMPARE?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………………………………………………………………………………………………………………………………………….33</w:t>
      </w:r>
      <w:r>
        <w:t xml:space="preserve"> </w:t>
      </w:r>
      <w:r>
        <w:t xml:space="preserve">7.</w:t>
      </w:r>
      <w:r>
        <w:t xml:space="preserve"> </w:t>
      </w:r>
      <w:r>
        <w:t xml:space="preserve">PREFERRED COMBINATION OF OPTIONS …………………………………………………………………..59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……………………….65</w:t>
      </w:r>
      <w:r>
        <w:t xml:space="preserve"> </w:t>
      </w:r>
      <w:r>
        <w:t xml:space="preserve">ANNEX 1: PROCEDURAL INFORMATION ……………………………………………………………………………..67</w:t>
      </w:r>
      <w:r>
        <w:t xml:space="preserve"> </w:t>
      </w:r>
      <w:r>
        <w:t xml:space="preserve">ANNEX 2: STAKEHOLDER CONSULTATION (SYNOPSIS REPORT) …………………………………….70</w:t>
      </w:r>
      <w:r>
        <w:t xml:space="preserve"> </w:t>
      </w:r>
      <w:r>
        <w:t xml:space="preserve">ANNEX 3: WHO IS AFFECTED AND HOW? …………………………………………………………………………….88</w:t>
      </w:r>
      <w:r>
        <w:t xml:space="preserve"> </w:t>
      </w:r>
      <w:r>
        <w:t xml:space="preserve">ANNEX 4: DISCLOSURES AND MARKETING COMMUNICATIONS ……………………………………103</w:t>
      </w:r>
      <w:r>
        <w:t xml:space="preserve"> </w:t>
      </w:r>
      <w:r>
        <w:t xml:space="preserve">ANNEX 5: FINANCIAL LITERACY ………………………………………………………………………………………..129</w:t>
      </w:r>
      <w:r>
        <w:t xml:space="preserve"> </w:t>
      </w:r>
      <w:r>
        <w:t xml:space="preserve">ANNEX 6: INVESTOR CATEGORISATION ……………………………………………………………………………140</w:t>
      </w:r>
      <w:r>
        <w:t xml:space="preserve"> </w:t>
      </w:r>
      <w:r>
        <w:t xml:space="preserve">ANNEX 7: INDUCEMENTS ……………………………………………………………………………………………………..146</w:t>
      </w:r>
      <w:r>
        <w:t xml:space="preserve"> </w:t>
      </w:r>
      <w:r>
        <w:t xml:space="preserve">ANNEX 8: ENHANCED SUITABILITY AND APPROPRIATENESS ASSESSMENTS ……………..200</w:t>
      </w:r>
      <w:r>
        <w:t xml:space="preserve"> </w:t>
      </w:r>
      <w:r>
        <w:t xml:space="preserve">ANNEX 9: SUPERVISORY ENFORCEMENT ………………………………………………………………………….226</w:t>
      </w:r>
      <w:r>
        <w:t xml:space="preserve"> </w:t>
      </w:r>
      <w:r>
        <w:t xml:space="preserve">ANNEX 10: PROFESSIONAL QUALIFICATION OF FINANCIAL ADVISORS ………………………246</w:t>
      </w:r>
      <w:r>
        <w:t xml:space="preserve"> </w:t>
      </w:r>
      <w:r>
        <w:t xml:space="preserve">ANNEX 11: EVALUATION OF THE RETAIL INVESTOR PROTECTION FRAMEWORK …….256</w:t>
      </w:r>
      <w:r>
        <w:t xml:space="preserve"> </w:t>
      </w:r>
      <w:r>
        <w:t xml:space="preserve">ANNEX 12: SME TEST …………………………………………………………………………………………………………….310</w:t>
      </w:r>
      <w:r>
        <w:t xml:space="preserve"> </w:t>
      </w:r>
      <w:r>
        <w:t xml:space="preserve">ANNEX 13: GLOSSARY …………………………………………………………………………………………………………..313</w:t>
      </w:r>
      <w:r>
        <w:t xml:space="preserve"> </w:t>
      </w:r>
      <w:r>
        <w:t xml:space="preserve">ANNEX 14: VALUE FOR MONEY - BENEFITS AND COSTS ………………………………………………….318</w:t>
      </w:r>
    </w:p>
    <w:p>
      <w:pPr>
        <w:pStyle w:val="BodyText"/>
      </w:pP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 General context</w:t>
      </w:r>
      <w:r>
        <w:t xml:space="preserve"> </w:t>
      </w:r>
      <w:r>
        <w:t xml:space="preserve">This impact assessment concerns the package of measures that will constitute the Retail investment</w:t>
      </w:r>
      <w:r>
        <w:t xml:space="preserve"> </w:t>
      </w:r>
      <w:r>
        <w:t xml:space="preserve">strategy, which is an initiative originating from the 2020 CMU Action Plan. The strategy seeks to place</w:t>
      </w:r>
      <w:r>
        <w:t xml:space="preserve"> </w:t>
      </w:r>
      <w:r>
        <w:t xml:space="preserve">the retail investor centre stage, ensuring the development of a regulatory framework that empowers</w:t>
      </w:r>
      <w:r>
        <w:t xml:space="preserve"> </w:t>
      </w:r>
      <w:r>
        <w:t xml:space="preserve">consumers to take informed financial decisions and adequately protects them in the single market. The</w:t>
      </w:r>
      <w:r>
        <w:t xml:space="preserve"> </w:t>
      </w:r>
      <w:r>
        <w:t xml:space="preserve">assessed package of measures concerns improvements to the retail investor protection framework.</w:t>
      </w:r>
      <w:r>
        <w:t xml:space="preserve"> </w:t>
      </w:r>
      <w:r>
        <w:t xml:space="preserve">Strong safeguards for retail investors are a pre-requisite for a well-functioning, transparent market that</w:t>
      </w:r>
      <w:r>
        <w:t xml:space="preserve"> </w:t>
      </w:r>
      <w:r>
        <w:t xml:space="preserve">establishes the necessary conditions for trust and confidence.</w:t>
      </w:r>
      <w:r>
        <w:br/>
      </w:r>
      <w:r>
        <w:t xml:space="preserve">With respect to the general economic context against which the measures in the strategy are considered,</w:t>
      </w:r>
      <w:r>
        <w:t xml:space="preserve"> </w:t>
      </w:r>
      <w:r>
        <w:t xml:space="preserve">the EU market for retail investments remains, by international standards, characterised by low levels</w:t>
      </w:r>
      <w:r>
        <w:t xml:space="preserve"> </w:t>
      </w:r>
      <w:r>
        <w:t xml:space="preserve">of retail investor participation. In 2021, approximately 17% of EU27 household assets were held in</w:t>
      </w:r>
      <w:r>
        <w:t xml:space="preserve"> </w:t>
      </w:r>
      <w:r>
        <w:t xml:space="preserve">financial securities (listed shares, bonds, mutual funds and financial derivatives), amounting to EUR 5</w:t>
      </w:r>
      <w:r>
        <w:t xml:space="preserve"> </w:t>
      </w:r>
      <w:r>
        <w:t xml:space="preserve">610 billion, corresponding to 38.6% of GDP). In comparison, households in the US held around 43%</w:t>
      </w:r>
      <w:r>
        <w:t xml:space="preserve"> </w:t>
      </w:r>
      <w:r>
        <w:t xml:space="preserve">of their assets in securities1. The retail investor base in the EU amounts to an estimated 50 million</w:t>
      </w:r>
      <w:r>
        <w:t xml:space="preserve"> </w:t>
      </w:r>
      <w:r>
        <w:t xml:space="preserve">households, i.e. about a quarter of all EU-27 households2. According to a recent Eurobarometer survey3,</w:t>
      </w:r>
      <w:r>
        <w:t xml:space="preserve"> </w:t>
      </w:r>
      <w:r>
        <w:t xml:space="preserve">around half of the respondents did not consider that they had sufficient means to invest, while around</w:t>
      </w:r>
      <w:r>
        <w:t xml:space="preserve"> </w:t>
      </w:r>
      <w:r>
        <w:t xml:space="preserve">another quarter gave other reasons for not investing (see below). Households in the EU-27 receive</w:t>
      </w:r>
      <w:r>
        <w:t xml:space="preserve"> </w:t>
      </w:r>
      <w:r>
        <w:t xml:space="preserve">around EUR 450 billion per annum in income from their financial wealth4, while paying between an</w:t>
      </w:r>
      <w:r>
        <w:t xml:space="preserve"> </w:t>
      </w:r>
      <w:r>
        <w:t xml:space="preserve">estimated EUR 100 and 300 billion per annum to financial service providers.5 This range represents the</w:t>
      </w:r>
      <w:r>
        <w:t xml:space="preserve"> </w:t>
      </w:r>
      <w:r>
        <w:t xml:space="preserve">revenues of financial service providers from retail business.</w:t>
      </w:r>
      <w:r>
        <w:t xml:space="preserve"> </w:t>
      </w:r>
      <w:r>
        <w:t xml:space="preserve">A large share of households’ financial wealth is held as bank deposits at negligible nominal yields,</w:t>
      </w:r>
      <w:r>
        <w:t xml:space="preserve"> </w:t>
      </w:r>
      <w:r>
        <w:t xml:space="preserve">even though assets invested in stock markets have made substantial gains in recent years. That suggests</w:t>
      </w:r>
      <w:r>
        <w:t xml:space="preserve"> </w:t>
      </w:r>
      <w:r>
        <w:t xml:space="preserve">that a large proportion of consumers may have missed out on the opportunity to benefit from capital</w:t>
      </w:r>
      <w:r>
        <w:t xml:space="preserve"> </w:t>
      </w:r>
      <w:r>
        <w:t xml:space="preserve">market investment returns.</w:t>
      </w:r>
    </w:p>
    <w:p>
      <w:pPr>
        <w:pStyle w:val="FirstParagraph"/>
      </w:pPr>
      <w:r>
        <w:t xml:space="preserve">1 Based on Eurostat’s sectoral national accounts (international data cooperation, NAID_10). If claims against insurers and</w:t>
      </w:r>
      <w:r>
        <w:t xml:space="preserve"> </w:t>
      </w:r>
      <w:r>
        <w:t xml:space="preserve">pension entitlements were added, the numbers would change to 46% for the EU and 72% for the US. In consequence, the</w:t>
      </w:r>
      <w:r>
        <w:t xml:space="preserve"> </w:t>
      </w:r>
      <w:r>
        <w:t xml:space="preserve">share of bonds, stocks and investment funds held by EU-27 households is much smaller than that of their US counterparts,</w:t>
      </w:r>
      <w:r>
        <w:t xml:space="preserve"> </w:t>
      </w:r>
      <w:r>
        <w:t xml:space="preserve">i.e. 2.3%, 13.2% and 25.7% of all domestic economic sectors’ holdings respectively in the EU versus 6.5%, 47.8% and</w:t>
      </w:r>
      <w:r>
        <w:t xml:space="preserve"> </w:t>
      </w:r>
      <w:r>
        <w:t xml:space="preserve">59.5% of the bonds, stocks and investment funds in the US.</w:t>
      </w:r>
      <w:r>
        <w:t xml:space="preserve"> </w:t>
      </w:r>
      <w:r>
        <w:t xml:space="preserve">2 This is derived from the following sources: 26% of the respondents to the 2022 Eurobarometer claimed to have or have</w:t>
      </w:r>
      <w:r>
        <w:t xml:space="preserve"> </w:t>
      </w:r>
      <w:r>
        <w:t xml:space="preserve">had an investment product (bonds, stocks, or funds), 22% said to have or have had a private pension or retirement product.</w:t>
      </w:r>
      <w:r>
        <w:t xml:space="preserve"> </w:t>
      </w:r>
      <w:r>
        <w:t xml:space="preserve">28% of the respondents to the retail investment study replied to have already invested in financial products. 26% of the</w:t>
      </w:r>
      <w:r>
        <w:t xml:space="preserve"> </w:t>
      </w:r>
      <w:r>
        <w:t xml:space="preserve">respondents to this survey indicated they had a securities account. The 2017 ESCB’s households’ and consumer finance</w:t>
      </w:r>
      <w:r>
        <w:t xml:space="preserve"> </w:t>
      </w:r>
      <w:r>
        <w:t xml:space="preserve">survey revealed that 3.2% of the households had bonds, 8.6% publicly traded shares,10.2% mutual funds and 28.4%</w:t>
      </w:r>
      <w:r>
        <w:t xml:space="preserve"> </w:t>
      </w:r>
      <w:r>
        <w:t xml:space="preserve">voluntary pensions or life insurance products.</w:t>
      </w:r>
      <w:r>
        <w:t xml:space="preserve"> </w:t>
      </w:r>
      <w:r>
        <w:t xml:space="preserve">3 Eurobarometer survey on Retail Financial Services and Products, October 2022.</w:t>
      </w:r>
      <w:r>
        <w:t xml:space="preserve"> </w:t>
      </w:r>
      <w:r>
        <w:t xml:space="preserve">4 Eurostat, Non-financial accounts, 2021. This number includes positions that are not considered subject of retail</w:t>
      </w:r>
      <w:r>
        <w:t xml:space="preserve"> </w:t>
      </w:r>
      <w:r>
        <w:t xml:space="preserve">investment such as interest on bank deposits, dividends from non-listed shares and technical reserves of non-life</w:t>
      </w:r>
      <w:r>
        <w:t xml:space="preserve"> </w:t>
      </w:r>
      <w:r>
        <w:t xml:space="preserve">insurance.</w:t>
      </w:r>
      <w:r>
        <w:t xml:space="preserve"> </w:t>
      </w:r>
      <w:r>
        <w:t xml:space="preserve">5 The lower bound was derived from an estimated need for 400,000 to 500,000 financial advisors. If these receive the</w:t>
      </w:r>
      <w:r>
        <w:t xml:space="preserve"> </w:t>
      </w:r>
      <w:r>
        <w:t xml:space="preserve">average pay in the financial sector of 59,000 EUR, the wage bill including, social security contributions, would be EUR 23</w:t>
      </w:r>
      <w:r>
        <w:t xml:space="preserve"> </w:t>
      </w:r>
      <w:r>
        <w:t xml:space="preserve">to 29 billion. If, furthermore, it is assumed that the share of output to compensation is the same for financial advisors, which</w:t>
      </w:r>
      <w:r>
        <w:t xml:space="preserve"> </w:t>
      </w:r>
      <w:r>
        <w:t xml:space="preserve">implies the same ratio other costs and profits for financial advice as in the total financial sector, retail investors would need</w:t>
      </w:r>
      <w:r>
        <w:t xml:space="preserve"> </w:t>
      </w:r>
      <w:r>
        <w:t xml:space="preserve">to pay around EUR 100 billion for financial advice. The upper range stems from the amount derived in input-output tables</w:t>
      </w:r>
      <w:r>
        <w:t xml:space="preserve"> </w:t>
      </w:r>
      <w:r>
        <w:t xml:space="preserve">for the output of the financial sector for the purpose of households’ private consumption. This upper number includes</w:t>
      </w:r>
      <w:r>
        <w:t xml:space="preserve"> </w:t>
      </w:r>
      <w:r>
        <w:t xml:space="preserve">receipts and payment for financial services that are not related to retail investment, i.e. for bank deposits and loans, payment</w:t>
      </w:r>
      <w:r>
        <w:t xml:space="preserve"> </w:t>
      </w:r>
      <w:r>
        <w:t xml:space="preserve">services, risk life and non-life insurance.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Retail participation varies widely across Member States, reflecting different historical, economic and</w:t>
      </w:r>
      <w:r>
        <w:t xml:space="preserve"> </w:t>
      </w:r>
      <w:r>
        <w:t xml:space="preserve">social conditions. It is even more heterogeneous within Member States: participation rates increase</w:t>
      </w:r>
      <w:r>
        <w:t xml:space="preserve"> </w:t>
      </w:r>
      <w:r>
        <w:t xml:space="preserve">with the education level, degree of financial literacy and income. Older segments of the population hold</w:t>
      </w:r>
      <w:r>
        <w:t xml:space="preserve"> </w:t>
      </w:r>
      <w:r>
        <w:t xml:space="preserve">larger savings, whereas younger generations tend to be less risk averse when it comes to investing.</w:t>
      </w:r>
    </w:p>
    <w:p>
      <w:pPr>
        <w:pStyle w:val="BodyText"/>
      </w:pPr>
      <w:r>
        <w:t xml:space="preserve">INVESTMENT EXPERIENCES ACROSS EU MEMBER STATES, % OF SURVEY RESPONDENTS HOLDING SPECIFIC FINANCIAL PRODUCTS</w:t>
      </w:r>
    </w:p>
    <w:p>
      <w:pPr>
        <w:pStyle w:val="BodyText"/>
      </w:pPr>
      <w:r>
        <w:t xml:space="preserve">Source: Eurobarometer 509, ‘Retail financial services and products’ 2022</w:t>
      </w:r>
      <w:r>
        <w:t xml:space="preserve"> </w:t>
      </w:r>
      <w:r>
        <w:t xml:space="preserve">The reasons that retail investors are not investing may be manifold. In many cases, they may not be</w:t>
      </w:r>
      <w:r>
        <w:t xml:space="preserve"> </w:t>
      </w:r>
      <w:r>
        <w:t xml:space="preserve">able to save and invest due to a lack of financial means. Other reasons may reflect more risk averse</w:t>
      </w:r>
      <w:r>
        <w:t xml:space="preserve"> </w:t>
      </w:r>
      <w:r>
        <w:t xml:space="preserve">cultural preferences. In October 2022, the European Commission published the results of a</w:t>
      </w:r>
      <w:r>
        <w:t xml:space="preserve"> </w:t>
      </w:r>
      <w:r>
        <w:t xml:space="preserve">Eurobarometer survey looking at retail financial services and products6, which indicated that 26% of</w:t>
      </w:r>
      <w:r>
        <w:t xml:space="preserve"> </w:t>
      </w:r>
      <w:r>
        <w:t xml:space="preserve">respondents have, or have had, an investment product, although around half of respondents considered</w:t>
      </w:r>
      <w:r>
        <w:t xml:space="preserve"> </w:t>
      </w:r>
      <w:r>
        <w:t xml:space="preserve">that they did not have the means to invest. Other reasons for not investing reflect concerns about the</w:t>
      </w:r>
      <w:r>
        <w:t xml:space="preserve"> </w:t>
      </w:r>
      <w:r>
        <w:t xml:space="preserve">risks, uncertainty about the potential returns, lack of understanding/complexity, preference to put</w:t>
      </w:r>
      <w:r>
        <w:t xml:space="preserve"> </w:t>
      </w:r>
      <w:r>
        <w:t xml:space="preserve">money elsewhere and lack of trust in advisors (see Eurobarometer chart).</w:t>
      </w:r>
    </w:p>
    <w:p>
      <w:pPr>
        <w:pStyle w:val="BodyText"/>
      </w:pPr>
      <w:r>
        <w:t xml:space="preserve">REASONS WHY PEOPLE DO NOT INVEST</w:t>
      </w:r>
    </w:p>
    <w:p>
      <w:pPr>
        <w:pStyle w:val="BodyText"/>
      </w:pPr>
      <w:r>
        <w:t xml:space="preserve">6 Eurobarometer survey on Retail Financial Services and Products, October 2022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Source: Eurobarometer 509, ‘Retail financial services and products’ 2022</w:t>
      </w:r>
      <w:r>
        <w:t xml:space="preserve"> </w:t>
      </w:r>
      <w:r>
        <w:t xml:space="preserve">The Eurobarometer survey indeed reflects a number of problems for retail investors. Retail investors</w:t>
      </w:r>
      <w:r>
        <w:t xml:space="preserve"> </w:t>
      </w:r>
      <w:r>
        <w:t xml:space="preserve">perceive investment products to be generally complex. Yet, although financial literacy levels vary</w:t>
      </w:r>
      <w:r>
        <w:t xml:space="preserve"> </w:t>
      </w:r>
      <w:r>
        <w:t xml:space="preserve">considerably across Member States, too many consumers have poor understanding of the investment</w:t>
      </w:r>
      <w:r>
        <w:t xml:space="preserve"> </w:t>
      </w:r>
      <w:r>
        <w:t xml:space="preserve">environment. The OECD/INFE 2020 International Survey of Adult Financial Literacy has shown that</w:t>
      </w:r>
      <w:r>
        <w:t xml:space="preserve"> </w:t>
      </w:r>
      <w:r>
        <w:t xml:space="preserve">on average, consumers could only reply to around 60% of questions on basic knowledge concepts and</w:t>
      </w:r>
      <w:r>
        <w:t xml:space="preserve"> </w:t>
      </w:r>
      <w:r>
        <w:t xml:space="preserve">financially prudent behaviours and attitudes. Only 26% of all adults responded correctly to questions</w:t>
      </w:r>
      <w:r>
        <w:t xml:space="preserve"> </w:t>
      </w:r>
      <w:r>
        <w:t xml:space="preserve">on both simple and compound interest – which are crucial concepts for investment7. Evidence also</w:t>
      </w:r>
      <w:r>
        <w:t xml:space="preserve"> </w:t>
      </w:r>
      <w:r>
        <w:t xml:space="preserve">suggests that a significant proportion of consumers is dependent on advice8: that is likely to be</w:t>
      </w:r>
      <w:r>
        <w:t xml:space="preserve"> </w:t>
      </w:r>
      <w:r>
        <w:t xml:space="preserve">especially the case for retail investing.</w:t>
      </w:r>
      <w:r>
        <w:br/>
      </w:r>
      <w:r>
        <w:t xml:space="preserve">Trust levels in investment services are also very low. Consumers regularly rank investment services</w:t>
      </w:r>
      <w:r>
        <w:t xml:space="preserve"> </w:t>
      </w:r>
      <w:r>
        <w:t xml:space="preserve">among the worst performing services, including on comparability and trust9. Lack of trust in financial</w:t>
      </w:r>
      <w:r>
        <w:t xml:space="preserve"> </w:t>
      </w:r>
      <w:r>
        <w:t xml:space="preserve">advice was also mentioned in the Eurobarometer as one reason for not investing.</w:t>
      </w:r>
      <w:r>
        <w:br/>
      </w:r>
      <w:r>
        <w:t xml:space="preserve">Finally, if they do invest, retail investors may not always get the best deal: products and services offered</w:t>
      </w:r>
      <w:r>
        <w:t xml:space="preserve"> </w:t>
      </w:r>
      <w:r>
        <w:t xml:space="preserve">to retail investors often carry high fees and commissions which have a negative impact on their return</w:t>
      </w:r>
      <w:r>
        <w:t xml:space="preserve"> </w:t>
      </w:r>
      <w:r>
        <w:t xml:space="preserve">on investments. For example, in 2021, retail clients were charged on average around 40% more than</w:t>
      </w:r>
      <w:r>
        <w:t xml:space="preserve"> </w:t>
      </w:r>
      <w:r>
        <w:t xml:space="preserve">institutional investors across asset classes10. Retail investors are heavily dependent on advised services,</w:t>
      </w:r>
      <w:r>
        <w:t xml:space="preserve"> </w:t>
      </w:r>
      <w:r>
        <w:t xml:space="preserve">and retail investment products11 in the EU are largely distributed through a commissions-based model</w:t>
      </w:r>
      <w:r>
        <w:t xml:space="preserve"> </w:t>
      </w:r>
      <w:r>
        <w:t xml:space="preserve">where distributors receive fees and commissions from product manufacturers for the products they</w:t>
      </w:r>
      <w:r>
        <w:t xml:space="preserve"> </w:t>
      </w:r>
      <w:r>
        <w:t xml:space="preserve">recommend and sell to retail investors. The existing rules do not sufficiently mitigate the conflicts of</w:t>
      </w:r>
      <w:r>
        <w:t xml:space="preserve"> </w:t>
      </w:r>
      <w:r>
        <w:t xml:space="preserve">interest which are inherent in this distribution model, and which lead to the distribution of more</w:t>
      </w:r>
      <w:r>
        <w:t xml:space="preserve"> </w:t>
      </w:r>
      <w:r>
        <w:t xml:space="preserve">expensive products and deliver suboptimal outcomes for retail investors.</w:t>
      </w:r>
      <w:r>
        <w:br/>
      </w:r>
      <w:r>
        <w:t xml:space="preserve">The risk of suboptimal outcomes for retail investors is exacerbated by the current economic climate</w:t>
      </w:r>
      <w:r>
        <w:t xml:space="preserve"> </w:t>
      </w:r>
      <w:r>
        <w:t xml:space="preserve">and the significant shift from a low interest rate environment towards high inflation and rising interest</w:t>
      </w:r>
      <w:r>
        <w:t xml:space="preserve"> </w:t>
      </w:r>
      <w:r>
        <w:t xml:space="preserve">rates. The increasing cost of living and erosion of savings means that it is even more important that</w:t>
      </w:r>
    </w:p>
    <w:p>
      <w:pPr>
        <w:pStyle w:val="BodyText"/>
      </w:pPr>
      <w:r>
        <w:t xml:space="preserve">7 See: OECD/INFE 2020 International Survey of Adult Financial Literacy</w:t>
      </w:r>
      <w:r>
        <w:t xml:space="preserve"> </w:t>
      </w:r>
      <w:r>
        <w:t xml:space="preserve">8 According to Eurobarometer, 45% of Eurobarometer respondents make decisions about personal finances based on</w:t>
      </w:r>
      <w:r>
        <w:t xml:space="preserve"> </w:t>
      </w:r>
      <w:r>
        <w:t xml:space="preserve">recommendations of bank staff or other financial advisors.</w:t>
      </w:r>
      <w:r>
        <w:t xml:space="preserve"> </w:t>
      </w:r>
      <w:r>
        <w:t xml:space="preserve">9 See the consumer scoreboard under Consumer Markets Scoreboard - Making markets work for consumer - 2018 Edition</w:t>
      </w:r>
      <w:r>
        <w:t xml:space="preserve"> </w:t>
      </w:r>
      <w:r>
        <w:t xml:space="preserve">(europa.eu)</w:t>
      </w:r>
      <w:r>
        <w:t xml:space="preserve"> </w:t>
      </w:r>
      <w:r>
        <w:t xml:space="preserve">10 ESMA, Performance and Costs of EU Retail Investment Products, 2022, page 6.</w:t>
      </w:r>
      <w:r>
        <w:t xml:space="preserve"> </w:t>
      </w:r>
      <w:r>
        <w:t xml:space="preserve">11 See page 26 of the 2018 Report on the Distribution systems of retail investment products across the European Union.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returns on retail investments are not eroded by high fees and that the legal framework is effective in</w:t>
      </w:r>
      <w:r>
        <w:t xml:space="preserve"> </w:t>
      </w:r>
      <w:r>
        <w:t xml:space="preserve">facilitating an efficient market that offers better investment outcomes. Against the backdrop of an</w:t>
      </w:r>
      <w:r>
        <w:t xml:space="preserve"> </w:t>
      </w:r>
      <w:r>
        <w:t xml:space="preserve">ageing EU population and longer life expectancy, long-term investments in capital markets could help</w:t>
      </w:r>
      <w:r>
        <w:t xml:space="preserve"> </w:t>
      </w:r>
      <w:r>
        <w:t xml:space="preserve">people achieve higher sustainable returns and a complementary income for their retirement, while at</w:t>
      </w:r>
      <w:r>
        <w:t xml:space="preserve"> </w:t>
      </w:r>
      <w:r>
        <w:t xml:space="preserve">the same time providing long-term orientated capital to the economy.</w:t>
      </w:r>
      <w:r>
        <w:t xml:space="preserve"> </w:t>
      </w:r>
      <w:r>
        <w:t xml:space="preserve">Furthermore, retail investments are affected by new trends. As is true in many other areas,</w:t>
      </w:r>
      <w:r>
        <w:t xml:space="preserve"> </w:t>
      </w:r>
      <w:r>
        <w:t xml:space="preserve">digitalisation has a profound impact on retail investments. Digitalisation offers, for example, easy</w:t>
      </w:r>
      <w:r>
        <w:t xml:space="preserve"> </w:t>
      </w:r>
      <w:r>
        <w:t xml:space="preserve">access to a wide range of services, products at lower cost, low-cost automated sales (sometimes with</w:t>
      </w:r>
      <w:r>
        <w:t xml:space="preserve"> </w:t>
      </w:r>
      <w:r>
        <w:t xml:space="preserve">additional investment support), robo-advice and digital information ensuring transparency and</w:t>
      </w:r>
      <w:r>
        <w:t xml:space="preserve"> </w:t>
      </w:r>
      <w:r>
        <w:t xml:space="preserve">facilitating the comparability of products. That is also the case, for instance, for tools to enhance</w:t>
      </w:r>
      <w:r>
        <w:t xml:space="preserve"> </w:t>
      </w:r>
      <w:r>
        <w:t xml:space="preserve">financial literacy. Many retail investors, especially from younger generations, are increasingly turning</w:t>
      </w:r>
      <w:r>
        <w:t xml:space="preserve"> </w:t>
      </w:r>
      <w:r>
        <w:t xml:space="preserve">to online investment opportunities. However, digitalisation may also create risks, such as facilitating</w:t>
      </w:r>
      <w:r>
        <w:t xml:space="preserve"> </w:t>
      </w:r>
      <w:r>
        <w:t xml:space="preserve">investment fraud or misleading marketing practices from influencers using social media and other</w:t>
      </w:r>
      <w:r>
        <w:t xml:space="preserve"> </w:t>
      </w:r>
      <w:r>
        <w:t xml:space="preserve">online channels. The existing rules on investment services were conceived for the more traditional</w:t>
      </w:r>
      <w:r>
        <w:t xml:space="preserve"> </w:t>
      </w:r>
      <w:r>
        <w:t xml:space="preserve">(face-to-face) distribution channels. They may need to be adapted to better target the needs of retail</w:t>
      </w:r>
      <w:r>
        <w:t xml:space="preserve"> </w:t>
      </w:r>
      <w:r>
        <w:t xml:space="preserve">investors and to accompany them in their investment journey.</w:t>
      </w:r>
      <w:r>
        <w:br/>
      </w:r>
      <w:r>
        <w:t xml:space="preserve">There is also an increasing focus on sustainable investing by retail investors, who want their</w:t>
      </w:r>
      <w:r>
        <w:t xml:space="preserve"> </w:t>
      </w:r>
      <w:r>
        <w:t xml:space="preserve">investments to also contribute to tackling the climate and biodiversity crises. This needs to be duly</w:t>
      </w:r>
      <w:r>
        <w:t xml:space="preserve"> </w:t>
      </w:r>
      <w:r>
        <w:t xml:space="preserve">reflected in the legal framework, in particular with respect to disclosures and the professional</w:t>
      </w:r>
      <w:r>
        <w:t xml:space="preserve"> </w:t>
      </w:r>
      <w:r>
        <w:t xml:space="preserve">certification of advisors.</w:t>
      </w:r>
      <w:r>
        <w:br/>
      </w:r>
      <w:r>
        <w:t xml:space="preserve">It is also important to stress that there are limits to what legislative changes to the retail investor</w:t>
      </w:r>
      <w:r>
        <w:t xml:space="preserve"> </w:t>
      </w:r>
      <w:r>
        <w:t xml:space="preserve">protection framework can seek to achieve. For example, different rules across Member States in the</w:t>
      </w:r>
      <w:r>
        <w:t xml:space="preserve"> </w:t>
      </w:r>
      <w:r>
        <w:t xml:space="preserve">area of taxation (e.g. with respect to withholding tax) add to the challenges retail investors face when</w:t>
      </w:r>
      <w:r>
        <w:t xml:space="preserve"> </w:t>
      </w:r>
      <w:r>
        <w:t xml:space="preserve">considering purchasing products outside their home Member State. Although these are significant</w:t>
      </w:r>
      <w:r>
        <w:t xml:space="preserve"> </w:t>
      </w:r>
      <w:r>
        <w:t xml:space="preserve">issues, taxation affecting retail investing is outside the scope of this strategy and thus not addressed in</w:t>
      </w:r>
      <w:r>
        <w:t xml:space="preserve"> </w:t>
      </w:r>
      <w:r>
        <w:t xml:space="preserve">this impact assessment12. Another important issue that is not addressed in this strategy relates to</w:t>
      </w:r>
      <w:r>
        <w:t xml:space="preserve"> </w:t>
      </w:r>
      <w:r>
        <w:t xml:space="preserve">consumer redress, in case retail investors enter into a dispute with their provider. The issue of improving</w:t>
      </w:r>
      <w:r>
        <w:t xml:space="preserve"> </w:t>
      </w:r>
      <w:r>
        <w:t xml:space="preserve">redress procedures will be subject to a separate initiative planned for 202313.</w:t>
      </w:r>
      <w:r>
        <w:t xml:space="preserve"> </w:t>
      </w:r>
      <w:r>
        <w:t xml:space="preserve">While strengthening protections might increase the overall level of trust and confidence for retail</w:t>
      </w:r>
      <w:r>
        <w:t xml:space="preserve"> </w:t>
      </w:r>
      <w:r>
        <w:t xml:space="preserve">investors, these changes alone may not lead to more people investing. However, by creating the</w:t>
      </w:r>
      <w:r>
        <w:t xml:space="preserve"> </w:t>
      </w:r>
      <w:r>
        <w:t xml:space="preserve">conditions for a healthy investment environment that ensures a high-level of trust and integrity as well</w:t>
      </w:r>
      <w:r>
        <w:t xml:space="preserve"> </w:t>
      </w:r>
      <w:r>
        <w:t xml:space="preserve">as better investment outcomes, it is likely that they would indirectly increase the currently observed</w:t>
      </w:r>
      <w:r>
        <w:t xml:space="preserve"> </w:t>
      </w:r>
      <w:r>
        <w:t xml:space="preserve">low participation rates.</w:t>
      </w:r>
      <w:r>
        <w:t xml:space="preserve"> </w:t>
      </w:r>
      <w:r>
        <w:t xml:space="preserve">1.2 Political context</w:t>
      </w:r>
      <w:r>
        <w:t xml:space="preserve"> </w:t>
      </w:r>
      <w:r>
        <w:t xml:space="preserve">In line with the Commission’s stated objective of “an economy that works for people”, and as</w:t>
      </w:r>
      <w:r>
        <w:t xml:space="preserve"> </w:t>
      </w:r>
      <w:r>
        <w:t xml:space="preserve">announced in the 2023 work programme14, the Commission is seeking to ensure that the legal</w:t>
      </w:r>
      <w:r>
        <w:t xml:space="preserve"> </w:t>
      </w:r>
      <w:r>
        <w:t xml:space="preserve">framework for retail investments sufficiently empowers consumers, helps them ensure improved and</w:t>
      </w:r>
      <w:r>
        <w:t xml:space="preserve"> </w:t>
      </w:r>
      <w:r>
        <w:t xml:space="preserve">fairer market outcomes and ultimately creates the necessary conditions to grow retail investor</w:t>
      </w:r>
      <w:r>
        <w:t xml:space="preserve"> </w:t>
      </w:r>
      <w:r>
        <w:t xml:space="preserve">participation in the capital markets.</w:t>
      </w:r>
      <w:r>
        <w:br/>
      </w:r>
      <w:r>
        <w:t xml:space="preserve">In its September 2020 New Capital Markets Union Action Plan, the European Commission announced</w:t>
      </w:r>
      <w:r>
        <w:t xml:space="preserve"> </w:t>
      </w:r>
      <w:r>
        <w:t xml:space="preserve">its intention to come forward with a strategy for retail investments in Europe that seeks to ensure that</w:t>
      </w:r>
    </w:p>
    <w:p>
      <w:pPr>
        <w:pStyle w:val="BodyText"/>
      </w:pPr>
      <w:r>
        <w:t xml:space="preserve">12 Such issues are dealt addressed in other initiatives, as described in the European Commission’s Action plan for fair and</w:t>
      </w:r>
      <w:r>
        <w:t xml:space="preserve"> </w:t>
      </w:r>
      <w:r>
        <w:t xml:space="preserve">simple taxation supporting the recovery strategy, COM(2020) 312 final.</w:t>
      </w:r>
      <w:r>
        <w:t xml:space="preserve"> </w:t>
      </w:r>
      <w:r>
        <w:t xml:space="preserve">13 The upcoming review of the ADR Directive in 2023 will aim to ensure that consumers and traders have fair, cost-effective</w:t>
      </w:r>
      <w:r>
        <w:t xml:space="preserve"> </w:t>
      </w:r>
      <w:r>
        <w:t xml:space="preserve">and user-friendly tools to solve their disputes and obtain redress where their rights are infringed.</w:t>
      </w:r>
      <w:r>
        <w:br/>
      </w:r>
      <w:r>
        <w:t xml:space="preserve">14 See Commission work programme 2023 COM(2022) 548 final.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retail investors can take full advantage of capital markets and that rules are coherent across legal</w:t>
      </w:r>
      <w:r>
        <w:t xml:space="preserve"> </w:t>
      </w:r>
      <w:r>
        <w:t xml:space="preserve">instruments.</w:t>
      </w:r>
      <w:r>
        <w:br/>
      </w:r>
      <w:r>
        <w:t xml:space="preserve">1.3 Legal context</w:t>
      </w:r>
      <w:r>
        <w:t xml:space="preserve"> </w:t>
      </w:r>
      <w:r>
        <w:t xml:space="preserve">The EU already has in place a legislative framework at EU level governing retail investor protection,</w:t>
      </w:r>
      <w:r>
        <w:t xml:space="preserve"> </w:t>
      </w:r>
      <w:r>
        <w:t xml:space="preserve">which has been developed over several decades. The level of consumer protection has significantly</w:t>
      </w:r>
      <w:r>
        <w:t xml:space="preserve"> </w:t>
      </w:r>
      <w:r>
        <w:t xml:space="preserve">strengthened over the years, in particular following the 2008 financial crisis.</w:t>
      </w:r>
      <w:r>
        <w:br/>
      </w:r>
      <w:r>
        <w:t xml:space="preserve">The current legislative framework covers, with varying levels of harmonization, most aspects of the</w:t>
      </w:r>
      <w:r>
        <w:t xml:space="preserve"> </w:t>
      </w:r>
      <w:r>
        <w:t xml:space="preserve">retail investor’s journey, ranging from the marketing of financial products and pre-contractual</w:t>
      </w:r>
      <w:r>
        <w:t xml:space="preserve"> </w:t>
      </w:r>
      <w:r>
        <w:t xml:space="preserve">disclosure of information to financial advice. It consists of different EU-level legal instruments that</w:t>
      </w:r>
      <w:r>
        <w:t xml:space="preserve"> </w:t>
      </w:r>
      <w:r>
        <w:t xml:space="preserve">aim to harmonise EU rules and create an integrated financial market on a sector-by-sector basis under</w:t>
      </w:r>
      <w:r>
        <w:t xml:space="preserve"> </w:t>
      </w:r>
      <w:r>
        <w:t xml:space="preserve">which investors are effectively protected, efficiency is promoted, and the integrity of the overall market</w:t>
      </w:r>
      <w:r>
        <w:t xml:space="preserve"> </w:t>
      </w:r>
      <w:r>
        <w:t xml:space="preserve">is safeguarded. The rules are spread across a number of different EU legal instruments described in the</w:t>
      </w:r>
      <w:r>
        <w:t xml:space="preserve"> </w:t>
      </w:r>
      <w:r>
        <w:t xml:space="preserve">following table. They provide a legal framework which is developed in more detail at levels 2 and 3</w:t>
      </w:r>
      <w:r>
        <w:t xml:space="preserve"> </w:t>
      </w:r>
      <w:r>
        <w:t xml:space="preserve">and which together form the basis of the acquis on retail investor protection.</w:t>
      </w:r>
      <w:r>
        <w:t xml:space="preserve"> </w:t>
      </w:r>
      <w:r>
        <w:t xml:space="preserve">Table 1: the EU legal framework governing retail investor protection</w:t>
      </w:r>
      <w:r>
        <w:t xml:space="preserve"> </w:t>
      </w:r>
      <w:r>
        <w:t xml:space="preserve">Legislation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MiFID II15</w:t>
      </w:r>
      <w:r>
        <w:br/>
      </w:r>
      <w:r>
        <w:t xml:space="preserve">Sectoral legislation setting the rules for the single market for investment services and activities aiming</w:t>
      </w:r>
      <w:r>
        <w:t xml:space="preserve"> </w:t>
      </w:r>
      <w:r>
        <w:t xml:space="preserve">to ensure a high degree of harmonised protection for investors in financial instruments.</w:t>
      </w:r>
      <w:r>
        <w:t xml:space="preserve"> </w:t>
      </w:r>
      <w:r>
        <w:t xml:space="preserve">IDD 16</w:t>
      </w:r>
      <w:r>
        <w:t xml:space="preserve"> </w:t>
      </w:r>
      <w:r>
        <w:t xml:space="preserve">Sectoral legislation that sets out the rules on how insurance products are designed and distributed in</w:t>
      </w:r>
      <w:r>
        <w:t xml:space="preserve"> </w:t>
      </w:r>
      <w:r>
        <w:t xml:space="preserve">the EU and aims to harmonise regulation of the insurance market and to improve consumer protection</w:t>
      </w:r>
      <w:r>
        <w:t xml:space="preserve"> </w:t>
      </w:r>
      <w:r>
        <w:t xml:space="preserve">standards.</w:t>
      </w:r>
      <w:r>
        <w:t xml:space="preserve"> </w:t>
      </w:r>
      <w:r>
        <w:t xml:space="preserve">PRIIPs 17</w:t>
      </w:r>
      <w:r>
        <w:t xml:space="preserve"> </w:t>
      </w:r>
      <w:r>
        <w:t xml:space="preserve">Cross-sectoral legislation that sets out the obligations for those who produce or distribute packaged</w:t>
      </w:r>
      <w:r>
        <w:t xml:space="preserve"> </w:t>
      </w:r>
      <w:r>
        <w:t xml:space="preserve">retail and insurance-based investment products to provide investors with key information documents</w:t>
      </w:r>
      <w:r>
        <w:t xml:space="preserve"> </w:t>
      </w:r>
      <w:r>
        <w:t xml:space="preserve">(PRIIPs key information documents / PRIIPs KIDs). The regulation sets out rules on the contents of</w:t>
      </w:r>
      <w:r>
        <w:t xml:space="preserve"> </w:t>
      </w:r>
      <w:r>
        <w:t xml:space="preserve">the KIDs and their presentation, as well as how PRIIPs KIDs should be provided to retail investors.</w:t>
      </w:r>
      <w:r>
        <w:t xml:space="preserve"> </w:t>
      </w:r>
      <w:r>
        <w:t xml:space="preserve">UCITS 18</w:t>
      </w:r>
      <w:r>
        <w:t xml:space="preserve"> </w:t>
      </w:r>
      <w:r>
        <w:t xml:space="preserve">Sectoral legislation setting the rules for the creation, management and marketing of collective</w:t>
      </w:r>
      <w:r>
        <w:t xml:space="preserve"> </w:t>
      </w:r>
      <w:r>
        <w:t xml:space="preserve">investment schemes.</w:t>
      </w:r>
      <w:r>
        <w:br/>
      </w:r>
      <w:r>
        <w:t xml:space="preserve">AIFMD19</w:t>
      </w:r>
      <w:r>
        <w:br/>
      </w:r>
      <w:r>
        <w:t xml:space="preserve">Sectoral legislation setting the rules for the management and marketing of alternative investment</w:t>
      </w:r>
      <w:r>
        <w:t xml:space="preserve"> </w:t>
      </w:r>
      <w:r>
        <w:t xml:space="preserve">funds (AIFs).</w:t>
      </w:r>
      <w:r>
        <w:t xml:space="preserve"> </w:t>
      </w:r>
      <w:r>
        <w:t xml:space="preserve">Solvency</w:t>
      </w:r>
      <w:r>
        <w:t xml:space="preserve"> </w:t>
      </w:r>
      <w:r>
        <w:t xml:space="preserve">II20</w:t>
      </w:r>
      <w:r>
        <w:t xml:space="preserve"> </w:t>
      </w:r>
      <w:r>
        <w:t xml:space="preserve">Solvency II is the prudential regime for insurance and reinsurance undertakings in the EU aiming at</w:t>
      </w:r>
      <w:r>
        <w:t xml:space="preserve"> </w:t>
      </w:r>
      <w:r>
        <w:t xml:space="preserve">promoting transparency, comparability and competitiveness in the insurance sector.</w:t>
      </w:r>
      <w:r>
        <w:t xml:space="preserve"> </w:t>
      </w:r>
      <w:r>
        <w:t xml:space="preserve">PEPP21</w:t>
      </w:r>
      <w:r>
        <w:br/>
      </w:r>
      <w:r>
        <w:t xml:space="preserve">Sectoral legislation setting out the rules on the pan-European Personal Pension Product (PEPP) which</w:t>
      </w:r>
      <w:r>
        <w:t xml:space="preserve"> </w:t>
      </w:r>
      <w:r>
        <w:t xml:space="preserve">is a voluntary personal pension scheme that offers EU citizens a new option to save for retirement.</w:t>
      </w:r>
    </w:p>
    <w:p>
      <w:pPr>
        <w:pStyle w:val="BodyText"/>
      </w:pPr>
      <w:r>
        <w:t xml:space="preserve">15 Directive (EU) 2014/65 of the European Parliament and of the Council of 15 May 2014 on markets in financial</w:t>
      </w:r>
      <w:r>
        <w:t xml:space="preserve"> </w:t>
      </w:r>
      <w:r>
        <w:t xml:space="preserve">instruments.</w:t>
      </w:r>
      <w:r>
        <w:br/>
      </w:r>
      <w:r>
        <w:t xml:space="preserve">16 Directive (EU) 2016/97 of the European Parliament and of the Council of 20 January 2016 on insurance distribution.</w:t>
      </w:r>
      <w:r>
        <w:t xml:space="preserve"> </w:t>
      </w:r>
      <w:r>
        <w:t xml:space="preserve">17 Regulation (EU) No 1286/2014 of the European Parliament and of the Council of 26 November 2014 on key information</w:t>
      </w:r>
      <w:r>
        <w:t xml:space="preserve"> </w:t>
      </w:r>
      <w:r>
        <w:t xml:space="preserve">documents for packaged retail and insurance-based investment products.</w:t>
      </w:r>
      <w:r>
        <w:t xml:space="preserve"> </w:t>
      </w:r>
      <w:r>
        <w:t xml:space="preserve">18 Directive 2009/65/EC of the European Parliament and of the Council of 13 July 2009 on the coordination of laws,</w:t>
      </w:r>
      <w:r>
        <w:t xml:space="preserve"> </w:t>
      </w:r>
      <w:r>
        <w:t xml:space="preserve">regulations and administrative provisions relating to undertakings for collective investment in transferable securities</w:t>
      </w:r>
      <w:r>
        <w:t xml:space="preserve"> </w:t>
      </w:r>
      <w:r>
        <w:t xml:space="preserve">(UCITS).</w:t>
      </w:r>
      <w:r>
        <w:t xml:space="preserve"> </w:t>
      </w:r>
      <w:r>
        <w:t xml:space="preserve">19 Directive 2011/61/EU of the European Parliament and of the Council of 8 June 2011 on Alternative Investment Fund</w:t>
      </w:r>
      <w:r>
        <w:t xml:space="preserve"> </w:t>
      </w:r>
      <w:r>
        <w:t xml:space="preserve">Managers.</w:t>
      </w:r>
      <w:r>
        <w:t xml:space="preserve"> </w:t>
      </w:r>
      <w:r>
        <w:t xml:space="preserve">20 Directive 2009/138/EC of the European Parliament and of the Council of 25 November 2009 on the taking-up and pursuit</w:t>
      </w:r>
      <w:r>
        <w:t xml:space="preserve"> </w:t>
      </w:r>
      <w:r>
        <w:t xml:space="preserve">of the business of Insurance and Reinsurance (Solvency II).</w:t>
      </w:r>
      <w:r>
        <w:t xml:space="preserve"> </w:t>
      </w:r>
      <w:r>
        <w:t xml:space="preserve">21 Regulation 2019/1238 of the European Parliament and of the Council of 20 June 2019 on a pan-European Personal</w:t>
      </w:r>
      <w:r>
        <w:t xml:space="preserve"> </w:t>
      </w:r>
      <w:r>
        <w:t xml:space="preserve">Pension Product (PEPP)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However, while this approach ensures that investor protection rules are adapted to the specific needs</w:t>
      </w:r>
      <w:r>
        <w:t xml:space="preserve"> </w:t>
      </w:r>
      <w:r>
        <w:t xml:space="preserve">of the relevant sector, it also results in a patchwork of rules viewed from the perspective of a retail</w:t>
      </w:r>
      <w:r>
        <w:t xml:space="preserve"> </w:t>
      </w:r>
      <w:r>
        <w:t xml:space="preserve">investor.</w:t>
      </w:r>
      <w:r>
        <w:br/>
      </w:r>
      <w:r>
        <w:t xml:space="preserve">To address the problems on the retail investments market, further efforts are required at EU level to</w:t>
      </w:r>
      <w:r>
        <w:t xml:space="preserve"> </w:t>
      </w:r>
      <w:r>
        <w:t xml:space="preserve">modernise and update the investor protection rules and establish coherent and consistent regulatory</w:t>
      </w:r>
      <w:r>
        <w:t xml:space="preserve"> </w:t>
      </w:r>
      <w:r>
        <w:t xml:space="preserve">requirements across the Union.</w:t>
      </w:r>
      <w:r>
        <w:t xml:space="preserve"> </w:t>
      </w:r>
      <w:r>
        <w:t xml:space="preserve">This impact assessment also considers the interplay with other ongoing initiatives in the area of</w:t>
      </w:r>
      <w:r>
        <w:t xml:space="preserve"> </w:t>
      </w:r>
      <w:r>
        <w:t xml:space="preserve">financial services. For example, the Open finance framework will aim to facilitate the access and re-</w:t>
      </w:r>
      <w:r>
        <w:t xml:space="preserve"> </w:t>
      </w:r>
      <w:r>
        <w:t xml:space="preserve">use of customer data, with consent, across a range of financial services and enable data sharing and</w:t>
      </w:r>
      <w:r>
        <w:t xml:space="preserve"> </w:t>
      </w:r>
      <w:r>
        <w:t xml:space="preserve">third party access for a wide range of financial sectors and products, in line with data protection and</w:t>
      </w:r>
      <w:r>
        <w:t xml:space="preserve"> </w:t>
      </w:r>
      <w:r>
        <w:t xml:space="preserve">consumer protection rules. The Open finance initiative runs in parallel with the Retail investment</w:t>
      </w:r>
      <w:r>
        <w:t xml:space="preserve"> </w:t>
      </w:r>
      <w:r>
        <w:t xml:space="preserve">strategy and coordination of the two will take place especially with regards to standardisation and/or</w:t>
      </w:r>
      <w:r>
        <w:t xml:space="preserve"> </w:t>
      </w:r>
      <w:r>
        <w:t xml:space="preserve">portability of customer data.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 What is/are the problems?</w:t>
      </w:r>
      <w:r>
        <w:t xml:space="preserve"> </w:t>
      </w:r>
      <w:r>
        <w:t xml:space="preserve">Financial markets are complex, which makes it difficult for many retail investors to understand the</w:t>
      </w:r>
      <w:r>
        <w:t xml:space="preserve"> </w:t>
      </w:r>
      <w:r>
        <w:t xml:space="preserve">investment products and services on offer, including their costs, risks, and benefits. This complexity</w:t>
      </w:r>
      <w:r>
        <w:t xml:space="preserve"> </w:t>
      </w:r>
      <w:r>
        <w:t xml:space="preserve">has different impacts on the behaviour of retail investors: some refrain from investing and keep their</w:t>
      </w:r>
      <w:r>
        <w:t xml:space="preserve"> </w:t>
      </w:r>
      <w:r>
        <w:t xml:space="preserve">money in bank deposits, whereas others may seek to attain higher levels of knowledge before they feel</w:t>
      </w:r>
      <w:r>
        <w:t xml:space="preserve"> </w:t>
      </w:r>
      <w:r>
        <w:t xml:space="preserve">able to make informed choices. The search for information and learning entails costs, which deter</w:t>
      </w:r>
      <w:r>
        <w:t xml:space="preserve"> </w:t>
      </w:r>
      <w:r>
        <w:t xml:space="preserve">investment. Since retail investors will wish to avoid frustrating investment experiences and the risk of</w:t>
      </w:r>
      <w:r>
        <w:t xml:space="preserve"> </w:t>
      </w:r>
      <w:r>
        <w:t xml:space="preserve">taking wrong decisions, their investment decisions are preceded by their assessment of trust in their</w:t>
      </w:r>
      <w:r>
        <w:t xml:space="preserve"> </w:t>
      </w:r>
      <w:r>
        <w:t xml:space="preserve">own decision-making capacity and the quality of information and advice available to them. Information</w:t>
      </w:r>
      <w:r>
        <w:t xml:space="preserve"> </w:t>
      </w:r>
      <w:r>
        <w:t xml:space="preserve">and financial advice have the character of ‘credence goods’ since complex information hinders</w:t>
      </w:r>
      <w:r>
        <w:t xml:space="preserve"> </w:t>
      </w:r>
      <w:r>
        <w:t xml:space="preserve">investors’ ability to judge their quality or that of related financial advice22. Complexity makes retail</w:t>
      </w:r>
      <w:r>
        <w:t xml:space="preserve"> </w:t>
      </w:r>
      <w:r>
        <w:t xml:space="preserve">investors vulnerable to cognitive biases and the use of non-rational factors that may not best suit their</w:t>
      </w:r>
      <w:r>
        <w:t xml:space="preserve"> </w:t>
      </w:r>
      <w:r>
        <w:t xml:space="preserve">needs. They struggle to understand critical aspects, such as how financial incentives paid by product</w:t>
      </w:r>
      <w:r>
        <w:t xml:space="preserve"> </w:t>
      </w:r>
      <w:r>
        <w:t xml:space="preserve">manufacturers to distributors can bias the advice that they receive.</w:t>
      </w:r>
      <w:r>
        <w:br/>
      </w:r>
      <w:r>
        <w:t xml:space="preserve">The relationship between financial service providers and retail investors is characterised by a</w:t>
      </w:r>
      <w:r>
        <w:t xml:space="preserve"> </w:t>
      </w:r>
      <w:r>
        <w:t xml:space="preserve">fundamental information asymmetry, which intensifies such consequences. Apart from providing</w:t>
      </w:r>
      <w:r>
        <w:t xml:space="preserve"> </w:t>
      </w:r>
      <w:r>
        <w:t xml:space="preserve">technical services in the administration of households’ financial wealth holdings, financial</w:t>
      </w:r>
      <w:r>
        <w:t xml:space="preserve"> </w:t>
      </w:r>
      <w:r>
        <w:t xml:space="preserve">intermediaries’ main added value is in helping investors overcome the information gap. Financial</w:t>
      </w:r>
      <w:r>
        <w:t xml:space="preserve"> </w:t>
      </w:r>
      <w:r>
        <w:t xml:space="preserve">intermediaries’ revenues can be understood as the remuneration retail investors pay to receive</w:t>
      </w:r>
      <w:r>
        <w:t xml:space="preserve"> </w:t>
      </w:r>
      <w:r>
        <w:t xml:space="preserve">information and advice.23 However, investors’ search costs imply market power for financial service</w:t>
      </w:r>
      <w:r>
        <w:t xml:space="preserve"> </w:t>
      </w:r>
      <w:r>
        <w:t xml:space="preserve">providers in the form of their ability to charge higher prices than if they were operating in a competitive</w:t>
      </w:r>
      <w:r>
        <w:t xml:space="preserve"> </w:t>
      </w:r>
      <w:r>
        <w:t xml:space="preserve">environment.24 While some investors follow the recommendations of advisors blindly, others refrain</w:t>
      </w:r>
      <w:r>
        <w:t xml:space="preserve"> </w:t>
      </w:r>
      <w:r>
        <w:t xml:space="preserve">from asking for advice.25The broad-ranging EU regulatory framework focuses on protecting retail</w:t>
      </w:r>
      <w:r>
        <w:t xml:space="preserve"> </w:t>
      </w:r>
      <w:r>
        <w:t xml:space="preserve">investors and aims to address the risks that stem from information asymmetry. It covers disclosure</w:t>
      </w:r>
    </w:p>
    <w:p>
      <w:pPr>
        <w:pStyle w:val="BodyText"/>
      </w:pPr>
      <w:r>
        <w:t xml:space="preserve">22 “Credence goods” are characterised by the consumers’ inability to judge the quality of the good after purchase. For such</w:t>
      </w:r>
      <w:r>
        <w:t xml:space="preserve"> </w:t>
      </w:r>
      <w:r>
        <w:t xml:space="preserve">goods, market incentives are distorted, resulting in the provision of goods that do not fit the needs of consumers and/or</w:t>
      </w:r>
      <w:r>
        <w:t xml:space="preserve"> </w:t>
      </w:r>
      <w:r>
        <w:t xml:space="preserve">charged at a too high price. Market mechanisms can overcome these vulnerabilities only under specific conditions that</w:t>
      </w:r>
      <w:r>
        <w:t xml:space="preserve"> </w:t>
      </w:r>
      <w:r>
        <w:t xml:space="preserve">reveal quality and value to customers, See Balafoutas, L. and R. Kerschbamer, ‘Credence goods in the literature: What the</w:t>
      </w:r>
      <w:r>
        <w:t xml:space="preserve"> </w:t>
      </w:r>
      <w:r>
        <w:t xml:space="preserve">past fifteen years have taught us about fraud, incentives and the role of institutions’, Journal of Behavioural and</w:t>
      </w:r>
      <w:r>
        <w:t xml:space="preserve"> </w:t>
      </w:r>
      <w:r>
        <w:t xml:space="preserve">Experimental Finance, Vol. 39 (20220), pp.1-16.</w:t>
      </w:r>
      <w:r>
        <w:t xml:space="preserve"> </w:t>
      </w:r>
      <w:r>
        <w:t xml:space="preserve">23 See Inderst, R. and M. Ottaviani, ‘Financial Advice’, Journal of Economic Literature, Vol. 50:2 (2012), pp. 494-521.</w:t>
      </w:r>
      <w:r>
        <w:t xml:space="preserve"> </w:t>
      </w:r>
      <w:r>
        <w:t xml:space="preserve">24 See Campbell, J.Y et al., Consumer Financial Protection’, Journal of Economic Perspectives, Vol. 25 (2011), No. 5,</w:t>
      </w:r>
      <w:r>
        <w:t xml:space="preserve"> </w:t>
      </w:r>
      <w:r>
        <w:t xml:space="preserve">pp.91-114.</w:t>
      </w:r>
      <w:r>
        <w:br/>
      </w:r>
      <w:r>
        <w:t xml:space="preserve">25 See Annex 10 on financial advice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requirements, product oversight and governance rules as well as rules addressing conflicts of interest</w:t>
      </w:r>
      <w:r>
        <w:t xml:space="preserve"> </w:t>
      </w:r>
      <w:r>
        <w:t xml:space="preserve">and governing the “point of sale” of investment products and services. Setting standards on the</w:t>
      </w:r>
      <w:r>
        <w:t xml:space="preserve"> </w:t>
      </w:r>
      <w:r>
        <w:t xml:space="preserve">information given to retail investors reduces their learning costs, while regulating the services of</w:t>
      </w:r>
      <w:r>
        <w:t xml:space="preserve"> </w:t>
      </w:r>
      <w:r>
        <w:t xml:space="preserve">financial intermediaries contributes to enhancing retail investors’ trust.</w:t>
      </w:r>
      <w:r>
        <w:t xml:space="preserve"> </w:t>
      </w:r>
      <w:r>
        <w:t xml:space="preserve">Despite the existence of those safeguards, the evidence (the evaluation of the framework in Annex 11,</w:t>
      </w:r>
      <w:r>
        <w:t xml:space="preserve"> </w:t>
      </w:r>
      <w:r>
        <w:t xml:space="preserve">the results of the public consultation, the retail investment study and advice from the ESAs) points to a</w:t>
      </w:r>
      <w:r>
        <w:t xml:space="preserve"> </w:t>
      </w:r>
      <w:r>
        <w:t xml:space="preserve">failure of the legislation to reach its intended outcome. As a result, retail investors are often not</w:t>
      </w:r>
      <w:r>
        <w:t xml:space="preserve"> </w:t>
      </w:r>
      <w:r>
        <w:t xml:space="preserve">purchasing products that are in their best interest.</w:t>
      </w:r>
      <w:r>
        <w:br/>
      </w:r>
      <w:r>
        <w:t xml:space="preserve">There are two key problems that persist in the area of retail investor protection:</w:t>
      </w:r>
      <w:r>
        <w:br/>
      </w:r>
      <w:r>
        <w:t xml:space="preserve">1.</w:t>
      </w:r>
      <w:r>
        <w:t xml:space="preserve"> </w:t>
      </w:r>
      <w:r>
        <w:t xml:space="preserve">Retail investors lack salient, comparable and easily understandable investment product</w:t>
      </w:r>
      <w:r>
        <w:t xml:space="preserve"> </w:t>
      </w:r>
      <w:r>
        <w:t xml:space="preserve">information, while being inappropriately influenced by marketing communications.</w:t>
      </w:r>
      <w:r>
        <w:br/>
      </w:r>
      <w:r>
        <w:t xml:space="preserve">Salient, comparable and easily understandable information about investment products is important to</w:t>
      </w:r>
      <w:r>
        <w:t xml:space="preserve"> </w:t>
      </w:r>
      <w:r>
        <w:t xml:space="preserve">help retail investors make well-informed decisions. That purpose is however is hindered by several</w:t>
      </w:r>
      <w:r>
        <w:t xml:space="preserve"> </w:t>
      </w:r>
      <w:r>
        <w:t xml:space="preserve">factors that limit the ability of investors to use and understand the information they need – some related</w:t>
      </w:r>
      <w:r>
        <w:t xml:space="preserve"> </w:t>
      </w:r>
      <w:r>
        <w:t xml:space="preserve">to deficiencies in the retail disclosure framework, others related to insufficient levels of financial</w:t>
      </w:r>
      <w:r>
        <w:t xml:space="preserve"> </w:t>
      </w:r>
      <w:r>
        <w:t xml:space="preserve">literacy. As evidenced in the Evaluation (Annex 11), while the retail disclosures framework has</w:t>
      </w:r>
      <w:r>
        <w:t xml:space="preserve"> </w:t>
      </w:r>
      <w:r>
        <w:t xml:space="preserve">increased investor protection, the information documents provided to retail investors are rarely</w:t>
      </w:r>
      <w:r>
        <w:t xml:space="preserve"> </w:t>
      </w:r>
      <w:r>
        <w:t xml:space="preserve">engaging and their layout is frequently very dense and not reader friendly. Insufficient levels of</w:t>
      </w:r>
      <w:r>
        <w:t xml:space="preserve"> </w:t>
      </w:r>
      <w:r>
        <w:t xml:space="preserve">financial literacy make it harder for investors to find and assess available information and reflect it in</w:t>
      </w:r>
      <w:r>
        <w:t xml:space="preserve"> </w:t>
      </w:r>
      <w:r>
        <w:t xml:space="preserve">their investment decisions. While financial service providers are legally required to provide different</w:t>
      </w:r>
      <w:r>
        <w:t xml:space="preserve"> </w:t>
      </w:r>
      <w:r>
        <w:t xml:space="preserve">types of information to retail investors on financial products or services, the rules do not appear to be</w:t>
      </w:r>
      <w:r>
        <w:t xml:space="preserve"> </w:t>
      </w:r>
      <w:r>
        <w:t xml:space="preserve">fully achieving their intended objective of increasing understandability and improving investment</w:t>
      </w:r>
      <w:r>
        <w:t xml:space="preserve"> </w:t>
      </w:r>
      <w:r>
        <w:t xml:space="preserve">decisions. It is not possible to quantify the size of this problem, but evidence points to such deficiencies</w:t>
      </w:r>
      <w:r>
        <w:t xml:space="preserve"> </w:t>
      </w:r>
      <w:r>
        <w:t xml:space="preserve">as being one of the pieces of the puzzle that together affect retail investors’ trust and willingness to</w:t>
      </w:r>
      <w:r>
        <w:t xml:space="preserve"> </w:t>
      </w:r>
      <w:r>
        <w:t xml:space="preserve">invest.</w:t>
      </w:r>
      <w:r>
        <w:br/>
      </w:r>
      <w:r>
        <w:t xml:space="preserve">The behavioural testing and mystery shopping exercise in the Retail investment study showed that the</w:t>
      </w:r>
      <w:r>
        <w:t xml:space="preserve"> </w:t>
      </w:r>
      <w:r>
        <w:t xml:space="preserve">current disclosure rules are not sufficiently helping consumers overcome the underlying complexity of</w:t>
      </w:r>
      <w:r>
        <w:t xml:space="preserve"> </w:t>
      </w:r>
      <w:r>
        <w:t xml:space="preserve">retail investment products. As a consequence, there is further potential for disclosures to better help</w:t>
      </w:r>
      <w:r>
        <w:t xml:space="preserve"> </w:t>
      </w:r>
      <w:r>
        <w:t xml:space="preserve">retail investors make their decisions. Furthermore, a recent IOSCO study demonstrated that retail</w:t>
      </w:r>
      <w:r>
        <w:t xml:space="preserve"> </w:t>
      </w:r>
      <w:r>
        <w:t xml:space="preserve">investors are increasingly exposed to the influence of social media and online marketing26. The current</w:t>
      </w:r>
      <w:r>
        <w:t xml:space="preserve"> </w:t>
      </w:r>
      <w:r>
        <w:t xml:space="preserve">framework has not been sufficiently adapted to the increasing use of digital channels for retail investing.</w:t>
      </w:r>
      <w:r>
        <w:t xml:space="preserve"> </w:t>
      </w:r>
      <w:r>
        <w:t xml:space="preserve">In addition, the current framework does not reflect the growing need of inclusion of sustainability</w:t>
      </w:r>
      <w:r>
        <w:t xml:space="preserve"> </w:t>
      </w:r>
      <w:r>
        <w:t xml:space="preserve">preferences of retail investors.</w:t>
      </w:r>
    </w:p>
    <w:p>
      <w:pPr>
        <w:pStyle w:val="Compact"/>
        <w:numPr>
          <w:ilvl w:val="0"/>
          <w:numId w:val="1002"/>
        </w:numPr>
      </w:pPr>
      <w:r>
        <w:t xml:space="preserve">Shortcomings in the investment product manufacturing and distribution process related to</w:t>
      </w:r>
      <w:r>
        <w:t xml:space="preserve"> </w:t>
      </w:r>
      <w:r>
        <w:t xml:space="preserve">the payment of inducements and the extent to which product design reflects cost-efficiency</w:t>
      </w:r>
      <w:r>
        <w:t xml:space="preserve"> </w:t>
      </w:r>
      <w:r>
        <w:t xml:space="preserve">and value for the retail investor.</w:t>
      </w:r>
    </w:p>
    <w:p>
      <w:pPr>
        <w:pStyle w:val="FirstParagraph"/>
      </w:pPr>
      <w:r>
        <w:t xml:space="preserve">Evidence suggests that some products offered and recommended to retail investors do not deliver</w:t>
      </w:r>
      <w:r>
        <w:t xml:space="preserve"> </w:t>
      </w:r>
      <w:r>
        <w:t xml:space="preserve">satisfactory investment results and do not best serve their interests, nor correspond to their investment</w:t>
      </w:r>
      <w:r>
        <w:t xml:space="preserve"> </w:t>
      </w:r>
      <w:r>
        <w:t xml:space="preserve">objectives, needs and preferences. Both EIOPA27 and ESMA28 have found that certain products offered</w:t>
      </w:r>
      <w:r>
        <w:t xml:space="preserve"> </w:t>
      </w:r>
      <w:r>
        <w:t xml:space="preserve">to retail investors (e.g. certain structured investment products or insurance-based investment products)</w:t>
      </w:r>
      <w:r>
        <w:t xml:space="preserve"> </w:t>
      </w:r>
      <w:r>
        <w:t xml:space="preserve">have in recent years offered very low if not negative returns, especially after deduction of fees29.</w:t>
      </w:r>
    </w:p>
    <w:p>
      <w:pPr>
        <w:pStyle w:val="BodyText"/>
      </w:pPr>
      <w:r>
        <w:t xml:space="preserve">26 IOSCO report on retail distribution and digitalisation https://www.iosco.org/library/pubdocs/pdf/IOSCOPD715.pdf</w:t>
      </w:r>
      <w:r>
        <w:t xml:space="preserve"> </w:t>
      </w:r>
      <w:r>
        <w:t xml:space="preserve">27 EIOPA Cost and past performance report 2022</w:t>
      </w:r>
      <w:r>
        <w:t xml:space="preserve"> </w:t>
      </w:r>
      <w:r>
        <w:t xml:space="preserve">28 ESMA Performance and Costs of EU Retail Investment Products 2022</w:t>
      </w:r>
      <w:r>
        <w:t xml:space="preserve"> </w:t>
      </w:r>
      <w:r>
        <w:t xml:space="preserve">29 See page 38 EIOPA’s 2022 cost and performance report or page 37 of ESMA’s Performance and Costs of EU Retail</w:t>
      </w:r>
      <w:r>
        <w:t xml:space="preserve"> </w:t>
      </w:r>
      <w:r>
        <w:t xml:space="preserve">Investment Products 2022.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Particularly costly are products that include the payment of inducements for financial intermediaries in</w:t>
      </w:r>
      <w:r>
        <w:t xml:space="preserve"> </w:t>
      </w:r>
      <w:r>
        <w:t xml:space="preserve">the distribution process. Despite the existing safeguards to mitigate the resulting conflicts of interest,</w:t>
      </w:r>
      <w:r>
        <w:t xml:space="preserve"> </w:t>
      </w:r>
      <w:r>
        <w:t xml:space="preserve">investors are still advised products that do not offer them the best value nor help them to achieve their</w:t>
      </w:r>
      <w:r>
        <w:t xml:space="preserve"> </w:t>
      </w:r>
      <w:r>
        <w:t xml:space="preserve">long-term investment goals. The European Court of Auditors (ECA) concluded in its special report on</w:t>
      </w:r>
      <w:r>
        <w:t xml:space="preserve"> </w:t>
      </w:r>
      <w:r>
        <w:t xml:space="preserve">investment funds30 that investors were not sufficiently protected against, among other things, biased</w:t>
      </w:r>
      <w:r>
        <w:t xml:space="preserve"> </w:t>
      </w:r>
      <w:r>
        <w:t xml:space="preserve">advice from financial intermediaries incentivised by inducements.</w:t>
      </w:r>
      <w:r>
        <w:t xml:space="preserve"> </w:t>
      </w:r>
      <w:r>
        <w:t xml:space="preserve">Jointly, these problems have the following consequences:</w:t>
      </w:r>
      <w:r>
        <w:t xml:space="preserve"> </w:t>
      </w:r>
      <w:r>
        <w:t xml:space="preserve">1.</w:t>
      </w:r>
      <w:r>
        <w:t xml:space="preserve"> </w:t>
      </w:r>
      <w:r>
        <w:t xml:space="preserve">Investors may not be duly protected or treated fairly;</w:t>
      </w:r>
      <w:r>
        <w:t xml:space="preserve"> </w:t>
      </w:r>
      <w:r>
        <w:t xml:space="preserve">2.</w:t>
      </w:r>
      <w:r>
        <w:t xml:space="preserve"> </w:t>
      </w:r>
      <w:r>
        <w:t xml:space="preserve">Some investors do not achieve good outcomes on their investment due to poor quality products,</w:t>
      </w:r>
      <w:r>
        <w:t xml:space="preserve"> </w:t>
      </w:r>
      <w:r>
        <w:t xml:space="preserve">making it harder to accumulate capital to finance their retirement needs or other life goals;</w:t>
      </w:r>
      <w:r>
        <w:t xml:space="preserve"> </w:t>
      </w:r>
      <w:r>
        <w:t xml:space="preserve">3.</w:t>
      </w:r>
      <w:r>
        <w:t xml:space="preserve"> </w:t>
      </w:r>
      <w:r>
        <w:t xml:space="preserve">As retail investors achieve suboptimal results and do not understand why their financial</w:t>
      </w:r>
      <w:r>
        <w:t xml:space="preserve"> </w:t>
      </w:r>
      <w:r>
        <w:t xml:space="preserve">products did not yield a satisfying performance, their confidence in capital markets may be</w:t>
      </w:r>
      <w:r>
        <w:t xml:space="preserve"> </w:t>
      </w:r>
      <w:r>
        <w:t xml:space="preserve">undermined and their willingness to invest in the first place discouraged;</w:t>
      </w:r>
      <w:r>
        <w:br/>
      </w:r>
      <w:r>
        <w:t xml:space="preserve">4.</w:t>
      </w:r>
      <w:r>
        <w:t xml:space="preserve"> </w:t>
      </w:r>
      <w:r>
        <w:t xml:space="preserve">The resulting lower retail investor engagement may constrain efforts to achieve a more efficient,</w:t>
      </w:r>
      <w:r>
        <w:t xml:space="preserve"> </w:t>
      </w:r>
      <w:r>
        <w:t xml:space="preserve">developed and integrated capital market within the EU.</w:t>
      </w:r>
      <w:r>
        <w:t xml:space="preserve"> </w:t>
      </w:r>
      <w:r>
        <w:t xml:space="preserve">Consumer organisations have long expressed concerns about consumer protection standards (one</w:t>
      </w:r>
      <w:r>
        <w:t xml:space="preserve"> </w:t>
      </w:r>
      <w:r>
        <w:t xml:space="preserve">organisation set up a website displaying cases of financial detriment31), however actual data covering</w:t>
      </w:r>
      <w:r>
        <w:t xml:space="preserve"> </w:t>
      </w:r>
      <w:r>
        <w:t xml:space="preserve">cases of consumer detriment in financial services remains underdeveloped. While questions about</w:t>
      </w:r>
      <w:r>
        <w:t xml:space="preserve"> </w:t>
      </w:r>
      <w:r>
        <w:t xml:space="preserve">consumer detriment are frequently asked in surveys, the wording of the questions differs, comparisons</w:t>
      </w:r>
      <w:r>
        <w:t xml:space="preserve"> </w:t>
      </w:r>
      <w:r>
        <w:t xml:space="preserve">over time are generally not available and country rankings are dissimilar across surveys. Although the</w:t>
      </w:r>
      <w:r>
        <w:t xml:space="preserve"> </w:t>
      </w:r>
      <w:r>
        <w:t xml:space="preserve">interpretation of such diverse survey data is difficult, the results suggest that distrust in retail investment</w:t>
      </w:r>
      <w:r>
        <w:t xml:space="preserve"> </w:t>
      </w:r>
      <w:r>
        <w:t xml:space="preserve">markets is present everywhere and that a non-negligible share of investors have experienced frustrating</w:t>
      </w:r>
      <w:r>
        <w:t xml:space="preserve"> </w:t>
      </w:r>
      <w:r>
        <w:t xml:space="preserve">experiences. In both the OECD/INFE 2020 survey and the 2022 Eurobarometer on retail financial</w:t>
      </w:r>
      <w:r>
        <w:t xml:space="preserve"> </w:t>
      </w:r>
      <w:r>
        <w:t xml:space="preserve">services, the share was 3.7% as an average of participating EU Member States. In a study32 for the</w:t>
      </w:r>
      <w:r>
        <w:t xml:space="preserve"> </w:t>
      </w:r>
      <w:r>
        <w:t xml:space="preserve">Commission in 2018, more than half of the surveyed consumer protection bodies reported having</w:t>
      </w:r>
      <w:r>
        <w:t xml:space="preserve"> </w:t>
      </w:r>
      <w:r>
        <w:t xml:space="preserve">received frequent complaints about unsuitable products and inappropriate advice. National competent</w:t>
      </w:r>
      <w:r>
        <w:t xml:space="preserve"> </w:t>
      </w:r>
      <w:r>
        <w:t xml:space="preserve">authorities receive a considerable number of complaints about poor investment advice and mis-selling,</w:t>
      </w:r>
      <w:r>
        <w:t xml:space="preserve"> </w:t>
      </w:r>
      <w:r>
        <w:t xml:space="preserve">which further illustrates the presence of consumer detriment on retail investment markets33.</w:t>
      </w:r>
      <w:r>
        <w:t xml:space="preserve"> </w:t>
      </w:r>
      <w:r>
        <w:t xml:space="preserve">Table: Surveys on retail investors detriment – difference to average of available EU Member States measured in</w:t>
      </w:r>
      <w:r>
        <w:t xml:space="preserve"> </w:t>
      </w:r>
      <w:r>
        <w:t xml:space="preserve">standard deviations, a positive number indicates that consumers have less trust than the EU average.</w:t>
      </w:r>
      <w:r>
        <w:t xml:space="preserve"> </w:t>
      </w:r>
      <w:r>
        <w:t xml:space="preserve">CMM 2017</w:t>
      </w:r>
      <w:r>
        <w:t xml:space="preserve"> </w:t>
      </w:r>
      <w:r>
        <w:t xml:space="preserve">OECD 2020</w:t>
      </w:r>
      <w:r>
        <w:t xml:space="preserve"> </w:t>
      </w:r>
      <w:r>
        <w:t xml:space="preserve">EB 2022</w:t>
      </w:r>
      <w:r>
        <w:t xml:space="preserve"> </w:t>
      </w:r>
      <w:r>
        <w:t xml:space="preserve">RIS 2022</w:t>
      </w:r>
      <w:r>
        <w:t xml:space="preserve"> </w:t>
      </w:r>
      <w:r>
        <w:t xml:space="preserve">Trust in providers to</w:t>
      </w:r>
      <w:r>
        <w:t xml:space="preserve"> </w:t>
      </w:r>
      <w:r>
        <w:t xml:space="preserve">respect the rules 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protecting</w:t>
      </w:r>
      <w:r>
        <w:t xml:space="preserve"> </w:t>
      </w:r>
      <w:r>
        <w:t xml:space="preserve">consumers (inverted</w:t>
      </w:r>
      <w:r>
        <w:t xml:space="preserve"> </w:t>
      </w:r>
      <w:r>
        <w:t xml:space="preserve">scale)</w:t>
      </w:r>
      <w:r>
        <w:t xml:space="preserve"> </w:t>
      </w:r>
      <w:r>
        <w:t xml:space="preserve">Extent of detriment</w:t>
      </w:r>
      <w:r>
        <w:t xml:space="preserve"> </w:t>
      </w:r>
      <w:r>
        <w:t xml:space="preserve">suffered as a result</w:t>
      </w:r>
      <w:r>
        <w:t xml:space="preserve"> </w:t>
      </w:r>
      <w:r>
        <w:t xml:space="preserve">of problems</w:t>
      </w:r>
      <w:r>
        <w:t xml:space="preserve"> </w:t>
      </w:r>
      <w:r>
        <w:t xml:space="preserve">experienced with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 or supplier</w:t>
      </w:r>
      <w:r>
        <w:t xml:space="preserve"> </w:t>
      </w:r>
      <w:r>
        <w:t xml:space="preserve">Accepted advice</w:t>
      </w:r>
      <w:r>
        <w:t xml:space="preserve"> </w:t>
      </w:r>
      <w:r>
        <w:t xml:space="preserve">to invest in a</w:t>
      </w:r>
      <w:r>
        <w:t xml:space="preserve"> </w:t>
      </w:r>
      <w:r>
        <w:t xml:space="preserve">financial product</w:t>
      </w:r>
      <w:r>
        <w:t xml:space="preserve"> </w:t>
      </w:r>
      <w:r>
        <w:t xml:space="preserve">later found to be</w:t>
      </w:r>
      <w:r>
        <w:t xml:space="preserve"> </w:t>
      </w:r>
      <w:r>
        <w:t xml:space="preserve">a scam, such as a</w:t>
      </w:r>
      <w:r>
        <w:t xml:space="preserve"> </w:t>
      </w:r>
      <w:r>
        <w:t xml:space="preserve">Ponzi scheme?</w:t>
      </w:r>
      <w:r>
        <w:t xml:space="preserve"> </w:t>
      </w:r>
      <w:r>
        <w:t xml:space="preserve">Have you ever</w:t>
      </w:r>
      <w:r>
        <w:t xml:space="preserve"> </w:t>
      </w:r>
      <w:r>
        <w:t xml:space="preserve">considered your</w:t>
      </w:r>
      <w:r>
        <w:t xml:space="preserve"> </w:t>
      </w:r>
      <w:r>
        <w:t xml:space="preserve">basic rights were</w:t>
      </w:r>
      <w:r>
        <w:t xml:space="preserve"> </w:t>
      </w:r>
      <w:r>
        <w:t xml:space="preserve">breached when</w:t>
      </w:r>
      <w:r>
        <w:t xml:space="preserve"> </w:t>
      </w:r>
      <w:r>
        <w:t xml:space="preserve">taking out an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product?</w:t>
      </w:r>
      <w:r>
        <w:t xml:space="preserve"> </w:t>
      </w:r>
      <w:r>
        <w:t xml:space="preserve">Disagree with “I</w:t>
      </w:r>
      <w:r>
        <w:t xml:space="preserve"> </w:t>
      </w:r>
      <w:r>
        <w:t xml:space="preserve">trust financial</w:t>
      </w:r>
      <w:r>
        <w:t xml:space="preserve"> </w:t>
      </w:r>
      <w:r>
        <w:t xml:space="preserve">advisors act in</w:t>
      </w:r>
      <w:r>
        <w:t xml:space="preserve"> </w:t>
      </w:r>
      <w:r>
        <w:t xml:space="preserve">the best</w:t>
      </w:r>
      <w:r>
        <w:t xml:space="preserve"> </w:t>
      </w:r>
      <w:r>
        <w:t xml:space="preserve">interest of their</w:t>
      </w:r>
      <w:r>
        <w:t xml:space="preserve"> </w:t>
      </w:r>
      <w:r>
        <w:t xml:space="preserve">clients”</w:t>
      </w:r>
      <w:r>
        <w:t xml:space="preserve"> </w:t>
      </w:r>
      <w:r>
        <w:t xml:space="preserve">BE</w:t>
      </w:r>
      <w:r>
        <w:t xml:space="preserve"> </w:t>
      </w:r>
      <w:r>
        <w:t xml:space="preserve">0.2</w:t>
      </w:r>
      <w:r>
        <w:t xml:space="preserve"> </w:t>
      </w:r>
      <w:r>
        <w:t xml:space="preserve">-0.5</w:t>
      </w:r>
      <w:r>
        <w:t xml:space="preserve"> </w:t>
      </w:r>
      <w:r>
        <w:t xml:space="preserve">N/A</w:t>
      </w:r>
      <w:r>
        <w:t xml:space="preserve"> </w:t>
      </w:r>
      <w:r>
        <w:t xml:space="preserve">-0.9</w:t>
      </w:r>
      <w:r>
        <w:t xml:space="preserve"> </w:t>
      </w:r>
      <w:r>
        <w:t xml:space="preserve">N/A</w:t>
      </w:r>
      <w:r>
        <w:t xml:space="preserve"> </w:t>
      </w:r>
      <w:r>
        <w:t xml:space="preserve">BG</w:t>
      </w:r>
      <w:r>
        <w:t xml:space="preserve"> </w:t>
      </w:r>
      <w:r>
        <w:t xml:space="preserve">1.8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-0.4</w:t>
      </w:r>
      <w:r>
        <w:t xml:space="preserve"> </w:t>
      </w:r>
      <w:r>
        <w:t xml:space="preserve">N/A</w:t>
      </w:r>
      <w:r>
        <w:t xml:space="preserve"> </w:t>
      </w:r>
      <w:r>
        <w:t xml:space="preserve">CZ</w:t>
      </w:r>
      <w:r>
        <w:t xml:space="preserve"> </w:t>
      </w:r>
      <w:r>
        <w:t xml:space="preserve">0.2</w:t>
      </w:r>
      <w:r>
        <w:t xml:space="preserve"> </w:t>
      </w:r>
      <w:r>
        <w:t xml:space="preserve">0.7</w:t>
      </w:r>
      <w:r>
        <w:t xml:space="preserve"> </w:t>
      </w:r>
      <w:r>
        <w:t xml:space="preserve">N/A</w:t>
      </w:r>
      <w:r>
        <w:t xml:space="preserve"> </w:t>
      </w:r>
      <w:r>
        <w:t xml:space="preserve">-0.9</w:t>
      </w:r>
      <w:r>
        <w:t xml:space="preserve"> </w:t>
      </w:r>
      <w:r>
        <w:t xml:space="preserve">N/A</w:t>
      </w:r>
      <w:r>
        <w:t xml:space="preserve"> </w:t>
      </w:r>
      <w:r>
        <w:t xml:space="preserve">DK</w:t>
      </w:r>
      <w:r>
        <w:t xml:space="preserve"> </w:t>
      </w:r>
      <w:r>
        <w:t xml:space="preserve">-0.5</w:t>
      </w:r>
      <w:r>
        <w:t xml:space="preserve"> </w:t>
      </w:r>
      <w:r>
        <w:t xml:space="preserve">-1.4</w:t>
      </w:r>
      <w:r>
        <w:t xml:space="preserve"> </w:t>
      </w:r>
      <w:r>
        <w:t xml:space="preserve">N/A</w:t>
      </w:r>
      <w:r>
        <w:t xml:space="preserve"> </w:t>
      </w:r>
      <w:r>
        <w:t xml:space="preserve">-1.6</w:t>
      </w:r>
      <w:r>
        <w:t xml:space="preserve"> </w:t>
      </w:r>
      <w:r>
        <w:t xml:space="preserve">N/A</w:t>
      </w:r>
      <w:r>
        <w:t xml:space="preserve"> </w:t>
      </w:r>
      <w:r>
        <w:t xml:space="preserve">DE</w:t>
      </w:r>
      <w:r>
        <w:t xml:space="preserve"> </w:t>
      </w:r>
      <w:r>
        <w:t xml:space="preserve">-1.1</w:t>
      </w:r>
      <w:r>
        <w:t xml:space="preserve"> </w:t>
      </w:r>
      <w:r>
        <w:t xml:space="preserve">0.2</w:t>
      </w:r>
      <w:r>
        <w:t xml:space="preserve"> </w:t>
      </w:r>
      <w:r>
        <w:t xml:space="preserve">0.9</w:t>
      </w:r>
      <w:r>
        <w:t xml:space="preserve"> </w:t>
      </w:r>
      <w:r>
        <w:t xml:space="preserve">0.2</w:t>
      </w:r>
      <w:r>
        <w:t xml:space="preserve"> </w:t>
      </w:r>
      <w:r>
        <w:t xml:space="preserve">1.7</w:t>
      </w:r>
      <w:r>
        <w:t xml:space="preserve"> </w:t>
      </w:r>
      <w:r>
        <w:t xml:space="preserve">EE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-0.5</w:t>
      </w:r>
      <w:r>
        <w:t xml:space="preserve"> </w:t>
      </w:r>
      <w:r>
        <w:t xml:space="preserve">-1.2</w:t>
      </w:r>
      <w:r>
        <w:t xml:space="preserve"> </w:t>
      </w:r>
      <w:r>
        <w:t xml:space="preserve">N/A</w:t>
      </w:r>
      <w:r>
        <w:t xml:space="preserve"> </w:t>
      </w:r>
      <w:r>
        <w:t xml:space="preserve">IE</w:t>
      </w:r>
      <w:r>
        <w:t xml:space="preserve"> </w:t>
      </w:r>
      <w:r>
        <w:t xml:space="preserve">0.5</w:t>
      </w:r>
      <w:r>
        <w:t xml:space="preserve"> </w:t>
      </w:r>
      <w:r>
        <w:t xml:space="preserve">-1.0</w:t>
      </w:r>
      <w:r>
        <w:t xml:space="preserve"> </w:t>
      </w:r>
      <w:r>
        <w:t xml:space="preserve">N/A</w:t>
      </w:r>
      <w:r>
        <w:t xml:space="preserve"> </w:t>
      </w:r>
      <w:r>
        <w:t xml:space="preserve">-0.9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30 European Court of Auditors, Special report: Investment funds, EU actions have not yet created a true single market</w:t>
      </w:r>
      <w:r>
        <w:t xml:space="preserve"> </w:t>
      </w:r>
      <w:r>
        <w:t xml:space="preserve">benefiting investors, 2022, Special Report 04/2022: Single Market for investment funds (europa.eu)</w:t>
      </w:r>
      <w:r>
        <w:t xml:space="preserve"> </w:t>
      </w:r>
      <w:r>
        <w:t xml:space="preserve">31 https://www.thepriceofbadadvice.eu/ by BEUC. The website was created in 2018, but lists scandals prior to that</w:t>
      </w:r>
      <w:r>
        <w:t xml:space="preserve"> </w:t>
      </w:r>
      <w:r>
        <w:t xml:space="preserve">year, recognising that mis-selling is often detected with a considerable delay.</w:t>
      </w:r>
      <w:r>
        <w:t xml:space="preserve"> </w:t>
      </w:r>
      <w:r>
        <w:t xml:space="preserve">32 Deloitte (2018), Distribution systems of retail investment products across the European Union, page 106. 8</w:t>
      </w:r>
      <w:r>
        <w:t xml:space="preserve"> </w:t>
      </w:r>
      <w:r>
        <w:t xml:space="preserve">consumer protection agencies and 15 alternative dispute resolution agencies participated in the survey.</w:t>
      </w:r>
      <w:r>
        <w:t xml:space="preserve"> </w:t>
      </w:r>
      <w:r>
        <w:t xml:space="preserve">33 see ESMA, ‘Monitoring retail markets via complaints data’ Trends, Risks and Vulnerabilities, 1/2017 pp. 37-43.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EL</w:t>
      </w:r>
      <w:r>
        <w:t xml:space="preserve"> </w:t>
      </w:r>
      <w:r>
        <w:t xml:space="preserve">-1.2</w:t>
      </w:r>
      <w:r>
        <w:t xml:space="preserve"> </w:t>
      </w:r>
      <w:r>
        <w:t xml:space="preserve">2.7</w:t>
      </w:r>
      <w:r>
        <w:t xml:space="preserve"> </w:t>
      </w:r>
      <w:r>
        <w:t xml:space="preserve">N/A</w:t>
      </w:r>
      <w:r>
        <w:t xml:space="preserve"> </w:t>
      </w:r>
      <w:r>
        <w:t xml:space="preserve">0.6</w:t>
      </w:r>
      <w:r>
        <w:t xml:space="preserve"> </w:t>
      </w:r>
      <w:r>
        <w:t xml:space="preserve">-0.8</w:t>
      </w:r>
      <w:r>
        <w:t xml:space="preserve"> </w:t>
      </w:r>
      <w:r>
        <w:t xml:space="preserve">ES</w:t>
      </w:r>
      <w:r>
        <w:t xml:space="preserve"> </w:t>
      </w:r>
      <w:r>
        <w:t xml:space="preserve">1.7</w:t>
      </w:r>
      <w:r>
        <w:t xml:space="preserve"> </w:t>
      </w:r>
      <w:r>
        <w:t xml:space="preserve">0.8</w:t>
      </w:r>
      <w:r>
        <w:t xml:space="preserve"> </w:t>
      </w:r>
      <w:r>
        <w:t xml:space="preserve">N/A</w:t>
      </w:r>
      <w:r>
        <w:t xml:space="preserve"> </w:t>
      </w:r>
      <w:r>
        <w:t xml:space="preserve">0.2</w:t>
      </w:r>
      <w:r>
        <w:t xml:space="preserve"> </w:t>
      </w:r>
      <w:r>
        <w:t xml:space="preserve">-1.0</w:t>
      </w:r>
      <w:r>
        <w:t xml:space="preserve"> </w:t>
      </w:r>
      <w:r>
        <w:t xml:space="preserve">FR</w:t>
      </w:r>
      <w:r>
        <w:t xml:space="preserve"> </w:t>
      </w:r>
      <w:r>
        <w:t xml:space="preserve">-1.3</w:t>
      </w:r>
      <w:r>
        <w:t xml:space="preserve"> </w:t>
      </w:r>
      <w:r>
        <w:t xml:space="preserve">0.1</w:t>
      </w:r>
      <w:r>
        <w:t xml:space="preserve"> </w:t>
      </w:r>
      <w:r>
        <w:t xml:space="preserve">N/A</w:t>
      </w:r>
      <w:r>
        <w:t xml:space="preserve"> </w:t>
      </w:r>
      <w:r>
        <w:t xml:space="preserve">-0.6</w:t>
      </w:r>
      <w:r>
        <w:t xml:space="preserve"> </w:t>
      </w:r>
      <w:r>
        <w:t xml:space="preserve">0.2</w:t>
      </w:r>
      <w:r>
        <w:t xml:space="preserve"> </w:t>
      </w:r>
      <w:r>
        <w:t xml:space="preserve">HR</w:t>
      </w:r>
      <w:r>
        <w:t xml:space="preserve"> </w:t>
      </w:r>
      <w:r>
        <w:t xml:space="preserve">1.3</w:t>
      </w:r>
      <w:r>
        <w:t xml:space="preserve"> </w:t>
      </w:r>
      <w:r>
        <w:t xml:space="preserve">0.0</w:t>
      </w:r>
      <w:r>
        <w:t xml:space="preserve"> </w:t>
      </w:r>
      <w:r>
        <w:t xml:space="preserve">-1.0</w:t>
      </w:r>
      <w:r>
        <w:t xml:space="preserve"> </w:t>
      </w:r>
      <w:r>
        <w:t xml:space="preserve">-0.1</w:t>
      </w:r>
      <w:r>
        <w:t xml:space="preserve"> </w:t>
      </w:r>
      <w:r>
        <w:t xml:space="preserve">N/A</w:t>
      </w:r>
      <w:r>
        <w:t xml:space="preserve"> </w:t>
      </w:r>
      <w:r>
        <w:t xml:space="preserve">IT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1.3</w:t>
      </w:r>
      <w:r>
        <w:t xml:space="preserve"> </w:t>
      </w:r>
      <w:r>
        <w:t xml:space="preserve">-0.2</w:t>
      </w:r>
      <w:r>
        <w:t xml:space="preserve"> </w:t>
      </w:r>
      <w:r>
        <w:t xml:space="preserve">CY</w:t>
      </w:r>
      <w:r>
        <w:t xml:space="preserve"> </w:t>
      </w:r>
      <w:r>
        <w:t xml:space="preserve">-1.0</w:t>
      </w:r>
      <w:r>
        <w:t xml:space="preserve"> </w:t>
      </w:r>
      <w:r>
        <w:t xml:space="preserve">-1.6</w:t>
      </w:r>
      <w:r>
        <w:t xml:space="preserve"> </w:t>
      </w:r>
      <w:r>
        <w:t xml:space="preserve">N/A</w:t>
      </w:r>
      <w:r>
        <w:t xml:space="preserve"> </w:t>
      </w:r>
      <w:r>
        <w:t xml:space="preserve">0.7</w:t>
      </w:r>
      <w:r>
        <w:t xml:space="preserve"> </w:t>
      </w:r>
      <w:r>
        <w:t xml:space="preserve">N/A</w:t>
      </w:r>
      <w:r>
        <w:t xml:space="preserve"> </w:t>
      </w:r>
      <w:r>
        <w:t xml:space="preserve">LV</w:t>
      </w:r>
      <w:r>
        <w:t xml:space="preserve"> </w:t>
      </w:r>
      <w:r>
        <w:t xml:space="preserve">-0.5</w:t>
      </w:r>
      <w:r>
        <w:t xml:space="preserve"> </w:t>
      </w:r>
      <w:r>
        <w:t xml:space="preserve">-0.8</w:t>
      </w:r>
      <w:r>
        <w:t xml:space="preserve"> </w:t>
      </w:r>
      <w:r>
        <w:t xml:space="preserve">N/A</w:t>
      </w:r>
      <w:r>
        <w:t xml:space="preserve"> </w:t>
      </w:r>
      <w:r>
        <w:t xml:space="preserve">0.1</w:t>
      </w:r>
      <w:r>
        <w:t xml:space="preserve"> </w:t>
      </w:r>
      <w:r>
        <w:t xml:space="preserve">N/A</w:t>
      </w:r>
      <w:r>
        <w:t xml:space="preserve"> </w:t>
      </w:r>
      <w:r>
        <w:t xml:space="preserve">LT</w:t>
      </w:r>
      <w:r>
        <w:t xml:space="preserve"> </w:t>
      </w:r>
      <w:r>
        <w:t xml:space="preserve">0.6</w:t>
      </w:r>
      <w:r>
        <w:t xml:space="preserve"> </w:t>
      </w:r>
      <w:r>
        <w:t xml:space="preserve">-1.5</w:t>
      </w:r>
      <w:r>
        <w:t xml:space="preserve"> </w:t>
      </w:r>
      <w:r>
        <w:t xml:space="preserve">N/A</w:t>
      </w:r>
      <w:r>
        <w:t xml:space="preserve"> </w:t>
      </w:r>
      <w:r>
        <w:t xml:space="preserve">-0.8</w:t>
      </w:r>
      <w:r>
        <w:t xml:space="preserve"> </w:t>
      </w:r>
      <w:r>
        <w:t xml:space="preserve">N/A</w:t>
      </w:r>
      <w:r>
        <w:t xml:space="preserve"> </w:t>
      </w:r>
      <w:r>
        <w:t xml:space="preserve">LU</w:t>
      </w:r>
      <w:r>
        <w:t xml:space="preserve"> </w:t>
      </w:r>
      <w:r>
        <w:t xml:space="preserve">-1.2</w:t>
      </w:r>
      <w:r>
        <w:t xml:space="preserve"> </w:t>
      </w:r>
      <w:r>
        <w:t xml:space="preserve">-0.4</w:t>
      </w:r>
      <w:r>
        <w:t xml:space="preserve"> </w:t>
      </w:r>
      <w:r>
        <w:t xml:space="preserve">N/A</w:t>
      </w:r>
      <w:r>
        <w:t xml:space="preserve"> </w:t>
      </w:r>
      <w:r>
        <w:t xml:space="preserve">-2.1</w:t>
      </w:r>
      <w:r>
        <w:t xml:space="preserve"> </w:t>
      </w:r>
      <w:r>
        <w:t xml:space="preserve">N/A</w:t>
      </w:r>
      <w:r>
        <w:t xml:space="preserve"> </w:t>
      </w:r>
      <w:r>
        <w:t xml:space="preserve">HU</w:t>
      </w:r>
      <w:r>
        <w:t xml:space="preserve"> </w:t>
      </w:r>
      <w:r>
        <w:t xml:space="preserve">-2.1</w:t>
      </w:r>
      <w:r>
        <w:t xml:space="preserve"> </w:t>
      </w:r>
      <w:r>
        <w:t xml:space="preserve">1.1</w:t>
      </w:r>
      <w:r>
        <w:t xml:space="preserve"> </w:t>
      </w:r>
      <w:r>
        <w:t xml:space="preserve">-0.8</w:t>
      </w:r>
      <w:r>
        <w:t xml:space="preserve"> </w:t>
      </w:r>
      <w:r>
        <w:t xml:space="preserve">-0.5</w:t>
      </w:r>
      <w:r>
        <w:t xml:space="preserve"> </w:t>
      </w:r>
      <w:r>
        <w:t xml:space="preserve">N/A</w:t>
      </w:r>
      <w:r>
        <w:t xml:space="preserve"> </w:t>
      </w:r>
      <w:r>
        <w:t xml:space="preserve">MT</w:t>
      </w:r>
      <w:r>
        <w:t xml:space="preserve"> </w:t>
      </w:r>
      <w:r>
        <w:t xml:space="preserve">-1.2</w:t>
      </w:r>
      <w:r>
        <w:t xml:space="preserve"> </w:t>
      </w:r>
      <w:r>
        <w:t xml:space="preserve">1.9</w:t>
      </w:r>
      <w:r>
        <w:t xml:space="preserve"> </w:t>
      </w:r>
      <w:r>
        <w:t xml:space="preserve">N/A</w:t>
      </w:r>
      <w:r>
        <w:t xml:space="preserve"> </w:t>
      </w:r>
      <w:r>
        <w:t xml:space="preserve">2.2</w:t>
      </w:r>
      <w:r>
        <w:t xml:space="preserve"> </w:t>
      </w:r>
      <w:r>
        <w:t xml:space="preserve">N/A</w:t>
      </w:r>
      <w:r>
        <w:t xml:space="preserve"> </w:t>
      </w:r>
      <w:r>
        <w:t xml:space="preserve">NL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N/A</w:t>
      </w:r>
      <w:r>
        <w:t xml:space="preserve"> </w:t>
      </w:r>
      <w:r>
        <w:t xml:space="preserve">-0.6</w:t>
      </w:r>
      <w:r>
        <w:t xml:space="preserve"> </w:t>
      </w:r>
      <w:r>
        <w:t xml:space="preserve">-0.8</w:t>
      </w:r>
      <w:r>
        <w:t xml:space="preserve"> </w:t>
      </w:r>
      <w:r>
        <w:t xml:space="preserve">AT</w:t>
      </w:r>
      <w:r>
        <w:t xml:space="preserve"> </w:t>
      </w:r>
      <w:r>
        <w:t xml:space="preserve">-1.2</w:t>
      </w:r>
      <w:r>
        <w:t xml:space="preserve"> </w:t>
      </w:r>
      <w:r>
        <w:t xml:space="preserve">-0.5</w:t>
      </w:r>
      <w:r>
        <w:t xml:space="preserve"> </w:t>
      </w:r>
      <w:r>
        <w:t xml:space="preserve">-0.3</w:t>
      </w:r>
      <w:r>
        <w:t xml:space="preserve"> </w:t>
      </w:r>
      <w:r>
        <w:t xml:space="preserve">-0.7</w:t>
      </w:r>
      <w:r>
        <w:t xml:space="preserve"> </w:t>
      </w:r>
      <w:r>
        <w:t xml:space="preserve">N/A</w:t>
      </w:r>
      <w:r>
        <w:t xml:space="preserve"> </w:t>
      </w:r>
      <w:r>
        <w:t xml:space="preserve">PL</w:t>
      </w:r>
      <w:r>
        <w:t xml:space="preserve"> </w:t>
      </w:r>
      <w:r>
        <w:t xml:space="preserve">1.3</w:t>
      </w:r>
      <w:r>
        <w:t xml:space="preserve"> </w:t>
      </w:r>
      <w:r>
        <w:t xml:space="preserve">1.0</w:t>
      </w:r>
      <w:r>
        <w:t xml:space="preserve"> </w:t>
      </w:r>
      <w:r>
        <w:t xml:space="preserve">0.0</w:t>
      </w:r>
      <w:r>
        <w:t xml:space="preserve"> </w:t>
      </w:r>
      <w:r>
        <w:t xml:space="preserve">1.0</w:t>
      </w:r>
      <w:r>
        <w:t xml:space="preserve"> </w:t>
      </w:r>
      <w:r>
        <w:t xml:space="preserve">-0.2</w:t>
      </w:r>
      <w:r>
        <w:t xml:space="preserve"> </w:t>
      </w:r>
      <w:r>
        <w:t xml:space="preserve">PT</w:t>
      </w:r>
      <w:r>
        <w:t xml:space="preserve"> </w:t>
      </w:r>
      <w:r>
        <w:t xml:space="preserve">0.9</w:t>
      </w:r>
      <w:r>
        <w:t xml:space="preserve"> </w:t>
      </w:r>
      <w:r>
        <w:t xml:space="preserve">0.8</w:t>
      </w:r>
      <w:r>
        <w:t xml:space="preserve"> </w:t>
      </w:r>
      <w:r>
        <w:t xml:space="preserve">-1.4</w:t>
      </w:r>
      <w:r>
        <w:t xml:space="preserve"> </w:t>
      </w:r>
      <w:r>
        <w:t xml:space="preserve">0.8</w:t>
      </w:r>
      <w:r>
        <w:t xml:space="preserve"> </w:t>
      </w:r>
      <w:r>
        <w:t xml:space="preserve">N/A</w:t>
      </w:r>
      <w:r>
        <w:t xml:space="preserve"> </w:t>
      </w:r>
      <w:r>
        <w:t xml:space="preserve">RO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-0.6</w:t>
      </w:r>
      <w:r>
        <w:t xml:space="preserve"> </w:t>
      </w:r>
      <w:r>
        <w:t xml:space="preserve">-1.0</w:t>
      </w:r>
      <w:r>
        <w:t xml:space="preserve"> </w:t>
      </w:r>
      <w:r>
        <w:t xml:space="preserve">SI</w:t>
      </w:r>
      <w:r>
        <w:t xml:space="preserve"> </w:t>
      </w:r>
      <w:r>
        <w:t xml:space="preserve">0.2</w:t>
      </w:r>
      <w:r>
        <w:t xml:space="preserve"> </w:t>
      </w:r>
      <w:r>
        <w:t xml:space="preserve">-0.1</w:t>
      </w:r>
      <w:r>
        <w:t xml:space="preserve"> </w:t>
      </w:r>
      <w:r>
        <w:t xml:space="preserve">N/A</w:t>
      </w:r>
      <w:r>
        <w:t xml:space="preserve"> </w:t>
      </w:r>
      <w:r>
        <w:t xml:space="preserve">-0.6</w:t>
      </w:r>
      <w:r>
        <w:t xml:space="preserve"> </w:t>
      </w:r>
      <w:r>
        <w:t xml:space="preserve">N/A</w:t>
      </w:r>
      <w:r>
        <w:t xml:space="preserve"> </w:t>
      </w:r>
      <w:r>
        <w:t xml:space="preserve">SK</w:t>
      </w:r>
      <w:r>
        <w:t xml:space="preserve"> </w:t>
      </w:r>
      <w:r>
        <w:t xml:space="preserve">0.3</w:t>
      </w:r>
      <w:r>
        <w:t xml:space="preserve"> </w:t>
      </w:r>
      <w:r>
        <w:t xml:space="preserve">-0.4</w:t>
      </w:r>
      <w:r>
        <w:t xml:space="preserve"> </w:t>
      </w:r>
      <w:r>
        <w:t xml:space="preserve">N/A</w:t>
      </w:r>
      <w:r>
        <w:t xml:space="preserve"> </w:t>
      </w:r>
      <w:r>
        <w:t xml:space="preserve">-0.6</w:t>
      </w:r>
      <w:r>
        <w:t xml:space="preserve"> </w:t>
      </w:r>
      <w:r>
        <w:t xml:space="preserve">N/A</w:t>
      </w:r>
      <w:r>
        <w:t xml:space="preserve"> </w:t>
      </w:r>
      <w:r>
        <w:t xml:space="preserve">FI</w:t>
      </w:r>
      <w:r>
        <w:t xml:space="preserve"> </w:t>
      </w:r>
      <w:r>
        <w:t xml:space="preserve">0.2</w:t>
      </w:r>
      <w:r>
        <w:t xml:space="preserve"> </w:t>
      </w:r>
      <w:r>
        <w:t xml:space="preserve">-0.5</w:t>
      </w:r>
      <w:r>
        <w:t xml:space="preserve"> </w:t>
      </w:r>
      <w:r>
        <w:t xml:space="preserve">N/A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SE</w:t>
      </w:r>
      <w:r>
        <w:t xml:space="preserve"> </w:t>
      </w:r>
      <w:r>
        <w:t xml:space="preserve">1.7</w:t>
      </w:r>
      <w:r>
        <w:t xml:space="preserve"> </w:t>
      </w:r>
      <w:r>
        <w:t xml:space="preserve">-1.4</w:t>
      </w:r>
      <w:r>
        <w:t xml:space="preserve"> </w:t>
      </w:r>
      <w:r>
        <w:t xml:space="preserve">N/A</w:t>
      </w:r>
      <w:r>
        <w:t xml:space="preserve"> </w:t>
      </w:r>
      <w:r>
        <w:t xml:space="preserve">-2.5</w:t>
      </w:r>
      <w:r>
        <w:t xml:space="preserve"> </w:t>
      </w:r>
      <w:r>
        <w:t xml:space="preserve">1.9</w:t>
      </w:r>
      <w:r>
        <w:t xml:space="preserve"> </w:t>
      </w:r>
      <w:r>
        <w:t xml:space="preserve">CMM European Commission’s consumer market monitor, OECD (2020) is the OECD/INFE 2020 International Survey of Adult Financial</w:t>
      </w:r>
      <w:r>
        <w:t xml:space="preserve"> </w:t>
      </w:r>
      <w:r>
        <w:t xml:space="preserve">Literacy. EB is the Eurobarometer Flash No 509/2022, RIS the Retail investment study. Numbers were obtained by deducting the</w:t>
      </w:r>
      <w:r>
        <w:t xml:space="preserve"> </w:t>
      </w:r>
      <w:r>
        <w:t xml:space="preserve">country observation from the sample’s average and divide this difference by the sample’s standard deviation.</w:t>
      </w:r>
    </w:p>
    <w:p>
      <w:pPr>
        <w:pStyle w:val="BodyText"/>
      </w:pPr>
      <w:r>
        <w:t xml:space="preserve">2.2 What are the problem drivers?</w:t>
      </w:r>
      <w:r>
        <w:t xml:space="preserve"> </w:t>
      </w:r>
      <w:r>
        <w:t xml:space="preserve">Problem 1 – Informational deficiencies</w:t>
      </w:r>
      <w:r>
        <w:t xml:space="preserve"> </w:t>
      </w:r>
      <w:r>
        <w:t xml:space="preserve">Problem driver 1: information provided to investors is not always useful or relevant for their</w:t>
      </w:r>
      <w:r>
        <w:t xml:space="preserve"> </w:t>
      </w:r>
      <w:r>
        <w:t xml:space="preserve">decision-making process</w:t>
      </w:r>
      <w:r>
        <w:t xml:space="preserve"> </w:t>
      </w:r>
      <w:r>
        <w:t xml:space="preserve">Current EU legislation imposes obligations on firms and their intermediaries to provide ex ante and ex</w:t>
      </w:r>
      <w:r>
        <w:t xml:space="preserve"> </w:t>
      </w:r>
      <w:r>
        <w:t xml:space="preserve">post information about retail investments to their customers. Disclosure requirements are intended to</w:t>
      </w:r>
      <w:r>
        <w:t xml:space="preserve"> </w:t>
      </w:r>
      <w:r>
        <w:t xml:space="preserve">alleviate the information asymmetry between financial service providers and retail clients by ensuring</w:t>
      </w:r>
      <w:r>
        <w:t xml:space="preserve"> </w:t>
      </w:r>
      <w:r>
        <w:t xml:space="preserve">that retail investors receive clear and comparable information, which would ultimately help them to</w:t>
      </w:r>
      <w:r>
        <w:t xml:space="preserve"> </w:t>
      </w:r>
      <w:r>
        <w:t xml:space="preserve">make an informed choice. However, the relevance of disclosures is inherently limited by the fact that</w:t>
      </w:r>
      <w:r>
        <w:t xml:space="preserve"> </w:t>
      </w:r>
      <w:r>
        <w:t xml:space="preserve">not all consumers are able or willing to read and understand this information.</w:t>
      </w:r>
      <w:r>
        <w:t xml:space="preserve"> </w:t>
      </w:r>
      <w:r>
        <w:t xml:space="preserve">Specific disclosure requirements are laid down across different legal instruments including sectoral,</w:t>
      </w:r>
      <w:r>
        <w:t xml:space="preserve"> </w:t>
      </w:r>
      <w:r>
        <w:t xml:space="preserve">product and horizontal consumer protection legislation (e.g. PRIIPs, UCITS, MiFID, IDD, Solvency</w:t>
      </w:r>
      <w:r>
        <w:t xml:space="preserve"> </w:t>
      </w:r>
      <w:r>
        <w:t xml:space="preserve">II, DMFSD, the Prospectus Regulation, etc.).</w:t>
      </w:r>
      <w:r>
        <w:br/>
      </w:r>
      <w:r>
        <w:t xml:space="preserve">The evaluation of the legal framework, supported by evidence from the Retail investment study,</w:t>
      </w:r>
      <w:r>
        <w:t xml:space="preserve"> </w:t>
      </w:r>
      <w:r>
        <w:t xml:space="preserve">concluded that while EU disclosure rules have generally led to improved (notably in terms of</w:t>
      </w:r>
      <w:r>
        <w:t xml:space="preserve"> </w:t>
      </w:r>
      <w:r>
        <w:t xml:space="preserve">completeness and clarity of information) and more comparable documents for retail investors, the</w:t>
      </w:r>
      <w:r>
        <w:t xml:space="preserve"> </w:t>
      </w:r>
      <w:r>
        <w:t xml:space="preserve">existing requirements do not always help them make informed investment decisions. The following</w:t>
      </w:r>
      <w:r>
        <w:t xml:space="preserve"> </w:t>
      </w:r>
      <w:r>
        <w:t xml:space="preserve">reasons have been identified (see Annex 4 for a more detailed analysis):</w:t>
      </w:r>
      <w:r>
        <w:t xml:space="preserve"> </w:t>
      </w:r>
      <w:r>
        <w:t xml:space="preserve">a) The information provided is complex and not sufficiently engaging for retail investors.</w:t>
      </w:r>
      <w:r>
        <w:br/>
      </w:r>
      <w:r>
        <w:t xml:space="preserve">Retail investors currently receive abundant information about different (key) aspects of investment</w:t>
      </w:r>
      <w:r>
        <w:t xml:space="preserve"> </w:t>
      </w:r>
      <w:r>
        <w:t xml:space="preserve">products and services. While this may be useful for financially literate consumers and relevant from</w:t>
      </w:r>
      <w:r>
        <w:t xml:space="preserve"> </w:t>
      </w:r>
      <w:r>
        <w:t xml:space="preserve">the point of view of consumer protection (for instance in the case of mis-selling and litigation), or may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serve supervisory objectives34, in other cases such comprehensive disclosures may be of limited</w:t>
      </w:r>
      <w:r>
        <w:t xml:space="preserve"> </w:t>
      </w:r>
      <w:r>
        <w:t xml:space="preserve">usefulness in supporting retail investors in their decisions, as they are too complex to be read and</w:t>
      </w:r>
      <w:r>
        <w:t xml:space="preserve"> </w:t>
      </w:r>
      <w:r>
        <w:t xml:space="preserve">understood by many. EIOPA concluded in its advice that “…despite existing obligations for disclosures</w:t>
      </w:r>
      <w:r>
        <w:t xml:space="preserve"> </w:t>
      </w:r>
      <w:r>
        <w:t xml:space="preserve">to be fair, clear and not misleading, the use of jargon or unnecessarily complex terminology is still</w:t>
      </w:r>
      <w:r>
        <w:t xml:space="preserve"> </w:t>
      </w:r>
      <w:r>
        <w:t xml:space="preserve">prevalent, and information is not necessarily presented in a clear or engaging way to consumers”35.</w:t>
      </w:r>
      <w:r>
        <w:t xml:space="preserve"> </w:t>
      </w:r>
      <w:r>
        <w:t xml:space="preserve">Respondents to the public consultation indicated that disclosure documents for retail investors were</w:t>
      </w:r>
      <w:r>
        <w:t xml:space="preserve"> </w:t>
      </w:r>
      <w:r>
        <w:t xml:space="preserve">overly elaborate (even for simple products), complex and too technical, potentially leading to</w:t>
      </w:r>
      <w:r>
        <w:t xml:space="preserve"> </w:t>
      </w:r>
      <w:r>
        <w:t xml:space="preserve">information overload36.</w:t>
      </w:r>
      <w:r>
        <w:br/>
      </w:r>
      <w:r>
        <w:t xml:space="preserve">The Retail investment study also underlined that disclosure documents “are rarely engaging and that</w:t>
      </w:r>
      <w:r>
        <w:t xml:space="preserve"> </w:t>
      </w:r>
      <w:r>
        <w:t xml:space="preserve">their layout is frequently very dense”37 and that in practice consumers often did not read them. In</w:t>
      </w:r>
      <w:r>
        <w:t xml:space="preserve"> </w:t>
      </w:r>
      <w:r>
        <w:t xml:space="preserve">particular, the study concluded that costs disclosure rules and practices were complex and sometimes</w:t>
      </w:r>
      <w:r>
        <w:t xml:space="preserve"> </w:t>
      </w:r>
      <w:r>
        <w:t xml:space="preserve">inconsistent, making use and comparison of this information challenging for retail investors. For</w:t>
      </w:r>
      <w:r>
        <w:t xml:space="preserve"> </w:t>
      </w:r>
      <w:r>
        <w:t xml:space="preserve">example, retail investors faced multiple cost items in the vast majority of product information</w:t>
      </w:r>
      <w:r>
        <w:t xml:space="preserve"> </w:t>
      </w:r>
      <w:r>
        <w:t xml:space="preserve">documents that were reviewed. The behavioural experiment in the Retail Investment study showed that</w:t>
      </w:r>
      <w:r>
        <w:t xml:space="preserve"> </w:t>
      </w:r>
      <w:r>
        <w:t xml:space="preserve">even when using simplified information documents, a significant proportion of consumers was not able</w:t>
      </w:r>
      <w:r>
        <w:t xml:space="preserve"> </w:t>
      </w:r>
      <w:r>
        <w:t xml:space="preserve">to choose the most financially advantageous product for them in terms of costs38.</w:t>
      </w:r>
      <w:r>
        <w:br/>
      </w:r>
      <w:r>
        <w:t xml:space="preserve">b) Disclosures to investors are not adapted for the digital environment.</w:t>
      </w:r>
      <w:r>
        <w:t xml:space="preserve"> </w:t>
      </w:r>
      <w:r>
        <w:t xml:space="preserve">The EU legal framework (see Table 1) provides for comprehensive requirements on the type of</w:t>
      </w:r>
      <w:r>
        <w:t xml:space="preserve"> </w:t>
      </w:r>
      <w:r>
        <w:t xml:space="preserve">information and the way that information should be provided to retail investors. Increased digitalization</w:t>
      </w:r>
      <w:r>
        <w:t xml:space="preserve"> </w:t>
      </w:r>
      <w:r>
        <w:t xml:space="preserve">and the development of new technologies and tools are transforming how financial services are</w:t>
      </w:r>
      <w:r>
        <w:t xml:space="preserve"> </w:t>
      </w:r>
      <w:r>
        <w:t xml:space="preserve">provided. Financial service providers are changing the way they interact with their (potential) clients,</w:t>
      </w:r>
      <w:r>
        <w:t xml:space="preserve"> </w:t>
      </w:r>
      <w:r>
        <w:t xml:space="preserve">and these new trends enable them to adopt new approaches39. However, the existing disclosure</w:t>
      </w:r>
      <w:r>
        <w:t xml:space="preserve"> </w:t>
      </w:r>
      <w:r>
        <w:t xml:space="preserve">requirements do not fully cater for these new trends and evolving user needs and expectations (notably</w:t>
      </w:r>
      <w:r>
        <w:t xml:space="preserve"> </w:t>
      </w:r>
      <w:r>
        <w:t xml:space="preserve">from younger generations of investors). The PRIIPs framework also does not provide for a sufficient</w:t>
      </w:r>
      <w:r>
        <w:t xml:space="preserve"> </w:t>
      </w:r>
      <w:r>
        <w:t xml:space="preserve">level of flexibility to allow for the presentation of information from the key information documents to</w:t>
      </w:r>
      <w:r>
        <w:t xml:space="preserve"> </w:t>
      </w:r>
      <w:r>
        <w:t xml:space="preserve">retail investors in a layered way40, which can be considered a regulatory gap. The size of these problems</w:t>
      </w:r>
      <w:r>
        <w:t xml:space="preserve"> </w:t>
      </w:r>
      <w:r>
        <w:t xml:space="preserve">cannot be measured, but they pose inconvenience to users and reduce willingness to read key</w:t>
      </w:r>
      <w:r>
        <w:t xml:space="preserve"> </w:t>
      </w:r>
      <w:r>
        <w:t xml:space="preserve">information documents41.</w:t>
      </w:r>
      <w:r>
        <w:br/>
      </w:r>
      <w:r>
        <w:t xml:space="preserve">In the evidence presented by the Joint ESA advice on digital finance, respondents to the surveys and</w:t>
      </w:r>
      <w:r>
        <w:t xml:space="preserve"> </w:t>
      </w:r>
      <w:r>
        <w:t xml:space="preserve">interviews expressed concerns that the EU disclosure framework was potentially outdated, which could</w:t>
      </w:r>
      <w:r>
        <w:t xml:space="preserve"> </w:t>
      </w:r>
      <w:r>
        <w:t xml:space="preserve">hinder the ability of consumers to make informed decisions about products and services42. The ESAs</w:t>
      </w:r>
      <w:r>
        <w:t xml:space="preserve"> </w:t>
      </w:r>
      <w:r>
        <w:t xml:space="preserve">concluded that digitalization trends are not adequately captured and although the current framework is</w:t>
      </w:r>
      <w:r>
        <w:t xml:space="preserve"> </w:t>
      </w:r>
      <w:r>
        <w:t xml:space="preserve">“supposed to be technology-neutral, it was mainly designed without considering digital distribution,</w:t>
      </w:r>
    </w:p>
    <w:p>
      <w:pPr>
        <w:pStyle w:val="BodyText"/>
      </w:pPr>
      <w:r>
        <w:t xml:space="preserve">34 See EIOPA advice on retail investor protection, page 35 para 50.</w:t>
      </w:r>
      <w:r>
        <w:br/>
      </w:r>
      <w:r>
        <w:t xml:space="preserve">35 See EIOPA advice on retail investor protection, page 36, para 54.</w:t>
      </w:r>
      <w:r>
        <w:t xml:space="preserve"> </w:t>
      </w:r>
      <w:r>
        <w:t xml:space="preserve">36 44% of respondents, including one consumer organisation, companies/business organisations and business associations</w:t>
      </w:r>
      <w:r>
        <w:t xml:space="preserve"> </w:t>
      </w:r>
      <w:r>
        <w:t xml:space="preserve">representing banking, insurance and investment management as well as NGOs ranked disclosure as the area with the biggest</w:t>
      </w:r>
      <w:r>
        <w:t xml:space="preserve"> </w:t>
      </w:r>
      <w:r>
        <w:t xml:space="preserve">room for improvement, following financial literacy (63%) and preceding digital innovation (39%).</w:t>
      </w:r>
      <w:r>
        <w:br/>
      </w:r>
      <w:r>
        <w:t xml:space="preserve">37 See Retail investment study, page 163.</w:t>
      </w:r>
      <w:r>
        <w:t xml:space="preserve"> </w:t>
      </w:r>
      <w:r>
        <w:t xml:space="preserve">38 See Retail investment study page 164.</w:t>
      </w:r>
      <w:r>
        <w:br/>
      </w:r>
      <w:r>
        <w:t xml:space="preserve">39 ESMA advice on retail investor protection, page 23.</w:t>
      </w:r>
      <w:r>
        <w:t xml:space="preserve"> </w:t>
      </w:r>
      <w:r>
        <w:t xml:space="preserve">40 While the current legal text does not entirely prevent digital use of KIDs, including possible layering of information, it</w:t>
      </w:r>
      <w:r>
        <w:t xml:space="preserve"> </w:t>
      </w:r>
      <w:r>
        <w:t xml:space="preserve">also does not encourage it. Specifically, it prevents changes to the order of the PRIIPs KIDs sections which would limit</w:t>
      </w:r>
      <w:r>
        <w:t xml:space="preserve"> </w:t>
      </w:r>
      <w:r>
        <w:t xml:space="preserve">layering to presenting the information in a menu to display the headings and hide/unhide the information, which may not</w:t>
      </w:r>
      <w:r>
        <w:t xml:space="preserve"> </w:t>
      </w:r>
      <w:r>
        <w:t xml:space="preserve">be sufficient.</w:t>
      </w:r>
      <w:r>
        <w:t xml:space="preserve"> </w:t>
      </w:r>
      <w:r>
        <w:t xml:space="preserve">41 While this may not necessitate legislative action on its own, changes at L1 could allow more flexibility to find a more</w:t>
      </w:r>
      <w:r>
        <w:t xml:space="preserve"> </w:t>
      </w:r>
      <w:r>
        <w:t xml:space="preserve">suitable solution for making PRIIPs KIDs more adapted to the digital environment.</w:t>
      </w:r>
      <w:r>
        <w:br/>
      </w:r>
      <w:r>
        <w:t xml:space="preserve">42Joint European Supervisory Authority response to the European Commission’s February 2021 Call for Advice on digital</w:t>
      </w:r>
      <w:r>
        <w:t xml:space="preserve"> </w:t>
      </w:r>
      <w:r>
        <w:t xml:space="preserve">finance and related issues, 31 January 2022, point 164.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and certainly before the “app-revolution”43. Likewise, the Retail investment study suggested putting</w:t>
      </w:r>
      <w:r>
        <w:t xml:space="preserve"> </w:t>
      </w:r>
      <w:r>
        <w:t xml:space="preserve">greater emphasis on the digital environment44.</w:t>
      </w:r>
      <w:r>
        <w:br/>
      </w:r>
      <w:r>
        <w:t xml:space="preserve">c) Insufficient ex post information on costs and performance.</w:t>
      </w:r>
      <w:r>
        <w:t xml:space="preserve"> </w:t>
      </w:r>
      <w:r>
        <w:t xml:space="preserve">While many regulatory disclosures focus on the pre-contractual stage, the periodic ex post disclosures</w:t>
      </w:r>
      <w:r>
        <w:t xml:space="preserve"> </w:t>
      </w:r>
      <w:r>
        <w:t xml:space="preserve">to retail investors, focusing on the costs and performance of the products in their portfolio, are more</w:t>
      </w:r>
      <w:r>
        <w:t xml:space="preserve"> </w:t>
      </w:r>
      <w:r>
        <w:t xml:space="preserve">limited. As identified in the EIOPA advice on retail investor protection, in the area of IDD, some</w:t>
      </w:r>
      <w:r>
        <w:t xml:space="preserve"> </w:t>
      </w:r>
      <w:r>
        <w:t xml:space="preserve">Member States have developed national practices beyond the outdated rules in Solvency II, but there</w:t>
      </w:r>
      <w:r>
        <w:t xml:space="preserve"> </w:t>
      </w:r>
      <w:r>
        <w:t xml:space="preserve">is currently no common standard for ex post periodic disclosure in EU legislation which would improve</w:t>
      </w:r>
      <w:r>
        <w:t xml:space="preserve"> </w:t>
      </w:r>
      <w:r>
        <w:t xml:space="preserve">the comparability of different IBIPs and help inform investors of the costs and performance of their</w:t>
      </w:r>
      <w:r>
        <w:t xml:space="preserve"> </w:t>
      </w:r>
      <w:r>
        <w:t xml:space="preserve">portfolio. In addition, both the MiFID and IDD rules45 require investment firms and insurance</w:t>
      </w:r>
      <w:r>
        <w:t xml:space="preserve"> </w:t>
      </w:r>
      <w:r>
        <w:t xml:space="preserve">distributors to provide investors with annual information on costs and charges related to financial</w:t>
      </w:r>
      <w:r>
        <w:t xml:space="preserve"> </w:t>
      </w:r>
      <w:r>
        <w:t xml:space="preserve">instrument(s), investment and ancillary services and IBIPs. However, as regards investment services,</w:t>
      </w:r>
      <w:r>
        <w:t xml:space="preserve"> </w:t>
      </w:r>
      <w:r>
        <w:t xml:space="preserve">this requirement only applies to situations where there is an ongoing relationship between the client</w:t>
      </w:r>
      <w:r>
        <w:t xml:space="preserve"> </w:t>
      </w:r>
      <w:r>
        <w:t xml:space="preserve">and the investment firm and does not cover in the same report the performance of the portfolio of the</w:t>
      </w:r>
      <w:r>
        <w:t xml:space="preserve"> </w:t>
      </w:r>
      <w:r>
        <w:t xml:space="preserve">investor, taking into account the performance of the financial products and the costs and fees borne by</w:t>
      </w:r>
      <w:r>
        <w:t xml:space="preserve"> </w:t>
      </w:r>
      <w:r>
        <w:t xml:space="preserve">the investor.</w:t>
      </w:r>
      <w:r>
        <w:br/>
      </w:r>
      <w:r>
        <w:t xml:space="preserve">As a result, a significant group of investors does not receive appropriate ex-post information in an easily</w:t>
      </w:r>
      <w:r>
        <w:t xml:space="preserve"> </w:t>
      </w:r>
      <w:r>
        <w:t xml:space="preserve">accessible and comprehensible way, which limits their possibilities to effectively monitor the</w:t>
      </w:r>
      <w:r>
        <w:t xml:space="preserve"> </w:t>
      </w:r>
      <w:r>
        <w:t xml:space="preserve">developments of the investment product purchased, including performance and costs paid.</w:t>
      </w:r>
      <w:r>
        <w:br/>
      </w:r>
      <w:r>
        <w:t xml:space="preserve">d) Limited visibility and comparability of Environmental Social and Governance (ESG)</w:t>
      </w:r>
      <w:r>
        <w:t xml:space="preserve"> </w:t>
      </w:r>
      <w:r>
        <w:t xml:space="preserve">information in standardized disclosure documents.</w:t>
      </w:r>
      <w:r>
        <w:t xml:space="preserve"> </w:t>
      </w:r>
      <w:r>
        <w:t xml:space="preserve">The increasing demand for sustainable investment, that takes account of ESG risks or impacts, is not</w:t>
      </w:r>
      <w:r>
        <w:t xml:space="preserve"> </w:t>
      </w:r>
      <w:r>
        <w:t xml:space="preserve">adequately reflected in key information documents for retail investors, in particular in the PRIIPs key</w:t>
      </w:r>
      <w:r>
        <w:t xml:space="preserve"> </w:t>
      </w:r>
      <w:r>
        <w:t xml:space="preserve">information documents46 prepared under the PRIIPs legal framework. This represents a regulatory gap</w:t>
      </w:r>
      <w:r>
        <w:t xml:space="preserve"> </w:t>
      </w:r>
      <w:r>
        <w:t xml:space="preserve">with respect to changing expectations of consumers regarding the role of disclosures. Under the</w:t>
      </w:r>
      <w:r>
        <w:t xml:space="preserve"> </w:t>
      </w:r>
      <w:r>
        <w:t xml:space="preserve">Sustainable Finance Disclosure Regulation (SFDR), new information must be collected by financial</w:t>
      </w:r>
      <w:r>
        <w:t xml:space="preserve"> </w:t>
      </w:r>
      <w:r>
        <w:t xml:space="preserve">product manufacturers and presented on their websites, notably on the treatment of sustainability-</w:t>
      </w:r>
      <w:r>
        <w:t xml:space="preserve"> </w:t>
      </w:r>
      <w:r>
        <w:t xml:space="preserve">related risks and principal adverse impacts of investments. Such disclosures may be rather complex for</w:t>
      </w:r>
      <w:r>
        <w:t xml:space="preserve"> </w:t>
      </w:r>
      <w:r>
        <w:t xml:space="preserve">retail investors to navigate and may not be sufficiently visible to them. While current provisions allow</w:t>
      </w:r>
      <w:r>
        <w:t xml:space="preserve"> </w:t>
      </w:r>
      <w:r>
        <w:t xml:space="preserve">for the inclusion of some additional information in the PRIIPs key information documents, there is no</w:t>
      </w:r>
      <w:r>
        <w:t xml:space="preserve"> </w:t>
      </w:r>
      <w:r>
        <w:t xml:space="preserve">guarantee that without further policy intervention this will happen systematically and coherently in a</w:t>
      </w:r>
      <w:r>
        <w:t xml:space="preserve"> </w:t>
      </w:r>
      <w:r>
        <w:t xml:space="preserve">way that facilitates comparability of retail investment products based on their ESG characteristics.</w:t>
      </w:r>
      <w:r>
        <w:t xml:space="preserve"> </w:t>
      </w:r>
      <w:r>
        <w:t xml:space="preserve">Unless specified in law, there is a significant risk that different providers would prioritize different</w:t>
      </w:r>
      <w:r>
        <w:t xml:space="preserve"> </w:t>
      </w:r>
      <w:r>
        <w:t xml:space="preserve">information, which may make it harder for retail investors to compare products based on such</w:t>
      </w:r>
      <w:r>
        <w:t xml:space="preserve"> </w:t>
      </w:r>
      <w:r>
        <w:t xml:space="preserve">information.</w:t>
      </w:r>
      <w:r>
        <w:br/>
      </w:r>
      <w:r>
        <w:t xml:space="preserve">Problem driver 2: retail investors tend to be unduly influenced by enticing marketing</w:t>
      </w:r>
      <w:r>
        <w:t xml:space="preserve"> </w:t>
      </w:r>
      <w:r>
        <w:t xml:space="preserve">communications through digital channels and misleading marketing practices</w:t>
      </w:r>
      <w:r>
        <w:br/>
      </w:r>
      <w:r>
        <w:t xml:space="preserve">Marketing communications can play a key role in determining consumer behaviour and influencing</w:t>
      </w:r>
      <w:r>
        <w:t xml:space="preserve"> </w:t>
      </w:r>
      <w:r>
        <w:t xml:space="preserve">investment decisions. Retail investors who are subject to misleading marketing communications are</w:t>
      </w:r>
    </w:p>
    <w:p>
      <w:pPr>
        <w:pStyle w:val="BodyText"/>
      </w:pPr>
      <w:r>
        <w:t xml:space="preserve">43 See page 43, para 3.5.1 of the Advice of the ESA joint committee on PRIIPs, and page 36 of the EIOPA advice on retail</w:t>
      </w:r>
      <w:r>
        <w:t xml:space="preserve"> </w:t>
      </w:r>
      <w:r>
        <w:t xml:space="preserve">investor protection.</w:t>
      </w:r>
      <w:r>
        <w:t xml:space="preserve"> </w:t>
      </w:r>
      <w:r>
        <w:t xml:space="preserve">44 See pages 15 and 106 of the Retail investment study</w:t>
      </w:r>
      <w:r>
        <w:t xml:space="preserve"> </w:t>
      </w:r>
      <w:r>
        <w:t xml:space="preserve">45 Delegated Regulation (EU) 2017/565 Article 50.9, Article 29(1)</w:t>
      </w:r>
      <w:r>
        <w:br/>
      </w:r>
      <w:r>
        <w:t xml:space="preserve">46 See Table 1: the EU legal framework governing retail investor protection and Annex 9 for more detail on PRIIPs key</w:t>
      </w:r>
      <w:r>
        <w:t xml:space="preserve"> </w:t>
      </w:r>
      <w:r>
        <w:t xml:space="preserve">information documents.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more likely to be mis-sold an unsuitable/inappropriate financial product or service, even where correct</w:t>
      </w:r>
      <w:r>
        <w:t xml:space="preserve"> </w:t>
      </w:r>
      <w:r>
        <w:t xml:space="preserve">information is provided through regulatory disclosures47. There is a growing trend towards marketing</w:t>
      </w:r>
      <w:r>
        <w:t xml:space="preserve"> </w:t>
      </w:r>
      <w:r>
        <w:t xml:space="preserve">through digital channels, which brings certain benefits but also risks48 to retail investors, including the</w:t>
      </w:r>
      <w:r>
        <w:t xml:space="preserve"> </w:t>
      </w:r>
      <w:r>
        <w:t xml:space="preserve">risk of biasing investors’ choice, unsolicited offers, offers targeting an inappropriate segment, a push</w:t>
      </w:r>
      <w:r>
        <w:t xml:space="preserve"> </w:t>
      </w:r>
      <w:r>
        <w:t xml:space="preserve">towards unsuitable products, increased misconduct, as well as difficulties for competent authorities to</w:t>
      </w:r>
      <w:r>
        <w:t xml:space="preserve"> </w:t>
      </w:r>
      <w:r>
        <w:t xml:space="preserve">control digital marketing and enforce the relevant rules.</w:t>
      </w:r>
      <w:r>
        <w:t xml:space="preserve"> </w:t>
      </w:r>
      <w:r>
        <w:t xml:space="preserve">Online platforms closed fora such as (moderated) chat groups, and influencers (or “finfluencers”49) are</w:t>
      </w:r>
      <w:r>
        <w:t xml:space="preserve"> </w:t>
      </w:r>
      <w:r>
        <w:t xml:space="preserve">an increasingly important channel to inform and influence retail investors50. Financial influencers in</w:t>
      </w:r>
      <w:r>
        <w:t xml:space="preserve"> </w:t>
      </w:r>
      <w:r>
        <w:t xml:space="preserve">particular have received much attention in recent years, although they represent only one of many new</w:t>
      </w:r>
      <w:r>
        <w:t xml:space="preserve"> </w:t>
      </w:r>
      <w:r>
        <w:t xml:space="preserve">digital phenomena.</w:t>
      </w:r>
      <w:r>
        <w:br/>
      </w:r>
      <w:r>
        <w:t xml:space="preserve">The current rules require inter alia that marketing communications are clearly identifiable as such and</w:t>
      </w:r>
      <w:r>
        <w:t xml:space="preserve"> </w:t>
      </w:r>
      <w:r>
        <w:t xml:space="preserve">that the information they contain is consistent with any information the firm provides to clients in the</w:t>
      </w:r>
      <w:r>
        <w:t xml:space="preserve"> </w:t>
      </w:r>
      <w:r>
        <w:t xml:space="preserve">course of providing investment services.</w:t>
      </w:r>
      <w:r>
        <w:br/>
      </w:r>
      <w:r>
        <w:t xml:space="preserve">Several shortcomings have been identified with respect to the application of the existing framework,</w:t>
      </w:r>
      <w:r>
        <w:t xml:space="preserve"> </w:t>
      </w:r>
      <w:r>
        <w:t xml:space="preserve">indicating that it is not yet fully able to address all the challenges of these new trends:</w:t>
      </w:r>
      <w:r>
        <w:br/>
      </w:r>
      <w:r>
        <w:t xml:space="preserve">1.</w:t>
      </w:r>
      <w:r>
        <w:t xml:space="preserve"> </w:t>
      </w:r>
      <w:r>
        <w:t xml:space="preserve">Marketing communications, particularly in the online environment, may tend to overemphasize</w:t>
      </w:r>
      <w:r>
        <w:t xml:space="preserve"> </w:t>
      </w:r>
      <w:r>
        <w:t xml:space="preserve">the potential benefits of the product and hide information on costs and risks51.</w:t>
      </w:r>
      <w:r>
        <w:br/>
      </w:r>
      <w:r>
        <w:t xml:space="preserve">2.</w:t>
      </w:r>
      <w:r>
        <w:t xml:space="preserve"> </w:t>
      </w:r>
      <w:r>
        <w:t xml:space="preserve">There may be confusion with respect to the definition of marketing communications as to</w:t>
      </w:r>
      <w:r>
        <w:t xml:space="preserve"> </w:t>
      </w:r>
      <w:r>
        <w:t xml:space="preserve">whether online advertising and firms’ private messages to clients and potential clients on social</w:t>
      </w:r>
      <w:r>
        <w:t xml:space="preserve"> </w:t>
      </w:r>
      <w:r>
        <w:t xml:space="preserve">media are covered52, both when communicated directly by the firm or through third parties’</w:t>
      </w:r>
      <w:r>
        <w:t xml:space="preserve"> </w:t>
      </w:r>
      <w:r>
        <w:t xml:space="preserve">social media (i.e. ‘finfluencers’ who operate on behalf of financial service providers). NCAs</w:t>
      </w:r>
      <w:r>
        <w:t xml:space="preserve"> </w:t>
      </w:r>
      <w:r>
        <w:t xml:space="preserve">are also facing significant challenges in monitoring new forms of marketing communications,</w:t>
      </w:r>
      <w:r>
        <w:t xml:space="preserve"> </w:t>
      </w:r>
      <w:r>
        <w:t xml:space="preserve">for instance as regards the use of finfluencers by firms or other developing means to engage</w:t>
      </w:r>
      <w:r>
        <w:t xml:space="preserve"> </w:t>
      </w:r>
      <w:r>
        <w:t xml:space="preserve">clients via third parties through social media53. ESMA and EIOPA consider that greater control</w:t>
      </w:r>
      <w:r>
        <w:t xml:space="preserve"> </w:t>
      </w:r>
      <w:r>
        <w:t xml:space="preserve">and oversight by investment firms and insurance companies is needed on marketing</w:t>
      </w:r>
      <w:r>
        <w:t xml:space="preserve"> </w:t>
      </w:r>
      <w:r>
        <w:t xml:space="preserve">communications to ensure a consistent approach across all Member States.</w:t>
      </w:r>
      <w:r>
        <w:br/>
      </w:r>
      <w:r>
        <w:t xml:space="preserve">3.</w:t>
      </w:r>
      <w:r>
        <w:t xml:space="preserve"> </w:t>
      </w:r>
      <w:r>
        <w:t xml:space="preserve">The existing powers of NCAs to tackle aggressive online marketing practices may not allow</w:t>
      </w:r>
      <w:r>
        <w:t xml:space="preserve"> </w:t>
      </w:r>
      <w:r>
        <w:t xml:space="preserve">sufficiently timely intervention54, nor the possibility for NCAs and ESMA to impose the use of</w:t>
      </w:r>
      <w:r>
        <w:t xml:space="preserve"> </w:t>
      </w:r>
      <w:r>
        <w:t xml:space="preserve">risk warnings for specific risky financial instruments which may be subject to (aggressive)</w:t>
      </w:r>
      <w:r>
        <w:t xml:space="preserve"> </w:t>
      </w:r>
      <w:r>
        <w:t xml:space="preserve">online marketing and advertising campaigns55.</w:t>
      </w:r>
    </w:p>
    <w:p>
      <w:pPr>
        <w:pStyle w:val="BodyText"/>
      </w:pPr>
      <w:r>
        <w:t xml:space="preserve">A majority of respondents to the public consultation considered that there was a need for further EU</w:t>
      </w:r>
      <w:r>
        <w:t xml:space="preserve"> </w:t>
      </w:r>
      <w:r>
        <w:t xml:space="preserve">coordination/harmonisation of national rules on online advertising and marketing of investment</w:t>
      </w:r>
      <w:r>
        <w:t xml:space="preserve"> </w:t>
      </w:r>
      <w:r>
        <w:t xml:space="preserve">products56.</w:t>
      </w:r>
      <w:r>
        <w:t xml:space="preserve"> </w:t>
      </w:r>
      <w:r>
        <w:t xml:space="preserve">Problem 2 – Shortcomings in the investment product manufacturing and distribution processes</w:t>
      </w:r>
    </w:p>
    <w:p>
      <w:pPr>
        <w:pStyle w:val="BodyText"/>
      </w:pPr>
      <w:r>
        <w:t xml:space="preserve">47 ESMA advice on retail investor protection, page 9, point 22 and EIOPA advice on retail investor protection, page 43.</w:t>
      </w:r>
      <w:r>
        <w:t xml:space="preserve"> </w:t>
      </w:r>
      <w:r>
        <w:t xml:space="preserve">48 IOSCO report on retail distribution and digitalisation, page 6.</w:t>
      </w:r>
      <w:r>
        <w:t xml:space="preserve"> </w:t>
      </w:r>
      <w:r>
        <w:t xml:space="preserve">49 A “finfluencer” is an in influencer, who is usually active on social media, and generates content on financial topics such</w:t>
      </w:r>
      <w:r>
        <w:t xml:space="preserve"> </w:t>
      </w:r>
      <w:r>
        <w:t xml:space="preserve">as investments.</w:t>
      </w:r>
      <w:r>
        <w:t xml:space="preserve"> </w:t>
      </w:r>
      <w:r>
        <w:t xml:space="preserve">50 In response to Q.3.7 of the Public consultation, a majority of respondents considered that social media platforms may be</w:t>
      </w:r>
      <w:r>
        <w:t xml:space="preserve"> </w:t>
      </w:r>
      <w:r>
        <w:t xml:space="preserve">used as a vehicle by some users to help disseminate investment related information and that this may pose significant risks</w:t>
      </w:r>
      <w:r>
        <w:t xml:space="preserve"> </w:t>
      </w:r>
      <w:r>
        <w:t xml:space="preserve">for retail investment (e.g. if retail investors rely on unverified information or on information not appropriate to their</w:t>
      </w:r>
      <w:r>
        <w:t xml:space="preserve"> </w:t>
      </w:r>
      <w:r>
        <w:t xml:space="preserve">individual situation).</w:t>
      </w:r>
      <w:r>
        <w:t xml:space="preserve"> </w:t>
      </w:r>
      <w:r>
        <w:t xml:space="preserve">51 ESMA advice on retail investor protection, pages 10 and 14.</w:t>
      </w:r>
      <w:r>
        <w:br/>
      </w:r>
      <w:r>
        <w:t xml:space="preserve">52 ESMA advice on retail investor protection, page 9.</w:t>
      </w:r>
      <w:r>
        <w:t xml:space="preserve"> </w:t>
      </w:r>
      <w:r>
        <w:t xml:space="preserve">53 ESMA advice on retail investor protection, page 11, point 25.</w:t>
      </w:r>
      <w:r>
        <w:t xml:space="preserve"> </w:t>
      </w:r>
      <w:r>
        <w:t xml:space="preserve">54 ESMA advice on retail investor protection, page 12, point 27.</w:t>
      </w:r>
      <w:r>
        <w:t xml:space="preserve"> </w:t>
      </w:r>
      <w:r>
        <w:t xml:space="preserve">55 ESMA advice on retail investor protection, page 37, point 120.</w:t>
      </w:r>
      <w:r>
        <w:t xml:space="preserve"> </w:t>
      </w:r>
      <w:r>
        <w:t xml:space="preserve">56 See 2021 Public consultation, Q3.6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Problem driver 3: some retail investment products incorporate unjustifiably high levels of costs</w:t>
      </w:r>
      <w:r>
        <w:t xml:space="preserve"> </w:t>
      </w:r>
      <w:r>
        <w:t xml:space="preserve">and/or do not offer value to retail investors</w:t>
      </w:r>
      <w:r>
        <w:br/>
      </w:r>
      <w:r>
        <w:t xml:space="preserve">High fees reduce the return retail investors can earn from their investment and the benefits they can</w:t>
      </w:r>
      <w:r>
        <w:t xml:space="preserve"> </w:t>
      </w:r>
      <w:r>
        <w:t xml:space="preserve">draw from them. The challenge for retail investors to assess whether they get good value for money</w:t>
      </w:r>
      <w:r>
        <w:t xml:space="preserve"> </w:t>
      </w:r>
      <w:r>
        <w:t xml:space="preserve">increases in case of complex fee structures. Both ESMA and EIOPA concluded in their monitoring of</w:t>
      </w:r>
      <w:r>
        <w:t xml:space="preserve"> </w:t>
      </w:r>
      <w:r>
        <w:t xml:space="preserve">investment performance and costs that the high level of costs charged to retail investors can</w:t>
      </w:r>
      <w:r>
        <w:t xml:space="preserve"> </w:t>
      </w:r>
      <w:r>
        <w:t xml:space="preserve">significantly impact risk-adjusted net returns and diminish the investment outcome for final investors.</w:t>
      </w:r>
      <w:r>
        <w:t xml:space="preserve"> </w:t>
      </w:r>
      <w:r>
        <w:t xml:space="preserve">Product Oversight and Governance (POG) rules, such as in MiFID and IDD, aim to ensure that the</w:t>
      </w:r>
      <w:r>
        <w:t xml:space="preserve"> </w:t>
      </w:r>
      <w:r>
        <w:t xml:space="preserve">interests of customers take prime importance during product design and throughout the lifecycle of a</w:t>
      </w:r>
      <w:r>
        <w:t xml:space="preserve"> </w:t>
      </w:r>
      <w:r>
        <w:t xml:space="preserve">financial instrument/product, including arrangements for its distribution. Similarly, both the UCITS</w:t>
      </w:r>
      <w:r>
        <w:t xml:space="preserve"> </w:t>
      </w:r>
      <w:r>
        <w:t xml:space="preserve">and AIFM Directives contain requirements stipulating that investors should not be charged undue costs.</w:t>
      </w:r>
      <w:r>
        <w:t xml:space="preserve"> </w:t>
      </w:r>
      <w:r>
        <w:t xml:space="preserve">However, as evidenced in both EIOPA’s57 and ESMA’s58 annual cost and past performance reports,</w:t>
      </w:r>
      <w:r>
        <w:t xml:space="preserve"> </w:t>
      </w:r>
      <w:r>
        <w:t xml:space="preserve">even with such rules, some products offered to retail investors offer very low if not negative returns</w:t>
      </w:r>
      <w:r>
        <w:t xml:space="preserve"> </w:t>
      </w:r>
      <w:r>
        <w:t xml:space="preserve">(net of costs charged to the customer), calling into question whether they in fact represent value for</w:t>
      </w:r>
      <w:r>
        <w:t xml:space="preserve"> </w:t>
      </w:r>
      <w:r>
        <w:t xml:space="preserve">money. The Evaluation (Annex 11) has found that product manufacturing process and rules governing</w:t>
      </w:r>
      <w:r>
        <w:t xml:space="preserve"> </w:t>
      </w:r>
      <w:r>
        <w:t xml:space="preserve">the distribution of retail investment products do not fully tackle the issue of cost-efficiency of products</w:t>
      </w:r>
      <w:r>
        <w:t xml:space="preserve"> </w:t>
      </w:r>
      <w:r>
        <w:t xml:space="preserve">and are not sufficiently effective to ensure that retail investors are offered products that are cost</w:t>
      </w:r>
      <w:r>
        <w:t xml:space="preserve"> </w:t>
      </w:r>
      <w:r>
        <w:t xml:space="preserve">efficient. The evaluation of additional rules under the UCITS framework has also indicated limited</w:t>
      </w:r>
      <w:r>
        <w:t xml:space="preserve"> </w:t>
      </w:r>
      <w:r>
        <w:t xml:space="preserve">scope for improvement, although the majority of the costs charged to investors are not under the control</w:t>
      </w:r>
      <w:r>
        <w:t xml:space="preserve"> </w:t>
      </w:r>
      <w:r>
        <w:t xml:space="preserve">of UCITS management companies59.</w:t>
      </w:r>
      <w:r>
        <w:t xml:space="preserve"> </w:t>
      </w:r>
      <w:r>
        <w:t xml:space="preserve">EIOPA found that some investment products sold to retail investors generate extremely low or even</w:t>
      </w:r>
      <w:r>
        <w:t xml:space="preserve"> </w:t>
      </w:r>
      <w:r>
        <w:t xml:space="preserve">negative real returns, disproportionate to the risk that is taken by the investor. EIOPA identified such</w:t>
      </w:r>
      <w:r>
        <w:t xml:space="preserve"> </w:t>
      </w:r>
      <w:r>
        <w:t xml:space="preserve">insurance products particularly in low-risk classes. Net returns were mostly in the range -1% to 6% for</w:t>
      </w:r>
      <w:r>
        <w:t xml:space="preserve"> </w:t>
      </w:r>
      <w:r>
        <w:t xml:space="preserve">unit-linked and -1% to 3% to hybrids products60.</w:t>
      </w:r>
      <w:r>
        <w:t xml:space="preserve"> </w:t>
      </w:r>
      <w:r>
        <w:t xml:space="preserve">ESMA’s cost and performance report documents the substantial variation of costs of funds marketed</w:t>
      </w:r>
      <w:r>
        <w:t xml:space="preserve"> </w:t>
      </w:r>
      <w:r>
        <w:t xml:space="preserve">to retail investors across EU Member States (see figure below), suggesting that there is little cost</w:t>
      </w:r>
      <w:r>
        <w:t xml:space="preserve"> </w:t>
      </w:r>
      <w:r>
        <w:t xml:space="preserve">pressure from cross-border competition. It also found that retail clients were charged on average around</w:t>
      </w:r>
      <w:r>
        <w:t xml:space="preserve"> </w:t>
      </w:r>
      <w:r>
        <w:t xml:space="preserve">40% more than institutional investors across asset classes in 202161. Although some difference between</w:t>
      </w:r>
      <w:r>
        <w:t xml:space="preserve"> </w:t>
      </w:r>
      <w:r>
        <w:t xml:space="preserve">investor groups is to be expected, the size of the difference appears excessive. ESMA’s simulations</w:t>
      </w:r>
      <w:r>
        <w:t xml:space="preserve"> </w:t>
      </w:r>
      <w:r>
        <w:t xml:space="preserve">yielded negative returns for a number of structured retail products once costs were taken into account</w:t>
      </w:r>
      <w:r>
        <w:t xml:space="preserve"> </w:t>
      </w:r>
      <w:r>
        <w:t xml:space="preserve">(see figure below). There does not appear to be a strong correlation between total costs and the</w:t>
      </w:r>
      <w:r>
        <w:t xml:space="preserve"> </w:t>
      </w:r>
      <w:r>
        <w:t xml:space="preserve">underlying asset type, and as total costs do not appear to be lower for products that are more often sold</w:t>
      </w:r>
      <w:r>
        <w:t xml:space="preserve"> </w:t>
      </w:r>
      <w:r>
        <w:t xml:space="preserve">to retail investors, this would suggest that “economies of scale do not appear to materialise in the</w:t>
      </w:r>
      <w:r>
        <w:t xml:space="preserve"> </w:t>
      </w:r>
      <w:r>
        <w:t xml:space="preserve">market for SRPs” (structured retail products)62.</w:t>
      </w:r>
    </w:p>
    <w:p>
      <w:pPr>
        <w:pStyle w:val="BodyText"/>
      </w:pPr>
      <w:r>
        <w:t xml:space="preserve">57 EIOPA Cost and past performance report 2022</w:t>
      </w:r>
      <w:r>
        <w:t xml:space="preserve"> </w:t>
      </w:r>
      <w:r>
        <w:t xml:space="preserve">58 ESMA Performance and Costs of EU Retail Investment Products 2022</w:t>
      </w:r>
      <w:r>
        <w:t xml:space="preserve"> </w:t>
      </w:r>
      <w:r>
        <w:t xml:space="preserve">59 On average, around 60% of the costs do not go to the UCITS management companies according to EFAMA Market</w:t>
      </w:r>
      <w:r>
        <w:t xml:space="preserve"> </w:t>
      </w:r>
      <w:r>
        <w:t xml:space="preserve">insight, September 2021. These findings are confirmed by other sources of evidence including those discussed under the</w:t>
      </w:r>
      <w:r>
        <w:t xml:space="preserve"> </w:t>
      </w:r>
      <w:r>
        <w:t xml:space="preserve">topic of inducements.</w:t>
      </w:r>
      <w:r>
        <w:br/>
      </w:r>
      <w:r>
        <w:t xml:space="preserve">60 EIOPA Cost and past performance report 2022, page 18</w:t>
      </w:r>
      <w:r>
        <w:t xml:space="preserve"> </w:t>
      </w:r>
      <w:r>
        <w:t xml:space="preserve">61 ESMA, Performance and Costs of EU Retail Investment Products, 2022, page 6.</w:t>
      </w:r>
      <w:r>
        <w:t xml:space="preserve"> </w:t>
      </w:r>
      <w:r>
        <w:t xml:space="preserve">62 ESMA Performance and Costs of EU Retail Investment Products 2022, page 37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Figure 1: Cost differences when investment funds are charged to either retail investors or institutional investors,</w:t>
      </w:r>
    </w:p>
    <w:p>
      <w:pPr>
        <w:pStyle w:val="BodyText"/>
      </w:pPr>
      <w:r>
        <w:t xml:space="preserve">Note: Sum of subscription fees, ongoing costs and redemption fees.</w:t>
      </w:r>
      <w:r>
        <w:t xml:space="preserve"> </w:t>
      </w:r>
      <w:r>
        <w:t xml:space="preserve">Source: ESMA 2022 Cost and Performance report, with data from ESMA and Refinitiv Lipper</w:t>
      </w:r>
    </w:p>
    <w:p>
      <w:pPr>
        <w:pStyle w:val="BodyText"/>
      </w:pPr>
      <w:r>
        <w:t xml:space="preserve">Figure 2: Returns of structured retail investment products across payoff types in the moderate scenario</w:t>
      </w:r>
    </w:p>
    <w:p>
      <w:pPr>
        <w:pStyle w:val="BodyText"/>
      </w:pPr>
      <w:r>
        <w:t xml:space="preserve">Note: Means and ranges of returns of various structures retail investment products.</w:t>
      </w:r>
      <w:r>
        <w:t xml:space="preserve"> </w:t>
      </w:r>
      <w:r>
        <w:t xml:space="preserve">Source: ESMA 2022 Cost and Performance report.</w:t>
      </w:r>
      <w:r>
        <w:t xml:space="preserve"> </w:t>
      </w:r>
      <w:r>
        <w:t xml:space="preserve">Structured retail investment products often feature high complexity that prevents retail clients from</w:t>
      </w:r>
      <w:r>
        <w:t xml:space="preserve"> </w:t>
      </w:r>
      <w:r>
        <w:t xml:space="preserve">understanding whether high fees reflect high quality or are instead due to high costs or profit margins.</w:t>
      </w:r>
      <w:r>
        <w:t xml:space="preserve"> </w:t>
      </w:r>
      <w:r>
        <w:t xml:space="preserve">They have no means to judge the extent to which misaligned incentives between product manufacturers</w:t>
      </w:r>
      <w:r>
        <w:t xml:space="preserve"> </w:t>
      </w:r>
      <w:r>
        <w:t xml:space="preserve">and distributors (which are both profit maximising entities) are driving high fees and the selection of</w:t>
      </w:r>
      <w:r>
        <w:t xml:space="preserve"> </w:t>
      </w:r>
      <w:r>
        <w:t xml:space="preserve">products offered to them.</w:t>
      </w:r>
      <w:r>
        <w:t xml:space="preserve"> </w:t>
      </w:r>
      <w:r>
        <w:t xml:space="preserve">ESMA found, in its 2021 common supervisory action63, that while firms generally follow the ESMA</w:t>
      </w:r>
      <w:r>
        <w:t xml:space="preserve"> </w:t>
      </w:r>
      <w:r>
        <w:t xml:space="preserve">guidelines, the definition of target market is sometimes a formalistic exercise, made at insufficient</w:t>
      </w:r>
      <w:r>
        <w:t xml:space="preserve"> </w:t>
      </w:r>
      <w:r>
        <w:t xml:space="preserve">granularity and which does not always translate into a distribution strategy that enables the product to</w:t>
      </w:r>
    </w:p>
    <w:p>
      <w:pPr>
        <w:pStyle w:val="BodyText"/>
      </w:pPr>
      <w:r>
        <w:t xml:space="preserve">63 ESMA’s Public Statement on the results of the 2021 Common Supervisory Action on MiFID II Product Governance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reach the identified target market. In particular, product “manufacturers’ procedures insufficiently</w:t>
      </w:r>
      <w:r>
        <w:t xml:space="preserve"> </w:t>
      </w:r>
      <w:r>
        <w:t xml:space="preserve">describe how a product’s cost structure is evaluated to ensure compatibility with the product’s target</w:t>
      </w:r>
      <w:r>
        <w:t xml:space="preserve"> </w:t>
      </w:r>
      <w:r>
        <w:t xml:space="preserve">market”. ESMA stressed that the requirement on manufacturers to perform a charging structure</w:t>
      </w:r>
      <w:r>
        <w:t xml:space="preserve"> </w:t>
      </w:r>
      <w:r>
        <w:t xml:space="preserve">analysis64 is a key investor protection requirement. Similarly, EIOPA issued a supervisory statement</w:t>
      </w:r>
      <w:r>
        <w:t xml:space="preserve"> </w:t>
      </w:r>
      <w:r>
        <w:t xml:space="preserve">concerning the assessment of value for money of unit-linked insurance issues, such as: “high</w:t>
      </w:r>
      <w:r>
        <w:t xml:space="preserve"> </w:t>
      </w:r>
      <w:r>
        <w:t xml:space="preserve">complexity, mis-selling, mismatches between actual returns and customers’ expectations products that</w:t>
      </w:r>
      <w:r>
        <w:t xml:space="preserve"> </w:t>
      </w:r>
      <w:r>
        <w:t xml:space="preserve">are not designed in a customer-centric manner”65.</w:t>
      </w:r>
      <w:r>
        <w:br/>
      </w:r>
      <w:r>
        <w:t xml:space="preserve">Despite the efforts of ESMA and EIOPA, the current rules addressing the product manufacturing</w:t>
      </w:r>
      <w:r>
        <w:t xml:space="preserve"> </w:t>
      </w:r>
      <w:r>
        <w:t xml:space="preserve">process and rules governing the distribution of retail investment products do not fully tackle the issue</w:t>
      </w:r>
      <w:r>
        <w:t xml:space="preserve"> </w:t>
      </w:r>
      <w:r>
        <w:t xml:space="preserve">of product cost-effectiveness and fail to ensure that retail investors are offered products which provide</w:t>
      </w:r>
      <w:r>
        <w:t xml:space="preserve"> </w:t>
      </w:r>
      <w:r>
        <w:t xml:space="preserve">value for money. The rules are not sufficiently granular in relation to cost factors, which is problematic</w:t>
      </w:r>
      <w:r>
        <w:t xml:space="preserve"> </w:t>
      </w:r>
      <w:r>
        <w:t xml:space="preserve">for their monitoring and enforcement. An additional practical consideration is that the lack of available</w:t>
      </w:r>
      <w:r>
        <w:t xml:space="preserve"> </w:t>
      </w:r>
      <w:r>
        <w:t xml:space="preserve">cost information relating to investment products further increases difficulties to apply the rules, as</w:t>
      </w:r>
      <w:r>
        <w:t xml:space="preserve"> </w:t>
      </w:r>
      <w:r>
        <w:t xml:space="preserve">assessments around cost effectiveness may be perceived as arbitrary if they are not based on data</w:t>
      </w:r>
      <w:r>
        <w:t xml:space="preserve"> </w:t>
      </w:r>
      <w:r>
        <w:t xml:space="preserve">comparison and objective benchmarks. That poses a challenge with respect to their enforceability.</w:t>
      </w:r>
      <w:r>
        <w:t xml:space="preserve"> </w:t>
      </w:r>
      <w:r>
        <w:t xml:space="preserve">Problem driver 4: conflicts of interest caused by the payment of inducements negatively affect the</w:t>
      </w:r>
      <w:r>
        <w:t xml:space="preserve"> </w:t>
      </w:r>
      <w:r>
        <w:t xml:space="preserve">quality of investment products offered and investment advice</w:t>
      </w:r>
      <w:r>
        <w:br/>
      </w:r>
      <w:r>
        <w:t xml:space="preserve">Under certain circumstances, current rules (under MiFID II and IDD) allow for the payment of fees,</w:t>
      </w:r>
      <w:r>
        <w:t xml:space="preserve"> </w:t>
      </w:r>
      <w:r>
        <w:t xml:space="preserve">commissions or the provision of non-monetary benefits (so called “inducements”) to financial service</w:t>
      </w:r>
      <w:r>
        <w:t xml:space="preserve"> </w:t>
      </w:r>
      <w:r>
        <w:t xml:space="preserve">providers by third parties (typically the manufacturer of the product). These rules provide the basis for</w:t>
      </w:r>
      <w:r>
        <w:t xml:space="preserve"> </w:t>
      </w:r>
      <w:r>
        <w:t xml:space="preserve">the “commission-based” distribution model of retail investment products, whereby financial</w:t>
      </w:r>
      <w:r>
        <w:t xml:space="preserve"> </w:t>
      </w:r>
      <w:r>
        <w:t xml:space="preserve">intermediaries (e.g. financial advisors) are remunerated for their services not by the retail investors</w:t>
      </w:r>
      <w:r>
        <w:t xml:space="preserve"> </w:t>
      </w:r>
      <w:r>
        <w:t xml:space="preserve">directly, but by the manufacturers of those products. The rules do not, however, exclude a purely “fee-</w:t>
      </w:r>
      <w:r>
        <w:t xml:space="preserve"> </w:t>
      </w:r>
      <w:r>
        <w:t xml:space="preserve">based” model, whereby financial intermediaries (e.g. independent financial advisors) are only paid</w:t>
      </w:r>
      <w:r>
        <w:t xml:space="preserve"> </w:t>
      </w:r>
      <w:r>
        <w:t xml:space="preserve">directly for their services, including advice, by the retail client. Under MiFID II rules, an advisor that</w:t>
      </w:r>
      <w:r>
        <w:t xml:space="preserve"> </w:t>
      </w:r>
      <w:r>
        <w:t xml:space="preserve">informs his clients that the investment advice is provided on an independent basis, cannot accept</w:t>
      </w:r>
      <w:r>
        <w:t xml:space="preserve"> </w:t>
      </w:r>
      <w:r>
        <w:t xml:space="preserve">commissions from third parties but needs to rely on fees from the client. The “fee-based” model has</w:t>
      </w:r>
      <w:r>
        <w:t xml:space="preserve"> </w:t>
      </w:r>
      <w:r>
        <w:t xml:space="preserve">had limited uptake in the retail segment however and the “commission-based” model is currently</w:t>
      </w:r>
      <w:r>
        <w:t xml:space="preserve"> </w:t>
      </w:r>
      <w:r>
        <w:t xml:space="preserve">predominant for the distribution of retail investment products in the EU66.</w:t>
      </w:r>
      <w:r>
        <w:br/>
      </w:r>
      <w:r>
        <w:t xml:space="preserve">Conflicts of interest at the level of the distributor are inherent in the “commission-based” distribution</w:t>
      </w:r>
      <w:r>
        <w:t xml:space="preserve"> </w:t>
      </w:r>
      <w:r>
        <w:t xml:space="preserve">model, as financial intermediaries receive remuneration from persons other than the retail investor for</w:t>
      </w:r>
      <w:r>
        <w:t xml:space="preserve"> </w:t>
      </w:r>
      <w:r>
        <w:t xml:space="preserve">the products they are recommending and selling. These conflicts of interest can be significant, since</w:t>
      </w:r>
      <w:r>
        <w:t xml:space="preserve"> </w:t>
      </w:r>
      <w:r>
        <w:t xml:space="preserve">remuneration through inducements can represent an important portion of the incomes of intermediaries</w:t>
      </w:r>
      <w:r>
        <w:t xml:space="preserve"> </w:t>
      </w:r>
      <w:r>
        <w:t xml:space="preserve">and the volumes of sales can also influence the bonuses paid to advisors. As an illustration, a survey67</w:t>
      </w:r>
      <w:r>
        <w:t xml:space="preserve"> </w:t>
      </w:r>
      <w:r>
        <w:t xml:space="preserve">conducted by the Swedish supervisory authority concluded that commissions accounted for a very large</w:t>
      </w:r>
      <w:r>
        <w:t xml:space="preserve"> </w:t>
      </w:r>
      <w:r>
        <w:t xml:space="preserve">proportion of the revenues of most intermediaries in Sweden. Insurance intermediaries derived 99% of</w:t>
      </w:r>
      <w:r>
        <w:t xml:space="preserve"> </w:t>
      </w:r>
      <w:r>
        <w:t xml:space="preserve">their total revenues from commissions, which were also an important source of revenues for</w:t>
      </w:r>
      <w:r>
        <w:t xml:space="preserve"> </w:t>
      </w:r>
      <w:r>
        <w:t xml:space="preserve">intermediaries selling securities. The Retail investment study established that non-independent advice</w:t>
      </w:r>
      <w:r>
        <w:t xml:space="preserve"> </w:t>
      </w:r>
      <w:r>
        <w:t xml:space="preserve">remains the prevalent model for most distributors of retail investment products in the EU68, suggesting</w:t>
      </w:r>
    </w:p>
    <w:p>
      <w:pPr>
        <w:pStyle w:val="BodyText"/>
      </w:pPr>
      <w:r>
        <w:t xml:space="preserve">64 In relation to manufacturers there is an obligation in MiFID II to consider the charging structure proposed for the</w:t>
      </w:r>
      <w:r>
        <w:t xml:space="preserve"> </w:t>
      </w:r>
      <w:r>
        <w:t xml:space="preserve">financial instrument, including by examining whether financial instrument’s costs and charges are compatible with the</w:t>
      </w:r>
      <w:r>
        <w:t xml:space="preserve"> </w:t>
      </w:r>
      <w:r>
        <w:t xml:space="preserve">needs, objectives and characteristics of the target market, that charges do not undermine the return expectations and that</w:t>
      </w:r>
      <w:r>
        <w:t xml:space="preserve"> </w:t>
      </w:r>
      <w:r>
        <w:t xml:space="preserve">the charging structure is appropriately transparent for the target market.</w:t>
      </w:r>
      <w:r>
        <w:t xml:space="preserve"> </w:t>
      </w:r>
      <w:r>
        <w:t xml:space="preserve">65 EIOPA Supervisory Statement on “Assessment of value for money of unit-linked insurance products under product</w:t>
      </w:r>
      <w:r>
        <w:t xml:space="preserve"> </w:t>
      </w:r>
      <w:r>
        <w:t xml:space="preserve">oversight and governance”.</w:t>
      </w:r>
      <w:r>
        <w:t xml:space="preserve"> </w:t>
      </w:r>
      <w:r>
        <w:t xml:space="preserve">66 Study on distribution systems of retail investment products, page 26, in relation to the distribution of investment funds.</w:t>
      </w:r>
      <w:r>
        <w:t xml:space="preserve"> </w:t>
      </w:r>
      <w:r>
        <w:t xml:space="preserve">The Netherlands is an exception due to the ban on inducements.</w:t>
      </w:r>
      <w:r>
        <w:br/>
      </w:r>
      <w:r>
        <w:t xml:space="preserve">67 Finansinspektionen, “A necessary step for a better savings market”, 3 February 2016</w:t>
      </w:r>
      <w:r>
        <w:t xml:space="preserve"> </w:t>
      </w:r>
      <w:r>
        <w:t xml:space="preserve">68 Retail investment study, page 233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that revenues from non-independent advice constitute a large portion (if not a sole stream) of revenues</w:t>
      </w:r>
      <w:r>
        <w:t xml:space="preserve"> </w:t>
      </w:r>
      <w:r>
        <w:t xml:space="preserve">from advised services for most of the intermediaries.</w:t>
      </w:r>
      <w:r>
        <w:br/>
      </w:r>
      <w:r>
        <w:t xml:space="preserve">Both the Evaluation and the Retail investment study have identified significant shortcomings with</w:t>
      </w:r>
      <w:r>
        <w:t xml:space="preserve"> </w:t>
      </w:r>
      <w:r>
        <w:t xml:space="preserve">respect to the way the existing rules on inducements work in practice. They have underlined, among</w:t>
      </w:r>
      <w:r>
        <w:t xml:space="preserve"> </w:t>
      </w:r>
      <w:r>
        <w:t xml:space="preserve">other things, that information documents provided to consumers rarely contain explicit information</w:t>
      </w:r>
      <w:r>
        <w:t xml:space="preserve"> </w:t>
      </w:r>
      <w:r>
        <w:t xml:space="preserve">about inducements. According to the findings of the Retail investment study, while the disclosure of</w:t>
      </w:r>
      <w:r>
        <w:t xml:space="preserve"> </w:t>
      </w:r>
      <w:r>
        <w:t xml:space="preserve">inducements reduces the information gap it appears not to substantially influence a consumer’s choice</w:t>
      </w:r>
      <w:r>
        <w:t xml:space="preserve"> </w:t>
      </w:r>
      <w:r>
        <w:t xml:space="preserve">and only a minority of consumers actually understand the concept. The existing safeguards, such as the</w:t>
      </w:r>
      <w:r>
        <w:t xml:space="preserve"> </w:t>
      </w:r>
      <w:r>
        <w:t xml:space="preserve">quality enhancement requirement under MiFID II, lead to different interpretations across Member</w:t>
      </w:r>
      <w:r>
        <w:t xml:space="preserve"> </w:t>
      </w:r>
      <w:r>
        <w:t xml:space="preserve">States and firms, despite convergence efforts by ESMA. A number of studies69 have identified</w:t>
      </w:r>
      <w:r>
        <w:t xml:space="preserve"> </w:t>
      </w:r>
      <w:r>
        <w:t xml:space="preserve">shortcomings in the application of these rules. It is thus clear that the current protections in the legal</w:t>
      </w:r>
      <w:r>
        <w:t xml:space="preserve"> </w:t>
      </w:r>
      <w:r>
        <w:t xml:space="preserve">framework and the way they are applied have not resulted in a market with lower inducements and</w:t>
      </w:r>
      <w:r>
        <w:t xml:space="preserve"> </w:t>
      </w:r>
      <w:r>
        <w:t xml:space="preserve">better value products for retail investors, nor have they triggered a shift towards more independent</w:t>
      </w:r>
      <w:r>
        <w:t xml:space="preserve"> </w:t>
      </w:r>
      <w:r>
        <w:t xml:space="preserve">advice70.</w:t>
      </w:r>
      <w:r>
        <w:t xml:space="preserve"> </w:t>
      </w:r>
      <w:r>
        <w:t xml:space="preserve">Consumer and financial user organisations71 have complained that the existing safeguards do not</w:t>
      </w:r>
      <w:r>
        <w:t xml:space="preserve"> </w:t>
      </w:r>
      <w:r>
        <w:t xml:space="preserve">sufficiently mitigate the sale of investment products and services to retail investors that are not suited</w:t>
      </w:r>
      <w:r>
        <w:t xml:space="preserve"> </w:t>
      </w:r>
      <w:r>
        <w:t xml:space="preserve">to their needs and/or which are too costly or underperforming. The ECA underlined also that investors</w:t>
      </w:r>
      <w:r>
        <w:t xml:space="preserve"> </w:t>
      </w:r>
      <w:r>
        <w:t xml:space="preserve">were not sufficiently protected against, among other things, biased advice from financial intermediaries</w:t>
      </w:r>
      <w:r>
        <w:t xml:space="preserve"> </w:t>
      </w:r>
      <w:r>
        <w:t xml:space="preserve">incentivised by inducements72.</w:t>
      </w:r>
      <w:r>
        <w:t xml:space="preserve"> </w:t>
      </w:r>
      <w:r>
        <w:t xml:space="preserve">Inducements form a significant part of the overall product costs charged to retail investors and as such</w:t>
      </w:r>
      <w:r>
        <w:t xml:space="preserve"> </w:t>
      </w:r>
      <w:r>
        <w:t xml:space="preserve">contribute to a higher level of fees for retail investment products. A study conducted by EFAMA73</w:t>
      </w:r>
      <w:r>
        <w:t xml:space="preserve"> </w:t>
      </w:r>
      <w:r>
        <w:t xml:space="preserve">shows that distributors receive around 38% of the costs paid by retail investors through retrocessions</w:t>
      </w:r>
      <w:r>
        <w:t xml:space="preserve"> </w:t>
      </w:r>
      <w:r>
        <w:t xml:space="preserve">for actively managed funds. According to a survey conducted by ESMA, the amount of inducements</w:t>
      </w:r>
      <w:r>
        <w:t xml:space="preserve"> </w:t>
      </w:r>
      <w:r>
        <w:t xml:space="preserve">paid in some markets can be significantly higher, with retrocessions in France amounting on average</w:t>
      </w:r>
      <w:r>
        <w:t xml:space="preserve"> </w:t>
      </w:r>
      <w:r>
        <w:t xml:space="preserve">to 50% of the management fee and with distribution costs in Spain ranging on average between 50%</w:t>
      </w:r>
      <w:r>
        <w:t xml:space="preserve"> </w:t>
      </w:r>
      <w:r>
        <w:t xml:space="preserve">and 80%74. A study conducted by KPMG on behalf of a number of banking associations75 also shows</w:t>
      </w:r>
      <w:r>
        <w:t xml:space="preserve"> </w:t>
      </w:r>
      <w:r>
        <w:t xml:space="preserve">that inducements are a significant factor in the overall costs charged to retail investors, equalling 100%</w:t>
      </w:r>
      <w:r>
        <w:t xml:space="preserve"> </w:t>
      </w:r>
      <w:r>
        <w:t xml:space="preserve">of the entry fees and on average between 49 and 51% of the yearly ongoing fees. Conversely, evidence</w:t>
      </w:r>
      <w:r>
        <w:t xml:space="preserve"> </w:t>
      </w:r>
      <w:r>
        <w:t xml:space="preserve">suggests that in jurisdictions where the payment of inducements has been banned (such as the</w:t>
      </w:r>
      <w:r>
        <w:t xml:space="preserve"> </w:t>
      </w:r>
      <w:r>
        <w:t xml:space="preserve">Netherlands), retail investors are accessing more cost-efficient products with consistently lower levels</w:t>
      </w:r>
      <w:r>
        <w:t xml:space="preserve"> </w:t>
      </w:r>
      <w:r>
        <w:t xml:space="preserve">of fees across asset classes for investment funds76. The Retail investment study found that products</w:t>
      </w:r>
      <w:r>
        <w:t xml:space="preserve"> </w:t>
      </w:r>
      <w:r>
        <w:t xml:space="preserve">carrying inducements are on average between 24 and 26% more expensive than those investment</w:t>
      </w:r>
      <w:r>
        <w:t xml:space="preserve"> </w:t>
      </w:r>
      <w:r>
        <w:t xml:space="preserve">products on which no inducements are paid77.</w:t>
      </w:r>
    </w:p>
    <w:p>
      <w:pPr>
        <w:pStyle w:val="BodyText"/>
      </w:pPr>
      <w:r>
        <w:t xml:space="preserve">69 Danish Financial Supervisory Authority (2019), Thematic survey of quality improvement services for investment clients:</w:t>
      </w:r>
      <w:r>
        <w:t xml:space="preserve"> </w:t>
      </w:r>
      <w:r>
        <w:t xml:space="preserve">Temaundersøgelse af kvalitetsforbedrende services til investeringskunder (finanstilsynet.dk) and Financial supervisory</w:t>
      </w:r>
      <w:r>
        <w:t xml:space="preserve"> </w:t>
      </w:r>
      <w:r>
        <w:t xml:space="preserve">authority of Norway (2020) Temaundersøkelse om etterlevelsen av reglene for returprovisjon (finanstilsynet.no)</w:t>
      </w:r>
      <w:r>
        <w:t xml:space="preserve"> </w:t>
      </w:r>
      <w:r>
        <w:t xml:space="preserve">70 Retail investment study, pages 24-25.</w:t>
      </w:r>
      <w:r>
        <w:t xml:space="preserve"> </w:t>
      </w:r>
      <w:r>
        <w:t xml:space="preserve">71 Better Finance “Research paper on detrimental effects of inducements” (2022), BEUC “The case for banning</w:t>
      </w:r>
      <w:r>
        <w:t xml:space="preserve"> </w:t>
      </w:r>
      <w:r>
        <w:t xml:space="preserve">commissions in financial advice” (2019), etc.</w:t>
      </w:r>
      <w:r>
        <w:t xml:space="preserve"> </w:t>
      </w:r>
      <w:r>
        <w:t xml:space="preserve">72 European Court of Auditors, Special report: Investment funds, EU actions have not yet created a true single market</w:t>
      </w:r>
      <w:r>
        <w:t xml:space="preserve"> </w:t>
      </w:r>
      <w:r>
        <w:t xml:space="preserve">benefiting investors, 2022, Special Report 04/2022: Single Market for investment funds (europa.eu)</w:t>
      </w:r>
      <w:r>
        <w:t xml:space="preserve"> </w:t>
      </w:r>
      <w:r>
        <w:t xml:space="preserve">73 European Fund and Asset Management Association, Market Insights - Issue #6, September 2021.</w:t>
      </w:r>
      <w:r>
        <w:t xml:space="preserve"> </w:t>
      </w:r>
      <w:r>
        <w:t xml:space="preserve">74 ESMA Cost and Performance Report 2021, page 69 – in France, retrocession rates for UCITS funds generally equal 50%</w:t>
      </w:r>
      <w:r>
        <w:t xml:space="preserve"> </w:t>
      </w:r>
      <w:r>
        <w:t xml:space="preserve">of the management fees.</w:t>
      </w:r>
      <w:r>
        <w:t xml:space="preserve"> </w:t>
      </w:r>
      <w:r>
        <w:t xml:space="preserve">75 KPMG, “Commission-based remuneration vs. Fee-based remuneration: is there a better model for retail</w:t>
      </w:r>
      <w:r>
        <w:br/>
      </w:r>
      <w:r>
        <w:t xml:space="preserve">investors?”, November 2021, pages 40 and 41</w:t>
      </w:r>
      <w:r>
        <w:t xml:space="preserve"> </w:t>
      </w:r>
      <w:r>
        <w:t xml:space="preserve">76 Retail investment study, page 293, ESMA Cost and Performance Report 2021.</w:t>
      </w:r>
      <w:r>
        <w:t xml:space="preserve"> </w:t>
      </w:r>
      <w:r>
        <w:t xml:space="preserve">77 Retail investment study, page 263.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The higher fees charged to retail investors have a significant impact on the net return on investments.</w:t>
      </w:r>
      <w:r>
        <w:t xml:space="preserve"> </w:t>
      </w:r>
      <w:r>
        <w:t xml:space="preserve">ESMA indicated in its 2019 Cost and performance report78 that for UCITS funds, the total costs present</w:t>
      </w:r>
      <w:r>
        <w:t xml:space="preserve"> </w:t>
      </w:r>
      <w:r>
        <w:t xml:space="preserve">a significant drain on the fund performance, impacting retail investors to a much higher extent than</w:t>
      </w:r>
      <w:r>
        <w:t xml:space="preserve"> </w:t>
      </w:r>
      <w:r>
        <w:t xml:space="preserve">institutional investors (as retail clients on average pay twice as much as institutional clients), with costs</w:t>
      </w:r>
      <w:r>
        <w:t xml:space="preserve"> </w:t>
      </w:r>
      <w:r>
        <w:t xml:space="preserve">on average accounting for 25% of gross returns in the period from 2015 to 2017.</w:t>
      </w:r>
      <w:r>
        <w:t xml:space="preserve"> </w:t>
      </w:r>
      <w:r>
        <w:t xml:space="preserve">The existence of conflicts of interest in the distribution of retail investment products through the</w:t>
      </w:r>
      <w:r>
        <w:t xml:space="preserve"> </w:t>
      </w:r>
      <w:r>
        <w:t xml:space="preserve">payment of inducements and other monetary incentives, causes product bias (i.e. inducements influence</w:t>
      </w:r>
      <w:r>
        <w:t xml:space="preserve"> </w:t>
      </w:r>
      <w:r>
        <w:t xml:space="preserve">the choice for a certain product). This impairs the efficiency of the retail investment market by making</w:t>
      </w:r>
      <w:r>
        <w:t xml:space="preserve"> </w:t>
      </w:r>
      <w:r>
        <w:t xml:space="preserve">it more difficult for retail investors to access more cost-effective products79. The resulting biases and</w:t>
      </w:r>
      <w:r>
        <w:t xml:space="preserve"> </w:t>
      </w:r>
      <w:r>
        <w:t xml:space="preserve">inefficiencies can hinder retail investor participation across Member States by undermining retail</w:t>
      </w:r>
      <w:r>
        <w:t xml:space="preserve"> </w:t>
      </w:r>
      <w:r>
        <w:t xml:space="preserve">investors’ trust in capital markets and have a negative impact on the internal market for financial</w:t>
      </w:r>
      <w:r>
        <w:t xml:space="preserve"> </w:t>
      </w:r>
      <w:r>
        <w:t xml:space="preserve">services.</w:t>
      </w:r>
      <w:r>
        <w:br/>
      </w:r>
      <w:r>
        <w:t xml:space="preserve">With respect to insurance-based investment products (IBIPs), a report by EIOPA80 found that monetary</w:t>
      </w:r>
      <w:r>
        <w:t xml:space="preserve"> </w:t>
      </w:r>
      <w:r>
        <w:t xml:space="preserve">incentives from asset managers (managing the assets of unit-linked insurance products) to insurance</w:t>
      </w:r>
      <w:r>
        <w:t xml:space="preserve"> </w:t>
      </w:r>
      <w:r>
        <w:t xml:space="preserve">companies are widespread and significant in the industry, totalling EUR 3.7 billion in 2015. According</w:t>
      </w:r>
      <w:r>
        <w:t xml:space="preserve"> </w:t>
      </w:r>
      <w:r>
        <w:t xml:space="preserve">to EIOPA, monetary incentives and remuneration received represent a median value of 0.56% of assets</w:t>
      </w:r>
      <w:r>
        <w:t xml:space="preserve"> </w:t>
      </w:r>
      <w:r>
        <w:t xml:space="preserve">under management (46% of total fund management charges)81. A majority of the insurance</w:t>
      </w:r>
      <w:r>
        <w:t xml:space="preserve"> </w:t>
      </w:r>
      <w:r>
        <w:t xml:space="preserve">undertakings did not disclose these monetary incentives and remuneration nor passed on these</w:t>
      </w:r>
      <w:r>
        <w:t xml:space="preserve"> </w:t>
      </w:r>
      <w:r>
        <w:t xml:space="preserve">incentives to their clients. According to EIOPA, these incentives may limit the choice for clients and</w:t>
      </w:r>
      <w:r>
        <w:t xml:space="preserve"> </w:t>
      </w:r>
      <w:r>
        <w:t xml:space="preserve">result in poor investment outcomes, in particular for products with long investment horizons, as</w:t>
      </w:r>
      <w:r>
        <w:t xml:space="preserve"> </w:t>
      </w:r>
      <w:r>
        <w:t xml:space="preserve">underlying investment vehicles may at times be chosen on the basis of the highest level of monetary</w:t>
      </w:r>
      <w:r>
        <w:t xml:space="preserve"> </w:t>
      </w:r>
      <w:r>
        <w:t xml:space="preserve">incentives and remuneration rather than relevance or cost-effectiveness.</w:t>
      </w:r>
      <w:r>
        <w:br/>
      </w:r>
      <w:r>
        <w:t xml:space="preserve">Evidence suggests that in many jurisdictions certain simple and cheap investment products have a</w:t>
      </w:r>
      <w:r>
        <w:t xml:space="preserve"> </w:t>
      </w:r>
      <w:r>
        <w:t xml:space="preserve">limited market share and are seldom offered or recommended to retail investors, compared to more</w:t>
      </w:r>
      <w:r>
        <w:t xml:space="preserve"> </w:t>
      </w:r>
      <w:r>
        <w:t xml:space="preserve">expensive and complex products. Commissions can be an important incentive to offer specific products</w:t>
      </w:r>
      <w:r>
        <w:t xml:space="preserve"> </w:t>
      </w:r>
      <w:r>
        <w:t xml:space="preserve">(so-called product bias), for example, where the fund commission can be ten times higher for an</w:t>
      </w:r>
      <w:r>
        <w:t xml:space="preserve"> </w:t>
      </w:r>
      <w:r>
        <w:t xml:space="preserve">actively managed fund as compared to an index fund, generating significant conflicts of interest82. The</w:t>
      </w:r>
      <w:r>
        <w:t xml:space="preserve"> </w:t>
      </w:r>
      <w:r>
        <w:t xml:space="preserve">Commission’s study on distribution systems of retail investment products83 found that ETFs84 (which</w:t>
      </w:r>
      <w:r>
        <w:t xml:space="preserve"> </w:t>
      </w:r>
      <w:r>
        <w:t xml:space="preserve">typically carry low costs) are amongst the most commonly available products on websites in many</w:t>
      </w:r>
      <w:r>
        <w:t xml:space="preserve"> </w:t>
      </w:r>
      <w:r>
        <w:t xml:space="preserve">Member States but are almost completely absent from traditional distributors’ online offering in some</w:t>
      </w:r>
      <w:r>
        <w:t xml:space="preserve"> </w:t>
      </w:r>
      <w:r>
        <w:t xml:space="preserve">Member States. Although marketed online, low-cost ETFs were almost never proposed in traditional</w:t>
      </w:r>
      <w:r>
        <w:t xml:space="preserve"> </w:t>
      </w:r>
      <w:r>
        <w:t xml:space="preserve">physical advice distribution channels. The Retail investment study found that ETFs have gained market</w:t>
      </w:r>
      <w:r>
        <w:t xml:space="preserve"> </w:t>
      </w:r>
      <w:r>
        <w:t xml:space="preserve">share in certain Member States (e.g. Finland, the Netherlands and Poland), but remain marginal in other</w:t>
      </w:r>
      <w:r>
        <w:t xml:space="preserve"> </w:t>
      </w:r>
      <w:r>
        <w:t xml:space="preserve">countries such as France85, where comparatively more expensive products, such as life insurance, were</w:t>
      </w:r>
      <w:r>
        <w:t xml:space="preserve"> </w:t>
      </w:r>
      <w:r>
        <w:t xml:space="preserve">advised in the majority of cases86. While it is clear that these pricier products carry different features</w:t>
      </w:r>
      <w:r>
        <w:t xml:space="preserve"> </w:t>
      </w:r>
      <w:r>
        <w:t xml:space="preserve">and benefits which may be suitable for different groups of retail investors, desk research, based on data</w:t>
      </w:r>
      <w:r>
        <w:t xml:space="preserve"> </w:t>
      </w:r>
      <w:r>
        <w:t xml:space="preserve">provided by ESMA and EIOPA provides an illustration as to how an investor investing EUR 10,000 in</w:t>
      </w:r>
    </w:p>
    <w:p>
      <w:pPr>
        <w:pStyle w:val="BodyText"/>
      </w:pPr>
      <w:r>
        <w:t xml:space="preserve">78 ESMA Cost and Performance Report 2019.</w:t>
      </w:r>
      <w:r>
        <w:t xml:space="preserve"> </w:t>
      </w:r>
      <w:r>
        <w:t xml:space="preserve">79 Further explained in Annex 7.B: the UK inducement ban resulted in cheaper products and increased trust in advice.</w:t>
      </w:r>
      <w:r>
        <w:t xml:space="preserve"> </w:t>
      </w:r>
      <w:r>
        <w:t xml:space="preserve">80 EIOPA Report on Thematic review on monetary incentives and remuneration between providers of asset management</w:t>
      </w:r>
      <w:r>
        <w:t xml:space="preserve"> </w:t>
      </w:r>
      <w:r>
        <w:t xml:space="preserve">services and insurance undertakings, 26 April 2017.</w:t>
      </w:r>
      <w:r>
        <w:t xml:space="preserve"> </w:t>
      </w:r>
      <w:r>
        <w:t xml:space="preserve">81According to the same report, less than 3% of unit-linked assets are directly managed by insurance undertakings; in-house</w:t>
      </w:r>
      <w:r>
        <w:t xml:space="preserve"> </w:t>
      </w:r>
      <w:r>
        <w:t xml:space="preserve">asset managers (belonging to the same group as the insurance undertaking) manage 69% of assets; external asset managers</w:t>
      </w:r>
      <w:r>
        <w:t xml:space="preserve"> </w:t>
      </w:r>
      <w:r>
        <w:t xml:space="preserve">manage 28% of assets but pay almost 50% of total remuneration.</w:t>
      </w:r>
      <w:r>
        <w:t xml:space="preserve"> </w:t>
      </w:r>
      <w:r>
        <w:t xml:space="preserve">82 2022 Consumer Protection Report, Swedish Finansinspektionen (FI), page 16.</w:t>
      </w:r>
      <w:r>
        <w:t xml:space="preserve"> </w:t>
      </w:r>
      <w:r>
        <w:t xml:space="preserve">83 Study on distribution systems of retail investment products, page 33.</w:t>
      </w:r>
      <w:r>
        <w:t xml:space="preserve"> </w:t>
      </w:r>
      <w:r>
        <w:t xml:space="preserve">84 Exchange Traded Funds which often provide index tracking or other exposure to markets.</w:t>
      </w:r>
      <w:r>
        <w:br/>
      </w:r>
      <w:r>
        <w:t xml:space="preserve">85 Retail investment study, page 69.</w:t>
      </w:r>
      <w:r>
        <w:t xml:space="preserve"> </w:t>
      </w:r>
      <w:r>
        <w:t xml:space="preserve">86 Study on distribution systems of retail investment products, page 22.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a unit-linked product in the period between 2014 and 2020 would have achieved a significantly lower</w:t>
      </w:r>
      <w:r>
        <w:t xml:space="preserve"> </w:t>
      </w:r>
      <w:r>
        <w:t xml:space="preserve">outcome than by investing in ETFs (EUR 2,200 versus EUR 7,600)87.</w:t>
      </w:r>
      <w:r>
        <w:br/>
      </w:r>
      <w:r>
        <w:t xml:space="preserve">The Retail investment study pointed also to challenges regarding inadequate advice and listed a number</w:t>
      </w:r>
      <w:r>
        <w:t xml:space="preserve"> </w:t>
      </w:r>
      <w:r>
        <w:t xml:space="preserve">of studies which evidenced the selling of investment products to clients that were not suitable for their</w:t>
      </w:r>
      <w:r>
        <w:t xml:space="preserve"> </w:t>
      </w:r>
      <w:r>
        <w:t xml:space="preserve">profile88. At the same time the importance of unbiased advice was emphasised, as consumers tend to</w:t>
      </w:r>
      <w:r>
        <w:t xml:space="preserve"> </w:t>
      </w:r>
      <w:r>
        <w:t xml:space="preserve">trust advisors and follow their advice, even when that advice may be evidently inadequate (as evidenced</w:t>
      </w:r>
      <w:r>
        <w:t xml:space="preserve"> </w:t>
      </w:r>
      <w:r>
        <w:t xml:space="preserve">by a behavioural experiment conducted as part of the study)89. EIOPA has expressed concerns relating</w:t>
      </w:r>
      <w:r>
        <w:t xml:space="preserve"> </w:t>
      </w:r>
      <w:r>
        <w:t xml:space="preserve">to the possible mis-selling of unit-linked products to consumers featuring high costs and commissions</w:t>
      </w:r>
      <w:r>
        <w:t xml:space="preserve"> </w:t>
      </w:r>
      <w:r>
        <w:t xml:space="preserve">as well as complex structures90. It also pointed to the need to tackle damaging conflicts of interest and</w:t>
      </w:r>
      <w:r>
        <w:t xml:space="preserve"> </w:t>
      </w:r>
      <w:r>
        <w:t xml:space="preserve">address the risk of inducements that lead to product bias and materially impact the cost-efficiency of</w:t>
      </w:r>
      <w:r>
        <w:t xml:space="preserve"> </w:t>
      </w:r>
      <w:r>
        <w:t xml:space="preserve">investment products91.</w:t>
      </w:r>
      <w:r>
        <w:br/>
      </w:r>
      <w:r>
        <w:t xml:space="preserve">Finally, the Evaluation points out that the divergences in inducement rules between MiFID and IDD,</w:t>
      </w:r>
      <w:r>
        <w:t xml:space="preserve"> </w:t>
      </w:r>
      <w:r>
        <w:t xml:space="preserve">coupled with differences in the way these two frameworks are applied, cause market fragmentation and</w:t>
      </w:r>
      <w:r>
        <w:t xml:space="preserve"> </w:t>
      </w:r>
      <w:r>
        <w:t xml:space="preserve">an unlevel playing field between distribution channels and Member States. In practice, different</w:t>
      </w:r>
      <w:r>
        <w:t xml:space="preserve"> </w:t>
      </w:r>
      <w:r>
        <w:t xml:space="preserve">standards and levels of protection apply to retail investors, depending on whether a specific product</w:t>
      </w:r>
      <w:r>
        <w:t xml:space="preserve"> </w:t>
      </w:r>
      <w:r>
        <w:t xml:space="preserve">(e.g. a UCITS fund) is distributed by an investment firm or an insurance undertaking (e.g. as part of a</w:t>
      </w:r>
      <w:r>
        <w:t xml:space="preserve"> </w:t>
      </w:r>
      <w:r>
        <w:t xml:space="preserve">unit-linked product). Many Member States have also introduced stricter national rules on inducements</w:t>
      </w:r>
      <w:r>
        <w:t xml:space="preserve"> </w:t>
      </w:r>
      <w:r>
        <w:t xml:space="preserve">under IDD and some also under MiFID (e.g. the Netherlands). On the one hand, this creates an unlevel</w:t>
      </w:r>
      <w:r>
        <w:t xml:space="preserve"> </w:t>
      </w:r>
      <w:r>
        <w:t xml:space="preserve">playing field for financial service providers. On the other hand, in a cross-border context, it may expose</w:t>
      </w:r>
      <w:r>
        <w:t xml:space="preserve"> </w:t>
      </w:r>
      <w:r>
        <w:t xml:space="preserve">retail investors in host Member States to different, potentially weaker, levels of investor protection. As</w:t>
      </w:r>
      <w:r>
        <w:t xml:space="preserve"> </w:t>
      </w:r>
      <w:r>
        <w:t xml:space="preserve">cross-border distribution of certain retail investment products (e.g. UCITS funds92) increases, such</w:t>
      </w:r>
      <w:r>
        <w:t xml:space="preserve"> </w:t>
      </w:r>
      <w:r>
        <w:t xml:space="preserve">divergences can negatively impact the internal market for financial services.</w:t>
      </w:r>
    </w:p>
    <w:p>
      <w:pPr>
        <w:pStyle w:val="BodyText"/>
      </w:pPr>
      <w:r>
        <w:t xml:space="preserve">87 Calculations based on costs and performance data provided by ESMA and EIOPA. Data on unit-linked products may not</w:t>
      </w:r>
      <w:r>
        <w:t xml:space="preserve"> </w:t>
      </w:r>
      <w:r>
        <w:t xml:space="preserve">be fully comparable with data on ETFs due slight differences in methodology and sample size. However, it still provides a</w:t>
      </w:r>
      <w:r>
        <w:t xml:space="preserve"> </w:t>
      </w:r>
      <w:r>
        <w:t xml:space="preserve">useful approximation of how both investments would have developed over a 7-year period.</w:t>
      </w:r>
      <w:r>
        <w:br/>
      </w:r>
      <w:r>
        <w:t xml:space="preserve">88 Retail investment study, pages 243 and 244.</w:t>
      </w:r>
      <w:r>
        <w:t xml:space="preserve"> </w:t>
      </w:r>
      <w:r>
        <w:t xml:space="preserve">89 Retail investment study, pages 279 to 289.</w:t>
      </w:r>
      <w:r>
        <w:t xml:space="preserve"> </w:t>
      </w:r>
      <w:r>
        <w:t xml:space="preserve">90 EIOPA, consumer trend report 2021, page 6.</w:t>
      </w:r>
      <w:r>
        <w:t xml:space="preserve"> </w:t>
      </w:r>
      <w:r>
        <w:t xml:space="preserve">91 EIOPA advice on retail investor protection, page 79.</w:t>
      </w:r>
      <w:r>
        <w:t xml:space="preserve"> </w:t>
      </w:r>
      <w:r>
        <w:t xml:space="preserve">92 ESMA Cost and Performance report 2021, page 9.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2.3 Problem Tree</w:t>
      </w:r>
    </w:p>
    <w:p>
      <w:pPr>
        <w:pStyle w:val="BodyText"/>
      </w:pPr>
      <w:r>
        <w:t xml:space="preserve">2.4 How likely is the problem to persist?</w:t>
      </w:r>
      <w:r>
        <w:t xml:space="preserve"> </w:t>
      </w:r>
      <w:r>
        <w:t xml:space="preserve">If no action is taken to remedy the identified problems, retail investors will continue to purchase</w:t>
      </w:r>
      <w:r>
        <w:t xml:space="preserve"> </w:t>
      </w:r>
      <w:r>
        <w:t xml:space="preserve">investment products which do not best serve their interests and deliver poor outcomes, undermining</w:t>
      </w:r>
      <w:r>
        <w:t xml:space="preserve"> </w:t>
      </w:r>
      <w:r>
        <w:t xml:space="preserve">investor confidence and indirectly impacting the level of retail investor participation in EU capital</w:t>
      </w:r>
      <w:r>
        <w:t xml:space="preserve"> </w:t>
      </w:r>
      <w:r>
        <w:t xml:space="preserve">markets.</w:t>
      </w:r>
      <w:r>
        <w:br/>
      </w:r>
      <w:r>
        <w:t xml:space="preserve">If the identified informational deficiencies remain unaddressed, the framework will not provide a clear</w:t>
      </w:r>
      <w:r>
        <w:t xml:space="preserve"> </w:t>
      </w:r>
      <w:r>
        <w:t xml:space="preserve">basis for the provision of less complex information to retail investors focusing on essential elements of</w:t>
      </w:r>
      <w:r>
        <w:t xml:space="preserve"> </w:t>
      </w:r>
      <w:r>
        <w:t xml:space="preserve">the investment products, nor for the more meaningful presentation of disclosure information,</w:t>
      </w:r>
      <w:r>
        <w:t xml:space="preserve"> </w:t>
      </w:r>
      <w:r>
        <w:t xml:space="preserve">particularly through digital means. Many retail investors will continue to not read nor understand the</w:t>
      </w:r>
      <w:r>
        <w:t xml:space="preserve"> </w:t>
      </w:r>
      <w:r>
        <w:t xml:space="preserve">information received, affecting their ability and willingness to invest. The growing risk that marketing</w:t>
      </w:r>
      <w:r>
        <w:t xml:space="preserve"> </w:t>
      </w:r>
      <w:r>
        <w:t xml:space="preserve">communications, especially through online channels, play on cognitive biases of retail investors and</w:t>
      </w:r>
      <w:r>
        <w:t xml:space="preserve"> </w:t>
      </w:r>
      <w:r>
        <w:t xml:space="preserve">unduly influence their decisions will remain unmitigated.</w:t>
      </w:r>
      <w:r>
        <w:t xml:space="preserve"> </w:t>
      </w:r>
      <w:r>
        <w:t xml:space="preserve">In the absence of stronger requirements for product manufacturers and distributors at the product</w:t>
      </w:r>
      <w:r>
        <w:t xml:space="preserve"> </w:t>
      </w:r>
      <w:r>
        <w:t xml:space="preserve">oversight and governance (“POG”) stage, which focus on the cost-efficiency of investment products</w:t>
      </w:r>
      <w:r>
        <w:t xml:space="preserve"> </w:t>
      </w:r>
      <w:r>
        <w:t xml:space="preserve">and their capacity to generate value for retail investors, the risk will persist that investment products</w:t>
      </w:r>
      <w:r>
        <w:t xml:space="preserve"> </w:t>
      </w:r>
      <w:r>
        <w:t xml:space="preserve">are brought to market which carry an unjustifiably high level of costs or do not offer value to retail</w:t>
      </w:r>
      <w:r>
        <w:t xml:space="preserve"> </w:t>
      </w:r>
      <w:r>
        <w:t xml:space="preserve">investors. As information asymmetry between the retail clients and intermediaries can never be fully</w:t>
      </w:r>
      <w:r>
        <w:t xml:space="preserve"> </w:t>
      </w:r>
      <w:r>
        <w:t xml:space="preserve">eliminated, such products will continue to be purchased by retail investors, leading to lower returns and</w:t>
      </w:r>
      <w:r>
        <w:t xml:space="preserve"> </w:t>
      </w:r>
      <w:r>
        <w:t xml:space="preserve">consumer detriment. Considering the problems on the market which have repeatedly been signalled by</w:t>
      </w:r>
      <w:r>
        <w:t xml:space="preserve"> </w:t>
      </w:r>
      <w:r>
        <w:t xml:space="preserve">ESMA and EIOPA, an improvement of the existing situation is highly unlikely without a regulatory</w:t>
      </w:r>
      <w:r>
        <w:t xml:space="preserve"> </w:t>
      </w:r>
      <w:r>
        <w:t xml:space="preserve">response.</w:t>
      </w:r>
      <w:r>
        <w:t xml:space="preserve"> </w:t>
      </w:r>
      <w:r>
        <w:t xml:space="preserve">Conflicts of interest due to the payment of inducement, if not addressed, will also continue to negatively</w:t>
      </w:r>
      <w:r>
        <w:t xml:space="preserve"> </w:t>
      </w:r>
      <w:r>
        <w:t xml:space="preserve">affect the quality of the advice and products offered to investors. The commission-based model and</w:t>
      </w:r>
      <w:r>
        <w:t xml:space="preserve"> </w:t>
      </w:r>
      <w:r>
        <w:t xml:space="preserve">non-independent advice will remain the predominant models in the EU with the continued risk that</w:t>
      </w:r>
      <w:r>
        <w:t xml:space="preserve"> </w:t>
      </w:r>
      <w:r>
        <w:t xml:space="preserve">incentives at the level of intermediaries lead to the sale of investment products and services that are not</w:t>
      </w:r>
      <w:r>
        <w:t xml:space="preserve"> </w:t>
      </w:r>
      <w:r>
        <w:t xml:space="preserve">suited to the needs of retail investors or are too costly or underperforming. This will continue to have</w:t>
      </w:r>
    </w:p>
    <w:p>
      <w:pPr>
        <w:pStyle w:val="BodyText"/>
      </w:pPr>
      <w:r>
        <w:t xml:space="preserve">they lack salient, comparable and easily understandable</w:t>
      </w:r>
      <w:r>
        <w:t xml:space="preserve"> </w:t>
      </w:r>
      <w:r>
        <w:t xml:space="preserve">investment product information, while being inappropriately</w:t>
      </w:r>
      <w:r>
        <w:t xml:space="preserve"> </w:t>
      </w:r>
      <w:r>
        <w:t xml:space="preserve">influenced by marketing communications</w:t>
      </w:r>
      <w:r>
        <w:br/>
      </w:r>
      <w:r>
        <w:t xml:space="preserve">(Informational deficiencies)</w:t>
      </w:r>
      <w:r>
        <w:t xml:space="preserve"> </w:t>
      </w:r>
      <w:r>
        <w:t xml:space="preserve">Investor confidence is undermined</w:t>
      </w:r>
      <w:r>
        <w:t xml:space="preserve"> </w:t>
      </w:r>
      <w:r>
        <w:t xml:space="preserve">and retail investment participation in</w:t>
      </w:r>
      <w:r>
        <w:t xml:space="preserve"> </w:t>
      </w:r>
      <w:r>
        <w:t xml:space="preserve">capital markets remains low</w:t>
      </w:r>
      <w:r>
        <w:t xml:space="preserve"> </w:t>
      </w:r>
      <w:r>
        <w:t xml:space="preserve">EU capital market remains</w:t>
      </w:r>
      <w:r>
        <w:t xml:space="preserve"> </w:t>
      </w:r>
      <w:r>
        <w:t xml:space="preserve">inefficient, underdeveloped and</w:t>
      </w:r>
      <w:r>
        <w:t xml:space="preserve"> </w:t>
      </w:r>
      <w:r>
        <w:t xml:space="preserve">fragmented</w:t>
      </w:r>
      <w:r>
        <w:t xml:space="preserve"> </w:t>
      </w:r>
      <w:r>
        <w:t xml:space="preserve"></w:t>
      </w:r>
      <w:r>
        <w:t xml:space="preserve"> </w:t>
      </w:r>
      <w:r>
        <w:t xml:space="preserve">Retail investors are not duly</w:t>
      </w:r>
      <w:r>
        <w:t xml:space="preserve"> </w:t>
      </w:r>
      <w:r>
        <w:t xml:space="preserve">protected or treated fairly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Some retail investors do not</w:t>
      </w:r>
      <w:r>
        <w:t xml:space="preserve"> </w:t>
      </w:r>
      <w:r>
        <w:t xml:space="preserve">achieve good outcomes on their</w:t>
      </w:r>
      <w:r>
        <w:t xml:space="preserve"> </w:t>
      </w:r>
      <w:r>
        <w:t xml:space="preserve">investment</w:t>
      </w:r>
      <w:r>
        <w:br/>
      </w:r>
      <w:r>
        <w:t xml:space="preserve">Driver 1</w:t>
      </w:r>
      <w:r>
        <w:t xml:space="preserve"> </w:t>
      </w:r>
      <w:r>
        <w:t xml:space="preserve">Information provided to</w:t>
      </w:r>
      <w:r>
        <w:t xml:space="preserve"> </w:t>
      </w:r>
      <w:r>
        <w:t xml:space="preserve">investors is not always</w:t>
      </w:r>
      <w:r>
        <w:t xml:space="preserve"> </w:t>
      </w:r>
      <w:r>
        <w:t xml:space="preserve">useful or relevant for their</w:t>
      </w:r>
      <w:r>
        <w:t xml:space="preserve"> </w:t>
      </w:r>
      <w:r>
        <w:t xml:space="preserve">decision-making process</w:t>
      </w:r>
      <w:r>
        <w:t xml:space="preserve"> </w:t>
      </w:r>
      <w:r>
        <w:t xml:space="preserve">Driver 2</w:t>
      </w:r>
      <w:r>
        <w:t xml:space="preserve"> </w:t>
      </w:r>
      <w:r>
        <w:t xml:space="preserve">Retail investors tend to be</w:t>
      </w:r>
      <w:r>
        <w:t xml:space="preserve"> </w:t>
      </w:r>
      <w:r>
        <w:t xml:space="preserve">unduly influenced by</w:t>
      </w:r>
      <w:r>
        <w:t xml:space="preserve"> </w:t>
      </w:r>
      <w:r>
        <w:t xml:space="preserve">enticing marketing</w:t>
      </w:r>
      <w:r>
        <w:t xml:space="preserve"> </w:t>
      </w:r>
      <w:r>
        <w:t xml:space="preserve">communications through</w:t>
      </w:r>
      <w:r>
        <w:t xml:space="preserve"> </w:t>
      </w:r>
      <w:r>
        <w:t xml:space="preserve">digital channels and</w:t>
      </w:r>
      <w:r>
        <w:t xml:space="preserve"> </w:t>
      </w:r>
      <w:r>
        <w:t xml:space="preserve">misleading marketing</w:t>
      </w:r>
      <w:r>
        <w:t xml:space="preserve"> </w:t>
      </w:r>
      <w:r>
        <w:t xml:space="preserve">practices</w:t>
      </w:r>
      <w:r>
        <w:br/>
      </w:r>
      <w:r>
        <w:t xml:space="preserve">Driver 3</w:t>
      </w:r>
      <w:r>
        <w:t xml:space="preserve"> </w:t>
      </w:r>
      <w:r>
        <w:t xml:space="preserve">Some retail investment</w:t>
      </w:r>
      <w:r>
        <w:t xml:space="preserve"> </w:t>
      </w:r>
      <w:r>
        <w:t xml:space="preserve">products incorporate</w:t>
      </w:r>
      <w:r>
        <w:t xml:space="preserve"> </w:t>
      </w:r>
      <w:r>
        <w:t xml:space="preserve">unjustifiably high-levels of</w:t>
      </w:r>
      <w:r>
        <w:t xml:space="preserve"> </w:t>
      </w:r>
      <w:r>
        <w:t xml:space="preserve">costs and/or do not offer</w:t>
      </w:r>
      <w:r>
        <w:t xml:space="preserve"> </w:t>
      </w:r>
      <w:r>
        <w:t xml:space="preserve">value to retail investors</w:t>
      </w:r>
      <w:r>
        <w:br/>
      </w:r>
      <w:r>
        <w:t xml:space="preserve">Driver 4</w:t>
      </w:r>
      <w:r>
        <w:t xml:space="preserve"> </w:t>
      </w:r>
      <w:r>
        <w:t xml:space="preserve">Conflicts of interest due to</w:t>
      </w:r>
      <w:r>
        <w:t xml:space="preserve"> </w:t>
      </w:r>
      <w:r>
        <w:t xml:space="preserve">the payment of</w:t>
      </w:r>
      <w:r>
        <w:t xml:space="preserve"> </w:t>
      </w:r>
      <w:r>
        <w:t xml:space="preserve">inducements negatively</w:t>
      </w:r>
      <w:r>
        <w:t xml:space="preserve"> </w:t>
      </w:r>
      <w:r>
        <w:t xml:space="preserve">affect the quality of</w:t>
      </w:r>
      <w:r>
        <w:t xml:space="preserve"> </w:t>
      </w:r>
      <w:r>
        <w:t xml:space="preserve">investment products</w:t>
      </w:r>
      <w:r>
        <w:t xml:space="preserve"> </w:t>
      </w:r>
      <w:r>
        <w:t xml:space="preserve">offered and investment</w:t>
      </w:r>
      <w:r>
        <w:t xml:space="preserve"> </w:t>
      </w:r>
      <w:r>
        <w:t xml:space="preserve">advice</w:t>
      </w:r>
      <w:r>
        <w:t xml:space="preserve"> </w:t>
      </w:r>
      <w:r>
        <w:t xml:space="preserve">Retail investors do not purchase investment products that are in their best interest because:</w:t>
      </w:r>
      <w:r>
        <w:t xml:space="preserve"> </w:t>
      </w:r>
      <w:r>
        <w:t xml:space="preserve">there are shortcomings in the manufacturing and</w:t>
      </w:r>
      <w:r>
        <w:t xml:space="preserve"> </w:t>
      </w:r>
      <w:r>
        <w:t xml:space="preserve">distribution processes related to the payment of inducements</w:t>
      </w:r>
      <w:r>
        <w:t xml:space="preserve"> </w:t>
      </w:r>
      <w:r>
        <w:t xml:space="preserve">and the extent to which cost-efficiency and value for the</w:t>
      </w:r>
      <w:r>
        <w:t xml:space="preserve"> </w:t>
      </w:r>
      <w:r>
        <w:t xml:space="preserve">investor are reflected in the product design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 distorting effect on the market, as retail investors are not necessarily offered or do not purchase the</w:t>
      </w:r>
      <w:r>
        <w:t xml:space="preserve"> </w:t>
      </w:r>
      <w:r>
        <w:t xml:space="preserve">best or most suitable products for their situation.</w:t>
      </w:r>
      <w:r>
        <w:br/>
      </w:r>
      <w:r>
        <w:t xml:space="preserve">The identified problems are currently causing retail investors to take investment decisions where they</w:t>
      </w:r>
      <w:r>
        <w:t xml:space="preserve"> </w:t>
      </w:r>
      <w:r>
        <w:t xml:space="preserve">opt for excessively costly, underperforming or excessively risky products, with severe negative</w:t>
      </w:r>
      <w:r>
        <w:t xml:space="preserve"> </w:t>
      </w:r>
      <w:r>
        <w:t xml:space="preserve">consequences for their investment return. As a consequence, investor confidence is likely to be</w:t>
      </w:r>
      <w:r>
        <w:t xml:space="preserve"> </w:t>
      </w:r>
      <w:r>
        <w:t xml:space="preserve">impacted and potential retail investors may be reluctant to invest in EU capital markets. The</w:t>
      </w:r>
      <w:r>
        <w:t xml:space="preserve"> </w:t>
      </w:r>
      <w:r>
        <w:t xml:space="preserve">impediments to an efficient and dynamic EU retail investment market will also remain.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t xml:space="preserve"> </w:t>
      </w:r>
      <w:r>
        <w:t xml:space="preserve">Legal basis</w:t>
      </w:r>
      <w:r>
        <w:t xml:space="preserve"> </w:t>
      </w:r>
      <w:r>
        <w:t xml:space="preserve">Retail investor protection rules are spread across a range of legislative initiatives, as described under</w:t>
      </w:r>
      <w:r>
        <w:t xml:space="preserve"> </w:t>
      </w:r>
      <w:r>
        <w:t xml:space="preserve">section 1.3. The legal bases governing these different instruments are Articles 114, Article 53, and</w:t>
      </w:r>
      <w:r>
        <w:t xml:space="preserve"> </w:t>
      </w:r>
      <w:r>
        <w:t xml:space="preserve">Article 62 of the Treaty on the Functioning of the European Union (TFEU).</w:t>
      </w:r>
      <w:r>
        <w:br/>
      </w:r>
      <w:r>
        <w:t xml:space="preserve">The primary policy measures under consideration concern the following areas: (i) disclosures and</w:t>
      </w:r>
      <w:r>
        <w:t xml:space="preserve"> </w:t>
      </w:r>
      <w:r>
        <w:t xml:space="preserve">marketing communications, (ii) inducements, and (iii) value for money. Further flanking measures are</w:t>
      </w:r>
      <w:r>
        <w:t xml:space="preserve"> </w:t>
      </w:r>
      <w:r>
        <w:t xml:space="preserve">assessed in the areas of: (i) financial literacy, (ii) client categorisation, (iii) suitability and</w:t>
      </w:r>
      <w:r>
        <w:t xml:space="preserve"> </w:t>
      </w:r>
      <w:r>
        <w:t xml:space="preserve">appropriateness assessment, (iv) supervisory enforcement, and (v) professional qualification of</w:t>
      </w:r>
      <w:r>
        <w:t xml:space="preserve"> </w:t>
      </w:r>
      <w:r>
        <w:t xml:space="preserve">advisors. As set out in section 4.2, these measures collectively target informational deficiencies which</w:t>
      </w:r>
      <w:r>
        <w:t xml:space="preserve"> </w:t>
      </w:r>
      <w:r>
        <w:t xml:space="preserve">hinder investors’ ability to make well-informed decisions as well as shortcomings in the investment</w:t>
      </w:r>
      <w:r>
        <w:t xml:space="preserve"> </w:t>
      </w:r>
      <w:r>
        <w:t xml:space="preserve">product manufacturing and distribution processes, across Member States. In order to ensure consistency</w:t>
      </w:r>
      <w:r>
        <w:t xml:space="preserve"> </w:t>
      </w:r>
      <w:r>
        <w:t xml:space="preserve">and coherence of the envisaged measures, it would be appropriate to amend the existing framework</w:t>
      </w:r>
      <w:r>
        <w:t xml:space="preserve"> </w:t>
      </w:r>
      <w:r>
        <w:t xml:space="preserve">(i.e. MiFID II, IDD, PRIIPs, UCITS and AIFMD).</w:t>
      </w:r>
      <w:r>
        <w:br/>
      </w:r>
      <w:r>
        <w:t xml:space="preserve">Article 114 TFEU empowers the European Parliament and the Council to adopt measures for the</w:t>
      </w:r>
      <w:r>
        <w:t xml:space="preserve"> </w:t>
      </w:r>
      <w:r>
        <w:t xml:space="preserve">approximation of the provisions laid down by law, regulation or administrative action in Member States</w:t>
      </w:r>
      <w:r>
        <w:t xml:space="preserve"> </w:t>
      </w:r>
      <w:r>
        <w:t xml:space="preserve">which have as their object the establishment and functioning of the internal market. The measures</w:t>
      </w:r>
      <w:r>
        <w:t xml:space="preserve"> </w:t>
      </w:r>
      <w:r>
        <w:t xml:space="preserve">identified above and throughout this impact assessment relate to improving the conditions for the</w:t>
      </w:r>
      <w:r>
        <w:t xml:space="preserve"> </w:t>
      </w:r>
      <w:r>
        <w:t xml:space="preserve">establishment and functioning of the internal market. These include the establishment of uniform</w:t>
      </w:r>
      <w:r>
        <w:t xml:space="preserve"> </w:t>
      </w:r>
      <w:r>
        <w:t xml:space="preserve">conditions for all relevant players in the retail investment market while ensuring a consistent degree of</w:t>
      </w:r>
      <w:r>
        <w:t xml:space="preserve"> </w:t>
      </w:r>
      <w:r>
        <w:t xml:space="preserve">consumer protection across the EU. These harmonised operating conditions include: the way retail</w:t>
      </w:r>
      <w:r>
        <w:t xml:space="preserve"> </w:t>
      </w:r>
      <w:r>
        <w:t xml:space="preserve">investors in the EU are informed about investment products, how the information is provided to them,</w:t>
      </w:r>
      <w:r>
        <w:t xml:space="preserve"> </w:t>
      </w:r>
      <w:r>
        <w:t xml:space="preserve">and how manufacturing and distribution processes of investment products take place. While there is an</w:t>
      </w:r>
      <w:r>
        <w:t xml:space="preserve"> </w:t>
      </w:r>
      <w:r>
        <w:t xml:space="preserve">increasing amount of cross-border trade in retail investment products, divergent national approaches</w:t>
      </w:r>
      <w:r>
        <w:t xml:space="preserve"> </w:t>
      </w:r>
      <w:r>
        <w:t xml:space="preserve">will lead to different levels of investor protection, which represents an impediment to the further cross-</w:t>
      </w:r>
      <w:r>
        <w:t xml:space="preserve"> </w:t>
      </w:r>
      <w:r>
        <w:t xml:space="preserve">border development of the retail investment market. Such further development would also require easy</w:t>
      </w:r>
      <w:r>
        <w:t xml:space="preserve"> </w:t>
      </w:r>
      <w:r>
        <w:t xml:space="preserve">comparisons between products across the EU. Divergent standards on investor disclosure make such</w:t>
      </w:r>
      <w:r>
        <w:t xml:space="preserve"> </w:t>
      </w:r>
      <w:r>
        <w:t xml:space="preserve">comparisons very difficult and would therefore also create an obstacle to the further development of</w:t>
      </w:r>
      <w:r>
        <w:t xml:space="preserve"> </w:t>
      </w:r>
      <w:r>
        <w:t xml:space="preserve">the internal market for retail investment products. Insofar as measures are intended to further enhance</w:t>
      </w:r>
      <w:r>
        <w:t xml:space="preserve"> </w:t>
      </w:r>
      <w:r>
        <w:t xml:space="preserve">consumer protection across the EU, Article 169 TFEU would also be relevant. Article 169 TFEU allows</w:t>
      </w:r>
      <w:r>
        <w:t xml:space="preserve"> </w:t>
      </w:r>
      <w:r>
        <w:t xml:space="preserve">the EU to adopt measures pursuant to Article 114 TFEU “in order to promote the interests of consumers</w:t>
      </w:r>
      <w:r>
        <w:t xml:space="preserve"> </w:t>
      </w:r>
      <w:r>
        <w:t xml:space="preserve">and to ensure a high level of consumer protection […] as well as to promoting their right to [inter alia]</w:t>
      </w:r>
      <w:r>
        <w:t xml:space="preserve"> </w:t>
      </w:r>
      <w:r>
        <w:t xml:space="preserve">information [and] education […]”.</w:t>
      </w:r>
      <w:r>
        <w:t xml:space="preserve"> </w:t>
      </w:r>
      <w:r>
        <w:t xml:space="preserve">Article 53 TFEU would also be relevant for the introduction of the measures set out in this impact</w:t>
      </w:r>
      <w:r>
        <w:t xml:space="preserve"> </w:t>
      </w:r>
      <w:r>
        <w:t xml:space="preserve">assessment. Article 53 TFEU empowers the European Parliament and the Council to issue Directives</w:t>
      </w:r>
      <w:r>
        <w:t xml:space="preserve"> </w:t>
      </w:r>
      <w:r>
        <w:t xml:space="preserve">aimed at making it easier for persons to take up and pursue commercial activities across the EU. The</w:t>
      </w:r>
      <w:r>
        <w:t xml:space="preserve"> </w:t>
      </w:r>
      <w:r>
        <w:t xml:space="preserve">objective and subject matter of policy options considered in this impact assessment relate to</w:t>
      </w:r>
      <w:r>
        <w:t xml:space="preserve"> </w:t>
      </w:r>
      <w:r>
        <w:t xml:space="preserve">harmonising national provisions concerning conduct of business rules for manufacturers and</w:t>
      </w:r>
      <w:r>
        <w:t xml:space="preserve"> </w:t>
      </w:r>
      <w:r>
        <w:t xml:space="preserve">distributors of investment products. In particular, these are to harmonise safeguards against possible</w:t>
      </w:r>
    </w:p>
    <w:p>
      <w:pPr>
        <w:pStyle w:val="FirstParagraph"/>
      </w:pPr>
      <w:r>
        <w:t xml:space="preserve">22</w:t>
      </w:r>
      <w:r>
        <w:t xml:space="preserve"> </w:t>
      </w:r>
      <w:r>
        <w:t xml:space="preserve">conflicts of interest, rules on qualifications of advisors, rules intended to provide investors with greater</w:t>
      </w:r>
      <w:r>
        <w:t xml:space="preserve"> </w:t>
      </w:r>
      <w:r>
        <w:t xml:space="preserve">visibility over all costs relative to an investment product, and the supervisory framework. Article 62</w:t>
      </w:r>
      <w:r>
        <w:t xml:space="preserve"> </w:t>
      </w:r>
      <w:r>
        <w:t xml:space="preserve">TFEU, which extends the scope of activities identified in Article 53 to the provision of services, would</w:t>
      </w:r>
      <w:r>
        <w:t xml:space="preserve"> </w:t>
      </w:r>
      <w:r>
        <w:t xml:space="preserve">also necessarily be relevant.</w:t>
      </w:r>
      <w:r>
        <w:br/>
      </w:r>
      <w:r>
        <w:t xml:space="preserve">Subsidiarity: Necessity of EU action</w:t>
      </w:r>
      <w:r>
        <w:t xml:space="preserve"> </w:t>
      </w:r>
      <w:r>
        <w:t xml:space="preserve">EU action for completing the internal market has to be appraised in light of the subsidiarity principle</w:t>
      </w:r>
      <w:r>
        <w:t xml:space="preserve"> </w:t>
      </w:r>
      <w:r>
        <w:t xml:space="preserve">set out in Article 5(3) of the Treaty on European Union (TEU). According to the principle of</w:t>
      </w:r>
      <w:r>
        <w:t xml:space="preserve"> </w:t>
      </w:r>
      <w:r>
        <w:t xml:space="preserve">subsidiarity, action at EU level should be taken only when the objectives of the proposed action cannot</w:t>
      </w:r>
      <w:r>
        <w:t xml:space="preserve"> </w:t>
      </w:r>
      <w:r>
        <w:t xml:space="preserve">be achieved sufficiently by Member States alone and thus mandate action at EU level.</w:t>
      </w:r>
      <w:r>
        <w:br/>
      </w:r>
      <w:r>
        <w:t xml:space="preserve">The legal framework governing retail investor protection is extensive and largely harmonised at EU</w:t>
      </w:r>
      <w:r>
        <w:t xml:space="preserve"> </w:t>
      </w:r>
      <w:r>
        <w:t xml:space="preserve">level. Notwithstanding this extensive body of legislation at EU level, the evidence gathering exercises</w:t>
      </w:r>
      <w:r>
        <w:t xml:space="preserve"> </w:t>
      </w:r>
      <w:r>
        <w:t xml:space="preserve">have identified a number of significant shortcomings, in particular with respect to the way retail</w:t>
      </w:r>
      <w:r>
        <w:t xml:space="preserve"> </w:t>
      </w:r>
      <w:r>
        <w:t xml:space="preserve">investment products are distributed and the way information is provided to retail investors. Action is</w:t>
      </w:r>
      <w:r>
        <w:t xml:space="preserve"> </w:t>
      </w:r>
      <w:r>
        <w:t xml:space="preserve">required at EU level as the options considered in this impact assessment necessitate the modification</w:t>
      </w:r>
      <w:r>
        <w:t xml:space="preserve"> </w:t>
      </w:r>
      <w:r>
        <w:t xml:space="preserve">of the existing legal framework, consisting of EU Directives and Regulations. Individual initiatives at</w:t>
      </w:r>
      <w:r>
        <w:t xml:space="preserve"> </w:t>
      </w:r>
      <w:r>
        <w:t xml:space="preserve">Member State level are therefore not suitable, insofar as the proposed amendments will be made to EU</w:t>
      </w:r>
      <w:r>
        <w:t xml:space="preserve"> </w:t>
      </w:r>
      <w:r>
        <w:t xml:space="preserve">Directives and Regulations and consequently beyond the scope of the legislative competence of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Proportionality: Added value of EU action</w:t>
      </w:r>
      <w:r>
        <w:t xml:space="preserve"> </w:t>
      </w:r>
      <w:r>
        <w:t xml:space="preserve">Ensuring a coherent investor protection framework that empowers consumers to take financial</w:t>
      </w:r>
      <w:r>
        <w:t xml:space="preserve"> </w:t>
      </w:r>
      <w:r>
        <w:t xml:space="preserve">decisions and benefit from the internal market can only be achieved at EU level, in close cooperation</w:t>
      </w:r>
      <w:r>
        <w:t xml:space="preserve"> </w:t>
      </w:r>
      <w:r>
        <w:t xml:space="preserve">with Member States.</w:t>
      </w:r>
      <w:r>
        <w:t xml:space="preserve"> </w:t>
      </w:r>
      <w:r>
        <w:t xml:space="preserve">As the current retail investor protection framework largely consists of different EU legal instruments,</w:t>
      </w:r>
      <w:r>
        <w:t xml:space="preserve"> </w:t>
      </w:r>
      <w:r>
        <w:t xml:space="preserve">in order to address the problems identified in this impact assessment and to facilitate cross-border retail</w:t>
      </w:r>
      <w:r>
        <w:t xml:space="preserve"> </w:t>
      </w:r>
      <w:r>
        <w:t xml:space="preserve">investor participation in the EU, this framework may only be amended at EU level to update investor</w:t>
      </w:r>
      <w:r>
        <w:t xml:space="preserve"> </w:t>
      </w:r>
      <w:r>
        <w:t xml:space="preserve">protection rules. Acting at the EU level and harmonising the operational requirements of service</w:t>
      </w:r>
      <w:r>
        <w:t xml:space="preserve"> </w:t>
      </w:r>
      <w:r>
        <w:t xml:space="preserve">providers as well as the disclosure requirements imposed reduces the complexity and administrative</w:t>
      </w:r>
      <w:r>
        <w:t xml:space="preserve"> </w:t>
      </w:r>
      <w:r>
        <w:t xml:space="preserve">burdens for stakeholders and promotes financial stability.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 1 General objectives</w:t>
      </w:r>
      <w:r>
        <w:t xml:space="preserve"> </w:t>
      </w:r>
      <w:r>
        <w:t xml:space="preserve">The general objectives of the initiative are to strengthen the protection framework for retail investors</w:t>
      </w:r>
      <w:r>
        <w:t xml:space="preserve"> </w:t>
      </w:r>
      <w:r>
        <w:t xml:space="preserve">to empower them when taking investment decisions and to ensure their fair treatment when using</w:t>
      </w:r>
      <w:r>
        <w:t xml:space="preserve"> </w:t>
      </w:r>
      <w:r>
        <w:t xml:space="preserve">investment services in order to achieve better investment performance. The retail investment strategy</w:t>
      </w:r>
      <w:r>
        <w:t xml:space="preserve"> </w:t>
      </w:r>
      <w:r>
        <w:t xml:space="preserve">also aims to improve the efficiency and integration of the internal market across all retail financial</w:t>
      </w:r>
      <w:r>
        <w:t xml:space="preserve"> </w:t>
      </w:r>
      <w:r>
        <w:t xml:space="preserve">services.</w:t>
      </w:r>
      <w:r>
        <w:br/>
      </w:r>
      <w:r>
        <w:t xml:space="preserve">4.2 Specific objectives</w:t>
      </w:r>
      <w:r>
        <w:br/>
      </w:r>
      <w:r>
        <w:t xml:space="preserve">The retail investment strategy will contribute to the achievement of the general objectives by pursuing</w:t>
      </w:r>
      <w:r>
        <w:t xml:space="preserve"> </w:t>
      </w:r>
      <w:r>
        <w:t xml:space="preserve">the following three specific objectives (SOs):</w:t>
      </w:r>
      <w:r>
        <w:t xml:space="preserve"> </w:t>
      </w:r>
      <w:r>
        <w:t xml:space="preserve">1.</w:t>
      </w:r>
      <w:r>
        <w:t xml:space="preserve"> </w:t>
      </w:r>
      <w:r>
        <w:t xml:space="preserve">SO1: Improve information provided to investors and their ability to take well-informed</w:t>
      </w:r>
      <w:r>
        <w:t xml:space="preserve"> </w:t>
      </w:r>
      <w:r>
        <w:t xml:space="preserve">investment decisions. The initiative aims to improve the legal framework by adapting</w:t>
      </w:r>
      <w:r>
        <w:t xml:space="preserve"> </w:t>
      </w:r>
      <w:r>
        <w:t xml:space="preserve">disclosures to the digital environment, making disclosures more relevant for retail investors and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ensuring retail investors receive marketing communications, also through online channels, that</w:t>
      </w:r>
      <w:r>
        <w:t xml:space="preserve"> </w:t>
      </w:r>
      <w:r>
        <w:t xml:space="preserve">are relevant and not misleading.</w:t>
      </w:r>
      <w:r>
        <w:t xml:space="preserve"> </w:t>
      </w:r>
      <w:r>
        <w:t xml:space="preserve">2.</w:t>
      </w:r>
      <w:r>
        <w:t xml:space="preserve"> </w:t>
      </w:r>
      <w:r>
        <w:t xml:space="preserve">SO2: Better align interests between intermediaries and investors. The improvements to the</w:t>
      </w:r>
      <w:r>
        <w:t xml:space="preserve"> </w:t>
      </w:r>
      <w:r>
        <w:t xml:space="preserve">framework would ensure that the advice given to retail investors is not biased by monetary or</w:t>
      </w:r>
      <w:r>
        <w:t xml:space="preserve"> </w:t>
      </w:r>
      <w:r>
        <w:t xml:space="preserve">non-monetary incentives provided by product manufacturers to intermediaries, is of good</w:t>
      </w:r>
      <w:r>
        <w:t xml:space="preserve"> </w:t>
      </w:r>
      <w:r>
        <w:t xml:space="preserve">quality and adapted to their needs, preferences and objectives.</w:t>
      </w:r>
      <w:r>
        <w:br/>
      </w:r>
      <w:r>
        <w:t xml:space="preserve">3.</w:t>
      </w:r>
      <w:r>
        <w:t xml:space="preserve"> </w:t>
      </w:r>
      <w:r>
        <w:t xml:space="preserve">SO3: Ensure that retail investors are offered cost-effective products. A strengthened</w:t>
      </w:r>
      <w:r>
        <w:t xml:space="preserve"> </w:t>
      </w:r>
      <w:r>
        <w:t xml:space="preserve">approach in the legislative framework based around the value offered aims to help retail</w:t>
      </w:r>
      <w:r>
        <w:t xml:space="preserve"> </w:t>
      </w:r>
      <w:r>
        <w:t xml:space="preserve">investors achieve better returns and easier access to more cost-efficient retail investment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Links between general and specific objectives</w:t>
      </w:r>
    </w:p>
    <w:p>
      <w:pPr>
        <w:pStyle w:val="BodyText"/>
      </w:pPr>
      <w:r>
        <w:t xml:space="preserve">The following table illustrates the intervention logic that explains how the problems and associated</w:t>
      </w:r>
      <w:r>
        <w:t xml:space="preserve"> </w:t>
      </w:r>
      <w:r>
        <w:t xml:space="preserve">problem drivers lead to the main options that are assessed. In addition, this impact assessment</w:t>
      </w:r>
      <w:r>
        <w:t xml:space="preserve"> </w:t>
      </w:r>
      <w:r>
        <w:t xml:space="preserve">addresses a number of flanking measures for targeted improvements of the existing retail investor</w:t>
      </w:r>
      <w:r>
        <w:t xml:space="preserve"> </w:t>
      </w:r>
      <w:r>
        <w:t xml:space="preserve">protection framework to help address identified shortcomings which are assessed in the accompanying</w:t>
      </w:r>
      <w:r>
        <w:t xml:space="preserve"> </w:t>
      </w:r>
      <w:r>
        <w:t xml:space="preserve">annexes.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Intervention Logic</w:t>
      </w:r>
    </w:p>
    <w:p>
      <w:pPr>
        <w:pStyle w:val="Compact"/>
        <w:numPr>
          <w:ilvl w:val="0"/>
          <w:numId w:val="1004"/>
        </w:numPr>
      </w:pPr>
      <w:r>
        <w:t xml:space="preserve">DESCRIPTION OF THE POLICY OPTIONS</w:t>
      </w:r>
      <w:r>
        <w:t xml:space="preserve"> </w:t>
      </w:r>
      <w:r>
        <w:t xml:space="preserve">How is the assessment of policy options structured?</w:t>
      </w:r>
      <w:r>
        <w:t xml:space="preserve"> </w:t>
      </w:r>
      <w:r>
        <w:t xml:space="preserve">The Retail investment strategy takes a holistic approach, featuring a variety of measures aimed at</w:t>
      </w:r>
      <w:r>
        <w:t xml:space="preserve"> </w:t>
      </w:r>
      <w:r>
        <w:t xml:space="preserve">addressing the identified problems. All measures included in the impact assessment (and the annexes)</w:t>
      </w:r>
      <w:r>
        <w:t xml:space="preserve"> </w:t>
      </w:r>
      <w:r>
        <w:t xml:space="preserve">are aimed at enhancing the retail investor protection framework. The focus of the main part of the</w:t>
      </w:r>
      <w:r>
        <w:t xml:space="preserve"> </w:t>
      </w:r>
      <w:r>
        <w:t xml:space="preserve">impact assessment report is on policy options in three principal areas, i.e. (i) disclosures and marketing</w:t>
      </w:r>
      <w:r>
        <w:t xml:space="preserve"> </w:t>
      </w:r>
      <w:r>
        <w:t xml:space="preserve">communications, (ii) inducements and (iii) value for money. This choice of presentation is intended to</w:t>
      </w:r>
      <w:r>
        <w:t xml:space="preserve"> </w:t>
      </w:r>
      <w:r>
        <w:t xml:space="preserve">enhance the readability of the main text and to ensure focus on the most important policy choices that</w:t>
      </w:r>
      <w:r>
        <w:t xml:space="preserve"> </w:t>
      </w:r>
      <w:r>
        <w:t xml:space="preserve">directly target the two key identified problems. The selection of key issues was decided on the basis of</w:t>
      </w:r>
      <w:r>
        <w:t xml:space="preserve"> </w:t>
      </w:r>
      <w:r>
        <w:t xml:space="preserve">the magnitude of their expected impacts, the political sensitivity of the underlying measures, as well as</w:t>
      </w:r>
      <w:r>
        <w:t xml:space="preserve"> </w:t>
      </w:r>
      <w:r>
        <w:t xml:space="preserve">the significance attached by stakeholders to the issues concerned.</w:t>
      </w:r>
      <w:r>
        <w:t xml:space="preserve"> </w:t>
      </w:r>
      <w:r>
        <w:t xml:space="preserve">Specific elements relating to these policy options are further developed in a number of annexes attached</w:t>
      </w:r>
      <w:r>
        <w:t xml:space="preserve"> </w:t>
      </w:r>
      <w:r>
        <w:t xml:space="preserve">to this impact assessment (e.g. Annex 4 contains more detailed assessment of the options for dealing</w:t>
      </w:r>
      <w:r>
        <w:t xml:space="preserve"> </w:t>
      </w:r>
      <w:r>
        <w:t xml:space="preserve">with disclosures and marketing, while Annex 7 contains further assessment related to inducements).</w:t>
      </w:r>
      <w:r>
        <w:t xml:space="preserve"> </w:t>
      </w:r>
      <w:r>
        <w:t xml:space="preserve">A number of measures are presented as “flanking measures” and their impact is assessed in specific</w:t>
      </w:r>
      <w:r>
        <w:t xml:space="preserve"> </w:t>
      </w:r>
      <w:r>
        <w:t xml:space="preserve">annexes, i.e. (i) financial literacy (Annex 5), (ii) client categorization (Annex 6), (iii) enhanced</w:t>
      </w:r>
      <w:r>
        <w:t xml:space="preserve"> </w:t>
      </w:r>
      <w:r>
        <w:t xml:space="preserve">suitability and appropriateness assessment (Annex 8) and (v) professional qualification of advisors</w:t>
      </w:r>
      <w:r>
        <w:t xml:space="preserve"> </w:t>
      </w:r>
      <w:r>
        <w:t xml:space="preserve">(Annex 10). While these measures will also contribute to addressing the identified problems and</w:t>
      </w:r>
      <w:r>
        <w:t xml:space="preserve"> </w:t>
      </w:r>
      <w:r>
        <w:t xml:space="preserve">meeting the general and specific objectives, their impact is expected to be less significant than the</w:t>
      </w:r>
      <w:r>
        <w:t xml:space="preserve"> </w:t>
      </w:r>
      <w:r>
        <w:t xml:space="preserve">policy options presented in the main body.</w:t>
      </w:r>
    </w:p>
    <w:p>
      <w:pPr>
        <w:pStyle w:val="FirstParagraph"/>
      </w:pPr>
      <w:r>
        <w:t xml:space="preserve">25</w:t>
      </w:r>
      <w:r>
        <w:t xml:space="preserve"> </w:t>
      </w:r>
      <w:r>
        <w:t xml:space="preserve">Finally, a focus on supervisory enforcement alone would not be sufficient to address the problems</w:t>
      </w:r>
      <w:r>
        <w:t xml:space="preserve"> </w:t>
      </w:r>
      <w:r>
        <w:t xml:space="preserve">identified in the three principal areas in this impact assessment. It is therefore appropriate to look at</w:t>
      </w:r>
      <w:r>
        <w:t xml:space="preserve"> </w:t>
      </w:r>
      <w:r>
        <w:t xml:space="preserve">supervisory enforcement in view of its cross-cutting nature and assess specific targeted supervisory</w:t>
      </w:r>
      <w:r>
        <w:t xml:space="preserve"> </w:t>
      </w:r>
      <w:r>
        <w:t xml:space="preserve">enforcement measures aimed at improving the level of retail investor protection. These measures would</w:t>
      </w:r>
      <w:r>
        <w:t xml:space="preserve"> </w:t>
      </w:r>
      <w:r>
        <w:t xml:space="preserve">(indirectly) contribute to addressing the identified problems (e.g. in the area of disclosures and</w:t>
      </w:r>
      <w:r>
        <w:t xml:space="preserve"> </w:t>
      </w:r>
      <w:r>
        <w:t xml:space="preserve">marketing communications), and have been assessed jointly in Annex 9 as flanking measures.</w:t>
      </w:r>
      <w:r>
        <w:br/>
      </w:r>
      <w:r>
        <w:t xml:space="preserve">The flanking measures in the annexes should be viewed as part of the overall package, conceived in</w:t>
      </w:r>
      <w:r>
        <w:t xml:space="preserve"> </w:t>
      </w:r>
      <w:r>
        <w:t xml:space="preserve">conjunction with the main measures. Collectively, they contribute to addressing the identified problems</w:t>
      </w:r>
      <w:r>
        <w:t xml:space="preserve"> </w:t>
      </w:r>
      <w:r>
        <w:t xml:space="preserve">and meeting the general and specific objectives. Taken in isolation, however, they would not be</w:t>
      </w:r>
      <w:r>
        <w:t xml:space="preserve"> </w:t>
      </w:r>
      <w:r>
        <w:t xml:space="preserve">sufficient to fully address the core problems identified in the main part of the IA. They are</w:t>
      </w:r>
      <w:r>
        <w:t xml:space="preserve"> </w:t>
      </w:r>
      <w:r>
        <w:t xml:space="preserve">complementary to the main policy options, creating synergies with a view to creating a strengthened</w:t>
      </w:r>
      <w:r>
        <w:t xml:space="preserve"> </w:t>
      </w:r>
      <w:r>
        <w:t xml:space="preserve">overall investor protection framework or by complementing specific policy options (these are presented</w:t>
      </w:r>
      <w:r>
        <w:t xml:space="preserve"> </w:t>
      </w:r>
      <w:r>
        <w:t xml:space="preserve">in section 7 in the preferred combination of options).</w:t>
      </w:r>
      <w:r>
        <w:br/>
      </w:r>
      <w:r>
        <w:t xml:space="preserve">5.1 Baseline</w:t>
      </w:r>
      <w:r>
        <w:t xml:space="preserve"> </w:t>
      </w:r>
      <w:r>
        <w:t xml:space="preserve">Under the baseline scenario, no amendments will be made to the legislative framework governing</w:t>
      </w:r>
      <w:r>
        <w:t xml:space="preserve"> </w:t>
      </w:r>
      <w:r>
        <w:t xml:space="preserve">disclosures and marketing communications under MiFID, IDD and PRIIPs93, to rules governing</w:t>
      </w:r>
      <w:r>
        <w:t xml:space="preserve"> </w:t>
      </w:r>
      <w:r>
        <w:t xml:space="preserve">inducements and product oversight and governance rules under MiFID, IDD and UCITS.</w:t>
      </w:r>
      <w:r>
        <w:br/>
      </w:r>
      <w:r>
        <w:t xml:space="preserve">The principle characteristics of the baseline scenario are:</w:t>
      </w:r>
      <w:r>
        <w:t xml:space="preserve"> </w:t>
      </w:r>
      <w:r>
        <w:t xml:space="preserve">Increasing digitalisation of financial services and development of new technologies has changed</w:t>
      </w:r>
      <w:r>
        <w:t xml:space="preserve"> </w:t>
      </w:r>
      <w:r>
        <w:t xml:space="preserve">and continues to change the financial services landscape and the way products are distributed to clients.</w:t>
      </w:r>
      <w:r>
        <w:t xml:space="preserve"> </w:t>
      </w:r>
      <w:r>
        <w:t xml:space="preserve">On the one hand, there is a sustained and continuous increase in the number of products being sold</w:t>
      </w:r>
      <w:r>
        <w:t xml:space="preserve"> </w:t>
      </w:r>
      <w:r>
        <w:t xml:space="preserve">online, and new ways to access advice, such as robo-advice or other digital advice models. The market</w:t>
      </w:r>
      <w:r>
        <w:t xml:space="preserve"> </w:t>
      </w:r>
      <w:r>
        <w:t xml:space="preserve">share of such distribution models is growing, while traditional distribution channels are changing to</w:t>
      </w:r>
      <w:r>
        <w:t xml:space="preserve"> </w:t>
      </w:r>
      <w:r>
        <w:t xml:space="preserve">adapt to more automated or semi-automated solutions. On the other hand, digital innovation is also</w:t>
      </w:r>
      <w:r>
        <w:t xml:space="preserve"> </w:t>
      </w:r>
      <w:r>
        <w:t xml:space="preserve">changing the way investors access product and investment information and the way they are exposed</w:t>
      </w:r>
      <w:r>
        <w:t xml:space="preserve"> </w:t>
      </w:r>
      <w:r>
        <w:t xml:space="preserve">to marketing communications. Mobile apps and the social media revolution are creating new</w:t>
      </w:r>
      <w:r>
        <w:t xml:space="preserve"> </w:t>
      </w:r>
      <w:r>
        <w:t xml:space="preserve">opportunities for firms to reach existing and potential new retail clients, for example, through</w:t>
      </w:r>
      <w:r>
        <w:t xml:space="preserve"> </w:t>
      </w:r>
      <w:r>
        <w:t xml:space="preserve">finfluencers. This however increases the risks that clients are unduly influenced or not sufficiently</w:t>
      </w:r>
      <w:r>
        <w:t xml:space="preserve"> </w:t>
      </w:r>
      <w:r>
        <w:t xml:space="preserve">informed about costs, which would remain unaddressed in the absence of stronger and clearer</w:t>
      </w:r>
      <w:r>
        <w:t xml:space="preserve"> </w:t>
      </w:r>
      <w:r>
        <w:t xml:space="preserve">regulatory requirements, as well as stronger powers for the NCAs to supervise and intervene94.</w:t>
      </w:r>
      <w:r>
        <w:t xml:space="preserve"> </w:t>
      </w:r>
      <w:r>
        <w:t xml:space="preserve">Meanwhile, product manufacturers would likely not sufficiently exploit possibilities offered by</w:t>
      </w:r>
      <w:r>
        <w:t xml:space="preserve"> </w:t>
      </w:r>
      <w:r>
        <w:t xml:space="preserve">digitalisation to present information from key information documents in a more user-friendly way.</w:t>
      </w:r>
      <w:r>
        <w:br/>
      </w:r>
      <w:r>
        <w:t xml:space="preserve">Increasing interest in sustainability aspects. Increased citizen awareness about sustainability issues</w:t>
      </w:r>
      <w:r>
        <w:t xml:space="preserve"> </w:t>
      </w:r>
      <w:r>
        <w:t xml:space="preserve">will continue to drive consumer preferences and market trends. Without policy intervention, some</w:t>
      </w:r>
      <w:r>
        <w:t xml:space="preserve"> </w:t>
      </w:r>
      <w:r>
        <w:t xml:space="preserve">product manufacturers are likely to add sustainability information in key information documents, but</w:t>
      </w:r>
      <w:r>
        <w:t xml:space="preserve"> </w:t>
      </w:r>
      <w:r>
        <w:t xml:space="preserve">there is no indication that the industry could clearly agree on which specific indicators should be</w:t>
      </w:r>
      <w:r>
        <w:t xml:space="preserve"> </w:t>
      </w:r>
      <w:r>
        <w:t xml:space="preserve">included. Inclusion of sustainability aspects would likely be uncoordinated, thus hindering comparison</w:t>
      </w:r>
      <w:r>
        <w:t xml:space="preserve"> </w:t>
      </w:r>
      <w:r>
        <w:t xml:space="preserve">of the sustainability-related characteristics of retail investment products.</w:t>
      </w:r>
      <w:r>
        <w:br/>
      </w:r>
      <w:r>
        <w:t xml:space="preserve">Continued permissibility for firms to pay inducements to intermediaries under the current MiFID</w:t>
      </w:r>
      <w:r>
        <w:t xml:space="preserve"> </w:t>
      </w:r>
      <w:r>
        <w:t xml:space="preserve">and IDD regimes and shortcomings in the application of existing rules will mean that the risk of</w:t>
      </w:r>
      <w:r>
        <w:t xml:space="preserve"> </w:t>
      </w:r>
      <w:r>
        <w:t xml:space="preserve">conflicts of interest in the advice chain will remain, with the consequence that many retail investors</w:t>
      </w:r>
      <w:r>
        <w:t xml:space="preserve"> </w:t>
      </w:r>
      <w:r>
        <w:t xml:space="preserve">risk being advised to purchase products that carry higher costs.</w:t>
      </w:r>
    </w:p>
    <w:p>
      <w:pPr>
        <w:pStyle w:val="BodyText"/>
      </w:pPr>
      <w:r>
        <w:t xml:space="preserve">93 The scope of PRIIPs has been recently expanded. As of as of January 2023, the PRIIPs KID is also used by UCITS funds,</w:t>
      </w:r>
      <w:r>
        <w:t xml:space="preserve"> </w:t>
      </w:r>
      <w:r>
        <w:t xml:space="preserve">having replaced the UCITS KIID. Further amendments in secondary legislation also apply as of this date.</w:t>
      </w:r>
      <w:r>
        <w:br/>
      </w:r>
      <w:r>
        <w:t xml:space="preserve">94 Currently neither NCAs nor ESMA can intervene sufficiently quickly (i.e. within less than a day) in case of a practice</w:t>
      </w:r>
      <w:r>
        <w:t xml:space="preserve"> </w:t>
      </w:r>
      <w:r>
        <w:t xml:space="preserve">harming retail investors. That risk increases as use of digital marketing/social media develops.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Continued exposure to high-cost products that deliver little value for money. The current actions</w:t>
      </w:r>
      <w:r>
        <w:t xml:space="preserve"> </w:t>
      </w:r>
      <w:r>
        <w:t xml:space="preserve">by ESMA and EIOPA to develop guidance on value for money and undue costs are useful tools for</w:t>
      </w:r>
      <w:r>
        <w:t xml:space="preserve"> </w:t>
      </w:r>
      <w:r>
        <w:t xml:space="preserve">supervisory monitoring and enforcement; however, there are limits as to how effective guidance can</w:t>
      </w:r>
      <w:r>
        <w:t xml:space="preserve"> </w:t>
      </w:r>
      <w:r>
        <w:t xml:space="preserve">be as a means of addressing what is considered to be a significant problem. In addition, as shown in the</w:t>
      </w:r>
      <w:r>
        <w:t xml:space="preserve"> </w:t>
      </w:r>
      <w:r>
        <w:t xml:space="preserve">evaluation, currently the rules are applied only superficially, and the existing enforcement mechanisms</w:t>
      </w:r>
      <w:r>
        <w:t xml:space="preserve"> </w:t>
      </w:r>
      <w:r>
        <w:t xml:space="preserve">are not sufficient to address the problem.</w:t>
      </w:r>
      <w:r>
        <w:br/>
      </w:r>
      <w:r>
        <w:t xml:space="preserve">Potential national gold plating: the current EU investor protection regime includes harmonised rules</w:t>
      </w:r>
      <w:r>
        <w:t xml:space="preserve"> </w:t>
      </w:r>
      <w:r>
        <w:t xml:space="preserve">on inducements and advice, but with the possibility of gold plating, whereby Member States can</w:t>
      </w:r>
      <w:r>
        <w:t xml:space="preserve"> </w:t>
      </w:r>
      <w:r>
        <w:t xml:space="preserve">introduce further restrictions on inducements at national level. This is an option that is already used in</w:t>
      </w:r>
      <w:r>
        <w:t xml:space="preserve"> </w:t>
      </w:r>
      <w:r>
        <w:t xml:space="preserve">some Member States (See Annex 7.A and B). Even though there are no signs that other Member States</w:t>
      </w:r>
      <w:r>
        <w:t xml:space="preserve"> </w:t>
      </w:r>
      <w:r>
        <w:t xml:space="preserve">would follow, a lack of consistency would give the possibility to firms for jurisdiction shopping and</w:t>
      </w:r>
      <w:r>
        <w:t xml:space="preserve"> </w:t>
      </w:r>
      <w:r>
        <w:t xml:space="preserve">choosing to establish themselves in certain Member States and thus possibly distorting competition in</w:t>
      </w:r>
      <w:r>
        <w:t xml:space="preserve"> </w:t>
      </w:r>
      <w:r>
        <w:t xml:space="preserve">the internal market.</w:t>
      </w:r>
      <w:r>
        <w:br/>
      </w:r>
      <w:r>
        <w:t xml:space="preserve">Under the above scenario, where no changes are made to the existing framework, the identified</w:t>
      </w:r>
      <w:r>
        <w:t xml:space="preserve"> </w:t>
      </w:r>
      <w:r>
        <w:t xml:space="preserve">shortcomings will remain unaddressed. Relying on existing enforcement mechanisms would not be</w:t>
      </w:r>
      <w:r>
        <w:t xml:space="preserve"> </w:t>
      </w:r>
      <w:r>
        <w:t xml:space="preserve">sufficient to tackle the identified problems and would not provide sufficient flexibility for user-friendly</w:t>
      </w:r>
      <w:r>
        <w:t xml:space="preserve"> </w:t>
      </w:r>
      <w:r>
        <w:t xml:space="preserve">display of product information to help address informational deficiencies, ensure that the offer of</w:t>
      </w:r>
      <w:r>
        <w:t xml:space="preserve"> </w:t>
      </w:r>
      <w:r>
        <w:t xml:space="preserve">products and services is aligned with the interests of retail investors and offers them value.</w:t>
      </w:r>
      <w:r>
        <w:br/>
      </w:r>
      <w:r>
        <w:t xml:space="preserve">5.2 Disclosures and marketing communications</w:t>
      </w:r>
      <w:r>
        <w:t xml:space="preserve"> </w:t>
      </w:r>
      <w:r>
        <w:t xml:space="preserve">Option 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t xml:space="preserve"> </w:t>
      </w:r>
      <w:r>
        <w:t xml:space="preserve">Do nothing to change the legal framework – this is the baseline scenario</w:t>
      </w:r>
      <w:r>
        <w:t xml:space="preserve"> </w:t>
      </w:r>
      <w:r>
        <w:t xml:space="preserve">Option 2</w:t>
      </w:r>
      <w:r>
        <w:t xml:space="preserve"> </w:t>
      </w:r>
      <w:r>
        <w:t xml:space="preserve">Targeted changes to disclosure rules to improve their relevance for retail</w:t>
      </w:r>
      <w:r>
        <w:t xml:space="preserve"> </w:t>
      </w:r>
      <w:r>
        <w:t xml:space="preserve">investors</w:t>
      </w:r>
      <w:r>
        <w:br/>
      </w:r>
      <w:r>
        <w:t xml:space="preserve">Option 3</w:t>
      </w:r>
      <w:r>
        <w:t xml:space="preserve"> </w:t>
      </w:r>
      <w:r>
        <w:t xml:space="preserve">Targeted changes to address informational deficiencies relating to marketing</w:t>
      </w:r>
      <w:r>
        <w:t xml:space="preserve"> </w:t>
      </w:r>
      <w:r>
        <w:t xml:space="preserve">communications</w:t>
      </w:r>
    </w:p>
    <w:p>
      <w:pPr>
        <w:pStyle w:val="BodyText"/>
      </w:pPr>
      <w:r>
        <w:t xml:space="preserve">The options that are assessed under disclosures and marketing are complementary and not mutually</w:t>
      </w:r>
      <w:r>
        <w:t xml:space="preserve"> </w:t>
      </w:r>
      <w:r>
        <w:t xml:space="preserve">exclusive. Alternative options addressing the relevant problem drivers have been considered but</w:t>
      </w:r>
      <w:r>
        <w:t xml:space="preserve"> </w:t>
      </w:r>
      <w:r>
        <w:t xml:space="preserve">discarded at an early stage (see below). The two complementary options presented below are assessed</w:t>
      </w:r>
      <w:r>
        <w:t xml:space="preserve"> </w:t>
      </w:r>
      <w:r>
        <w:t xml:space="preserve">against the baseline, with a more detailed assessment to be found in Annex 4.</w:t>
      </w:r>
      <w:r>
        <w:t xml:space="preserve"> </w:t>
      </w:r>
      <w:r>
        <w:t xml:space="preserve">Policy option 2: Targeted changes to disclosure rules to improve their relevance for 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Policy intervention under option 2 would focus on targeted changes in EU legislation (PRIIPs, MiFID</w:t>
      </w:r>
      <w:r>
        <w:t xml:space="preserve"> </w:t>
      </w:r>
      <w:r>
        <w:t xml:space="preserve">2 and IDD) to address problem driver 1.</w:t>
      </w:r>
      <w:r>
        <w:br/>
      </w:r>
      <w:r>
        <w:t xml:space="preserve">With regard to PRIIPs, this option would involve the following targeted amendments, including to the</w:t>
      </w:r>
      <w:r>
        <w:t xml:space="preserve"> </w:t>
      </w:r>
      <w:r>
        <w:t xml:space="preserve">PRIIPs Regulation, to address key areas highlighted by the Joint ESA advice on the review of the</w:t>
      </w:r>
      <w:r>
        <w:t xml:space="preserve"> </w:t>
      </w:r>
      <w:r>
        <w:t xml:space="preserve">PRIIPs Regulation and responding to a mix of regulatory gaps and implementation issues identified in</w:t>
      </w:r>
      <w:r>
        <w:t xml:space="preserve"> </w:t>
      </w:r>
      <w:r>
        <w:t xml:space="preserve">the evaluation: (i) improving the presentation of information, notably through use of information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layering95 and a summary dashboard to make PRIIPs key information documents more engaging; (ii)</w:t>
      </w:r>
      <w:r>
        <w:t xml:space="preserve"> </w:t>
      </w:r>
      <w:r>
        <w:t xml:space="preserve">adding an ESG dashboard with basic information on the sustainability-related characteristics of the</w:t>
      </w:r>
      <w:r>
        <w:t xml:space="preserve"> </w:t>
      </w:r>
      <w:r>
        <w:t xml:space="preserve">product, based on information already collected and disclosed under SFDR requirements and consistent</w:t>
      </w:r>
      <w:r>
        <w:t xml:space="preserve"> </w:t>
      </w:r>
      <w:r>
        <w:t xml:space="preserve">with the sustainable finance disclosure framework; (iii) increasing transparency of costs of Multi-</w:t>
      </w:r>
      <w:r>
        <w:t xml:space="preserve"> </w:t>
      </w:r>
      <w:r>
        <w:t xml:space="preserve">Option Products (MOPs)96 in PRIIPs key information documents; and (iv) clarification of the scope of</w:t>
      </w:r>
      <w:r>
        <w:t xml:space="preserve"> </w:t>
      </w:r>
      <w:r>
        <w:t xml:space="preserve">PRIIPs with respect to certain types of corporate bonds. The latter two technical measures are described</w:t>
      </w:r>
      <w:r>
        <w:t xml:space="preserve"> </w:t>
      </w:r>
      <w:r>
        <w:t xml:space="preserve">and assessed in Annex 4.</w:t>
      </w:r>
      <w:r>
        <w:br/>
      </w:r>
      <w:r>
        <w:t xml:space="preserve">With respect to MiFID II and IDD, option 2 would involve targeted amendments focused on</w:t>
      </w:r>
      <w:r>
        <w:t xml:space="preserve"> </w:t>
      </w:r>
      <w:r>
        <w:t xml:space="preserve">improving the relevance of costs and performance disclosures for retail investors. This option</w:t>
      </w:r>
      <w:r>
        <w:t xml:space="preserve"> </w:t>
      </w:r>
      <w:r>
        <w:t xml:space="preserve">would encompass an obligation for investment firms and insurance undertakings to provide their retail</w:t>
      </w:r>
      <w:r>
        <w:t xml:space="preserve"> </w:t>
      </w:r>
      <w:r>
        <w:t xml:space="preserve">clients with information on costs97 presented in a standardised and easy-to-understand format, before</w:t>
      </w:r>
      <w:r>
        <w:t xml:space="preserve"> </w:t>
      </w:r>
      <w:r>
        <w:t xml:space="preserve">the execution of any transaction. This option would also reinforce firms’ obligations to provide an</w:t>
      </w:r>
      <w:r>
        <w:t xml:space="preserve"> </w:t>
      </w:r>
      <w:r>
        <w:t xml:space="preserve">annual statement to clients, to ensure that each year all clients receive on a compounded basis a better</w:t>
      </w:r>
      <w:r>
        <w:t xml:space="preserve"> </w:t>
      </w:r>
      <w:r>
        <w:t xml:space="preserve">view of the costs they have paid, together with, where applicable, any dividends or interests received,</w:t>
      </w:r>
      <w:r>
        <w:t xml:space="preserve"> </w:t>
      </w:r>
      <w:r>
        <w:t xml:space="preserve">the current market value of the products and the impact of the costs on the annual performance of the</w:t>
      </w:r>
      <w:r>
        <w:t xml:space="preserve"> </w:t>
      </w:r>
      <w:r>
        <w:t xml:space="preserve">portfolio. Since insurance-based investment products are typically long-term investments with a</w:t>
      </w:r>
      <w:r>
        <w:t xml:space="preserve"> </w:t>
      </w:r>
      <w:r>
        <w:t xml:space="preserve">retirement or other long-term objective, the annual statement for such products would also contain</w:t>
      </w:r>
      <w:r>
        <w:t xml:space="preserve"> </w:t>
      </w:r>
      <w:r>
        <w:t xml:space="preserve">additional elements, such as adjusted individual projections allowing investors to check whether they</w:t>
      </w:r>
      <w:r>
        <w:t xml:space="preserve"> </w:t>
      </w:r>
      <w:r>
        <w:t xml:space="preserve">are on track to meet their objectives. Standardisation of the costs terminology and the costs statement</w:t>
      </w:r>
      <w:r>
        <w:t xml:space="preserve"> </w:t>
      </w:r>
      <w:r>
        <w:t xml:space="preserve">format would facilitate the comprehension and comparability of those costs by an average retail client.</w:t>
      </w:r>
      <w:r>
        <w:t xml:space="preserve"> </w:t>
      </w:r>
      <w:r>
        <w:t xml:space="preserve">Several additional technical changes to the rules are described and assessed in Annex 4.</w:t>
      </w:r>
      <w:r>
        <w:t xml:space="preserve"> </w:t>
      </w:r>
      <w:r>
        <w:t xml:space="preserve">Where the rules would require more technical specifications, these would be developed through</w:t>
      </w:r>
      <w:r>
        <w:t xml:space="preserve"> </w:t>
      </w:r>
      <w:r>
        <w:t xml:space="preserve">mandates to the relevant ESAs.</w:t>
      </w:r>
      <w:r>
        <w:br/>
      </w:r>
      <w:r>
        <w:t xml:space="preserve">Policy option 3: Targeted changes to address informational deficiencies relating to marketing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Option 3 encompasses legislative changes in MiFID II and IDD relating to marketing communications,</w:t>
      </w:r>
      <w:r>
        <w:t xml:space="preserve"> </w:t>
      </w:r>
      <w:r>
        <w:t xml:space="preserve">as recommended in the ESMA and EIOPA advice on retail investor protection. This would involve the</w:t>
      </w:r>
      <w:r>
        <w:t xml:space="preserve"> </w:t>
      </w:r>
      <w:r>
        <w:t xml:space="preserve">introduction of a new obligation for investment firms and insurance intermediaries to include “vital”</w:t>
      </w:r>
      <w:r>
        <w:t xml:space="preserve"> </w:t>
      </w:r>
      <w:r>
        <w:t xml:space="preserve">information in all marketing communications relating to the offer of financial instruments and</w:t>
      </w:r>
      <w:r>
        <w:t xml:space="preserve"> </w:t>
      </w:r>
      <w:r>
        <w:t xml:space="preserve">investment services to retail clients. Vital information would encompass the essential characteristics of</w:t>
      </w:r>
      <w:r>
        <w:t xml:space="preserve"> </w:t>
      </w:r>
      <w:r>
        <w:t xml:space="preserve">the product or service presented in the marketing communication. For financial products, it would</w:t>
      </w:r>
      <w:r>
        <w:t xml:space="preserve"> </w:t>
      </w:r>
      <w:r>
        <w:t xml:space="preserve">include at least the key product features and the main risks associated with them. The presentation of</w:t>
      </w:r>
      <w:r>
        <w:t xml:space="preserve"> </w:t>
      </w:r>
      <w:r>
        <w:t xml:space="preserve">the vital information in the marketing communication would ensure that prominent information is</w:t>
      </w:r>
      <w:r>
        <w:t xml:space="preserve"> </w:t>
      </w:r>
      <w:r>
        <w:t xml:space="preserve">accessible for an average retail client, regardless of the means of communication used. The Commission</w:t>
      </w:r>
      <w:r>
        <w:t xml:space="preserve"> </w:t>
      </w:r>
      <w:r>
        <w:t xml:space="preserve">would be empowered to adopt a delegated act to define such vital information.</w:t>
      </w:r>
      <w:r>
        <w:br/>
      </w:r>
      <w:r>
        <w:t xml:space="preserve">In addition, the notion of “marketing communication” would be clarified in MiFID II and IDD with</w:t>
      </w:r>
      <w:r>
        <w:t xml:space="preserve"> </w:t>
      </w:r>
      <w:r>
        <w:t xml:space="preserve">a view to ensuring that all online marketing communications and advertising, made directly or</w:t>
      </w:r>
      <w:r>
        <w:t xml:space="preserve"> </w:t>
      </w:r>
      <w:r>
        <w:t xml:space="preserve">indirectly by investment firms (including through third parties, such as influencers), regardless of the</w:t>
      </w:r>
      <w:r>
        <w:t xml:space="preserve"> </w:t>
      </w:r>
      <w:r>
        <w:t xml:space="preserve">format or the use of any marketing techniques, are covered by the rules on marketing communications</w:t>
      </w:r>
      <w:r>
        <w:t xml:space="preserve"> </w:t>
      </w:r>
      <w:r>
        <w:t xml:space="preserve">under MiFID II and IDD. Where the rules would require more technical specifications, these would be</w:t>
      </w:r>
    </w:p>
    <w:p>
      <w:pPr>
        <w:pStyle w:val="BodyText"/>
      </w:pPr>
      <w:r>
        <w:t xml:space="preserve">95 Layering is a practice of organizing information into related groupings and then presenting or making available only</w:t>
      </w:r>
      <w:r>
        <w:t xml:space="preserve"> </w:t>
      </w:r>
      <w:r>
        <w:t xml:space="preserve">certain groupings at any one time. In the case of PRIIPs key information documents, this implies breaking down each section</w:t>
      </w:r>
      <w:r>
        <w:t xml:space="preserve"> </w:t>
      </w:r>
      <w:r>
        <w:t xml:space="preserve">of a document into layers in order to allow for a simplified view (first layer) where only several pieces of information are</w:t>
      </w:r>
      <w:r>
        <w:t xml:space="preserve"> </w:t>
      </w:r>
      <w:r>
        <w:t xml:space="preserve">shown, with a possibility to expand the view in order to see more details in any section of interest.</w:t>
      </w:r>
      <w:r>
        <w:t xml:space="preserve"> </w:t>
      </w:r>
      <w:r>
        <w:t xml:space="preserve">96 Multi-Option Products (MOPs) are insurance-based investment products covered by the PRIIPs framework which consist</w:t>
      </w:r>
      <w:r>
        <w:t xml:space="preserve"> </w:t>
      </w:r>
      <w:r>
        <w:t xml:space="preserve">of a wrapper (insurance contract) and an underlying investment where clients choose between multiple options.</w:t>
      </w:r>
      <w:r>
        <w:t xml:space="preserve"> </w:t>
      </w:r>
      <w:r>
        <w:t xml:space="preserve">97 Costs should be understood as any costs, associated charges, fees, commissions and third-party payments (to be) paid</w:t>
      </w:r>
      <w:r>
        <w:t xml:space="preserve"> </w:t>
      </w:r>
      <w:r>
        <w:t xml:space="preserve">directly or indirectly by the client and related to the financial instrument(s) and financial service(s) considered by the client.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developed through mandates to the relevant ESAs. The supervisory role for NCAs to address aggressive</w:t>
      </w:r>
      <w:r>
        <w:t xml:space="preserve"> </w:t>
      </w:r>
      <w:r>
        <w:t xml:space="preserve">marketing and impose risk warnings would also be strengthened (see Annex 9).</w:t>
      </w:r>
      <w:r>
        <w:br/>
      </w:r>
      <w:r>
        <w:t xml:space="preserve">Options discarded at an early stage:</w:t>
      </w:r>
      <w:r>
        <w:br/>
      </w:r>
      <w:r>
        <w:t xml:space="preserve">Improving the relevance of disclosure documents through a more comprehensive review of the</w:t>
      </w:r>
      <w:r>
        <w:t xml:space="preserve"> </w:t>
      </w:r>
      <w:r>
        <w:t xml:space="preserve">PRIIPs framework. Some stakeholders suggested to go beyond the targeted changes included in</w:t>
      </w:r>
      <w:r>
        <w:t xml:space="preserve"> </w:t>
      </w:r>
      <w:r>
        <w:t xml:space="preserve">Option 2 and to envisage a comprehensive review of the PRIIPs framework. However, a comprehensive</w:t>
      </w:r>
      <w:r>
        <w:t xml:space="preserve"> </w:t>
      </w:r>
      <w:r>
        <w:t xml:space="preserve">review has been discarded as a policy option for the following reasons: the evaluation concludes that</w:t>
      </w:r>
      <w:r>
        <w:t xml:space="preserve"> </w:t>
      </w:r>
      <w:r>
        <w:t xml:space="preserve">overall, disclosure rules, including those under PRIIPs, have been effective in increasing investor</w:t>
      </w:r>
      <w:r>
        <w:t xml:space="preserve"> </w:t>
      </w:r>
      <w:r>
        <w:t xml:space="preserve">protection and providing retail clients with more complete, relevant and comparable information on</w:t>
      </w:r>
      <w:r>
        <w:t xml:space="preserve"> </w:t>
      </w:r>
      <w:r>
        <w:t xml:space="preserve">investment products. Option 2 hence focuses on those specific issues that have been identified by the</w:t>
      </w:r>
      <w:r>
        <w:t xml:space="preserve"> </w:t>
      </w:r>
      <w:r>
        <w:t xml:space="preserve">evaluation as needing to be remedied. Secondly, the timing would not be appropriate for a</w:t>
      </w:r>
      <w:r>
        <w:t xml:space="preserve"> </w:t>
      </w:r>
      <w:r>
        <w:t xml:space="preserve">comprehensive review, as feedback received in the public consultation points to a high degree of</w:t>
      </w:r>
      <w:r>
        <w:t xml:space="preserve"> </w:t>
      </w:r>
      <w:r>
        <w:t xml:space="preserve">regulatory fatigue in the sector; more ambitious rules changes would add to this. The content and</w:t>
      </w:r>
      <w:r>
        <w:t xml:space="preserve"> </w:t>
      </w:r>
      <w:r>
        <w:t xml:space="preserve">presentation of performance scenarios and costs in the PRIIPs key information documents have been</w:t>
      </w:r>
      <w:r>
        <w:t xml:space="preserve"> </w:t>
      </w:r>
      <w:r>
        <w:t xml:space="preserve">recently amended through secondary legislation, applicable as of January 2023. PRIIPs has started to</w:t>
      </w:r>
      <w:r>
        <w:t xml:space="preserve"> </w:t>
      </w:r>
      <w:r>
        <w:t xml:space="preserve">apply to UCITS funds as of the same date and it will therefore take several years before sufficient</w:t>
      </w:r>
      <w:r>
        <w:t xml:space="preserve"> </w:t>
      </w:r>
      <w:r>
        <w:t xml:space="preserve">experience is accumulated to assess these changes.</w:t>
      </w:r>
      <w:r>
        <w:t xml:space="preserve"> </w:t>
      </w:r>
      <w:r>
        <w:t xml:space="preserve">Several alternative options have also been considered to address the identified informational</w:t>
      </w:r>
      <w:r>
        <w:t xml:space="preserve"> </w:t>
      </w:r>
      <w:r>
        <w:t xml:space="preserve">deficiencies relating to marketing communications. One option included the introduction of an</w:t>
      </w:r>
      <w:r>
        <w:t xml:space="preserve"> </w:t>
      </w:r>
      <w:r>
        <w:t xml:space="preserve">obligation for investment firms to transmit to their relevant competent authorities all marketing</w:t>
      </w:r>
      <w:r>
        <w:t xml:space="preserve"> </w:t>
      </w:r>
      <w:r>
        <w:t xml:space="preserve">communications (including those made though digital channels and those produced directly and</w:t>
      </w:r>
      <w:r>
        <w:t xml:space="preserve"> </w:t>
      </w:r>
      <w:r>
        <w:t xml:space="preserve">indirectly by firms) related to financial products and the services they commercialize, prior to their</w:t>
      </w:r>
      <w:r>
        <w:t xml:space="preserve"> </w:t>
      </w:r>
      <w:r>
        <w:t xml:space="preserve">release to the public or to individual clients. Another option entailed the introduction of an obligation</w:t>
      </w:r>
      <w:r>
        <w:t xml:space="preserve"> </w:t>
      </w:r>
      <w:r>
        <w:t xml:space="preserve">for pre-approval of all marketing communications (including through digital channels) by the relevant</w:t>
      </w:r>
      <w:r>
        <w:t xml:space="preserve"> </w:t>
      </w:r>
      <w:r>
        <w:t xml:space="preserve">competent authorities (as currently applied in some Member States in relation to certain marketing</w:t>
      </w:r>
      <w:r>
        <w:t xml:space="preserve"> </w:t>
      </w:r>
      <w:r>
        <w:t xml:space="preserve">communications). Both options are likely to imply significant costs for the industry, which could</w:t>
      </w:r>
      <w:r>
        <w:t xml:space="preserve"> </w:t>
      </w:r>
      <w:r>
        <w:t xml:space="preserve">ultimately be passed onto retail investors and outweigh any potential benefits. They are also likely to</w:t>
      </w:r>
      <w:r>
        <w:t xml:space="preserve"> </w:t>
      </w:r>
      <w:r>
        <w:t xml:space="preserve">involve costs and the need for additional resources for the competent authorities. These options were</w:t>
      </w:r>
      <w:r>
        <w:t xml:space="preserve"> </w:t>
      </w:r>
      <w:r>
        <w:t xml:space="preserve">thus discarded for reasons of proportionality.</w:t>
      </w:r>
      <w:r>
        <w:br/>
      </w:r>
      <w:r>
        <w:t xml:space="preserve">5.2 Inducements</w:t>
      </w:r>
      <w:r>
        <w:t xml:space="preserve"> </w:t>
      </w:r>
      <w:r>
        <w:t xml:space="preserve">Option 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t xml:space="preserve"> </w:t>
      </w:r>
      <w:r>
        <w:t xml:space="preserve">Do nothing to change the legal framework – this is the baseline scenario</w:t>
      </w:r>
      <w:r>
        <w:t xml:space="preserve"> </w:t>
      </w:r>
      <w:r>
        <w:t xml:space="preserve">Option 2</w:t>
      </w:r>
      <w:r>
        <w:t xml:space="preserve"> </w:t>
      </w:r>
      <w:r>
        <w:t xml:space="preserve">Maintain</w:t>
      </w:r>
      <w:r>
        <w:t xml:space="preserve"> </w:t>
      </w:r>
      <w:r>
        <w:t xml:space="preserve">current</w:t>
      </w:r>
      <w:r>
        <w:t xml:space="preserve"> </w:t>
      </w:r>
      <w:r>
        <w:t xml:space="preserve">system</w:t>
      </w:r>
      <w:r>
        <w:t xml:space="preserve"> </w:t>
      </w:r>
      <w:r>
        <w:t xml:space="preserve">allowing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inducements,</w:t>
      </w:r>
      <w:r>
        <w:t xml:space="preserve"> </w:t>
      </w:r>
      <w:r>
        <w:t xml:space="preserve">but</w:t>
      </w:r>
      <w:r>
        <w:t xml:space="preserve"> </w:t>
      </w:r>
      <w:r>
        <w:t xml:space="preserve">improve/harmonize sector specific disclosures relating to inducements</w:t>
      </w:r>
      <w:r>
        <w:br/>
      </w:r>
      <w:r>
        <w:t xml:space="preserve">Option 3</w:t>
      </w:r>
      <w:r>
        <w:t xml:space="preserve"> </w:t>
      </w:r>
      <w:r>
        <w:t xml:space="preserve">A ban on inducements</w:t>
      </w:r>
    </w:p>
    <w:p>
      <w:pPr>
        <w:pStyle w:val="BodyText"/>
      </w:pPr>
      <w:r>
        <w:t xml:space="preserve">Option 2: Maintain the current system allowing for the payment of inducements, but</w:t>
      </w:r>
      <w:r>
        <w:t xml:space="preserve"> </w:t>
      </w:r>
      <w:r>
        <w:t xml:space="preserve">improve/harmonize sector specific disclosures relating to inducements</w:t>
      </w:r>
      <w:r>
        <w:br/>
      </w:r>
      <w:r>
        <w:t xml:space="preserve">Under this option, the existing legal requirements on the disclosures of inducements would be</w:t>
      </w:r>
      <w:r>
        <w:t xml:space="preserve"> </w:t>
      </w:r>
      <w:r>
        <w:t xml:space="preserve">reinforced to make them more transparent, accessible and understandable for an average retail client.</w:t>
      </w:r>
      <w:r>
        <w:t xml:space="preserve"> </w:t>
      </w:r>
      <w:r>
        <w:t xml:space="preserve">Distributors would be required, in addition to existing disclosure requirements on inducements, to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disclose more prominently and clearly the level of inducements and provide a clear explanation in</w:t>
      </w:r>
      <w:r>
        <w:t xml:space="preserve"> </w:t>
      </w:r>
      <w:r>
        <w:t xml:space="preserve">layman’s terms what they mean for the client (concept, consequences and graphical illustration showing</w:t>
      </w:r>
      <w:r>
        <w:t xml:space="preserve"> </w:t>
      </w:r>
      <w:r>
        <w:t xml:space="preserve">the accumulated effect of inducements over time). Distributors would also be required to disclose to</w:t>
      </w:r>
      <w:r>
        <w:t xml:space="preserve"> </w:t>
      </w:r>
      <w:r>
        <w:t xml:space="preserve">consumers the possible choice of alternative distribution channels where no inducements are paid.</w:t>
      </w:r>
      <w:r>
        <w:t xml:space="preserve"> </w:t>
      </w:r>
      <w:r>
        <w:t xml:space="preserve">Firms would be required to report the inducements paid and received to the NCAs, who on their side</w:t>
      </w:r>
      <w:r>
        <w:t xml:space="preserve"> </w:t>
      </w:r>
      <w:r>
        <w:t xml:space="preserve">would report those to ESMA/EIOPA. This option would, as regards the additional disclosure</w:t>
      </w:r>
      <w:r>
        <w:t xml:space="preserve"> </w:t>
      </w:r>
      <w:r>
        <w:t xml:space="preserve">requirements, also create a level playing field across sectors (IDD/MiFID).</w:t>
      </w:r>
      <w:r>
        <w:br/>
      </w:r>
      <w:r>
        <w:t xml:space="preserve">Option 3: A ban on inducements</w:t>
      </w:r>
      <w:r>
        <w:t xml:space="preserve"> </w:t>
      </w:r>
      <w:r>
        <w:t xml:space="preserve">Under this option, the payment of inducements (i.e. any fees, commissions or any monetary or non-</w:t>
      </w:r>
      <w:r>
        <w:t xml:space="preserve"> </w:t>
      </w:r>
      <w:r>
        <w:t xml:space="preserve">monetary benefits paid or provided by any third party or a person acting on behalf of a third party in</w:t>
      </w:r>
      <w:r>
        <w:t xml:space="preserve"> </w:t>
      </w:r>
      <w:r>
        <w:t xml:space="preserve">relation to the provision of the service to clients), would be prohibited in relation to all retail investment</w:t>
      </w:r>
      <w:r>
        <w:t xml:space="preserve"> </w:t>
      </w:r>
      <w:r>
        <w:t xml:space="preserve">products and services across the Union. Investment intermediaries, irrespective of the distribution</w:t>
      </w:r>
      <w:r>
        <w:t xml:space="preserve"> </w:t>
      </w:r>
      <w:r>
        <w:t xml:space="preserve">channel or product (e.g. shares, bonds, funds, structured retail products, PRIIPs) would no longer be</w:t>
      </w:r>
      <w:r>
        <w:t xml:space="preserve"> </w:t>
      </w:r>
      <w:r>
        <w:t xml:space="preserve">allowed to receive or pay any such inducements98. Instead, they would need to charge a clearly</w:t>
      </w:r>
      <w:r>
        <w:t xml:space="preserve"> </w:t>
      </w:r>
      <w:r>
        <w:t xml:space="preserve">disclosed fee to the retail client for their services99. This option would also provide safeguards against</w:t>
      </w:r>
      <w:r>
        <w:t xml:space="preserve"> </w:t>
      </w:r>
      <w:r>
        <w:t xml:space="preserve">intragroup inducement-like payments (in the form of cross-subsidies to distributing entities from other</w:t>
      </w:r>
      <w:r>
        <w:t xml:space="preserve"> </w:t>
      </w:r>
      <w:r>
        <w:t xml:space="preserve">group entities), so that vertically and non-vertically integrated providers could compete on equal terms</w:t>
      </w:r>
      <w:r>
        <w:t xml:space="preserve"> </w:t>
      </w:r>
      <w:r>
        <w:t xml:space="preserve">(see chapter 6). To address conflicts of interest also at the manufacturing stage, product manufacturers</w:t>
      </w:r>
      <w:r>
        <w:t xml:space="preserve"> </w:t>
      </w:r>
      <w:r>
        <w:t xml:space="preserve">of structured products, including IBIPs, will not be permitted to receive or pay commissions from or to</w:t>
      </w:r>
      <w:r>
        <w:t xml:space="preserve"> </w:t>
      </w:r>
      <w:r>
        <w:t xml:space="preserve">other product manufacturers for the inclusion of a particular asset in packaged retail investment and</w:t>
      </w:r>
      <w:r>
        <w:t xml:space="preserve"> </w:t>
      </w:r>
      <w:r>
        <w:t xml:space="preserve">insurance products (PRIIPs). This option would be accompanied by an appropriate transitional period,</w:t>
      </w:r>
      <w:r>
        <w:t xml:space="preserve"> </w:t>
      </w:r>
      <w:r>
        <w:t xml:space="preserve">to allow distributors and manufacturers time to adjust their business models from a commission-based</w:t>
      </w:r>
      <w:r>
        <w:t xml:space="preserve"> </w:t>
      </w:r>
      <w:r>
        <w:t xml:space="preserve">to a fee-based model, and a grandfathering clause to ensure that obligations under existing contracts</w:t>
      </w:r>
      <w:r>
        <w:t xml:space="preserve"> </w:t>
      </w:r>
      <w:r>
        <w:t xml:space="preserve">with retail investor would not be affected.</w:t>
      </w:r>
      <w:r>
        <w:t xml:space="preserve"> </w:t>
      </w:r>
      <w:r>
        <w:t xml:space="preserve">A variant of this option could be to introduce a partial ban restricting payment of inducements for non-</w:t>
      </w:r>
      <w:r>
        <w:t xml:space="preserve"> </w:t>
      </w:r>
      <w:r>
        <w:t xml:space="preserve">advised services (execution-only). Non-advised services are those where the intermediary does not</w:t>
      </w:r>
      <w:r>
        <w:t xml:space="preserve"> </w:t>
      </w:r>
      <w:r>
        <w:t xml:space="preserve">provide investment advice to the client. A partial ban could cover payments and non-monetary benefits</w:t>
      </w:r>
      <w:r>
        <w:t xml:space="preserve"> </w:t>
      </w:r>
      <w:r>
        <w:t xml:space="preserve">from manufacturers to distributors (or vice-versa) in relation to (i) the reception and transmission of</w:t>
      </w:r>
      <w:r>
        <w:t xml:space="preserve"> </w:t>
      </w:r>
      <w:r>
        <w:t xml:space="preserve">orders, or execution of orders to or on behalf of retail clients, under MiFID, and (ii) non-advised sales</w:t>
      </w:r>
      <w:r>
        <w:t xml:space="preserve"> </w:t>
      </w:r>
      <w:r>
        <w:t xml:space="preserve">under IDD. A partial ban would address the consumer detriment that may occur due to the payment of</w:t>
      </w:r>
      <w:r>
        <w:t xml:space="preserve"> </w:t>
      </w:r>
      <w:r>
        <w:t xml:space="preserve">inducements in the context of execution-only services provided to self-directed retail investors that do</w:t>
      </w:r>
      <w:r>
        <w:t xml:space="preserve"> </w:t>
      </w:r>
      <w:r>
        <w:t xml:space="preserve">not seek advice.</w:t>
      </w:r>
    </w:p>
    <w:p>
      <w:pPr>
        <w:pStyle w:val="BodyText"/>
      </w:pPr>
      <w:r>
        <w:t xml:space="preserve">5.3 Value for Money</w:t>
      </w:r>
      <w:r>
        <w:t xml:space="preserve"> </w:t>
      </w:r>
      <w:r>
        <w:t xml:space="preserve">Option 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t xml:space="preserve"> </w:t>
      </w:r>
      <w:r>
        <w:t xml:space="preserve">Do nothing to change the legal framework – this is the baseline scenario</w:t>
      </w:r>
      <w:r>
        <w:t xml:space="preserve"> </w:t>
      </w:r>
      <w:r>
        <w:t xml:space="preserve">Option 2</w:t>
      </w:r>
      <w:r>
        <w:t xml:space="preserve"> </w:t>
      </w:r>
      <w:r>
        <w:t xml:space="preserve">Strengthen product governance rules for manufacturers by requiring comparison</w:t>
      </w:r>
      <w:r>
        <w:t xml:space="preserve"> </w:t>
      </w:r>
      <w:r>
        <w:t xml:space="preserve">of products to relevant ‘manufacturer benchmarks’ and justify any departures from</w:t>
      </w:r>
    </w:p>
    <w:p>
      <w:pPr>
        <w:pStyle w:val="BodyText"/>
      </w:pPr>
      <w:r>
        <w:t xml:space="preserve">98 The fee models in relation to investment services to professional clients is not within scope of this initiative.</w:t>
      </w:r>
      <w:r>
        <w:br/>
      </w:r>
      <w:r>
        <w:t xml:space="preserve">99 This option would also include a flanking measure in the form of safeguards against intragroup inducement-like payments</w:t>
      </w:r>
      <w:r>
        <w:t xml:space="preserve"> </w:t>
      </w:r>
      <w:r>
        <w:t xml:space="preserve">(in the form of cross subsidies to distributing entities from other group entities) so that vertically and non-vertically</w:t>
      </w:r>
      <w:r>
        <w:t xml:space="preserve"> </w:t>
      </w:r>
      <w:r>
        <w:t xml:space="preserve">integrated providers can compete on equal terms. See infra under discussion on options for more background.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the benchmarks to ensure stronger focus on costs in relation to expected benefits</w:t>
      </w:r>
      <w:r>
        <w:t xml:space="preserve"> </w:t>
      </w:r>
      <w:r>
        <w:t xml:space="preserve">in the product design.</w:t>
      </w:r>
      <w:r>
        <w:t xml:space="preserve"> </w:t>
      </w:r>
      <w:r>
        <w:t xml:space="preserve">Option 3</w:t>
      </w:r>
      <w:r>
        <w:t xml:space="preserve"> </w:t>
      </w:r>
      <w:r>
        <w:t xml:space="preserve">In addition to strengthening product governance rules for manufacturers (option</w:t>
      </w:r>
      <w:r>
        <w:t xml:space="preserve"> </w:t>
      </w:r>
      <w:r>
        <w:t xml:space="preserve">2), strengthen the rules for distributors by requiring comparison of products to</w:t>
      </w:r>
      <w:r>
        <w:t xml:space="preserve"> </w:t>
      </w:r>
      <w:r>
        <w:t xml:space="preserve">relevant ‘distributor benchmarks’ and justify any departures from the benchmarks</w:t>
      </w:r>
      <w:r>
        <w:t xml:space="preserve"> </w:t>
      </w:r>
      <w:r>
        <w:t xml:space="preserve">to limit fees in distribution.</w:t>
      </w:r>
    </w:p>
    <w:p>
      <w:pPr>
        <w:pStyle w:val="BodyText"/>
      </w:pPr>
      <w:r>
        <w:t xml:space="preserve">Option 2: Strengthen product governance rules for manufacturers</w:t>
      </w:r>
      <w:r>
        <w:br/>
      </w:r>
      <w:r>
        <w:t xml:space="preserve">This option strengthens product governance rules under MiFID, IDD, and the UCITS and AIFM</w:t>
      </w:r>
      <w:r>
        <w:t xml:space="preserve"> </w:t>
      </w:r>
      <w:r>
        <w:t xml:space="preserve">Directives to ensure greater attention to costs in relation to expected benefits in the design of products.</w:t>
      </w:r>
      <w:r>
        <w:t xml:space="preserve"> </w:t>
      </w:r>
      <w:r>
        <w:t xml:space="preserve">As part of their product oversight and governance measures, manufacturers of investment products</w:t>
      </w:r>
      <w:r>
        <w:t xml:space="preserve"> </w:t>
      </w:r>
      <w:r>
        <w:t xml:space="preserve">would be required to properly identify and quantify the costs related to each product (both for existing</w:t>
      </w:r>
      <w:r>
        <w:t xml:space="preserve"> </w:t>
      </w:r>
      <w:r>
        <w:t xml:space="preserve">and new products) and justify that it offers value for money to the target market, including when</w:t>
      </w:r>
      <w:r>
        <w:t xml:space="preserve"> </w:t>
      </w:r>
      <w:r>
        <w:t xml:space="preserve">compared to other products on the market, based on product type-specific cost and performance</w:t>
      </w:r>
      <w:r>
        <w:t xml:space="preserve"> </w:t>
      </w:r>
      <w:r>
        <w:t xml:space="preserve">benchmarks (‘manufacturer benchmarks’). Products that manifestly underperform (in terms of costs</w:t>
      </w:r>
      <w:r>
        <w:t xml:space="preserve"> </w:t>
      </w:r>
      <w:r>
        <w:t xml:space="preserve">and performance) compared to the relevant benchmarks would not be offered to distributors, or else</w:t>
      </w:r>
      <w:r>
        <w:t xml:space="preserve"> </w:t>
      </w:r>
      <w:r>
        <w:t xml:space="preserve">manufacturers would have to justify their choice to still offer them. Product costs as well as objective</w:t>
      </w:r>
      <w:r>
        <w:t xml:space="preserve"> </w:t>
      </w:r>
      <w:r>
        <w:t xml:space="preserve">reasons as to why some products should be retained (despite not being benchmark-compliant) would</w:t>
      </w:r>
      <w:r>
        <w:t xml:space="preserve"> </w:t>
      </w:r>
      <w:r>
        <w:t xml:space="preserve">have to be properly documented and kept for supervisory scrutiny, upon request. Consequently,</w:t>
      </w:r>
      <w:r>
        <w:t xml:space="preserve"> </w:t>
      </w:r>
      <w:r>
        <w:t xml:space="preserve">manufacturers would be encouraged to develop well-performing and cost-efficient products.</w:t>
      </w:r>
      <w:r>
        <w:t xml:space="preserve"> </w:t>
      </w:r>
      <w:r>
        <w:t xml:space="preserve">ESMA and EIOPA would be mandated to develop in a technical advice the criteria and elements upon</w:t>
      </w:r>
      <w:r>
        <w:t xml:space="preserve"> </w:t>
      </w:r>
      <w:r>
        <w:t xml:space="preserve">which a value for money assessment would have to be based, including the methodology by which</w:t>
      </w:r>
      <w:r>
        <w:t xml:space="preserve"> </w:t>
      </w:r>
      <w:r>
        <w:t xml:space="preserve">comparisons with other relevant products would be made and benchmarks construed in the level 2</w:t>
      </w:r>
      <w:r>
        <w:t xml:space="preserve"> </w:t>
      </w:r>
      <w:r>
        <w:t xml:space="preserve">measures to be adopted by the Commission. The number of relevant benchmarks would be determined</w:t>
      </w:r>
      <w:r>
        <w:t xml:space="preserve"> </w:t>
      </w:r>
      <w:r>
        <w:t xml:space="preserve">by ESMA and EIOPA, subject to their detailed further assessment and sector consultations. The</w:t>
      </w:r>
      <w:r>
        <w:t xml:space="preserve"> </w:t>
      </w:r>
      <w:r>
        <w:t xml:space="preserve">benchmarks would be compiled on the basis of cost and performance data and would need to</w:t>
      </w:r>
      <w:r>
        <w:t xml:space="preserve"> </w:t>
      </w:r>
      <w:r>
        <w:t xml:space="preserve">differentiate between investments that carry different risk levels. Benchmarks would also need to be</w:t>
      </w:r>
      <w:r>
        <w:t xml:space="preserve"> </w:t>
      </w:r>
      <w:r>
        <w:t xml:space="preserve">sufficiently granular, but also have enough products within one group, so as to represent a meaningful</w:t>
      </w:r>
      <w:r>
        <w:t xml:space="preserve"> </w:t>
      </w:r>
      <w:r>
        <w:t xml:space="preserve">basis of comparison for similar product types and categories. In order to facilitate compilation of</w:t>
      </w:r>
      <w:r>
        <w:t xml:space="preserve"> </w:t>
      </w:r>
      <w:r>
        <w:t xml:space="preserve">relevant benchmarks, manufacturers would be required to report relevant cost and performance related</w:t>
      </w:r>
      <w:r>
        <w:t xml:space="preserve"> </w:t>
      </w:r>
      <w:r>
        <w:t xml:space="preserve">data to supervisors. To avoid an unnecessary reporting burden on stakeholders, the ESAs would have</w:t>
      </w:r>
      <w:r>
        <w:t xml:space="preserve"> </w:t>
      </w:r>
      <w:r>
        <w:t xml:space="preserve">to consider the already collected data under any other EU legislation. ESMA and EIOPA would further</w:t>
      </w:r>
      <w:r>
        <w:t xml:space="preserve"> </w:t>
      </w:r>
      <w:r>
        <w:t xml:space="preserve">specify the precise data to be reported for the compilation of the benchmarks. Benchmarks would need</w:t>
      </w:r>
      <w:r>
        <w:t xml:space="preserve"> </w:t>
      </w:r>
      <w:r>
        <w:t xml:space="preserve">to be published and periodically updated.</w:t>
      </w:r>
      <w:r>
        <w:t xml:space="preserve"> </w:t>
      </w:r>
      <w:r>
        <w:t xml:space="preserve">Option 3: In addition to strengthening product governance rules for manufacturers (option 2),</w:t>
      </w:r>
      <w:r>
        <w:t xml:space="preserve"> </w:t>
      </w:r>
      <w:r>
        <w:t xml:space="preserve">strengthen the rules for distributors</w:t>
      </w:r>
      <w:r>
        <w:t xml:space="preserve"> </w:t>
      </w:r>
      <w:r>
        <w:t xml:space="preserve">Under this option, the requirements for manufacturers would be strengthened as described under option</w:t>
      </w:r>
      <w:r>
        <w:t xml:space="preserve"> </w:t>
      </w:r>
      <w:r>
        <w:t xml:space="preserve">2. In addition, the product governance rules under MiFID and IDD for distributors would be enhanced.</w:t>
      </w:r>
      <w:r>
        <w:t xml:space="preserve"> </w:t>
      </w:r>
      <w:r>
        <w:t xml:space="preserve">Distributors of investment products would be required to assess how the products they distribute</w:t>
      </w:r>
      <w:r>
        <w:t xml:space="preserve"> </w:t>
      </w:r>
      <w:r>
        <w:t xml:space="preserve">compare to relevant benchmarks (‘distributor benchmarks’) for similar products in the market.</w:t>
      </w:r>
      <w:r>
        <w:t xml:space="preserve"> </w:t>
      </w:r>
      <w:r>
        <w:t xml:space="preserve">Distributors should receive the relevant explanations and data from the manufacturer (including the</w:t>
      </w:r>
      <w:r>
        <w:t xml:space="preserve"> </w:t>
      </w:r>
      <w:r>
        <w:t xml:space="preserve">cost justification of its product, and explanation of how concretely its product brings value to the target</w:t>
      </w:r>
      <w:r>
        <w:t xml:space="preserve"> </w:t>
      </w:r>
      <w:r>
        <w:t xml:space="preserve">market) and would be required to include the additional costs related to distribution that are not known</w:t>
      </w:r>
      <w:r>
        <w:t xml:space="preserve"> </w:t>
      </w:r>
      <w:r>
        <w:t xml:space="preserve">by the manufacturer. The assessment could be done at a central level (e.g. compliance department at</w:t>
      </w:r>
      <w:r>
        <w:t xml:space="preserve"> </w:t>
      </w:r>
      <w:r>
        <w:t xml:space="preserve">the distributor’s headquarters) rather than at the level of individual advisors.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Similar to option 2, under option 3 distributors would not be able to offer to the client products that</w:t>
      </w:r>
      <w:r>
        <w:t xml:space="preserve"> </w:t>
      </w:r>
      <w:r>
        <w:t xml:space="preserve">would manifestly underperform compared to the relevant benchmark, which would include distribution</w:t>
      </w:r>
      <w:r>
        <w:t xml:space="preserve"> </w:t>
      </w:r>
      <w:r>
        <w:t xml:space="preserve">fees, unless they have objective reasons for doing so. Distributors would be required to document the</w:t>
      </w:r>
      <w:r>
        <w:t xml:space="preserve"> </w:t>
      </w:r>
      <w:r>
        <w:t xml:space="preserve">result of their comparison to the relevant benchmarks, as well as the objective reasons in case of</w:t>
      </w:r>
      <w:r>
        <w:t xml:space="preserve"> </w:t>
      </w:r>
      <w:r>
        <w:t xml:space="preserve">departures from the benchmark. They should disclose this documentation to supervisors upon request.</w:t>
      </w:r>
      <w:r>
        <w:t xml:space="preserve"> </w:t>
      </w:r>
      <w:r>
        <w:t xml:space="preserve">Consequently, distributors would provide an additional discipline on manufacturers to develop cost-</w:t>
      </w:r>
      <w:r>
        <w:t xml:space="preserve"> </w:t>
      </w:r>
      <w:r>
        <w:t xml:space="preserve">efficient and well-performing products.</w:t>
      </w:r>
      <w:r>
        <w:t xml:space="preserve"> </w:t>
      </w:r>
      <w:r>
        <w:t xml:space="preserve">As in the case of option 2, under option 3 the ESAs would be mandated to develop in technical advice</w:t>
      </w:r>
      <w:r>
        <w:t xml:space="preserve"> </w:t>
      </w:r>
      <w:r>
        <w:t xml:space="preserve">‘distributor benchmarks’ which would be distinct from ‘manufacturer benchmarks’, as they would also</w:t>
      </w:r>
      <w:r>
        <w:t xml:space="preserve"> </w:t>
      </w:r>
      <w:r>
        <w:t xml:space="preserve">include distribution fees. To develop these benchmarks, the ESAs may need to collect additional data</w:t>
      </w:r>
      <w:r>
        <w:t xml:space="preserve"> </w:t>
      </w:r>
      <w:r>
        <w:t xml:space="preserve">from distributors. ESMA and EIOPA would further specify the precise data to be reported for the</w:t>
      </w:r>
      <w:r>
        <w:t xml:space="preserve"> </w:t>
      </w:r>
      <w:r>
        <w:t xml:space="preserve">compilation of the benchmarks.</w:t>
      </w:r>
      <w:r>
        <w:t xml:space="preserve"> </w:t>
      </w:r>
      <w:r>
        <w:t xml:space="preserve">It could be further envisaged, as a sub-option, to require distributors to explain the value proposition of</w:t>
      </w:r>
      <w:r>
        <w:t xml:space="preserve"> </w:t>
      </w:r>
      <w:r>
        <w:t xml:space="preserve">the recommended product to the client and to disclose, as part of the suitability assessment, how the</w:t>
      </w:r>
      <w:r>
        <w:t xml:space="preserve"> </w:t>
      </w:r>
      <w:r>
        <w:t xml:space="preserve">product compares to the ‘distributor benchmark’. This could help establish market discipline by</w:t>
      </w:r>
      <w:r>
        <w:t xml:space="preserve"> </w:t>
      </w:r>
      <w:r>
        <w:t xml:space="preserve">ensuring that distributors scrupulously follow the assessment process. At the same time, the</w:t>
      </w:r>
      <w:r>
        <w:t xml:space="preserve"> </w:t>
      </w:r>
      <w:r>
        <w:t xml:space="preserve">explanations given to the client would contribute to raising the awareness of clients and their financial</w:t>
      </w:r>
      <w:r>
        <w:t xml:space="preserve"> </w:t>
      </w:r>
      <w:r>
        <w:t xml:space="preserve">literacy and enhance the quality of the advice to help ensure that only cost-efficient products are offered</w:t>
      </w:r>
      <w:r>
        <w:t xml:space="preserve"> </w:t>
      </w:r>
      <w:r>
        <w:t xml:space="preserve">to clients. However, imposition of a such a requirement on distributors would entail significant and</w:t>
      </w:r>
      <w:r>
        <w:t xml:space="preserve"> </w:t>
      </w:r>
      <w:r>
        <w:t xml:space="preserve">disproportionate additional costs, given the large number of distributors that would need to receive</w:t>
      </w:r>
      <w:r>
        <w:t xml:space="preserve"> </w:t>
      </w:r>
      <w:r>
        <w:t xml:space="preserve">training and given the additional time needed to explain the value for money assessment to clients. This</w:t>
      </w:r>
      <w:r>
        <w:t xml:space="preserve"> </w:t>
      </w:r>
      <w:r>
        <w:t xml:space="preserve">sub-option is therefore not analysed further in this impact assessment.</w:t>
      </w:r>
      <w:r>
        <w:t xml:space="preserve"> </w:t>
      </w:r>
      <w:r>
        <w:t xml:space="preserve">5.4 Flanking measures</w:t>
      </w:r>
      <w:r>
        <w:t xml:space="preserve"> </w:t>
      </w:r>
      <w:r>
        <w:t xml:space="preserve">As set out in the introduction to section 5, a set of flanking measures that contribute to addressing the</w:t>
      </w:r>
      <w:r>
        <w:t xml:space="preserve"> </w:t>
      </w:r>
      <w:r>
        <w:t xml:space="preserve">identified problems and meeting the general and specific objectives is analysed in the corresponding</w:t>
      </w:r>
      <w:r>
        <w:t xml:space="preserve"> </w:t>
      </w:r>
      <w:r>
        <w:t xml:space="preserve">Annexes. These measures would not be sufficient to fully address the identified problems, they are</w:t>
      </w:r>
      <w:r>
        <w:t xml:space="preserve"> </w:t>
      </w:r>
      <w:r>
        <w:t xml:space="preserve">however an intrinsic part of the overall package and designed to work in conjunction with the main</w:t>
      </w:r>
      <w:r>
        <w:t xml:space="preserve"> </w:t>
      </w:r>
      <w:r>
        <w:t xml:space="preserve">measures.</w:t>
      </w:r>
      <w:r>
        <w:br/>
      </w:r>
      <w:r>
        <w:t xml:space="preserve">The “flanking measures” are described in the following table.</w:t>
      </w:r>
    </w:p>
    <w:p>
      <w:pPr>
        <w:pStyle w:val="BodyText"/>
      </w:pPr>
      <w:r>
        <w:t xml:space="preserve">Flanking</w:t>
      </w:r>
      <w:r>
        <w:t xml:space="preserve"> </w:t>
      </w:r>
      <w:r>
        <w:t xml:space="preserve">measure - Annex</w:t>
      </w:r>
      <w:r>
        <w:br/>
      </w:r>
      <w:r>
        <w:t xml:space="preserve">Which objective</w:t>
      </w:r>
      <w:r>
        <w:t xml:space="preserve"> </w:t>
      </w:r>
      <w:r>
        <w:t xml:space="preserve">is</w:t>
      </w:r>
      <w:r>
        <w:t xml:space="preserve"> </w:t>
      </w:r>
      <w:r>
        <w:t xml:space="preserve">primarily</w:t>
      </w:r>
      <w:r>
        <w:t xml:space="preserve"> </w:t>
      </w:r>
      <w:r>
        <w:t xml:space="preserve">met?</w:t>
      </w:r>
      <w:r>
        <w:br/>
      </w:r>
      <w:r>
        <w:t xml:space="preserve">Problem</w:t>
      </w:r>
      <w:r>
        <w:br/>
      </w:r>
      <w:r>
        <w:t xml:space="preserve">Preferred Option</w:t>
      </w:r>
      <w:r>
        <w:br/>
      </w:r>
      <w:r>
        <w:t xml:space="preserve">Financial literacy</w:t>
      </w:r>
      <w:r>
        <w:t xml:space="preserve"> </w:t>
      </w:r>
      <w:r>
        <w:t xml:space="preserve">(Annex 5)</w:t>
      </w:r>
      <w:r>
        <w:t xml:space="preserve"> </w:t>
      </w:r>
      <w:r>
        <w:t xml:space="preserve">SO1:</w:t>
      </w:r>
      <w:r>
        <w:t xml:space="preserve"> </w:t>
      </w:r>
      <w:r>
        <w:t xml:space="preserve">Improve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investors</w:t>
      </w:r>
      <w:r>
        <w:t xml:space="preserve"> </w:t>
      </w:r>
      <w:r>
        <w:t xml:space="preserve">and</w:t>
      </w:r>
      <w:r>
        <w:t xml:space="preserve"> </w:t>
      </w:r>
      <w:r>
        <w:t xml:space="preserve">their ability to</w:t>
      </w:r>
      <w:r>
        <w:t xml:space="preserve"> </w:t>
      </w:r>
      <w:r>
        <w:t xml:space="preserve">take</w:t>
      </w:r>
      <w:r>
        <w:t xml:space="preserve"> </w:t>
      </w:r>
      <w:r>
        <w:t xml:space="preserve">well-</w:t>
      </w:r>
      <w:r>
        <w:t xml:space="preserve"> </w:t>
      </w:r>
      <w:r>
        <w:t xml:space="preserve">informed</w:t>
      </w:r>
      <w:r>
        <w:t xml:space="preserve"> </w:t>
      </w:r>
      <w:r>
        <w:t xml:space="preserve">investment</w:t>
      </w:r>
      <w:r>
        <w:t xml:space="preserve"> </w:t>
      </w:r>
      <w:r>
        <w:t xml:space="preserve">decisions.</w:t>
      </w:r>
      <w:r>
        <w:t xml:space="preserve"> </w:t>
      </w:r>
      <w:r>
        <w:t xml:space="preserve">Low financial literacy levels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of disclosures</w:t>
      </w:r>
      <w:r>
        <w:t xml:space="preserve"> </w:t>
      </w:r>
      <w:r>
        <w:t xml:space="preserve">and increase reliance on</w:t>
      </w:r>
      <w:r>
        <w:t xml:space="preserve"> </w:t>
      </w:r>
      <w:r>
        <w:t xml:space="preserve">advice, be it good or bad.</w:t>
      </w:r>
      <w:r>
        <w:t xml:space="preserve"> </w:t>
      </w:r>
      <w:r>
        <w:t xml:space="preserve">Support and supplement</w:t>
      </w:r>
      <w:r>
        <w:t xml:space="preserve"> </w:t>
      </w:r>
      <w:r>
        <w:t xml:space="preserve">the work of EU Member</w:t>
      </w:r>
      <w:r>
        <w:t xml:space="preserve"> </w:t>
      </w:r>
      <w:r>
        <w:t xml:space="preserve">States by replicating a</w:t>
      </w:r>
      <w:r>
        <w:t xml:space="preserve"> </w:t>
      </w:r>
      <w:r>
        <w:t xml:space="preserve">provision in Article 6</w:t>
      </w:r>
      <w:r>
        <w:t xml:space="preserve"> </w:t>
      </w:r>
      <w:r>
        <w:t xml:space="preserve">MCD into the relevant</w:t>
      </w:r>
      <w:r>
        <w:t xml:space="preserve"> </w:t>
      </w:r>
      <w:r>
        <w:t xml:space="preserve">financial legislation on</w:t>
      </w:r>
      <w:r>
        <w:t xml:space="preserve"> </w:t>
      </w:r>
      <w:r>
        <w:t xml:space="preserve">distribution of investment</w:t>
      </w:r>
      <w:r>
        <w:t xml:space="preserve"> </w:t>
      </w:r>
      <w:r>
        <w:t xml:space="preserve">products,</w:t>
      </w:r>
      <w:r>
        <w:t xml:space="preserve"> </w:t>
      </w:r>
      <w:r>
        <w:t xml:space="preserve">calling</w:t>
      </w:r>
      <w:r>
        <w:t xml:space="preserve"> </w:t>
      </w:r>
      <w:r>
        <w:t xml:space="preserve">on</w:t>
      </w:r>
      <w:r>
        <w:t xml:space="preserve"> </w:t>
      </w:r>
      <w:r>
        <w:t xml:space="preserve">Member States to promote</w:t>
      </w:r>
      <w:r>
        <w:t xml:space="preserve"> </w:t>
      </w:r>
      <w:r>
        <w:t xml:space="preserve">financial education/digital</w:t>
      </w:r>
      <w:r>
        <w:t xml:space="preserve"> </w:t>
      </w:r>
      <w:r>
        <w:t xml:space="preserve">literacy initiatives.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Client</w:t>
      </w:r>
      <w:r>
        <w:t xml:space="preserve"> </w:t>
      </w:r>
      <w:r>
        <w:t xml:space="preserve">categorisation</w:t>
      </w:r>
      <w:r>
        <w:t xml:space="preserve"> </w:t>
      </w:r>
      <w:r>
        <w:t xml:space="preserve">(Annex 6)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objective:</w:t>
      </w:r>
      <w:r>
        <w:t xml:space="preserve"> </w:t>
      </w:r>
      <w:r>
        <w:t xml:space="preserve">improve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 of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Current rules over-protect a</w:t>
      </w:r>
      <w:r>
        <w:t xml:space="preserve"> </w:t>
      </w:r>
      <w:r>
        <w:t xml:space="preserve">subcategory of experienced</w:t>
      </w:r>
      <w:r>
        <w:t xml:space="preserve"> </w:t>
      </w:r>
      <w:r>
        <w:t xml:space="preserve">investors who may not easily</w:t>
      </w:r>
      <w:r>
        <w:t xml:space="preserve"> </w:t>
      </w:r>
      <w:r>
        <w:t xml:space="preserve">access certain products.</w:t>
      </w:r>
      <w:r>
        <w:t xml:space="preserve"> </w:t>
      </w:r>
      <w:r>
        <w:t xml:space="preserve">Adjustment to the current</w:t>
      </w:r>
      <w:r>
        <w:t xml:space="preserve"> </w:t>
      </w:r>
      <w:r>
        <w:t xml:space="preserve">MiFID criteria to qualify</w:t>
      </w:r>
      <w:r>
        <w:t xml:space="preserve"> </w:t>
      </w:r>
      <w:r>
        <w:t xml:space="preserve">as a professional client on</w:t>
      </w:r>
      <w:r>
        <w:t xml:space="preserve"> </w:t>
      </w:r>
      <w:r>
        <w:t xml:space="preserve">request.</w:t>
      </w:r>
      <w:r>
        <w:t xml:space="preserve"> </w:t>
      </w:r>
      <w:r>
        <w:t xml:space="preserve">Enhanced</w:t>
      </w:r>
      <w:r>
        <w:t xml:space="preserve"> </w:t>
      </w:r>
      <w:r>
        <w:t xml:space="preserve">suitability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appropriateness</w:t>
      </w:r>
      <w:r>
        <w:t xml:space="preserve"> </w:t>
      </w:r>
      <w:r>
        <w:t xml:space="preserve">assessment</w:t>
      </w:r>
      <w:r>
        <w:t xml:space="preserve"> </w:t>
      </w:r>
      <w:r>
        <w:t xml:space="preserve">(Annex 8)</w:t>
      </w:r>
      <w:r>
        <w:br/>
      </w:r>
      <w:r>
        <w:t xml:space="preserve">SO2: Better align</w:t>
      </w:r>
      <w:r>
        <w:t xml:space="preserve"> </w:t>
      </w:r>
      <w:r>
        <w:t xml:space="preserve">interests between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and investors.</w:t>
      </w:r>
    </w:p>
    <w:p>
      <w:pPr>
        <w:pStyle w:val="BodyText"/>
      </w:pPr>
      <w:r>
        <w:t xml:space="preserve">Suitability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appropriateness assessments</w:t>
      </w:r>
      <w:r>
        <w:t xml:space="preserve"> </w:t>
      </w:r>
      <w:r>
        <w:t xml:space="preserve">are not sufficiently fulfilling</w:t>
      </w:r>
      <w:r>
        <w:t xml:space="preserve"> </w:t>
      </w:r>
      <w:r>
        <w:t xml:space="preserve">their purpose and do not</w:t>
      </w:r>
      <w:r>
        <w:t xml:space="preserve"> </w:t>
      </w:r>
      <w:r>
        <w:t xml:space="preserve">prevent mis-selling.</w:t>
      </w:r>
      <w:r>
        <w:t xml:space="preserve"> </w:t>
      </w:r>
      <w:r>
        <w:t xml:space="preserve">Standardize and enhance</w:t>
      </w:r>
      <w:r>
        <w:t xml:space="preserve"> </w:t>
      </w:r>
      <w:r>
        <w:t xml:space="preserve">the</w:t>
      </w:r>
      <w:r>
        <w:t xml:space="preserve"> </w:t>
      </w:r>
      <w:r>
        <w:t xml:space="preserve">suitability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appropriateness</w:t>
      </w:r>
      <w:r>
        <w:t xml:space="preserve"> </w:t>
      </w:r>
      <w:r>
        <w:t xml:space="preserve">assessments, so that firms</w:t>
      </w:r>
      <w:r>
        <w:t xml:space="preserve"> </w:t>
      </w:r>
      <w:r>
        <w:t xml:space="preserve">have better understanding</w:t>
      </w:r>
      <w:r>
        <w:t xml:space="preserve"> </w:t>
      </w:r>
      <w:r>
        <w:t xml:space="preserve">and can better take into</w:t>
      </w:r>
      <w:r>
        <w:t xml:space="preserve"> </w:t>
      </w:r>
      <w:r>
        <w:t xml:space="preserve">account relevant elements</w:t>
      </w:r>
      <w:r>
        <w:t xml:space="preserve"> </w:t>
      </w:r>
      <w:r>
        <w:t xml:space="preserve">of the personal situation of</w:t>
      </w:r>
      <w:r>
        <w:t xml:space="preserve"> </w:t>
      </w:r>
      <w:r>
        <w:t xml:space="preserve">their clients.</w:t>
      </w:r>
      <w:r>
        <w:t xml:space="preserve"> </w:t>
      </w:r>
      <w:r>
        <w:t xml:space="preserve">Supervisory</w:t>
      </w:r>
      <w:r>
        <w:t xml:space="preserve"> </w:t>
      </w:r>
      <w:r>
        <w:t xml:space="preserve">enforcement</w:t>
      </w:r>
      <w:r>
        <w:t xml:space="preserve"> </w:t>
      </w:r>
      <w:r>
        <w:t xml:space="preserve">(Annex 9)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objective:</w:t>
      </w:r>
      <w:r>
        <w:t xml:space="preserve"> </w:t>
      </w:r>
      <w:r>
        <w:t xml:space="preserve">improve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 of 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 strengthen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retail investors.</w:t>
      </w:r>
      <w:r>
        <w:t xml:space="preserve"> </w:t>
      </w:r>
      <w:r>
        <w:t xml:space="preserve">General enforcement:</w:t>
      </w:r>
      <w:r>
        <w:br/>
      </w:r>
      <w:r>
        <w:t xml:space="preserve">-</w:t>
      </w:r>
      <w:r>
        <w:t xml:space="preserve"> </w:t>
      </w:r>
      <w:r>
        <w:t xml:space="preserve">Not</w:t>
      </w:r>
      <w:r>
        <w:t xml:space="preserve"> </w:t>
      </w:r>
      <w:r>
        <w:t xml:space="preserve">all</w:t>
      </w:r>
      <w:r>
        <w:t xml:space="preserve"> </w:t>
      </w:r>
      <w:r>
        <w:t xml:space="preserve">NCAs</w:t>
      </w:r>
      <w:r>
        <w:t xml:space="preserve"> </w:t>
      </w:r>
      <w:r>
        <w:t xml:space="preserve">have</w:t>
      </w:r>
      <w:r>
        <w:t xml:space="preserve"> </w:t>
      </w:r>
      <w:r>
        <w:t xml:space="preserve">powers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mystery shopping.</w:t>
      </w:r>
      <w:r>
        <w:br/>
      </w:r>
      <w:r>
        <w:t xml:space="preserve">-</w:t>
      </w:r>
      <w:r>
        <w:t xml:space="preserve"> </w:t>
      </w:r>
      <w:r>
        <w:t xml:space="preserve">Increased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leads to increase in the</w:t>
      </w:r>
      <w:r>
        <w:t xml:space="preserve"> </w:t>
      </w:r>
      <w:r>
        <w:t xml:space="preserve">number of scams.</w:t>
      </w:r>
      <w:r>
        <w:br/>
      </w:r>
      <w:r>
        <w:t xml:space="preserve">-</w:t>
      </w:r>
      <w:r>
        <w:t xml:space="preserve"> </w:t>
      </w:r>
      <w:r>
        <w:t xml:space="preserve">NCAs</w:t>
      </w:r>
      <w:r>
        <w:t xml:space="preserve"> </w:t>
      </w:r>
      <w:r>
        <w:t xml:space="preserve">lack</w:t>
      </w:r>
      <w:r>
        <w:t xml:space="preserve"> </w:t>
      </w:r>
      <w:r>
        <w:t xml:space="preserve">sufficient</w:t>
      </w:r>
      <w:r>
        <w:t xml:space="preserve"> </w:t>
      </w:r>
      <w:r>
        <w:t xml:space="preserve">powers</w:t>
      </w:r>
      <w:r>
        <w:t xml:space="preserve"> </w:t>
      </w:r>
      <w:r>
        <w:t xml:space="preserve">to</w:t>
      </w:r>
      <w:r>
        <w:t xml:space="preserve"> </w:t>
      </w:r>
      <w:r>
        <w:t xml:space="preserve">tackle</w:t>
      </w:r>
      <w:r>
        <w:t xml:space="preserve"> </w:t>
      </w:r>
      <w:r>
        <w:t xml:space="preserve">aggressive</w:t>
      </w:r>
      <w:r>
        <w:t xml:space="preserve"> </w:t>
      </w:r>
      <w:r>
        <w:t xml:space="preserve">online</w:t>
      </w:r>
      <w:r>
        <w:t xml:space="preserve"> </w:t>
      </w:r>
      <w:r>
        <w:t xml:space="preserve">marketing practices and</w:t>
      </w:r>
      <w:r>
        <w:t xml:space="preserve"> </w:t>
      </w:r>
      <w:r>
        <w:t xml:space="preserve">allow them to intervene in</w:t>
      </w:r>
      <w:r>
        <w:t xml:space="preserve"> </w:t>
      </w:r>
      <w:r>
        <w:t xml:space="preserve">a timely manner.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risk warnings</w:t>
      </w:r>
      <w:r>
        <w:t xml:space="preserve"> </w:t>
      </w:r>
      <w:r>
        <w:t xml:space="preserve">about the risky nature of</w:t>
      </w:r>
      <w:r>
        <w:t xml:space="preserve"> </w:t>
      </w:r>
      <w:r>
        <w:t xml:space="preserve">some financial products.</w:t>
      </w:r>
      <w:r>
        <w:t xml:space="preserve"> </w:t>
      </w:r>
      <w:r>
        <w:t xml:space="preserve">-</w:t>
      </w:r>
      <w:r>
        <w:t xml:space="preserve"> </w:t>
      </w:r>
      <w:r>
        <w:t xml:space="preserve">Uneven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protection across the EU</w:t>
      </w:r>
      <w:r>
        <w:t xml:space="preserve"> </w:t>
      </w:r>
      <w:r>
        <w:t xml:space="preserve">due to differences in the</w:t>
      </w:r>
      <w:r>
        <w:t xml:space="preserve"> </w:t>
      </w:r>
      <w:r>
        <w:t xml:space="preserve">rules and procedures.</w:t>
      </w:r>
      <w:r>
        <w:t xml:space="preserve"> </w:t>
      </w:r>
      <w:r>
        <w:t xml:space="preserve">Strengthen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supervisory enforcement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protection, by:</w:t>
      </w:r>
      <w:r>
        <w:br/>
      </w:r>
      <w:r>
        <w:t xml:space="preserve">-</w:t>
      </w:r>
      <w:r>
        <w:t xml:space="preserve"> </w:t>
      </w:r>
      <w:r>
        <w:t xml:space="preserve">Introducing</w:t>
      </w:r>
      <w:r>
        <w:t xml:space="preserve"> </w:t>
      </w:r>
      <w:r>
        <w:t xml:space="preserve">an</w:t>
      </w:r>
      <w:r>
        <w:t xml:space="preserve"> </w:t>
      </w:r>
      <w:r>
        <w:t xml:space="preserve">obligation</w:t>
      </w:r>
      <w:r>
        <w:t xml:space="preserve"> </w:t>
      </w:r>
      <w:r>
        <w:t xml:space="preserve">for</w:t>
      </w:r>
      <w:r>
        <w:t xml:space="preserve"> </w:t>
      </w:r>
      <w:r>
        <w:t xml:space="preserve">Member States to give</w:t>
      </w:r>
      <w:r>
        <w:t xml:space="preserve"> </w:t>
      </w:r>
      <w:r>
        <w:t xml:space="preserve">powers to NCAs to</w:t>
      </w:r>
      <w:r>
        <w:t xml:space="preserve"> </w:t>
      </w:r>
      <w:r>
        <w:t xml:space="preserve">perform</w:t>
      </w:r>
      <w:r>
        <w:t xml:space="preserve"> </w:t>
      </w:r>
      <w:r>
        <w:t xml:space="preserve">mystery</w:t>
      </w:r>
      <w:r>
        <w:t xml:space="preserve"> </w:t>
      </w:r>
      <w:r>
        <w:t xml:space="preserve">shopping activities.</w:t>
      </w:r>
      <w:r>
        <w:t xml:space="preserve"> </w:t>
      </w:r>
      <w:r>
        <w:t xml:space="preserve">-</w:t>
      </w:r>
      <w:r>
        <w:t xml:space="preserve"> </w:t>
      </w:r>
      <w:r>
        <w:t xml:space="preserve">Address scams in the</w:t>
      </w:r>
      <w:r>
        <w:t xml:space="preserve"> </w:t>
      </w:r>
      <w:r>
        <w:t xml:space="preserve">context of new digital</w:t>
      </w:r>
      <w:r>
        <w:t xml:space="preserve"> </w:t>
      </w:r>
      <w:r>
        <w:t xml:space="preserve">channels.</w:t>
      </w:r>
      <w:r>
        <w:t xml:space="preserve"> </w:t>
      </w:r>
      <w:r>
        <w:t xml:space="preserve">-</w:t>
      </w:r>
      <w:r>
        <w:t xml:space="preserve"> </w:t>
      </w:r>
      <w:r>
        <w:t xml:space="preserve">Empowering</w:t>
      </w:r>
      <w:r>
        <w:t xml:space="preserve"> </w:t>
      </w:r>
      <w:r>
        <w:t xml:space="preserve">NCAs,</w:t>
      </w:r>
      <w:r>
        <w:t xml:space="preserve"> </w:t>
      </w:r>
      <w:r>
        <w:t xml:space="preserve">ESMA and EIOPA to</w:t>
      </w:r>
      <w:r>
        <w:t xml:space="preserve"> </w:t>
      </w:r>
      <w:r>
        <w:t xml:space="preserve">take</w:t>
      </w:r>
      <w:r>
        <w:t xml:space="preserve"> </w:t>
      </w:r>
      <w:r>
        <w:t xml:space="preserve">timely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actions</w:t>
      </w:r>
      <w:r>
        <w:t xml:space="preserve"> </w:t>
      </w:r>
      <w:r>
        <w:t xml:space="preserve">against</w:t>
      </w:r>
      <w:r>
        <w:t xml:space="preserve"> </w:t>
      </w:r>
      <w:r>
        <w:t xml:space="preserve">misleading</w:t>
      </w:r>
      <w:r>
        <w:t xml:space="preserve"> </w:t>
      </w:r>
      <w:r>
        <w:t xml:space="preserve">marketing practices.</w:t>
      </w:r>
      <w:r>
        <w:t xml:space="preserve"> </w:t>
      </w:r>
      <w:r>
        <w:t xml:space="preserve">-</w:t>
      </w:r>
      <w:r>
        <w:t xml:space="preserve"> </w:t>
      </w:r>
      <w:r>
        <w:t xml:space="preserve">Empowering ESMA,</w:t>
      </w:r>
      <w:r>
        <w:t xml:space="preserve"> </w:t>
      </w:r>
      <w:r>
        <w:t xml:space="preserve">EIOPA and NCAs to</w:t>
      </w:r>
      <w:r>
        <w:t xml:space="preserve"> </w:t>
      </w:r>
      <w:r>
        <w:t xml:space="preserve">impose on firms the</w:t>
      </w:r>
      <w:r>
        <w:t xml:space="preserve"> </w:t>
      </w:r>
      <w:r>
        <w:t xml:space="preserve">systematic use of risk</w:t>
      </w:r>
      <w:r>
        <w:t xml:space="preserve"> </w:t>
      </w:r>
      <w:r>
        <w:t xml:space="preserve">warnings for specific</w:t>
      </w:r>
      <w:r>
        <w:t xml:space="preserve"> </w:t>
      </w:r>
      <w:r>
        <w:t xml:space="preserve">financial instruments.</w:t>
      </w:r>
      <w:r>
        <w:t xml:space="preserve"> </w:t>
      </w:r>
      <w:r>
        <w:t xml:space="preserve">-</w:t>
      </w:r>
      <w:r>
        <w:t xml:space="preserve"> </w:t>
      </w:r>
      <w:r>
        <w:t xml:space="preserve">Imposing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complaints</w:t>
      </w:r>
      <w:r>
        <w:t xml:space="preserve"> </w:t>
      </w:r>
      <w:r>
        <w:t xml:space="preserve">handling</w:t>
      </w:r>
      <w:r>
        <w:t xml:space="preserve"> </w:t>
      </w:r>
      <w:r>
        <w:t xml:space="preserve">for consumers.</w:t>
      </w:r>
      <w:r>
        <w:t xml:space="preserve"> </w:t>
      </w:r>
      <w:r>
        <w:t xml:space="preserve">Supervisory</w:t>
      </w:r>
      <w:r>
        <w:t xml:space="preserve"> </w:t>
      </w:r>
      <w:r>
        <w:t xml:space="preserve">enforcement</w:t>
      </w:r>
      <w:r>
        <w:t xml:space="preserve"> </w:t>
      </w:r>
      <w:r>
        <w:t xml:space="preserve">(Annex 9)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objective:</w:t>
      </w:r>
      <w:r>
        <w:t xml:space="preserve"> </w:t>
      </w:r>
      <w:r>
        <w:t xml:space="preserve">improve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 of 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 strengthen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Cross-Border provision of</w:t>
      </w:r>
      <w:r>
        <w:t xml:space="preserve"> </w:t>
      </w:r>
      <w:r>
        <w:t xml:space="preserve">services:</w:t>
      </w:r>
      <w:r>
        <w:t xml:space="preserve"> </w:t>
      </w:r>
      <w:r>
        <w:t xml:space="preserve">-</w:t>
      </w:r>
      <w:r>
        <w:t xml:space="preserve"> </w:t>
      </w:r>
      <w:r>
        <w:t xml:space="preserve">NCAs responsible for the</w:t>
      </w:r>
      <w:r>
        <w:t xml:space="preserve"> </w:t>
      </w:r>
      <w:r>
        <w:t xml:space="preserve">supervision of the firms</w:t>
      </w:r>
      <w:r>
        <w:t xml:space="preserve"> </w:t>
      </w:r>
      <w:r>
        <w:t xml:space="preserve">authorised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jurisdiction (home) may</w:t>
      </w:r>
      <w:r>
        <w:t xml:space="preserve"> </w:t>
      </w:r>
      <w:r>
        <w:t xml:space="preserve">face</w:t>
      </w:r>
      <w:r>
        <w:t xml:space="preserve"> </w:t>
      </w:r>
      <w:r>
        <w:t xml:space="preserve">difficulties</w:t>
      </w:r>
      <w:r>
        <w:t xml:space="preserve"> </w:t>
      </w:r>
      <w:r>
        <w:t xml:space="preserve">when</w:t>
      </w:r>
      <w:r>
        <w:t xml:space="preserve"> </w:t>
      </w:r>
      <w:r>
        <w:t xml:space="preserve">supervising their cross-</w:t>
      </w:r>
      <w:r>
        <w:t xml:space="preserve"> </w:t>
      </w:r>
      <w:r>
        <w:t xml:space="preserve">border activities, which</w:t>
      </w:r>
      <w:r>
        <w:t xml:space="preserve"> </w:t>
      </w:r>
      <w:r>
        <w:t xml:space="preserve">Improve</w:t>
      </w:r>
      <w:r>
        <w:t xml:space="preserve"> </w:t>
      </w:r>
      <w:r>
        <w:t xml:space="preserve">home/host</w:t>
      </w:r>
      <w:r>
        <w:t xml:space="preserve"> </w:t>
      </w:r>
      <w:r>
        <w:t xml:space="preserve">relationships and protect</w:t>
      </w:r>
      <w:r>
        <w:t xml:space="preserve"> </w:t>
      </w:r>
      <w:r>
        <w:t xml:space="preserve">consumers in situations of</w:t>
      </w:r>
      <w:r>
        <w:t xml:space="preserve"> </w:t>
      </w:r>
      <w:r>
        <w:t xml:space="preserve">cross-border provision of</w:t>
      </w:r>
      <w:r>
        <w:t xml:space="preserve"> </w:t>
      </w:r>
      <w:r>
        <w:t xml:space="preserve">services, by:</w:t>
      </w:r>
      <w:r>
        <w:t xml:space="preserve"> </w:t>
      </w:r>
      <w:r>
        <w:t xml:space="preserve">-</w:t>
      </w:r>
      <w:r>
        <w:t xml:space="preserve"> </w:t>
      </w:r>
      <w:r>
        <w:t xml:space="preserve">Enhancing</w:t>
      </w:r>
      <w:r>
        <w:t xml:space="preserve"> </w:t>
      </w:r>
      <w:r>
        <w:t xml:space="preserve">and</w:t>
      </w:r>
      <w:r>
        <w:t xml:space="preserve"> </w:t>
      </w:r>
      <w:r>
        <w:t xml:space="preserve">accelerating</w:t>
      </w:r>
      <w:r>
        <w:t xml:space="preserve"> </w:t>
      </w:r>
      <w:r>
        <w:t xml:space="preserve">the</w:t>
      </w:r>
      <w:r>
        <w:t xml:space="preserve"> </w:t>
      </w:r>
      <w:r>
        <w:t xml:space="preserve">process of cooperation</w:t>
      </w:r>
      <w:r>
        <w:t xml:space="preserve"> </w:t>
      </w:r>
      <w:r>
        <w:t xml:space="preserve">of home and host</w:t>
      </w:r>
      <w:r>
        <w:t xml:space="preserve"> </w:t>
      </w:r>
      <w:r>
        <w:t xml:space="preserve">NCAs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retail investors.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easily</w:t>
      </w:r>
      <w:r>
        <w:t xml:space="preserve"> </w:t>
      </w:r>
      <w:r>
        <w:t xml:space="preserve">handled by host NCAs.</w:t>
      </w:r>
      <w:r>
        <w:t xml:space="preserve"> </w:t>
      </w:r>
      <w:r>
        <w:t xml:space="preserve">-</w:t>
      </w:r>
      <w:r>
        <w:t xml:space="preserve"> </w:t>
      </w:r>
      <w:r>
        <w:t xml:space="preserve">Some firms have chosen</w:t>
      </w:r>
      <w:r>
        <w:t xml:space="preserve"> </w:t>
      </w:r>
      <w:r>
        <w:t xml:space="preserve">to obtain authorisation in</w:t>
      </w:r>
      <w:r>
        <w:t xml:space="preserve"> </w:t>
      </w:r>
      <w:r>
        <w:t xml:space="preserve">a Member State even</w:t>
      </w:r>
      <w:r>
        <w:t xml:space="preserve"> </w:t>
      </w:r>
      <w:r>
        <w:t xml:space="preserve">though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planning to carry out any,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considerable part, of their</w:t>
      </w:r>
      <w:r>
        <w:t xml:space="preserve"> </w:t>
      </w:r>
      <w:r>
        <w:t xml:space="preserve">activities in that Member</w:t>
      </w:r>
      <w:r>
        <w:t xml:space="preserve"> </w:t>
      </w:r>
      <w:r>
        <w:t xml:space="preserve">State.</w:t>
      </w:r>
      <w:r>
        <w:t xml:space="preserve"> </w:t>
      </w:r>
      <w:r>
        <w:t xml:space="preserve">effective supervision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service providers.</w:t>
      </w:r>
    </w:p>
    <w:p>
      <w:pPr>
        <w:pStyle w:val="Compact"/>
        <w:numPr>
          <w:ilvl w:val="0"/>
          <w:numId w:val="1005"/>
        </w:numPr>
      </w:pPr>
      <w:r>
        <w:t xml:space="preserve">Improving safeguards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supervision</w:t>
      </w:r>
      <w:r>
        <w:t xml:space="preserve"> </w:t>
      </w:r>
      <w:r>
        <w:t xml:space="preserve">of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jurisdiction shopping.</w:t>
      </w:r>
      <w:r>
        <w:t xml:space="preserve"> </w:t>
      </w:r>
      <w:r>
        <w:t xml:space="preserve">Professional</w:t>
      </w:r>
      <w:r>
        <w:t xml:space="preserve"> </w:t>
      </w:r>
      <w:r>
        <w:t xml:space="preserve">qualification</w:t>
      </w:r>
      <w:r>
        <w:t xml:space="preserve"> </w:t>
      </w:r>
      <w:r>
        <w:t xml:space="preserve">of</w:t>
      </w:r>
      <w:r>
        <w:t xml:space="preserve"> </w:t>
      </w:r>
      <w:r>
        <w:t xml:space="preserve">advisors</w:t>
      </w:r>
      <w:r>
        <w:t xml:space="preserve"> </w:t>
      </w:r>
      <w:r>
        <w:t xml:space="preserve">(Annex 10)</w:t>
      </w:r>
      <w:r>
        <w:t xml:space="preserve"> </w:t>
      </w:r>
      <w:r>
        <w:t xml:space="preserve">SO2: Better align</w:t>
      </w:r>
      <w:r>
        <w:t xml:space="preserve"> </w:t>
      </w:r>
      <w:r>
        <w:t xml:space="preserve">interests between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and investors.</w:t>
      </w:r>
      <w:r>
        <w:t xml:space="preserve"> </w:t>
      </w:r>
      <w:r>
        <w:t xml:space="preserve">Existing rules on qualification</w:t>
      </w:r>
      <w:r>
        <w:t xml:space="preserve"> </w:t>
      </w:r>
      <w:r>
        <w:t xml:space="preserve">requirements for investment</w:t>
      </w:r>
      <w:r>
        <w:t xml:space="preserve"> </w:t>
      </w:r>
      <w:r>
        <w:t xml:space="preserve">advisors</w:t>
      </w:r>
      <w:r>
        <w:t xml:space="preserve"> </w:t>
      </w:r>
      <w:r>
        <w:t xml:space="preserve">are</w:t>
      </w:r>
      <w:r>
        <w:t xml:space="preserve"> </w:t>
      </w:r>
      <w:r>
        <w:t xml:space="preserve">deemed</w:t>
      </w:r>
      <w:r>
        <w:t xml:space="preserve"> </w:t>
      </w:r>
      <w:r>
        <w:t xml:space="preserve">insufficient and can lead to</w:t>
      </w:r>
      <w:r>
        <w:t xml:space="preserve"> </w:t>
      </w:r>
      <w:r>
        <w:t xml:space="preserve">clients</w:t>
      </w:r>
      <w:r>
        <w:t xml:space="preserve"> </w:t>
      </w:r>
      <w:r>
        <w:t xml:space="preserve">receiving</w:t>
      </w:r>
      <w:r>
        <w:t xml:space="preserve"> </w:t>
      </w:r>
      <w:r>
        <w:t xml:space="preserve">inappropriate</w:t>
      </w:r>
      <w:r>
        <w:t xml:space="preserve"> </w:t>
      </w:r>
      <w:r>
        <w:t xml:space="preserve">advice</w:t>
      </w:r>
      <w:r>
        <w:t xml:space="preserve"> </w:t>
      </w:r>
      <w:r>
        <w:t xml:space="preserve">and</w:t>
      </w:r>
      <w:r>
        <w:t xml:space="preserve"> </w:t>
      </w:r>
      <w:r>
        <w:t xml:space="preserve">being victims of mis-selling.</w:t>
      </w:r>
      <w:r>
        <w:t xml:space="preserve"> </w:t>
      </w:r>
      <w:r>
        <w:t xml:space="preserve">Strengthening the existing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harmonising some of the</w:t>
      </w:r>
      <w:r>
        <w:t xml:space="preserve"> </w:t>
      </w:r>
      <w:r>
        <w:t xml:space="preserve">requirements set out in</w:t>
      </w:r>
      <w:r>
        <w:t xml:space="preserve"> </w:t>
      </w:r>
      <w:r>
        <w:t xml:space="preserve">MiFID II and IDD.</w:t>
      </w:r>
    </w:p>
    <w:p>
      <w:pPr>
        <w:pStyle w:val="Compact"/>
        <w:numPr>
          <w:ilvl w:val="0"/>
          <w:numId w:val="1006"/>
        </w:numPr>
      </w:pPr>
      <w:r>
        <w:t xml:space="preserve">WHAT ARE THE IMPACTS OF THE POLICY OPTIONS AND HOW DO THEY COMPARE?</w:t>
      </w:r>
      <w:r>
        <w:t xml:space="preserve"> </w:t>
      </w:r>
      <w:r>
        <w:t xml:space="preserve">In this section, each policy option considered (other than Option 1 – “Baseline”) is assessed against the</w:t>
      </w:r>
      <w:r>
        <w:t xml:space="preserve"> </w:t>
      </w:r>
      <w:r>
        <w:t xml:space="preserve">specific objectives presented in Section 4. The baseline scenario (“Option 1” of each problem) is not</w:t>
      </w:r>
      <w:r>
        <w:t xml:space="preserve"> </w:t>
      </w:r>
      <w:r>
        <w:t xml:space="preserve">assessed. The consequences of doing nothing are outlined in Section 2 of this impact assessment.</w:t>
      </w:r>
      <w:r>
        <w:t xml:space="preserve"> </w:t>
      </w:r>
      <w:r>
        <w:t xml:space="preserve">6.1 Informational deficiencies</w:t>
      </w:r>
      <w:r>
        <w:t xml:space="preserve"> </w:t>
      </w:r>
      <w:r>
        <w:t xml:space="preserve">Option 2: Targeted changes to disclosure rules to improve their relevance for retail investors</w:t>
      </w:r>
    </w:p>
    <w:p>
      <w:pPr>
        <w:pStyle w:val="Compact"/>
        <w:numPr>
          <w:ilvl w:val="0"/>
          <w:numId w:val="1006"/>
        </w:numPr>
      </w:pPr>
      <w:r>
        <w:t xml:space="preserve">Benefits</w:t>
      </w:r>
      <w:r>
        <w:br/>
      </w:r>
      <w:r>
        <w:t xml:space="preserve">Improved presentation of the PRIIPs key investment document (notably layering of information and</w:t>
      </w:r>
      <w:r>
        <w:t xml:space="preserve"> </w:t>
      </w:r>
      <w:r>
        <w:t xml:space="preserve">summary dashboard) would make it easier for retail investors to understand key characteristics of the</w:t>
      </w:r>
      <w:r>
        <w:t xml:space="preserve"> </w:t>
      </w:r>
      <w:r>
        <w:t xml:space="preserve">investment product they are considering (e.g. its costs or risk level). This would contribute to some</w:t>
      </w:r>
      <w:r>
        <w:t xml:space="preserve"> </w:t>
      </w:r>
      <w:r>
        <w:t xml:space="preserve">degree to facilitating the choice of a product that matches their needs. The introduction of an ESG</w:t>
      </w:r>
      <w:r>
        <w:t xml:space="preserve"> </w:t>
      </w:r>
      <w:r>
        <w:t xml:space="preserve">dashboard would ensure that retail clients can clearly identify basic information on the sustainability-</w:t>
      </w:r>
      <w:r>
        <w:t xml:space="preserve"> </w:t>
      </w:r>
      <w:r>
        <w:t xml:space="preserve">related characteristics of the products they own or consider buying. That information would enable</w:t>
      </w:r>
      <w:r>
        <w:t xml:space="preserve"> </w:t>
      </w:r>
      <w:r>
        <w:t xml:space="preserve">better comparison of products on sustainability characteristics (due to standardisation) and give more</w:t>
      </w:r>
      <w:r>
        <w:t xml:space="preserve"> </w:t>
      </w:r>
      <w:r>
        <w:t xml:space="preserve">prominence to sustainability information, in line with developing consumer preferences.</w:t>
      </w:r>
      <w:r>
        <w:t xml:space="preserve"> </w:t>
      </w:r>
      <w:r>
        <w:t xml:space="preserve">In the area of MiFID and IDD, the annual costs and performance statement and the standardisation of</w:t>
      </w:r>
      <w:r>
        <w:t xml:space="preserve"> </w:t>
      </w:r>
      <w:r>
        <w:t xml:space="preserve">costs statements to retail clients would lead to greater transparency. The annual statement on costs and</w:t>
      </w:r>
      <w:r>
        <w:t xml:space="preserve"> </w:t>
      </w:r>
      <w:r>
        <w:t xml:space="preserve">performance would enable all retail investors to get a comprehensive and detailed view concerning all</w:t>
      </w:r>
      <w:r>
        <w:t xml:space="preserve"> </w:t>
      </w:r>
      <w:r>
        <w:t xml:space="preserve">the costs and performance associated with their investments over a one-year period. This annual</w:t>
      </w:r>
      <w:r>
        <w:t xml:space="preserve"> </w:t>
      </w:r>
      <w:r>
        <w:t xml:space="preserve">statement would facilitate a better monitoring by the retail clients of the net performance of their</w:t>
      </w:r>
      <w:r>
        <w:t xml:space="preserve"> </w:t>
      </w:r>
      <w:r>
        <w:t xml:space="preserve">financial products.</w:t>
      </w:r>
      <w:r>
        <w:br/>
      </w:r>
      <w:r>
        <w:t xml:space="preserve">The creation of EU standardised cost statements, dedicated to retail clients and to be used by firms for</w:t>
      </w:r>
      <w:r>
        <w:t xml:space="preserve"> </w:t>
      </w:r>
      <w:r>
        <w:t xml:space="preserve">the provision of cost disclosure before a transaction takes place or on annual basis, would facilitate the</w:t>
      </w:r>
      <w:r>
        <w:t xml:space="preserve"> </w:t>
      </w:r>
      <w:r>
        <w:t xml:space="preserve">understanding of such statements by retail clients as well as the comparison of costs and charges of</w:t>
      </w:r>
      <w:r>
        <w:t xml:space="preserve"> </w:t>
      </w:r>
      <w:r>
        <w:t xml:space="preserve">products. EU standardised cost statements would also facilitate the control over costs disclosures by</w:t>
      </w:r>
      <w:r>
        <w:t xml:space="preserve"> </w:t>
      </w:r>
      <w:r>
        <w:t xml:space="preserve">supervisory authorities. They might also support a data basis on costs that could be useful for national</w:t>
      </w:r>
      <w:r>
        <w:t xml:space="preserve"> </w:t>
      </w:r>
      <w:r>
        <w:t xml:space="preserve">competent authorities when controlling the value for money of financial products.</w:t>
      </w:r>
    </w:p>
    <w:p>
      <w:pPr>
        <w:pStyle w:val="FirstParagraph"/>
      </w:pPr>
      <w:r>
        <w:t xml:space="preserve">34</w:t>
      </w:r>
      <w:r>
        <w:t xml:space="preserve"> </w:t>
      </w:r>
      <w:r>
        <w:t xml:space="preserve">Enhanced transparency would reduce information and search costs for retail investors, allowing them</w:t>
      </w:r>
      <w:r>
        <w:t xml:space="preserve"> </w:t>
      </w:r>
      <w:r>
        <w:t xml:space="preserve">to make investment decisions with more confidence. Lower information costs could also foster the</w:t>
      </w:r>
      <w:r>
        <w:t xml:space="preserve"> </w:t>
      </w:r>
      <w:r>
        <w:t xml:space="preserve">participation of households that had not invested in financial products because they did not know how</w:t>
      </w:r>
      <w:r>
        <w:t xml:space="preserve"> </w:t>
      </w:r>
      <w:r>
        <w:t xml:space="preserve">to invest. The 2022 Eurobarometer survey identified that 14% of those respondents that said they had</w:t>
      </w:r>
      <w:r>
        <w:t xml:space="preserve"> </w:t>
      </w:r>
      <w:r>
        <w:t xml:space="preserve">no financial investment justified their behaviour on the grounds they did not know how to invest or</w:t>
      </w:r>
      <w:r>
        <w:t xml:space="preserve"> </w:t>
      </w:r>
      <w:r>
        <w:t xml:space="preserve">found it too complex. While a mere 12% of the respondents to the RIS survey criticised the information</w:t>
      </w:r>
      <w:r>
        <w:t xml:space="preserve"> </w:t>
      </w:r>
      <w:r>
        <w:t xml:space="preserve">provided in investment documents as bad, only 28% gave a positive assessment. These numbers are</w:t>
      </w:r>
      <w:r>
        <w:t xml:space="preserve"> </w:t>
      </w:r>
      <w:r>
        <w:t xml:space="preserve">likely to improve with the measures discussed here.</w:t>
      </w:r>
      <w:r>
        <w:t xml:space="preserve"> </w:t>
      </w:r>
      <w:r>
        <w:t xml:space="preserve">It is however uncertain as to the extent to which more information would contribute to reducing the</w:t>
      </w:r>
      <w:r>
        <w:t xml:space="preserve"> </w:t>
      </w:r>
      <w:r>
        <w:t xml:space="preserve">complexity of investment decisions, and there is an important interaction with the financial literacy of</w:t>
      </w:r>
      <w:r>
        <w:t xml:space="preserve"> </w:t>
      </w:r>
      <w:r>
        <w:t xml:space="preserve">investors. The provision of information would have a greater impact if the information processing</w:t>
      </w:r>
      <w:r>
        <w:t xml:space="preserve"> </w:t>
      </w:r>
      <w:r>
        <w:t xml:space="preserve">capacity of potential investors were to be strengthened.</w:t>
      </w:r>
      <w:r>
        <w:br/>
      </w:r>
      <w:r>
        <w:t xml:space="preserve">There is however no data available that would allow to quantify the effect of lower information or</w:t>
      </w:r>
      <w:r>
        <w:t xml:space="preserve"> </w:t>
      </w:r>
      <w:r>
        <w:t xml:space="preserve">search costs or better access to information on investors’ trust or participation. Data on financial literacy</w:t>
      </w:r>
      <w:r>
        <w:t xml:space="preserve"> </w:t>
      </w:r>
      <w:r>
        <w:t xml:space="preserve">is still patchy, with the results of surveys available in only a few Member States and which are hard to</w:t>
      </w:r>
      <w:r>
        <w:t xml:space="preserve"> </w:t>
      </w:r>
      <w:r>
        <w:t xml:space="preserve">compare over time.</w:t>
      </w:r>
      <w:r>
        <w:br/>
      </w:r>
      <w:r>
        <w:t xml:space="preserve">The provision of more information is costly for financial firms, which entails passing on of costs from</w:t>
      </w:r>
      <w:r>
        <w:t xml:space="preserve"> </w:t>
      </w:r>
      <w:r>
        <w:t xml:space="preserve">providers to retail clients and to firms that provide financial services, IT support or advisory services</w:t>
      </w:r>
      <w:r>
        <w:t xml:space="preserve"> </w:t>
      </w:r>
      <w:r>
        <w:t xml:space="preserve">to financial firms. However, financial firms could benefit from the expansion of their customer base.</w:t>
      </w:r>
      <w:r>
        <w:t xml:space="preserve"> </w:t>
      </w:r>
      <w:r>
        <w:t xml:space="preserve">More transparency may also lead to increased competition on the sell side, putting downward pressure</w:t>
      </w:r>
      <w:r>
        <w:t xml:space="preserve"> </w:t>
      </w:r>
      <w:r>
        <w:t xml:space="preserve">on prices charged for MiFID and IDD products and services, thereby benefiting all investors. It could</w:t>
      </w:r>
      <w:r>
        <w:t xml:space="preserve"> </w:t>
      </w:r>
      <w:r>
        <w:t xml:space="preserve">entice new competitors to enter the market.</w:t>
      </w:r>
      <w:r>
        <w:br/>
      </w:r>
      <w:r>
        <w:t xml:space="preserve">2. Costs</w:t>
      </w:r>
      <w:r>
        <w:br/>
      </w:r>
      <w:r>
        <w:t xml:space="preserve">Companies that manufacture financial products in the scope of PRIIPs will bear the costs related to</w:t>
      </w:r>
      <w:r>
        <w:t xml:space="preserve"> </w:t>
      </w:r>
      <w:r>
        <w:t xml:space="preserve">adapting their PRIIPs key information documents to the new rules100. These costs will be one-off in</w:t>
      </w:r>
      <w:r>
        <w:t xml:space="preserve"> </w:t>
      </w:r>
      <w:r>
        <w:t xml:space="preserve">nature and are expected to be very limited as these companies already have the necessary procedures</w:t>
      </w:r>
      <w:r>
        <w:t xml:space="preserve"> </w:t>
      </w:r>
      <w:r>
        <w:t xml:space="preserve">in place, and the changes are tailored so as not to require additional data. The changes are either related</w:t>
      </w:r>
      <w:r>
        <w:t xml:space="preserve"> </w:t>
      </w:r>
      <w:r>
        <w:t xml:space="preserve">to presentation and format (e.g. dashboards, layering) or designed to make use of existing data (e.g. </w:t>
      </w:r>
      <w:r>
        <w:t xml:space="preserve"> </w:t>
      </w:r>
      <w:r>
        <w:t xml:space="preserve">ESG dashboard)101. The use of layering and other online presentation alternatives will be voluntary, the</w:t>
      </w:r>
      <w:r>
        <w:t xml:space="preserve"> </w:t>
      </w:r>
      <w:r>
        <w:t xml:space="preserve">costs of which will not be directly attributable to the proposed legislative changes102, although</w:t>
      </w:r>
      <w:r>
        <w:t xml:space="preserve"> </w:t>
      </w:r>
      <w:r>
        <w:t xml:space="preserve">companies may face market pressures to apply them as well. The information to be included in an ESG</w:t>
      </w:r>
      <w:r>
        <w:t xml:space="preserve"> </w:t>
      </w:r>
      <w:r>
        <w:t xml:space="preserve">dashboard would be limited to information that is already collected and disclosed by the PRIIPs</w:t>
      </w:r>
      <w:r>
        <w:t xml:space="preserve"> </w:t>
      </w:r>
      <w:r>
        <w:t xml:space="preserve">manufacturer, implying no further cost implications103. No significant impacts are expected with</w:t>
      </w:r>
      <w:r>
        <w:t xml:space="preserve"> </w:t>
      </w:r>
      <w:r>
        <w:t xml:space="preserve">respect to the ongoing costs of updating PRIIPs key information documents, as this option does not</w:t>
      </w:r>
      <w:r>
        <w:t xml:space="preserve"> </w:t>
      </w:r>
      <w:r>
        <w:t xml:space="preserve">change the frequency of updating and as the additional ESG data would be already collected elsewhere.</w:t>
      </w:r>
      <w:r>
        <w:t xml:space="preserve"> </w:t>
      </w:r>
      <w:r>
        <w:t xml:space="preserve">The targeted changes proposed only very slightly change the amount of information to be updated.</w:t>
      </w:r>
    </w:p>
    <w:p>
      <w:pPr>
        <w:pStyle w:val="BodyText"/>
      </w:pPr>
      <w:r>
        <w:t xml:space="preserve">100 Although these costs relate to the substantive requirements of the proposal which are necessary for the fulfilment of the</w:t>
      </w:r>
      <w:r>
        <w:t xml:space="preserve"> </w:t>
      </w:r>
      <w:r>
        <w:t xml:space="preserve">objective of informing retail investors, they are categorised as administrative costs for “one in, one out” purposes. This</w:t>
      </w:r>
      <w:r>
        <w:t xml:space="preserve"> </w:t>
      </w:r>
      <w:r>
        <w:t xml:space="preserve">consideration applies to all costs captured in this section.</w:t>
      </w:r>
      <w:r>
        <w:br/>
      </w:r>
      <w:r>
        <w:t xml:space="preserve">101 These costs have not been quantified in line with the principle of proportionality of analysis from the better regulation</w:t>
      </w:r>
      <w:r>
        <w:t xml:space="preserve"> </w:t>
      </w:r>
      <w:r>
        <w:t xml:space="preserve">toolbox. Other evidence also points at costs of creating and updating PRIIPs KIDs as reasonable, especially considering the</w:t>
      </w:r>
      <w:r>
        <w:t xml:space="preserve"> </w:t>
      </w:r>
      <w:r>
        <w:t xml:space="preserve">number of clients, size of assets under management or revenues of the companies that bear these costs, as confirmed in the</w:t>
      </w:r>
      <w:r>
        <w:t xml:space="preserve"> </w:t>
      </w:r>
      <w:r>
        <w:t xml:space="preserve">Retail investment study (where costs for PRIIPs KIDs are a subset of costs of disclosure frameworks) and in the Study on</w:t>
      </w:r>
      <w:r>
        <w:t xml:space="preserve"> </w:t>
      </w:r>
      <w:r>
        <w:t xml:space="preserve">the costs of compliance for the financial sector (CEPS and ICF, 2019).</w:t>
      </w:r>
      <w:r>
        <w:t xml:space="preserve"> </w:t>
      </w:r>
      <w:r>
        <w:t xml:space="preserve">102 They will however need to respect certain rules and limitations which will be described in secondary legislation or</w:t>
      </w:r>
      <w:r>
        <w:t xml:space="preserve"> </w:t>
      </w:r>
      <w:r>
        <w:t xml:space="preserve">guidelines by ESMA.</w:t>
      </w:r>
      <w:r>
        <w:t xml:space="preserve"> </w:t>
      </w:r>
      <w:r>
        <w:t xml:space="preserve">103 Other than the need to add the information to the layout and updating it, as discussed above more generally. It can be</w:t>
      </w:r>
      <w:r>
        <w:t xml:space="preserve"> </w:t>
      </w:r>
      <w:r>
        <w:t xml:space="preserve">safely assumed that the underlying sustainability information does not change too frequently and can be tackled as part of</w:t>
      </w:r>
      <w:r>
        <w:t xml:space="preserve"> </w:t>
      </w:r>
      <w:r>
        <w:t xml:space="preserve">regular updates of the KIDs.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The introduction of the ex-post annual statement on costs and performance would deepen the existing</w:t>
      </w:r>
      <w:r>
        <w:t xml:space="preserve"> </w:t>
      </w:r>
      <w:r>
        <w:t xml:space="preserve">disclosure obligations in terms of (i) content, by including the element of performance and payments</w:t>
      </w:r>
      <w:r>
        <w:t xml:space="preserve"> </w:t>
      </w:r>
      <w:r>
        <w:t xml:space="preserve">received (in addition to costs) to all clients under MiFID and IDD and personalized projections in</w:t>
      </w:r>
      <w:r>
        <w:t xml:space="preserve"> </w:t>
      </w:r>
      <w:r>
        <w:t xml:space="preserve">relation to clients under IDD, and (ii) the circle of clients receiving such annual statement under MiFID,</w:t>
      </w:r>
      <w:r>
        <w:t xml:space="preserve"> </w:t>
      </w:r>
      <w:r>
        <w:t xml:space="preserve">since the obligation to provide an ex-post annual information would apply in relation to all clients (and</w:t>
      </w:r>
      <w:r>
        <w:t xml:space="preserve"> </w:t>
      </w:r>
      <w:r>
        <w:t xml:space="preserve">not only to those with whom the investment firm has an ongoing relationship or are under portfolio</w:t>
      </w:r>
      <w:r>
        <w:t xml:space="preserve"> </w:t>
      </w:r>
      <w:r>
        <w:t xml:space="preserve">management)104. The introduction of the ex-post annual statement would imply a one-off cost for the</w:t>
      </w:r>
      <w:r>
        <w:t xml:space="preserve"> </w:t>
      </w:r>
      <w:r>
        <w:t xml:space="preserve">industry, consisting of costs for adjusting the existing (IT) systems, so that the new information</w:t>
      </w:r>
      <w:r>
        <w:t xml:space="preserve"> </w:t>
      </w:r>
      <w:r>
        <w:t xml:space="preserve">elements could also be provided and that the statements would be extended to all clients. For an investor</w:t>
      </w:r>
      <w:r>
        <w:t xml:space="preserve"> </w:t>
      </w:r>
      <w:r>
        <w:t xml:space="preserve">base of between 49-58.5 million retail investors105, these one-off costs could be estimated to be in the</w:t>
      </w:r>
      <w:r>
        <w:t xml:space="preserve"> </w:t>
      </w:r>
      <w:r>
        <w:t xml:space="preserve">range of EUR 19 – 67.5 million (see Annex 4 for details)106.</w:t>
      </w:r>
    </w:p>
    <w:p>
      <w:pPr>
        <w:pStyle w:val="BodyText"/>
      </w:pPr>
      <w:r>
        <w:t xml:space="preserve">Ongoing costs for investment firms and insurance undertakings are not expected to increase in relation</w:t>
      </w:r>
      <w:r>
        <w:t xml:space="preserve"> </w:t>
      </w:r>
      <w:r>
        <w:t xml:space="preserve">to clients who already receive annual information, since after the adjustment of the systems, the</w:t>
      </w:r>
      <w:r>
        <w:t xml:space="preserve"> </w:t>
      </w:r>
      <w:r>
        <w:t xml:space="preserve">information that is already available at the level of the firm (or easily retrievable from trading venues</w:t>
      </w:r>
      <w:r>
        <w:t xml:space="preserve"> </w:t>
      </w:r>
      <w:r>
        <w:t xml:space="preserve">platforms/websites) could be provided to clients without any significant additional costs. This is</w:t>
      </w:r>
      <w:r>
        <w:t xml:space="preserve"> </w:t>
      </w:r>
      <w:r>
        <w:t xml:space="preserve">particularly relevant for investment firms, who could incur an increase in ongoing costs in relation to</w:t>
      </w:r>
      <w:r>
        <w:t xml:space="preserve"> </w:t>
      </w:r>
      <w:r>
        <w:t xml:space="preserve">clients who currently do not already receive such information (e.g. clients with whom the firm is not</w:t>
      </w:r>
      <w:r>
        <w:t xml:space="preserve"> </w:t>
      </w:r>
      <w:r>
        <w:t xml:space="preserve">considered to have “an ongoing relationship”). For those clients, investment firms would incur new</w:t>
      </w:r>
      <w:r>
        <w:t xml:space="preserve"> </w:t>
      </w:r>
      <w:r>
        <w:t xml:space="preserve">ongoing costs estimated at EUR 5 per client/per year. Considering the divergent interpretation and</w:t>
      </w:r>
      <w:r>
        <w:t xml:space="preserve"> </w:t>
      </w:r>
      <w:r>
        <w:t xml:space="preserve">practices of the investment firms and Member States on the qualification of “ongoing relationship” in</w:t>
      </w:r>
      <w:r>
        <w:t xml:space="preserve"> </w:t>
      </w:r>
      <w:r>
        <w:t xml:space="preserve">the context of costs disclosure (see above), it is not possible to estimate the number of new clients under</w:t>
      </w:r>
      <w:r>
        <w:t xml:space="preserve"> </w:t>
      </w:r>
      <w:r>
        <w:t xml:space="preserve">MiFID who at present do not receive annual information on costs.</w:t>
      </w:r>
    </w:p>
    <w:p>
      <w:pPr>
        <w:pStyle w:val="BodyText"/>
      </w:pPr>
      <w:r>
        <w:t xml:space="preserve">It is not expected that there would be any material increase of costs for NCAs, as such controls already</w:t>
      </w:r>
      <w:r>
        <w:t xml:space="preserve"> </w:t>
      </w:r>
      <w:r>
        <w:t xml:space="preserve">exist and existing IT tools should be able to absorb a larger amount of data. No significant impact is</w:t>
      </w:r>
      <w:r>
        <w:t xml:space="preserve"> </w:t>
      </w:r>
      <w:r>
        <w:t xml:space="preserve">expected on the resources of ESMA and EIOPA, as their involvement and roles under this option can</w:t>
      </w:r>
      <w:r>
        <w:t xml:space="preserve"> </w:t>
      </w:r>
      <w:r>
        <w:t xml:space="preserve">be performed as part of their existing regulatory and supervisory work.</w:t>
      </w:r>
    </w:p>
    <w:p>
      <w:pPr>
        <w:pStyle w:val="BodyText"/>
      </w:pPr>
      <w:r>
        <w:t xml:space="preserve">Finally, this option would impose no new direct costs on retail investors, but there is a risk that</w:t>
      </w:r>
      <w:r>
        <w:t xml:space="preserve"> </w:t>
      </w:r>
      <w:r>
        <w:t xml:space="preserve">investment firms and insurance companies may pass their additional costs linked to the provision of</w:t>
      </w:r>
      <w:r>
        <w:t xml:space="preserve"> </w:t>
      </w:r>
      <w:r>
        <w:t xml:space="preserve">enhanced annual statements onto their retail clients via an increase of their investment and ancillary</w:t>
      </w:r>
      <w:r>
        <w:t xml:space="preserve"> </w:t>
      </w:r>
      <w:r>
        <w:t xml:space="preserve">services costs.</w:t>
      </w:r>
    </w:p>
    <w:p>
      <w:pPr>
        <w:pStyle w:val="BodyText"/>
      </w:pPr>
      <w:r>
        <w:t xml:space="preserve">The introduction of an EU template on costs disclosure, would imply a one-off cost for the industry to</w:t>
      </w:r>
      <w:r>
        <w:t xml:space="preserve"> </w:t>
      </w:r>
      <w:r>
        <w:t xml:space="preserve">adjust existing (IT) systems to the new template. It may also require firms to adjust their costs strategy</w:t>
      </w:r>
      <w:r>
        <w:t xml:space="preserve"> </w:t>
      </w:r>
      <w:r>
        <w:t xml:space="preserve">in light of this new format and the enhanced competition it might create. The exact impact will also</w:t>
      </w:r>
      <w:r>
        <w:t xml:space="preserve"> </w:t>
      </w:r>
      <w:r>
        <w:t xml:space="preserve">depend on how the format is developed, which will be assessed in the context of the development of</w:t>
      </w:r>
      <w:r>
        <w:t xml:space="preserve"> </w:t>
      </w:r>
      <w:r>
        <w:t xml:space="preserve">the relevant level 2 measure. No significant increase in ongoing costs is expected for investment firms</w:t>
      </w:r>
      <w:r>
        <w:t xml:space="preserve"> </w:t>
      </w:r>
      <w:r>
        <w:t xml:space="preserve">and insurance distributors, as they are already under an obligation to disclose costs. These disclosures</w:t>
      </w:r>
      <w:r>
        <w:t xml:space="preserve"> </w:t>
      </w:r>
      <w:r>
        <w:t xml:space="preserve">are aimed at achieving clear and unbiased information to clients, hence the associated costs relate to</w:t>
      </w:r>
      <w:r>
        <w:t xml:space="preserve"> </w:t>
      </w:r>
      <w:r>
        <w:t xml:space="preserve">the substantive requirements of the proposal necessary for the fulfilment of the objective of informing</w:t>
      </w:r>
    </w:p>
    <w:p>
      <w:pPr>
        <w:pStyle w:val="BodyText"/>
      </w:pPr>
      <w:r>
        <w:t xml:space="preserve">104 Under the IDD, insurance undertakings are already under an obligation to provide information on costs to all clients.</w:t>
      </w:r>
      <w:r>
        <w:t xml:space="preserve"> </w:t>
      </w:r>
      <w:r>
        <w:t xml:space="preserve">105 Based on the assumption that about 25-30% of the households hold capital market instruments, which given 195.4 million</w:t>
      </w:r>
      <w:r>
        <w:t xml:space="preserve"> </w:t>
      </w:r>
      <w:r>
        <w:t xml:space="preserve">households in the EU, results in a total of 49-58.5 million households/clients. The number of estimated retail investors could</w:t>
      </w:r>
      <w:r>
        <w:t xml:space="preserve"> </w:t>
      </w:r>
      <w:r>
        <w:t xml:space="preserve">vary, although probably not significantly, as some investors might have accounts with different intermediaries or as some</w:t>
      </w:r>
      <w:r>
        <w:t xml:space="preserve"> </w:t>
      </w:r>
      <w:r>
        <w:t xml:space="preserve">retail investors might be categorized as professional investors in the future (see Annex 8).</w:t>
      </w:r>
      <w:r>
        <w:t xml:space="preserve"> </w:t>
      </w:r>
      <w:r>
        <w:t xml:space="preserve">106 It should however be noted that it was not possible to estimate the number of new clients under MiFID who at present</w:t>
      </w:r>
      <w:r>
        <w:t xml:space="preserve"> </w:t>
      </w:r>
      <w:r>
        <w:t xml:space="preserve">do not receive annual information on costs, nor was it possible to gather data on the number of clients under portfolio</w:t>
      </w:r>
      <w:r>
        <w:t xml:space="preserve"> </w:t>
      </w:r>
      <w:r>
        <w:t xml:space="preserve">management who already receive information on costs and performance, to be able to deduct these costs from the estimated</w:t>
      </w:r>
      <w:r>
        <w:t xml:space="preserve"> </w:t>
      </w:r>
      <w:r>
        <w:t xml:space="preserve">one-off costs.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retail investors. Nevertheless, they are categorised as administrative costs for “one in, one out”</w:t>
      </w:r>
      <w:r>
        <w:t xml:space="preserve"> </w:t>
      </w:r>
      <w:r>
        <w:t xml:space="preserve">purposes.</w:t>
      </w:r>
    </w:p>
    <w:p>
      <w:pPr>
        <w:pStyle w:val="Compact"/>
        <w:numPr>
          <w:ilvl w:val="0"/>
          <w:numId w:val="1007"/>
        </w:numPr>
      </w:pPr>
      <w:r>
        <w:t xml:space="preserve">Overall assessment: Effectiveness, efficiency and coherence:</w:t>
      </w:r>
      <w:r>
        <w:br/>
      </w:r>
      <w:r>
        <w:t xml:space="preserve">With regard to effectiveness, the targeted measures on PRIIPs, MiFID and IDD would contribute to</w:t>
      </w:r>
      <w:r>
        <w:t xml:space="preserve"> </w:t>
      </w:r>
      <w:r>
        <w:t xml:space="preserve">SO1 by making key features of investment products, including their sustainability profile, more visible</w:t>
      </w:r>
      <w:r>
        <w:t xml:space="preserve"> </w:t>
      </w:r>
      <w:r>
        <w:t xml:space="preserve">and easier to understand. They would also help increase transparency on costs before and after an</w:t>
      </w:r>
      <w:r>
        <w:t xml:space="preserve"> </w:t>
      </w:r>
      <w:r>
        <w:t xml:space="preserve">investment has been made as well as the annual performance of financial products, contributing</w:t>
      </w:r>
      <w:r>
        <w:t xml:space="preserve"> </w:t>
      </w:r>
      <w:r>
        <w:t xml:space="preserve">indirectly to SO3. In this regard, Option 2 therefore presents an improvement over the baseline.</w:t>
      </w:r>
      <w:r>
        <w:t xml:space="preserve"> </w:t>
      </w:r>
      <w:r>
        <w:t xml:space="preserve">Nevertheless, if applied alone, these measures would be unlikely to substantially improve retail</w:t>
      </w:r>
      <w:r>
        <w:t xml:space="preserve"> </w:t>
      </w:r>
      <w:r>
        <w:t xml:space="preserve">investors’ ability to take well-informed investment decisions as it would not address marketing</w:t>
      </w:r>
      <w:r>
        <w:t xml:space="preserve"> </w:t>
      </w:r>
      <w:r>
        <w:t xml:space="preserve">communications.</w:t>
      </w:r>
      <w:r>
        <w:br/>
      </w:r>
      <w:r>
        <w:t xml:space="preserve">From an efficiency perspective, the outlined costs seem reasonable and proportionate to the expected</w:t>
      </w:r>
      <w:r>
        <w:t xml:space="preserve"> </w:t>
      </w:r>
      <w:r>
        <w:t xml:space="preserve">results for retail investors. As discussed above, costs related to targeted measures on PRIIPs would be</w:t>
      </w:r>
      <w:r>
        <w:t xml:space="preserve"> </w:t>
      </w:r>
      <w:r>
        <w:t xml:space="preserve">very limited and mainly one-off in nature. Updating the PRIIPs key information documents to comply</w:t>
      </w:r>
      <w:r>
        <w:t xml:space="preserve"> </w:t>
      </w:r>
      <w:r>
        <w:t xml:space="preserve">with the new rules would not require collection of further data by PRIIPs manufacturers. Some further</w:t>
      </w:r>
      <w:r>
        <w:t xml:space="preserve"> </w:t>
      </w:r>
      <w:r>
        <w:t xml:space="preserve">one-off costs may arise due to use of layering, depending on the voluntary choice of the PRIIPs</w:t>
      </w:r>
      <w:r>
        <w:t xml:space="preserve"> </w:t>
      </w:r>
      <w:r>
        <w:t xml:space="preserve">manufacturer. Ongoing costs would not be significantly impacted. The situation is expected to be</w:t>
      </w:r>
      <w:r>
        <w:t xml:space="preserve"> </w:t>
      </w:r>
      <w:r>
        <w:t xml:space="preserve">essentially the same for the requirement to use EU templates for cost disclosures and an annual cost</w:t>
      </w:r>
      <w:r>
        <w:t xml:space="preserve"> </w:t>
      </w:r>
      <w:r>
        <w:t xml:space="preserve">and performance statement under IDD and MiFID. MiFID firms and insurance undertakings would</w:t>
      </w:r>
      <w:r>
        <w:t xml:space="preserve"> </w:t>
      </w:r>
      <w:r>
        <w:t xml:space="preserve">essentially have to upgrade existing disclosure documents, causing limited one-off costs. If the number</w:t>
      </w:r>
      <w:r>
        <w:t xml:space="preserve"> </w:t>
      </w:r>
      <w:r>
        <w:t xml:space="preserve">of retail clients becoming the recipients of annual ex post statement on costs and performance is</w:t>
      </w:r>
      <w:r>
        <w:t xml:space="preserve"> </w:t>
      </w:r>
      <w:r>
        <w:t xml:space="preserve">expected to increase, it is also expected that such delivery would be made via digital tools, limiting thus</w:t>
      </w:r>
      <w:r>
        <w:t xml:space="preserve"> </w:t>
      </w:r>
      <w:r>
        <w:t xml:space="preserve">the costs for the firms.</w:t>
      </w:r>
      <w:r>
        <w:br/>
      </w:r>
      <w:r>
        <w:t xml:space="preserve">Better visibility of the most important information in PRIIPs key information documents would</w:t>
      </w:r>
      <w:r>
        <w:t xml:space="preserve"> </w:t>
      </w:r>
      <w:r>
        <w:t xml:space="preserve">contribute to the coherence of the overall retail investment strategy, by helping to counter information</w:t>
      </w:r>
      <w:r>
        <w:t xml:space="preserve"> </w:t>
      </w:r>
      <w:r>
        <w:t xml:space="preserve">overload and make disclosures more useful for investors107. Allowing greater flexibility for layering of</w:t>
      </w:r>
      <w:r>
        <w:t xml:space="preserve"> </w:t>
      </w:r>
      <w:r>
        <w:t xml:space="preserve">information and digital presentation would also be coherent with the approach taken for the PEPP KID.</w:t>
      </w:r>
      <w:r>
        <w:t xml:space="preserve"> </w:t>
      </w:r>
      <w:r>
        <w:t xml:space="preserve">The proposed changes in PRIIPs are coherent and complementary with inclusion in ESAP. While ESAP</w:t>
      </w:r>
      <w:r>
        <w:t xml:space="preserve"> </w:t>
      </w:r>
      <w:r>
        <w:t xml:space="preserve">will improve access to and digital use of information in PRIIPs key information documents (enabling</w:t>
      </w:r>
      <w:r>
        <w:t xml:space="preserve"> </w:t>
      </w:r>
      <w:r>
        <w:t xml:space="preserve">digital use such as extracting the data on costs or performance and comparing them across a range of</w:t>
      </w:r>
      <w:r>
        <w:t xml:space="preserve"> </w:t>
      </w:r>
      <w:r>
        <w:t xml:space="preserve">products), targeted changes proposed here would make this information more user-friendly for</w:t>
      </w:r>
      <w:r>
        <w:t xml:space="preserve"> </w:t>
      </w:r>
      <w:r>
        <w:t xml:space="preserve">readers108. The addition of an ESG dashboard would be consistent with the aim of the Sustainable</w:t>
      </w:r>
      <w:r>
        <w:t xml:space="preserve"> </w:t>
      </w:r>
      <w:r>
        <w:t xml:space="preserve">Finance Strategy to empower retail investors to access sustainable finance opportunities by making</w:t>
      </w:r>
      <w:r>
        <w:t xml:space="preserve"> </w:t>
      </w:r>
      <w:r>
        <w:t xml:space="preserve">relevant information more accessible and visible in the KID and it would be developed using data points</w:t>
      </w:r>
      <w:r>
        <w:t xml:space="preserve"> </w:t>
      </w:r>
      <w:r>
        <w:t xml:space="preserve">from existing sustainable finance disclosure frameworks, to promote maximum coherence. Similarly,</w:t>
      </w:r>
      <w:r>
        <w:t xml:space="preserve"> </w:t>
      </w:r>
      <w:r>
        <w:t xml:space="preserve">setting up EU templates for costs disclosure and the introduction of the annual costs and performance</w:t>
      </w:r>
      <w:r>
        <w:t xml:space="preserve"> </w:t>
      </w:r>
      <w:r>
        <w:t xml:space="preserve">statement under IDD and MiFID will further strengthen the coherence of the framework. The use of</w:t>
      </w:r>
      <w:r>
        <w:t xml:space="preserve"> </w:t>
      </w:r>
      <w:r>
        <w:t xml:space="preserve">EU templates for disclosure on costs should favour more comparability on costs and increase market</w:t>
      </w:r>
      <w:r>
        <w:t xml:space="preserve"> </w:t>
      </w:r>
      <w:r>
        <w:t xml:space="preserve">efficiencies. The annual statement would also be consistent with the Pension Benefit Statement</w:t>
      </w:r>
      <w:r>
        <w:t xml:space="preserve"> </w:t>
      </w:r>
      <w:r>
        <w:t xml:space="preserve">provided for pension products under the IORP II Directive and the PEPP Regulation which pursue</w:t>
      </w:r>
      <w:r>
        <w:t xml:space="preserve"> </w:t>
      </w:r>
      <w:r>
        <w:t xml:space="preserve">similar goals.</w:t>
      </w:r>
    </w:p>
    <w:p>
      <w:pPr>
        <w:pStyle w:val="Compact"/>
        <w:numPr>
          <w:ilvl w:val="0"/>
          <w:numId w:val="1007"/>
        </w:numPr>
      </w:pPr>
      <w:r>
        <w:t xml:space="preserve">Affected groups of stakeholders</w:t>
      </w:r>
      <w:r>
        <w:br/>
      </w:r>
      <w:r>
        <w:t xml:space="preserve">Industry: Manufacturers of financial products under PRIIPs would benefit from more flexible rules to</w:t>
      </w:r>
      <w:r>
        <w:t xml:space="preserve"> </w:t>
      </w:r>
      <w:r>
        <w:t xml:space="preserve">present required information in a more attractive way. They would also be able to adapt PRIIPs key</w:t>
      </w:r>
    </w:p>
    <w:p>
      <w:pPr>
        <w:pStyle w:val="FirstParagraph"/>
      </w:pPr>
      <w:r>
        <w:t xml:space="preserve">107 These actions are notably good complements with increasing financial literacy, which could also lead to greater use of</w:t>
      </w:r>
      <w:r>
        <w:t xml:space="preserve"> </w:t>
      </w:r>
      <w:r>
        <w:t xml:space="preserve">PRIIPs KIDs.</w:t>
      </w:r>
      <w:r>
        <w:t xml:space="preserve"> </w:t>
      </w:r>
      <w:r>
        <w:t xml:space="preserve">108 Easier digital use is unlikely to significantly affect the need to read the KID by retail investors and financial advisors,</w:t>
      </w:r>
      <w:r>
        <w:t xml:space="preserve"> </w:t>
      </w:r>
      <w:r>
        <w:t xml:space="preserve">notably when assessing characteristics of a specific investment products. As the KID presents key information about a</w:t>
      </w:r>
      <w:r>
        <w:t xml:space="preserve"> </w:t>
      </w:r>
      <w:r>
        <w:t xml:space="preserve">product in one place and in 3 pages, it is expected to remain a crucial document.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information documents to more modern digital formats and devices. This could present a more effective</w:t>
      </w:r>
      <w:r>
        <w:t xml:space="preserve"> </w:t>
      </w:r>
      <w:r>
        <w:t xml:space="preserve">way to deliver this information, particularly to younger retail investors and those with sustainability</w:t>
      </w:r>
      <w:r>
        <w:t xml:space="preserve"> </w:t>
      </w:r>
      <w:r>
        <w:t xml:space="preserve">preferences, thereby helping to attract them to these products. While this option would not directly</w:t>
      </w:r>
      <w:r>
        <w:t xml:space="preserve"> </w:t>
      </w:r>
      <w:r>
        <w:t xml:space="preserve">impact marketing communications, more user-friendly PRIIPs key information documents might to a</w:t>
      </w:r>
      <w:r>
        <w:t xml:space="preserve"> </w:t>
      </w:r>
      <w:r>
        <w:t xml:space="preserve">certain degree compete with them and slightly limit the possibilities for presenting misleading</w:t>
      </w:r>
      <w:r>
        <w:t xml:space="preserve"> </w:t>
      </w:r>
      <w:r>
        <w:t xml:space="preserve">information109. The update of PRIIPs key information documents to reflect the changes would imply</w:t>
      </w:r>
      <w:r>
        <w:t xml:space="preserve"> </w:t>
      </w:r>
      <w:r>
        <w:t xml:space="preserve">limited one-time costs for the manufacturers of PRIIPs, as detailed above.</w:t>
      </w:r>
      <w:r>
        <w:br/>
      </w:r>
      <w:r>
        <w:t xml:space="preserve">From the perspective of investment firms or insurance undertakings, the cost and performance</w:t>
      </w:r>
      <w:r>
        <w:t xml:space="preserve"> </w:t>
      </w:r>
      <w:r>
        <w:t xml:space="preserve">disclosures would constitute increased costs. As the new requirements on cost and performance</w:t>
      </w:r>
      <w:r>
        <w:t xml:space="preserve"> </w:t>
      </w:r>
      <w:r>
        <w:t xml:space="preserve">disclosure build on already existing requirements, it is assumed that existing processes and ICT</w:t>
      </w:r>
      <w:r>
        <w:t xml:space="preserve"> </w:t>
      </w:r>
      <w:r>
        <w:t xml:space="preserve">solutions would help to limit these costs.</w:t>
      </w:r>
      <w:r>
        <w:t xml:space="preserve"> </w:t>
      </w:r>
      <w:r>
        <w:t xml:space="preserve">Consumers: the proposed measures would make PRIIPs key information documents more engaging to</w:t>
      </w:r>
      <w:r>
        <w:t xml:space="preserve"> </w:t>
      </w:r>
      <w:r>
        <w:t xml:space="preserve">read and would assist retail investors in finding important information about investment products,</w:t>
      </w:r>
      <w:r>
        <w:t xml:space="preserve"> </w:t>
      </w:r>
      <w:r>
        <w:t xml:space="preserve">including on sustainability-related aspects. PRIIPs key information documents would also become</w:t>
      </w:r>
      <w:r>
        <w:t xml:space="preserve"> </w:t>
      </w:r>
      <w:r>
        <w:t xml:space="preserve">more accessible to users looking for investment opportunities through smartphones or tablets. This is</w:t>
      </w:r>
      <w:r>
        <w:t xml:space="preserve"> </w:t>
      </w:r>
      <w:r>
        <w:t xml:space="preserve">expected to benefit retail investors considering these products, especially younger investors, who tend</w:t>
      </w:r>
      <w:r>
        <w:t xml:space="preserve"> </w:t>
      </w:r>
      <w:r>
        <w:t xml:space="preserve">to be more active users of smartphones. Indirectly, this could lead more retail investors towards more</w:t>
      </w:r>
      <w:r>
        <w:t xml:space="preserve"> </w:t>
      </w:r>
      <w:r>
        <w:t xml:space="preserve">diversified and less costly products that suit their needs. The proposed measures under IDD and MiFID</w:t>
      </w:r>
      <w:r>
        <w:t xml:space="preserve"> </w:t>
      </w:r>
      <w:r>
        <w:t xml:space="preserve">II would increase transparency on costs and performance and comparability for the benefit of retail</w:t>
      </w:r>
      <w:r>
        <w:t xml:space="preserve"> </w:t>
      </w:r>
      <w:r>
        <w:t xml:space="preserve">clients. This would help retail clients take well-informed investment decisions. Transparency could</w:t>
      </w:r>
      <w:r>
        <w:t xml:space="preserve"> </w:t>
      </w:r>
      <w:r>
        <w:t xml:space="preserve">also have a downward effect on costs charged for MiFID II and IDD products and services.</w:t>
      </w:r>
      <w:r>
        <w:t xml:space="preserve"> </w:t>
      </w:r>
      <w:r>
        <w:t xml:space="preserve">Supervisory authorities: The targeted changes to PRIIPs key information documents would have only</w:t>
      </w:r>
      <w:r>
        <w:t xml:space="preserve"> </w:t>
      </w:r>
      <w:r>
        <w:t xml:space="preserve">a negligible impact on supervisors who would have to adapt their supervision to the new formats. The</w:t>
      </w:r>
      <w:r>
        <w:t xml:space="preserve"> </w:t>
      </w:r>
      <w:r>
        <w:t xml:space="preserve">measures under MiFID II and IDD would help NCAs in their control processes. In particular, it would</w:t>
      </w:r>
      <w:r>
        <w:t xml:space="preserve"> </w:t>
      </w:r>
      <w:r>
        <w:t xml:space="preserve">allow them to check on a bigger scale and based on EU standards the ex-ante costs communicated to</w:t>
      </w:r>
      <w:r>
        <w:t xml:space="preserve"> </w:t>
      </w:r>
      <w:r>
        <w:t xml:space="preserve">retail clients and the costs effectively charged (as disclosed in the annual report). It would also allow</w:t>
      </w:r>
      <w:r>
        <w:t xml:space="preserve"> </w:t>
      </w:r>
      <w:r>
        <w:t xml:space="preserve">them to get a better view on the effective value for money of financial instruments marketed to retail</w:t>
      </w:r>
      <w:r>
        <w:t xml:space="preserve"> </w:t>
      </w:r>
      <w:r>
        <w:t xml:space="preserve">clients.</w:t>
      </w:r>
      <w:r>
        <w:t xml:space="preserve"> </w:t>
      </w:r>
      <w:r>
        <w:t xml:space="preserve">Stakeholder views: This policy option, in particular regarding the changes proposed to the PRIIPs key</w:t>
      </w:r>
      <w:r>
        <w:t xml:space="preserve"> </w:t>
      </w:r>
      <w:r>
        <w:t xml:space="preserve">investment document, has broad support across different stakeholder groups. Stakeholders from the</w:t>
      </w:r>
      <w:r>
        <w:t xml:space="preserve"> </w:t>
      </w:r>
      <w:r>
        <w:t xml:space="preserve">financial sector have notably called for providing greater flexibility for layering and digital features. At</w:t>
      </w:r>
      <w:r>
        <w:t xml:space="preserve"> </w:t>
      </w:r>
      <w:r>
        <w:t xml:space="preserve">the same time, some PRIIPs manufacturers have complained about regulatory fatigue110 as there has</w:t>
      </w:r>
      <w:r>
        <w:t xml:space="preserve"> </w:t>
      </w:r>
      <w:r>
        <w:t xml:space="preserve">recently been a revision of the PRIIPs RTS, which entails significant changes to the content of the KID</w:t>
      </w:r>
      <w:r>
        <w:t xml:space="preserve"> </w:t>
      </w:r>
      <w:r>
        <w:t xml:space="preserve">and entered into application on the 1 January 2023. Supervisors are also overall supportive of the</w:t>
      </w:r>
      <w:r>
        <w:t xml:space="preserve"> </w:t>
      </w:r>
      <w:r>
        <w:t xml:space="preserve">initiative. Representatives of consumer associations and non-profit organisation support measures on</w:t>
      </w:r>
      <w:r>
        <w:t xml:space="preserve"> </w:t>
      </w:r>
      <w:r>
        <w:t xml:space="preserve">digitalisation and sustainability, and greater transparency on costs.</w:t>
      </w:r>
      <w:r>
        <w:br/>
      </w:r>
      <w:r>
        <w:t xml:space="preserve">As regards the introduction of the annual statement in relation to IBIPs, consumer associations and</w:t>
      </w:r>
      <w:r>
        <w:t xml:space="preserve"> </w:t>
      </w:r>
      <w:r>
        <w:t xml:space="preserve">insurance intermediaries have expressed support111. There may be limited support from insurance</w:t>
      </w:r>
      <w:r>
        <w:t xml:space="preserve"> </w:t>
      </w:r>
      <w:r>
        <w:t xml:space="preserve">undertakings and investment firms who may argue that this increases the provision of information to</w:t>
      </w:r>
      <w:r>
        <w:t xml:space="preserve"> </w:t>
      </w:r>
      <w:r>
        <w:t xml:space="preserve">retail investors.</w:t>
      </w:r>
    </w:p>
    <w:p>
      <w:pPr>
        <w:pStyle w:val="BodyText"/>
      </w:pPr>
      <w:r>
        <w:t xml:space="preserve">109 In this case mainly due to expected greater use of PRIIPs KIDs and their easier digital use, which could make it easier</w:t>
      </w:r>
      <w:r>
        <w:t xml:space="preserve"> </w:t>
      </w:r>
      <w:r>
        <w:t xml:space="preserve">to detect information that would be incompatible with those included in the KID.</w:t>
      </w:r>
      <w:r>
        <w:br/>
      </w:r>
      <w:r>
        <w:t xml:space="preserve">110 These concerns have been reflected by narrowing down the option of targeted changes to PRIIPs to four elements which</w:t>
      </w:r>
      <w:r>
        <w:t xml:space="preserve"> </w:t>
      </w:r>
      <w:r>
        <w:t xml:space="preserve">are generally considered as not burdensome (stakeholders have not indicated any concerns in this direction) and are largely</w:t>
      </w:r>
      <w:r>
        <w:t xml:space="preserve"> </w:t>
      </w:r>
      <w:r>
        <w:t xml:space="preserve">non-controversial.</w:t>
      </w:r>
      <w:r>
        <w:br/>
      </w:r>
      <w:r>
        <w:t xml:space="preserve">111 See responses EIOPA’s advice on retail investor protection, page 14.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Option 3: Targeted changes to address informational deficiencies relating to marketing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1.</w:t>
      </w:r>
      <w:r>
        <w:t xml:space="preserve"> </w:t>
      </w:r>
      <w:r>
        <w:t xml:space="preserve">Benefits</w:t>
      </w:r>
      <w:r>
        <w:t xml:space="preserve"> </w:t>
      </w:r>
      <w:r>
        <w:t xml:space="preserve">The measures under option 3 would ensure better protection of retail clients by ensuring: i) more</w:t>
      </w:r>
      <w:r>
        <w:t xml:space="preserve"> </w:t>
      </w:r>
      <w:r>
        <w:t xml:space="preserve">transparency on the nature of the marketing communication made, directly or indirectly, by investment</w:t>
      </w:r>
      <w:r>
        <w:t xml:space="preserve"> </w:t>
      </w:r>
      <w:r>
        <w:t xml:space="preserve">firms, also in relation to online marketing (e.g. through social media); ii) the benefit of reinforced firm’s</w:t>
      </w:r>
      <w:r>
        <w:t xml:space="preserve"> </w:t>
      </w:r>
      <w:r>
        <w:t xml:space="preserve">procedures and policies on marketing communication and on management’s responsibility, facilitating</w:t>
      </w:r>
      <w:r>
        <w:t xml:space="preserve"> </w:t>
      </w:r>
      <w:r>
        <w:t xml:space="preserve">legal actions in case of misleading marketing communication112 and iii) the inclusion of key elements</w:t>
      </w:r>
      <w:r>
        <w:t xml:space="preserve"> </w:t>
      </w:r>
      <w:r>
        <w:t xml:space="preserve">related to the financial products and investment services, in all marketing communications.</w:t>
      </w:r>
      <w:r>
        <w:br/>
      </w:r>
      <w:r>
        <w:t xml:space="preserve">Addressing the risk of unbalanced presentation of information in marketing communications on</w:t>
      </w:r>
      <w:r>
        <w:t xml:space="preserve"> </w:t>
      </w:r>
      <w:r>
        <w:t xml:space="preserve">financial products and financial services would improve the quality and transparency of information</w:t>
      </w:r>
      <w:r>
        <w:t xml:space="preserve"> </w:t>
      </w:r>
      <w:r>
        <w:t xml:space="preserve">provided to retail clients via marketing communications, thus ensuring that such communications</w:t>
      </w:r>
      <w:r>
        <w:t xml:space="preserve"> </w:t>
      </w:r>
      <w:r>
        <w:t xml:space="preserve">would be a reliable source of information for retail clients. The obligation for investment firms and</w:t>
      </w:r>
      <w:r>
        <w:t xml:space="preserve"> </w:t>
      </w:r>
      <w:r>
        <w:t xml:space="preserve">insurance distributors to include vital information in a visible way in all their marketing</w:t>
      </w:r>
      <w:r>
        <w:t xml:space="preserve"> </w:t>
      </w:r>
      <w:r>
        <w:t xml:space="preserve">communications would make it easier for investors to identify key characteristics of financial products</w:t>
      </w:r>
      <w:r>
        <w:t xml:space="preserve"> </w:t>
      </w:r>
      <w:r>
        <w:t xml:space="preserve">or services at ‘a glance’ and would in particular ensure a balanced presentation of positive and negative</w:t>
      </w:r>
      <w:r>
        <w:t xml:space="preserve"> </w:t>
      </w:r>
      <w:r>
        <w:t xml:space="preserve">elements of products or services. For retail investors, the understanding and comparability of products</w:t>
      </w:r>
      <w:r>
        <w:t xml:space="preserve"> </w:t>
      </w:r>
      <w:r>
        <w:t xml:space="preserve">would be improved, which could to a certain extent mitigate the risk of purchasing products which are</w:t>
      </w:r>
      <w:r>
        <w:t xml:space="preserve"> </w:t>
      </w:r>
      <w:r>
        <w:t xml:space="preserve">not appropriate for them.</w:t>
      </w:r>
      <w:r>
        <w:br/>
      </w:r>
      <w:r>
        <w:t xml:space="preserve">By increasing the quality of information that distributors provide to investors, the measures under</w:t>
      </w:r>
      <w:r>
        <w:t xml:space="preserve"> </w:t>
      </w:r>
      <w:r>
        <w:t xml:space="preserve">option 3 aim to enhance trust between providers and retail investors. Rather than providing more</w:t>
      </w:r>
      <w:r>
        <w:t xml:space="preserve"> </w:t>
      </w:r>
      <w:r>
        <w:t xml:space="preserve">information as in option 2, this option would reduce the likelihood that customers’ cognitive biases are</w:t>
      </w:r>
      <w:r>
        <w:t xml:space="preserve"> </w:t>
      </w:r>
      <w:r>
        <w:t xml:space="preserve">exploited. While it is commonly accepted that cognitive biases matter in investment decisions, no data</w:t>
      </w:r>
      <w:r>
        <w:t xml:space="preserve"> </w:t>
      </w:r>
      <w:r>
        <w:t xml:space="preserve">is available to quantify the impact. The more limited scope under option 3 would imply more limited</w:t>
      </w:r>
      <w:r>
        <w:t xml:space="preserve"> </w:t>
      </w:r>
      <w:r>
        <w:t xml:space="preserve">impacts than under option 2.</w:t>
      </w:r>
      <w:r>
        <w:t xml:space="preserve"> </w:t>
      </w:r>
      <w:r>
        <w:t xml:space="preserve">2.</w:t>
      </w:r>
      <w:r>
        <w:t xml:space="preserve"> </w:t>
      </w:r>
      <w:r>
        <w:t xml:space="preserve">Costs</w:t>
      </w:r>
      <w:r>
        <w:t xml:space="preserve"> </w:t>
      </w:r>
      <w:r>
        <w:t xml:space="preserve">This option is not expected to generate significant ongoing costs, as MiFID II and IDD113 already</w:t>
      </w:r>
      <w:r>
        <w:t xml:space="preserve"> </w:t>
      </w:r>
      <w:r>
        <w:t xml:space="preserve">require that all information, including marketing communication, addressed by investment firms and</w:t>
      </w:r>
      <w:r>
        <w:t xml:space="preserve"> </w:t>
      </w:r>
      <w:r>
        <w:t xml:space="preserve">insurance distributors to their clients/customers shall be fair, clear and not misleading. However,</w:t>
      </w:r>
      <w:r>
        <w:t xml:space="preserve"> </w:t>
      </w:r>
      <w:r>
        <w:t xml:space="preserve">despite this existing obligation, the relevant key information can be diluted across various or lengthy</w:t>
      </w:r>
      <w:r>
        <w:t xml:space="preserve"> </w:t>
      </w:r>
      <w:r>
        <w:t xml:space="preserve">marketing (and contractual documents)114 or presented in an unbalanced way. Requiring investment</w:t>
      </w:r>
      <w:r>
        <w:t xml:space="preserve"> </w:t>
      </w:r>
      <w:r>
        <w:t xml:space="preserve">firms and insurance distributors to include vital information, in a visible way, in their marketing</w:t>
      </w:r>
      <w:r>
        <w:t xml:space="preserve"> </w:t>
      </w:r>
      <w:r>
        <w:t xml:space="preserve">communication would imply some incremental costs either to adjust existing marketing communication</w:t>
      </w:r>
      <w:r>
        <w:t xml:space="preserve"> </w:t>
      </w:r>
      <w:r>
        <w:t xml:space="preserve">templates or to create new templates. These costs arise due to the measures aimed at the objective of</w:t>
      </w:r>
      <w:r>
        <w:t xml:space="preserve"> </w:t>
      </w:r>
      <w:r>
        <w:t xml:space="preserve">achieving clear and unbiased information to clients, hence they relate to the substantive requirements</w:t>
      </w:r>
      <w:r>
        <w:t xml:space="preserve"> </w:t>
      </w:r>
      <w:r>
        <w:t xml:space="preserve">of the proposal. Nevertheless, they are categorised as administrative costs for “one in, one out”</w:t>
      </w:r>
      <w:r>
        <w:t xml:space="preserve"> </w:t>
      </w:r>
      <w:r>
        <w:t xml:space="preserve">purposes.</w:t>
      </w:r>
    </w:p>
    <w:p>
      <w:pPr>
        <w:pStyle w:val="Compact"/>
        <w:numPr>
          <w:ilvl w:val="0"/>
          <w:numId w:val="1008"/>
        </w:numPr>
      </w:pPr>
      <w:r>
        <w:t xml:space="preserve">Overall assessment: Effectiveness, efficiency and coherence:</w:t>
      </w:r>
      <w:r>
        <w:t xml:space="preserve"> </w:t>
      </w:r>
      <w:r>
        <w:t xml:space="preserve">This targeted measure would contribute to the SO1 by ensuring that marketing communications</w:t>
      </w:r>
      <w:r>
        <w:t xml:space="preserve"> </w:t>
      </w:r>
      <w:r>
        <w:t xml:space="preserve">contain, in a balanced and visible way for the targeted group, the key information which could help</w:t>
      </w:r>
      <w:r>
        <w:t xml:space="preserve"> </w:t>
      </w:r>
      <w:r>
        <w:t xml:space="preserve">retail investors in their decision-making process. It would be an effective measure as it would ensure</w:t>
      </w:r>
    </w:p>
    <w:p>
      <w:pPr>
        <w:pStyle w:val="FirstParagraph"/>
      </w:pPr>
      <w:r>
        <w:t xml:space="preserve">112 With a clear legal definition of marketing communication, mandatory vital information and more duties and obligations</w:t>
      </w:r>
      <w:r>
        <w:t xml:space="preserve"> </w:t>
      </w:r>
      <w:r>
        <w:t xml:space="preserve">for firms’ management regarding marketing communication, retail clients would have a legal base should they seek to claim</w:t>
      </w:r>
      <w:r>
        <w:t xml:space="preserve"> </w:t>
      </w:r>
      <w:r>
        <w:t xml:space="preserve">compensation.</w:t>
      </w:r>
      <w:r>
        <w:br/>
      </w:r>
      <w:r>
        <w:t xml:space="preserve">113 See article 24.4 of MiFID II; article 17(2) of IDD.</w:t>
      </w:r>
      <w:r>
        <w:t xml:space="preserve"> </w:t>
      </w:r>
      <w:r>
        <w:t xml:space="preserve">114 ESMA advice on retail investor protection, page 21.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consistency of the overall information provided to retail investors. It would be important that the vital</w:t>
      </w:r>
      <w:r>
        <w:t xml:space="preserve"> </w:t>
      </w:r>
      <w:r>
        <w:t xml:space="preserve">information remains limited in its scope and properly calibrated115. Nevertheless, if applied alone, these</w:t>
      </w:r>
      <w:r>
        <w:t xml:space="preserve"> </w:t>
      </w:r>
      <w:r>
        <w:t xml:space="preserve">measures would be unlikely to substantially improve retail investors’ ability to take well-informed</w:t>
      </w:r>
      <w:r>
        <w:t xml:space="preserve"> </w:t>
      </w:r>
      <w:r>
        <w:t xml:space="preserve">investment decisions as it would not address disclosure documents.</w:t>
      </w:r>
      <w:r>
        <w:t xml:space="preserve"> </w:t>
      </w:r>
      <w:r>
        <w:t xml:space="preserve">In terms of efficiency, the costs for an enhanced obligation for the firms would not be significant (as</w:t>
      </w:r>
      <w:r>
        <w:t xml:space="preserve"> </w:t>
      </w:r>
      <w:r>
        <w:t xml:space="preserve">discussed above) and could possibly be passed onto retail investors. That impact would, however, be</w:t>
      </w:r>
      <w:r>
        <w:t xml:space="preserve"> </w:t>
      </w:r>
      <w:r>
        <w:t xml:space="preserve">justified in light of a reduction in the risks of investing in inappropriate investment products.</w:t>
      </w:r>
      <w:r>
        <w:br/>
      </w:r>
      <w:r>
        <w:t xml:space="preserve">In terms of coherence, the obligation to include vital information in marketing communications would</w:t>
      </w:r>
      <w:r>
        <w:t xml:space="preserve"> </w:t>
      </w:r>
      <w:r>
        <w:t xml:space="preserve">apply to all marketing communications used by distributors selling investment products and IBIPs in</w:t>
      </w:r>
      <w:r>
        <w:t xml:space="preserve"> </w:t>
      </w:r>
      <w:r>
        <w:t xml:space="preserve">the EU. It would ensure harmonisation across the Union, strengthening the internal market and ensuring</w:t>
      </w:r>
      <w:r>
        <w:t xml:space="preserve"> </w:t>
      </w:r>
      <w:r>
        <w:t xml:space="preserve">the same level of protection to all retail clients. As the level of digital marketing communication is</w:t>
      </w:r>
      <w:r>
        <w:t xml:space="preserve"> </w:t>
      </w:r>
      <w:r>
        <w:t xml:space="preserve">increasing both domestically and across borders, coherence in the level of regulatory requirements is</w:t>
      </w:r>
      <w:r>
        <w:t xml:space="preserve"> </w:t>
      </w:r>
      <w:r>
        <w:t xml:space="preserve">becoming even more important to ensure a level playing field in the domain of investor protection. This</w:t>
      </w:r>
      <w:r>
        <w:t xml:space="preserve"> </w:t>
      </w:r>
      <w:r>
        <w:t xml:space="preserve">option would likely facilitate comparison between investment products and services and have a positive</w:t>
      </w:r>
      <w:r>
        <w:t xml:space="preserve"> </w:t>
      </w:r>
      <w:r>
        <w:t xml:space="preserve">effect on competition between investments firms in the EU and cross-border investment transactions.</w:t>
      </w:r>
      <w:r>
        <w:t xml:space="preserve"> </w:t>
      </w:r>
      <w:r>
        <w:t xml:space="preserve">4.</w:t>
      </w:r>
      <w:r>
        <w:t xml:space="preserve"> </w:t>
      </w:r>
      <w:r>
        <w:t xml:space="preserve">Affected groups of stakeholders</w:t>
      </w:r>
      <w:r>
        <w:t xml:space="preserve"> </w:t>
      </w:r>
      <w:r>
        <w:t xml:space="preserve">Industry: The requirement to have vital information in all marketing communications and the</w:t>
      </w:r>
      <w:r>
        <w:t xml:space="preserve"> </w:t>
      </w:r>
      <w:r>
        <w:t xml:space="preserve">clarification as to the concept of marketing communication, enhanced with reinforced organisational</w:t>
      </w:r>
      <w:r>
        <w:t xml:space="preserve"> </w:t>
      </w:r>
      <w:r>
        <w:t xml:space="preserve">and responsibility rules, would require additional oversight by investment firms and insurance</w:t>
      </w:r>
      <w:r>
        <w:t xml:space="preserve"> </w:t>
      </w:r>
      <w:r>
        <w:t xml:space="preserve">distributors, leading to higher costs. However, higher costs could to a certain extent be mitigated as the</w:t>
      </w:r>
      <w:r>
        <w:t xml:space="preserve"> </w:t>
      </w:r>
      <w:r>
        <w:t xml:space="preserve">measures would also be expected to provide further clarity on the regime and reduce grey areas,</w:t>
      </w:r>
      <w:r>
        <w:t xml:space="preserve"> </w:t>
      </w:r>
      <w:r>
        <w:t xml:space="preserve">providing additional certainty to ensure proper compliance with the existing rules. This could lead to</w:t>
      </w:r>
      <w:r>
        <w:t xml:space="preserve"> </w:t>
      </w:r>
      <w:r>
        <w:t xml:space="preserve">cost reductions for compliance and legal advice, especially for smaller firms, due to the additional</w:t>
      </w:r>
      <w:r>
        <w:t xml:space="preserve"> </w:t>
      </w:r>
      <w:r>
        <w:t xml:space="preserve">clarity provided by the definition.</w:t>
      </w:r>
      <w:r>
        <w:br/>
      </w:r>
      <w:r>
        <w:t xml:space="preserve">Retail investors: The measure would help ensure that digital marketing of financial products is clearly</w:t>
      </w:r>
      <w:r>
        <w:t xml:space="preserve"> </w:t>
      </w:r>
      <w:r>
        <w:t xml:space="preserve">identified as such, and compliant with applicable provisions on investor protection, also as regards</w:t>
      </w:r>
      <w:r>
        <w:t xml:space="preserve"> </w:t>
      </w:r>
      <w:r>
        <w:t xml:space="preserve">influencers and other alternative means of advertisement. This measure would also help address the</w:t>
      </w:r>
      <w:r>
        <w:t xml:space="preserve"> </w:t>
      </w:r>
      <w:r>
        <w:t xml:space="preserve">risk of misleading or otherwise illegal digital marketing on active or potential retail investors and</w:t>
      </w:r>
      <w:r>
        <w:t xml:space="preserve"> </w:t>
      </w:r>
      <w:r>
        <w:t xml:space="preserve">facilitate legal actions of retail clients as well as increase their protection. The measure does not entail</w:t>
      </w:r>
      <w:r>
        <w:t xml:space="preserve"> </w:t>
      </w:r>
      <w:r>
        <w:t xml:space="preserve">costs for consumers.</w:t>
      </w:r>
      <w:r>
        <w:t xml:space="preserve"> </w:t>
      </w:r>
      <w:r>
        <w:t xml:space="preserve">Supervisors: The requirement for firms to have vital information, presented in all marketing</w:t>
      </w:r>
      <w:r>
        <w:t xml:space="preserve"> </w:t>
      </w:r>
      <w:r>
        <w:t xml:space="preserve">communication would facilitate the control of those communications by the competent authorities,</w:t>
      </w:r>
      <w:r>
        <w:t xml:space="preserve"> </w:t>
      </w:r>
      <w:r>
        <w:t xml:space="preserve">without triggering any material additional costs. Clarification as to the concept of marketing</w:t>
      </w:r>
      <w:r>
        <w:t xml:space="preserve"> </w:t>
      </w:r>
      <w:r>
        <w:t xml:space="preserve">communications would allow for easier intervention and enforcement by NCAs. In particular, this</w:t>
      </w:r>
      <w:r>
        <w:t xml:space="preserve"> </w:t>
      </w:r>
      <w:r>
        <w:t xml:space="preserve">measure would provide a basis upon which the enforcement in relation to novel marketing techniques</w:t>
      </w:r>
      <w:r>
        <w:t xml:space="preserve"> </w:t>
      </w:r>
      <w:r>
        <w:t xml:space="preserve">such as influencer campaigns could be streamlined. No significant impact is expected on the resources</w:t>
      </w:r>
      <w:r>
        <w:t xml:space="preserve"> </w:t>
      </w:r>
      <w:r>
        <w:t xml:space="preserve">of ESMA and EIOPA, as their involvement and roles under this option can be performed as part of</w:t>
      </w:r>
      <w:r>
        <w:t xml:space="preserve"> </w:t>
      </w:r>
      <w:r>
        <w:t xml:space="preserve">their existing regulatory and supervisory work.</w:t>
      </w:r>
      <w:r>
        <w:br/>
      </w:r>
      <w:r>
        <w:t xml:space="preserve">Summary of the preferred option</w:t>
      </w:r>
      <w:r>
        <w:t xml:space="preserve"> </w:t>
      </w:r>
      <w:r>
        <w:t xml:space="preserve">The table below summarises the assessment of effectiveness, efficiency and coherence discussed under</w:t>
      </w:r>
      <w:r>
        <w:t xml:space="preserve"> </w:t>
      </w:r>
      <w:r>
        <w:t xml:space="preserve">each option. Option 2 and Option 3 are complementary and both present an improvement compared to</w:t>
      </w:r>
      <w:r>
        <w:t xml:space="preserve"> </w:t>
      </w:r>
      <w:r>
        <w:t xml:space="preserve">the baseline at a reasonable cost. Hence both Option 2 and Option 3 are both part of the preferred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115 ESMA advice on retail investor protection, page 14.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 Coherence</w:t>
      </w:r>
    </w:p>
    <w:p>
      <w:pPr>
        <w:pStyle w:val="BodyText"/>
      </w:pPr>
      <w:r>
        <w:t xml:space="preserve">(SO1)</w:t>
      </w:r>
      <w:r>
        <w:t xml:space="preserve"> </w:t>
      </w:r>
      <w:r>
        <w:t xml:space="preserve">(SO2)</w:t>
      </w:r>
      <w:r>
        <w:t xml:space="preserve"> </w:t>
      </w:r>
      <w:r>
        <w:t xml:space="preserve">(SO3)</w:t>
      </w:r>
      <w:r>
        <w:t xml:space="preserve"> </w:t>
      </w:r>
      <w:r>
        <w:t xml:space="preserve">Option 1 - Do nothing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2 - Targeted changes</w:t>
      </w:r>
      <w:r>
        <w:t xml:space="preserve"> </w:t>
      </w:r>
      <w:r>
        <w:t xml:space="preserve">to disclosure rules to improve</w:t>
      </w:r>
      <w:r>
        <w:t xml:space="preserve"> </w:t>
      </w:r>
      <w:r>
        <w:t xml:space="preserve">their relevance</w:t>
      </w:r>
      <w:r>
        <w:t xml:space="preserve"> </w:t>
      </w:r>
      <w:r>
        <w:t xml:space="preserve">for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3 - Targeted changes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informational</w:t>
      </w:r>
      <w:r>
        <w:t xml:space="preserve"> </w:t>
      </w:r>
      <w:r>
        <w:t xml:space="preserve">deficiencies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marketing communications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6.2 Inducements</w:t>
      </w:r>
      <w:r>
        <w:t xml:space="preserve"> </w:t>
      </w:r>
      <w:r>
        <w:t xml:space="preserve">Option 2: Maintain current system allowing payment of inducements, but improve/harmonize</w:t>
      </w:r>
      <w:r>
        <w:t xml:space="preserve"> </w:t>
      </w:r>
      <w:r>
        <w:t xml:space="preserve">sector specific disclosures relating to inducements</w:t>
      </w:r>
    </w:p>
    <w:p>
      <w:pPr>
        <w:pStyle w:val="Compact"/>
        <w:numPr>
          <w:ilvl w:val="0"/>
          <w:numId w:val="1009"/>
        </w:numPr>
      </w:pPr>
      <w:r>
        <w:t xml:space="preserve">Benefits</w:t>
      </w:r>
      <w:r>
        <w:br/>
      </w:r>
      <w:r>
        <w:t xml:space="preserve">The aim of increasing transparency would be to help retail investors to better understand how</w:t>
      </w:r>
      <w:r>
        <w:t xml:space="preserve"> </w:t>
      </w:r>
      <w:r>
        <w:t xml:space="preserve">inducements work, increase comparability between products and incentivise them to assess</w:t>
      </w:r>
      <w:r>
        <w:t xml:space="preserve"> </w:t>
      </w:r>
      <w:r>
        <w:t xml:space="preserve">alternatives. Conversely, this could incentivise distributors to offer products that are better suited to</w:t>
      </w:r>
      <w:r>
        <w:t xml:space="preserve"> </w:t>
      </w:r>
      <w:r>
        <w:t xml:space="preserve">their retail clients’ needs and investment objectives. While this may improve market transparency about</w:t>
      </w:r>
      <w:r>
        <w:t xml:space="preserve"> </w:t>
      </w:r>
      <w:r>
        <w:t xml:space="preserve">inducements and foster competition between market players, evidence from behavioural testing carried</w:t>
      </w:r>
      <w:r>
        <w:t xml:space="preserve"> </w:t>
      </w:r>
      <w:r>
        <w:t xml:space="preserve">out in the Retail investment study, suggests, however, that many consumers do not understand the</w:t>
      </w:r>
      <w:r>
        <w:t xml:space="preserve"> </w:t>
      </w:r>
      <w:r>
        <w:t xml:space="preserve">concept/impact of inducements so that disclosures on inducements do not directly influence their</w:t>
      </w:r>
      <w:r>
        <w:t xml:space="preserve"> </w:t>
      </w:r>
      <w:r>
        <w:t xml:space="preserve">resulting choices (see below).</w:t>
      </w:r>
      <w:r>
        <w:br/>
      </w:r>
      <w:r>
        <w:t xml:space="preserve">This option would also ensure better understanding by the NCAs and ESMA of the inducements paid116.</w:t>
      </w:r>
      <w:r>
        <w:t xml:space="preserve"> </w:t>
      </w:r>
      <w:r>
        <w:t xml:space="preserve">As the additional disclosure requirements would be streamlined across MiFID and IDD, this would</w:t>
      </w:r>
      <w:r>
        <w:t xml:space="preserve"> </w:t>
      </w:r>
      <w:r>
        <w:t xml:space="preserve">help create a level playing field across sectors (IDD/MiFID) and also have a positive effect on the</w:t>
      </w:r>
      <w:r>
        <w:t xml:space="preserve"> </w:t>
      </w:r>
      <w:r>
        <w:t xml:space="preserve">coherence of the framework.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Costs</w:t>
      </w:r>
      <w:r>
        <w:br/>
      </w:r>
      <w:r>
        <w:t xml:space="preserve">Requiring greater transparency would generate further one-off administrative costs, which are expected</w:t>
      </w:r>
      <w:r>
        <w:t xml:space="preserve"> </w:t>
      </w:r>
      <w:r>
        <w:t xml:space="preserve">to be limited. The additional transparency requirements would not significantly increase ongoing</w:t>
      </w:r>
      <w:r>
        <w:t xml:space="preserve"> </w:t>
      </w:r>
      <w:r>
        <w:t xml:space="preserve">administrative costs which market parties already incur in relation to existing disclosure requirements</w:t>
      </w:r>
      <w:r>
        <w:t xml:space="preserve"> </w:t>
      </w:r>
      <w:r>
        <w:t xml:space="preserve">on inducements.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Overall assessment: Effectiveness, efficiency and coherence:</w:t>
      </w:r>
      <w:r>
        <w:br/>
      </w:r>
      <w:r>
        <w:t xml:space="preserve">Option 2 could raise awareness about conflicts of interest by increasing information to retail investors</w:t>
      </w:r>
      <w:r>
        <w:t xml:space="preserve"> </w:t>
      </w:r>
      <w:r>
        <w:t xml:space="preserve">about the existence and consequences of inducements. However, this measure would not be effective</w:t>
      </w:r>
      <w:r>
        <w:t xml:space="preserve"> </w:t>
      </w:r>
      <w:r>
        <w:t xml:space="preserve">in eliminating the root cause of conflicted advice resulting from the payment of inducements. In terms</w:t>
      </w:r>
      <w:r>
        <w:t xml:space="preserve"> </w:t>
      </w:r>
      <w:r>
        <w:t xml:space="preserve">of efficiency, increased awareness might result in retail investors taking better informed decisions based</w:t>
      </w:r>
    </w:p>
    <w:p>
      <w:pPr>
        <w:pStyle w:val="FirstParagraph"/>
      </w:pPr>
      <w:r>
        <w:t xml:space="preserve">116 The ESMA annual statistical report on costs and performance shows that, due to lack of legal requirements, the</w:t>
      </w:r>
      <w:r>
        <w:t xml:space="preserve"> </w:t>
      </w:r>
      <w:r>
        <w:t xml:space="preserve">aggregated inducements are not comprehensively reported to ESMA by the NCAs.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on a clearer understanding of inducements paid and their impact, and as such contribute to the SO1,</w:t>
      </w:r>
      <w:r>
        <w:t xml:space="preserve"> </w:t>
      </w:r>
      <w:r>
        <w:t xml:space="preserve">“Improve information provided to investors and their ability to take well-informed investment</w:t>
      </w:r>
      <w:r>
        <w:t xml:space="preserve"> </w:t>
      </w:r>
      <w:r>
        <w:t xml:space="preserve">decisions”. This would require that retail investors receive the information, understand it and act upon</w:t>
      </w:r>
      <w:r>
        <w:t xml:space="preserve"> </w:t>
      </w:r>
      <w:r>
        <w:t xml:space="preserve">it, while evidence from the Retail investment study suggests that many consumers may not understand</w:t>
      </w:r>
      <w:r>
        <w:t xml:space="preserve"> </w:t>
      </w:r>
      <w:r>
        <w:t xml:space="preserve">the concept/impact of inducements.117 In terms of coherence, this measure would ensure coherence</w:t>
      </w:r>
      <w:r>
        <w:t xml:space="preserve"> </w:t>
      </w:r>
      <w:r>
        <w:t xml:space="preserve">between the existing legal framework (MiFID and IDD), but not between European and national rules,</w:t>
      </w:r>
      <w:r>
        <w:t xml:space="preserve"> </w:t>
      </w:r>
      <w:r>
        <w:t xml:space="preserve">where divergent approaches to inducements would continue.</w:t>
      </w:r>
      <w:r>
        <w:t xml:space="preserve"> </w:t>
      </w:r>
      <w:r>
        <w:t xml:space="preserve">4.</w:t>
      </w:r>
      <w:r>
        <w:t xml:space="preserve"> </w:t>
      </w:r>
      <w:r>
        <w:t xml:space="preserve">Affected groups of stakeholders</w:t>
      </w:r>
      <w:r>
        <w:t xml:space="preserve"> </w:t>
      </w:r>
      <w:r>
        <w:t xml:space="preserve">Option 2 would increase burdens for all providers and distributors (administrative costs), as well as for</w:t>
      </w:r>
      <w:r>
        <w:t xml:space="preserve"> </w:t>
      </w:r>
      <w:r>
        <w:t xml:space="preserve">the NCAs/ESAs who would have to collect, quality check and analyse data, as well as supervise that</w:t>
      </w:r>
      <w:r>
        <w:t xml:space="preserve"> </w:t>
      </w:r>
      <w:r>
        <w:t xml:space="preserve">the information is properly and coherently disclosed to retail clients. While this option would only have</w:t>
      </w:r>
      <w:r>
        <w:t xml:space="preserve"> </w:t>
      </w:r>
      <w:r>
        <w:t xml:space="preserve">minimal effects to address the identified issues, it could possibly slightly increase costs for retail</w:t>
      </w:r>
      <w:r>
        <w:t xml:space="preserve"> </w:t>
      </w:r>
      <w:r>
        <w:t xml:space="preserve">investors as compared to the status quo.</w:t>
      </w:r>
      <w:r>
        <w:br/>
      </w:r>
      <w:r>
        <w:t xml:space="preserve">Stakeholder views: Two main diverging stakeholder positions can be identified. On the one hand,</w:t>
      </w:r>
      <w:r>
        <w:t xml:space="preserve"> </w:t>
      </w:r>
      <w:r>
        <w:t xml:space="preserve">consumer organisations consider enhanced transparency of inducements to be insufficient to fully</w:t>
      </w:r>
      <w:r>
        <w:t xml:space="preserve"> </w:t>
      </w:r>
      <w:r>
        <w:t xml:space="preserve">address the conflict of interest. In their view, retail clients are at an information disadvantage and will</w:t>
      </w:r>
      <w:r>
        <w:t xml:space="preserve"> </w:t>
      </w:r>
      <w:r>
        <w:t xml:space="preserve">often not be able to understand the effects of inducements and act upon it to take informed, good</w:t>
      </w:r>
      <w:r>
        <w:t xml:space="preserve"> </w:t>
      </w:r>
      <w:r>
        <w:t xml:space="preserve">investment decisions. On the other hand, as evidenced by the public consultation, the majority of</w:t>
      </w:r>
      <w:r>
        <w:t xml:space="preserve"> </w:t>
      </w:r>
      <w:r>
        <w:t xml:space="preserve">financial service providers generally consider the current disclosure framework together with the</w:t>
      </w:r>
      <w:r>
        <w:t xml:space="preserve"> </w:t>
      </w:r>
      <w:r>
        <w:t xml:space="preserve">existing rules curtailing the practice of inducements to be satisfactory118.</w:t>
      </w:r>
    </w:p>
    <w:p>
      <w:pPr>
        <w:pStyle w:val="BodyText"/>
      </w:pPr>
      <w:r>
        <w:t xml:space="preserve">Option 3: A ban on inducements</w:t>
      </w:r>
    </w:p>
    <w:p>
      <w:pPr>
        <w:pStyle w:val="Compact"/>
        <w:numPr>
          <w:ilvl w:val="0"/>
          <w:numId w:val="1010"/>
        </w:numPr>
      </w:pPr>
      <w:r>
        <w:t xml:space="preserve">Benefits</w:t>
      </w:r>
      <w:r>
        <w:br/>
      </w:r>
      <w:r>
        <w:t xml:space="preserve">Option 3 would eliminate the main source of conflict of interest in retail distribution and thus increase</w:t>
      </w:r>
      <w:r>
        <w:t xml:space="preserve"> </w:t>
      </w:r>
      <w:r>
        <w:t xml:space="preserve">the value and quality of distribution services (in particular advice, but also non-advised services) and</w:t>
      </w:r>
      <w:r>
        <w:t xml:space="preserve"> </w:t>
      </w:r>
      <w:r>
        <w:t xml:space="preserve">of the products offered and sold to retail investors. As an expected outcome, the ban would eliminate</w:t>
      </w:r>
      <w:r>
        <w:t xml:space="preserve"> </w:t>
      </w:r>
      <w:r>
        <w:t xml:space="preserve">product bias (i.e. incentives by distributors to distribute products that yield the highest commissions)</w:t>
      </w:r>
      <w:r>
        <w:t xml:space="preserve"> </w:t>
      </w:r>
      <w:r>
        <w:t xml:space="preserve">and positively contribute to the distribution of products that better target the retail investor needs and</w:t>
      </w:r>
      <w:r>
        <w:t xml:space="preserve"> </w:t>
      </w:r>
      <w:r>
        <w:t xml:space="preserve">objectives119. As shown by the experiences in the Netherlands and in third countries like the UK, the</w:t>
      </w:r>
      <w:r>
        <w:t xml:space="preserve"> </w:t>
      </w:r>
      <w:r>
        <w:t xml:space="preserve">offer and purchase of simpler cost-efficient investment products would likely significantly increase and</w:t>
      </w:r>
      <w:r>
        <w:t xml:space="preserve"> </w:t>
      </w:r>
      <w:r>
        <w:t xml:space="preserve">the costs of investment would likely be significantly reduced120. In the Netherlands, the number of</w:t>
      </w:r>
      <w:r>
        <w:t xml:space="preserve"> </w:t>
      </w:r>
      <w:r>
        <w:t xml:space="preserve">households investing in low-cost index funds more than doubled from 8% to 20% between 2016 and</w:t>
      </w:r>
    </w:p>
    <w:p>
      <w:pPr>
        <w:pStyle w:val="Compact"/>
        <w:numPr>
          <w:ilvl w:val="0"/>
          <w:numId w:val="1010"/>
        </w:numPr>
      </w:pPr>
      <w:r>
        <w:t xml:space="preserve">Moreover, in the Netherlands, management fees for mutual funds fell on average by 40% after</w:t>
      </w:r>
      <w:r>
        <w:t xml:space="preserve"> </w:t>
      </w:r>
      <w:r>
        <w:t xml:space="preserve">the introduction of the ban on inducements122. This would contribute to improved investment outcomes</w:t>
      </w:r>
    </w:p>
    <w:p>
      <w:pPr>
        <w:pStyle w:val="FirstParagraph"/>
      </w:pPr>
      <w:r>
        <w:t xml:space="preserve">117 Retail investment study, page 248. In its survey only 36% of respondents responded correctly to what they are and only</w:t>
      </w:r>
      <w:r>
        <w:t xml:space="preserve"> </w:t>
      </w:r>
      <w:r>
        <w:t xml:space="preserve">26% paid attention to this feature in their investment decision.</w:t>
      </w:r>
      <w:r>
        <w:br/>
      </w:r>
      <w:r>
        <w:t xml:space="preserve">118 Replies to the public consultation, Q8.5 (How should inducements be regulated?). Out of a total of 151 replies, 91 replies</w:t>
      </w:r>
      <w:r>
        <w:t xml:space="preserve"> </w:t>
      </w:r>
      <w:r>
        <w:t xml:space="preserve">came from trade or business associations, four replies came from consumer organisations and the remaining replies from</w:t>
      </w:r>
      <w:r>
        <w:t xml:space="preserve"> </w:t>
      </w:r>
      <w:r>
        <w:t xml:space="preserve">citizens, NGOs, public authorities, trade unions or other.</w:t>
      </w:r>
      <w:r>
        <w:t xml:space="preserve"> </w:t>
      </w:r>
      <w:r>
        <w:t xml:space="preserve">119 The analysis on these impacts also applies mutatis mutandis to the product manufacturers when they compose structured</w:t>
      </w:r>
      <w:r>
        <w:t xml:space="preserve"> </w:t>
      </w:r>
      <w:r>
        <w:t xml:space="preserve">products and select underlying asset, i.e. the benefits of Option 3 will be that product manufacturers will be incentivised to</w:t>
      </w:r>
      <w:r>
        <w:t xml:space="preserve"> </w:t>
      </w:r>
      <w:r>
        <w:t xml:space="preserve">select products (underlying assets) on the basis of their merits and not on the basis the level of commissions received from</w:t>
      </w:r>
      <w:r>
        <w:t xml:space="preserve"> </w:t>
      </w:r>
      <w:r>
        <w:t xml:space="preserve">other product manufacturers.</w:t>
      </w:r>
      <w:r>
        <w:br/>
      </w:r>
      <w:r>
        <w:t xml:space="preserve">120See infra, Section IV below with further description of impacts on retail investors and industry together with evidence</w:t>
      </w:r>
      <w:r>
        <w:t xml:space="preserve"> </w:t>
      </w:r>
      <w:r>
        <w:t xml:space="preserve">(also describing UK experience). See also Annexes A &amp; B on the Netherlands and UK examples.</w:t>
      </w:r>
      <w:r>
        <w:t xml:space="preserve"> </w:t>
      </w:r>
      <w:r>
        <w:t xml:space="preserve">121 Ibid.</w:t>
      </w:r>
      <w:r>
        <w:br/>
      </w:r>
      <w:r>
        <w:t xml:space="preserve">122 Ibid.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for retail investors. As higher costs of investment products reduce net return of investments123, a ban</w:t>
      </w:r>
      <w:r>
        <w:t xml:space="preserve"> </w:t>
      </w:r>
      <w:r>
        <w:t xml:space="preserve">will contribute to improving net investment performance and help channel retail investments into cost-</w:t>
      </w:r>
      <w:r>
        <w:t xml:space="preserve"> </w:t>
      </w:r>
      <w:r>
        <w:t xml:space="preserve">effective products that better meet retail investors’ investment needs and objectives (SO2 and SO3).</w:t>
      </w:r>
      <w:r>
        <w:t xml:space="preserve"> </w:t>
      </w:r>
      <w:r>
        <w:t xml:space="preserve">The ban is expected to improve market efficiency on the supply side by allowing providers and</w:t>
      </w:r>
      <w:r>
        <w:t xml:space="preserve"> </w:t>
      </w:r>
      <w:r>
        <w:t xml:space="preserve">distributors to compete on the basis of the merits of their investment product offering rather than</w:t>
      </w:r>
      <w:r>
        <w:t xml:space="preserve"> </w:t>
      </w:r>
      <w:r>
        <w:t xml:space="preserve">commissions. It would also foster innovation and likely enhance the development of digital and</w:t>
      </w:r>
      <w:r>
        <w:t xml:space="preserve"> </w:t>
      </w:r>
      <w:r>
        <w:t xml:space="preserve">automated, cost-efficient distribution tools better targeted to customer needs124. A unified and</w:t>
      </w:r>
      <w:r>
        <w:t xml:space="preserve"> </w:t>
      </w:r>
      <w:r>
        <w:t xml:space="preserve">simplified framework across sectors (MiFID and IDD) would also ensure a level playing field across</w:t>
      </w:r>
      <w:r>
        <w:t xml:space="preserve"> </w:t>
      </w:r>
      <w:r>
        <w:t xml:space="preserve">and within the investment and insurance-based investment segments, as well as within the Union.</w:t>
      </w:r>
      <w:r>
        <w:t xml:space="preserve"> </w:t>
      </w:r>
      <w:r>
        <w:t xml:space="preserve">Eliminating conflicts of interest would also enhance trust in financial markets and thus provide</w:t>
      </w:r>
      <w:r>
        <w:t xml:space="preserve"> </w:t>
      </w:r>
      <w:r>
        <w:t xml:space="preserve">additional incentives for consumers not previously active in financial markets to invest125.</w:t>
      </w:r>
      <w:r>
        <w:br/>
      </w:r>
      <w:r>
        <w:t xml:space="preserve">The expected benefits for consumers of an EU level ban can be examined by looking at the total value</w:t>
      </w:r>
      <w:r>
        <w:t xml:space="preserve"> </w:t>
      </w:r>
      <w:r>
        <w:t xml:space="preserve">of inducements charged to investors on an annual basis. However, the calculation of the value of</w:t>
      </w:r>
      <w:r>
        <w:t xml:space="preserve"> </w:t>
      </w:r>
      <w:r>
        <w:t xml:space="preserve">inducements is not the only component of benefits for retail investors, since the removal of conflicts of</w:t>
      </w:r>
      <w:r>
        <w:t xml:space="preserve"> </w:t>
      </w:r>
      <w:r>
        <w:t xml:space="preserve">interest and product bias as explained above is also an important benefit. An accurate estimation of the</w:t>
      </w:r>
      <w:r>
        <w:t xml:space="preserve"> </w:t>
      </w:r>
      <w:r>
        <w:t xml:space="preserve">total amount of inducements paid is difficult to establish, due to strong data limitations regarding the</w:t>
      </w:r>
      <w:r>
        <w:t xml:space="preserve"> </w:t>
      </w:r>
      <w:r>
        <w:t xml:space="preserve">share of inducements in total product costs and the exact number of products in the market that carry</w:t>
      </w:r>
      <w:r>
        <w:t xml:space="preserve"> </w:t>
      </w:r>
      <w:r>
        <w:t xml:space="preserve">inducements. Based on a series of assumptions126, an illustration can be provided for certain segments</w:t>
      </w:r>
      <w:r>
        <w:t xml:space="preserve"> </w:t>
      </w:r>
      <w:r>
        <w:t xml:space="preserve">of the market (i.e. actively managed UCITS funds which are directly held by retail investors). The total</w:t>
      </w:r>
      <w:r>
        <w:t xml:space="preserve"> </w:t>
      </w:r>
      <w:r>
        <w:t xml:space="preserve">annual costs of inducements at an EU level for these funds represented an estimated EUR 5.13 billion</w:t>
      </w:r>
      <w:r>
        <w:t xml:space="preserve"> </w:t>
      </w:r>
      <w:r>
        <w:t xml:space="preserve">(in 2019), EUR 5.25 billion (in 2020) and EUR 6.1 billion (in 2021). If dynamic effects of the ban were</w:t>
      </w:r>
      <w:r>
        <w:t xml:space="preserve"> </w:t>
      </w:r>
      <w:r>
        <w:t xml:space="preserve">considered (e.g. investors switching to lower costs products), the benefits of the ban on inducements</w:t>
      </w:r>
      <w:r>
        <w:t xml:space="preserve"> </w:t>
      </w:r>
      <w:r>
        <w:t xml:space="preserve">would be even higher. For example, assuming that 5% of investments in the EU would shift to low-</w:t>
      </w:r>
      <w:r>
        <w:t xml:space="preserve"> </w:t>
      </w:r>
      <w:r>
        <w:t xml:space="preserve">cost investment products (such as ETFs), this could generate further aggregated cost savings of EUR</w:t>
      </w:r>
      <w:r>
        <w:t xml:space="preserve"> </w:t>
      </w:r>
      <w:r>
        <w:t xml:space="preserve">0.5 billion (2019), EUR 0.6 billion (2020) and EUR 0.8 billion (2021)127. The above estimates of the</w:t>
      </w:r>
      <w:r>
        <w:t xml:space="preserve"> </w:t>
      </w:r>
      <w:r>
        <w:t xml:space="preserve">value of inducements are limited to only one market segment and should therefore be seen as a</w:t>
      </w:r>
      <w:r>
        <w:t xml:space="preserve"> </w:t>
      </w:r>
      <w:r>
        <w:t xml:space="preserve">significant underestimation.</w:t>
      </w:r>
      <w:r>
        <w:br/>
      </w:r>
      <w:r>
        <w:t xml:space="preserve">As a consequence of a ban on inducements, retail investors would have to pay separately for investment</w:t>
      </w:r>
      <w:r>
        <w:t xml:space="preserve"> </w:t>
      </w:r>
      <w:r>
        <w:t xml:space="preserve">services, including financial advice, as these costs would no longer be incorporated into the overall</w:t>
      </w:r>
      <w:r>
        <w:t xml:space="preserve"> </w:t>
      </w:r>
      <w:r>
        <w:t xml:space="preserve">fees. The costs of such payments could not be quantified, but it is expected that they would be</w:t>
      </w:r>
      <w:r>
        <w:t xml:space="preserve"> </w:t>
      </w:r>
      <w:r>
        <w:t xml:space="preserve">significantly lower than the cost of inducements currently being paid.</w:t>
      </w:r>
      <w:r>
        <w:br/>
      </w:r>
      <w:r>
        <w:t xml:space="preserve">Finally, the partial ban variant of Option 3 would benefit those retail investors that wish to invest via</w:t>
      </w:r>
      <w:r>
        <w:t xml:space="preserve"> </w:t>
      </w:r>
      <w:r>
        <w:t xml:space="preserve">execution-only services: those retail investors would avoid any charges arising from inducements; the</w:t>
      </w:r>
      <w:r>
        <w:t xml:space="preserve"> </w:t>
      </w:r>
      <w:r>
        <w:t xml:space="preserve">partial ban would remove incentives to give more prominence to certain products in the product</w:t>
      </w:r>
      <w:r>
        <w:t xml:space="preserve"> </w:t>
      </w:r>
      <w:r>
        <w:t xml:space="preserve">offering; and retail investors could be more confident that products purchased without advice would</w:t>
      </w:r>
      <w:r>
        <w:t xml:space="preserve"> </w:t>
      </w:r>
      <w:r>
        <w:t xml:space="preserve">not include additional charges linked to the payment of inducements, thereby giving them access to</w:t>
      </w:r>
      <w:r>
        <w:t xml:space="preserve"> </w:t>
      </w:r>
      <w:r>
        <w:t xml:space="preserve">products carrying lower costs.</w:t>
      </w:r>
      <w:r>
        <w:t xml:space="preserve"> </w:t>
      </w:r>
      <w:r>
        <w:t xml:space="preserve">Inducements amount to sizeable costs paid by retail investors in the EU, in the order of billions of</w:t>
      </w:r>
      <w:r>
        <w:t xml:space="preserve"> </w:t>
      </w:r>
      <w:r>
        <w:t xml:space="preserve">Euros. If these cost savings were passed on to households, they could contribute to wealth creation for</w:t>
      </w:r>
      <w:r>
        <w:t xml:space="preserve"> </w:t>
      </w:r>
      <w:r>
        <w:t xml:space="preserve">retail investors and be further re-invested into the economy. Academic research from the University of</w:t>
      </w:r>
      <w:r>
        <w:t xml:space="preserve"> </w:t>
      </w:r>
      <w:r>
        <w:t xml:space="preserve">Regensburg (2023)128, compares the effect of commission bans on household wealth in a panel data</w:t>
      </w:r>
    </w:p>
    <w:p>
      <w:pPr>
        <w:pStyle w:val="BodyText"/>
      </w:pPr>
      <w:r>
        <w:t xml:space="preserve">123 See Morningstar studies 2019 and 2021 and ESMAs annual reports on cost and performance regarding NL and UK.</w:t>
      </w:r>
      <w:r>
        <w:t xml:space="preserve"> </w:t>
      </w:r>
      <w:r>
        <w:t xml:space="preserve">124 See Annex 7.A and 7.B on the Netherlands and UK examples.</w:t>
      </w:r>
      <w:r>
        <w:t xml:space="preserve"> </w:t>
      </w:r>
      <w:r>
        <w:t xml:space="preserve">125 These benefits are further explained below under impacts on stakeholders.</w:t>
      </w:r>
      <w:r>
        <w:br/>
      </w:r>
      <w:r>
        <w:t xml:space="preserve">126 See Annex 7.C2</w:t>
      </w:r>
      <w:r>
        <w:t xml:space="preserve"> </w:t>
      </w:r>
      <w:r>
        <w:t xml:space="preserve">127 Based on total annual costs of ETF UCITS provided by ESMA: 0.7% in 2019 (2021 costs and performance report),</w:t>
      </w:r>
      <w:r>
        <w:t xml:space="preserve"> </w:t>
      </w:r>
      <w:r>
        <w:t xml:space="preserve">0.5% in 2020 (2022 costs and performance report) and 0.43% in 2021 (2023 costs and performance report).</w:t>
      </w:r>
      <w:r>
        <w:t xml:space="preserve"> </w:t>
      </w:r>
      <w:r>
        <w:t xml:space="preserve">128 Sebastian-Noth-Grafe_Commission-Ban.pdf (uni-regensburg.de)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analysis and shows that countries with a (partial) ban on commissions experience higher household</w:t>
      </w:r>
      <w:r>
        <w:t xml:space="preserve"> </w:t>
      </w:r>
      <w:r>
        <w:t xml:space="preserve">wealth growth.</w:t>
      </w:r>
      <w:r>
        <w:br/>
      </w:r>
      <w:r>
        <w:t xml:space="preserve">2.</w:t>
      </w:r>
      <w:r>
        <w:t xml:space="preserve"> </w:t>
      </w:r>
      <w:r>
        <w:t xml:space="preserve">Costs</w:t>
      </w:r>
      <w:r>
        <w:br/>
      </w:r>
      <w:r>
        <w:t xml:space="preserve">Providers and distributors would incur one-off adjustment costs to transform their existing commission-</w:t>
      </w:r>
      <w:r>
        <w:t xml:space="preserve"> </w:t>
      </w:r>
      <w:r>
        <w:t xml:space="preserve">based business models into fee-based models. As product manufacturers would no longer transfer back</w:t>
      </w:r>
      <w:r>
        <w:t xml:space="preserve"> </w:t>
      </w:r>
      <w:r>
        <w:t xml:space="preserve">fees to distributors, the latter would have to adjust their charging models. Such adjustments would also</w:t>
      </w:r>
      <w:r>
        <w:t xml:space="preserve"> </w:t>
      </w:r>
      <w:r>
        <w:t xml:space="preserve">include new contractual frameworks and adjustment of billing systems. These changes and their</w:t>
      </w:r>
      <w:r>
        <w:t xml:space="preserve"> </w:t>
      </w:r>
      <w:r>
        <w:t xml:space="preserve">justification would need to be implemented and communicated by firms to clients. There would also</w:t>
      </w:r>
      <w:r>
        <w:t xml:space="preserve"> </w:t>
      </w:r>
      <w:r>
        <w:t xml:space="preserve">be one-off adjustment costs for product manufacturers for the transitioning of asset holdings which</w:t>
      </w:r>
      <w:r>
        <w:t xml:space="preserve"> </w:t>
      </w:r>
      <w:r>
        <w:t xml:space="preserve">incorporate inducements into inducement-free asset holdings (e.g.in the case of investment funds the</w:t>
      </w:r>
      <w:r>
        <w:t xml:space="preserve"> </w:t>
      </w:r>
      <w:r>
        <w:t xml:space="preserve">migration into inducement-free share classes). After the initial set-up, we expect similar or lower</w:t>
      </w:r>
      <w:r>
        <w:t xml:space="preserve"> </w:t>
      </w:r>
      <w:r>
        <w:t xml:space="preserve">ongoing compliance and supervision costs compared to the baseline scenario. This is because some of</w:t>
      </w:r>
      <w:r>
        <w:t xml:space="preserve"> </w:t>
      </w:r>
      <w:r>
        <w:t xml:space="preserve">the costs would be offset129 by the elimination of administrative costs for the application of the quality</w:t>
      </w:r>
      <w:r>
        <w:t xml:space="preserve"> </w:t>
      </w:r>
      <w:r>
        <w:t xml:space="preserve">enhancement (MiFID)/non-detrimental effects (IDD) criteria under the baseline scenario. No</w:t>
      </w:r>
      <w:r>
        <w:t xml:space="preserve"> </w:t>
      </w:r>
      <w:r>
        <w:t xml:space="preserve">significant impact is expected on the resources of ESMA and EIOPA.</w:t>
      </w:r>
      <w:r>
        <w:t xml:space="preserve"> </w:t>
      </w:r>
      <w:r>
        <w:t xml:space="preserve">It has not been possible to gather EU wide statistical evidence to quantify the one-off and possible</w:t>
      </w:r>
      <w:r>
        <w:t xml:space="preserve"> </w:t>
      </w:r>
      <w:r>
        <w:t xml:space="preserve">ongoing costs for the industry. However, the previous reform experiences in the Netherlands and the</w:t>
      </w:r>
      <w:r>
        <w:t xml:space="preserve"> </w:t>
      </w:r>
      <w:r>
        <w:t xml:space="preserve">UK can provide some illustration.</w:t>
      </w:r>
      <w:r>
        <w:br/>
      </w:r>
      <w:r>
        <w:t xml:space="preserve">The Netherlands have carried a high-level estimation of the costs in 2012 and 2014 which pointed to</w:t>
      </w:r>
      <w:r>
        <w:t xml:space="preserve"> </w:t>
      </w:r>
      <w:r>
        <w:t xml:space="preserve">total one-off adjustment costs in the range of EUR 3.72 million to 16.9 million130 for intermediaries</w:t>
      </w:r>
      <w:r>
        <w:t xml:space="preserve"> </w:t>
      </w:r>
      <w:r>
        <w:t xml:space="preserve">and EUR 130,000 to EUR 4.3 million for product manufacturers. No ongoing costs were envisaged,</w:t>
      </w:r>
      <w:r>
        <w:t xml:space="preserve"> </w:t>
      </w:r>
      <w:r>
        <w:t xml:space="preserve">except for insurance providers which totalled EUR 3.4 million.</w:t>
      </w:r>
      <w:r>
        <w:br/>
      </w:r>
      <w:r>
        <w:t xml:space="preserve">In the UK more detailed cost estimates were presented for the incremental compliance costs possibly</w:t>
      </w:r>
      <w:r>
        <w:t xml:space="preserve"> </w:t>
      </w:r>
      <w:r>
        <w:t xml:space="preserve">faced by the industry (not only for the ban on inducements but for a broader set of measures). Those</w:t>
      </w:r>
      <w:r>
        <w:t xml:space="preserve"> </w:t>
      </w:r>
      <w:r>
        <w:t xml:space="preserve">costs were also subject to an ex-post evaluation. The revised estimates pointed to one-off (aggregated)</w:t>
      </w:r>
      <w:r>
        <w:t xml:space="preserve"> </w:t>
      </w:r>
      <w:r>
        <w:t xml:space="preserve">adjustment costs for intermediaries segments ranging between EUR 2.9 million and EUR 37.9 million,</w:t>
      </w:r>
      <w:r>
        <w:t xml:space="preserve"> </w:t>
      </w:r>
      <w:r>
        <w:t xml:space="preserve">depending on the segment (asset managers distributions arms at the lower end against banks at the</w:t>
      </w:r>
      <w:r>
        <w:t xml:space="preserve"> </w:t>
      </w:r>
      <w:r>
        <w:t xml:space="preserve">higher end), whereas aggregated ongoing adjustment costs ranged between EUR 5 million for</w:t>
      </w:r>
      <w:r>
        <w:t xml:space="preserve"> </w:t>
      </w:r>
      <w:r>
        <w:t xml:space="preserve">conglomerates and EUR 32.7 million for financial advisors that are directly authorised. With respect to</w:t>
      </w:r>
      <w:r>
        <w:t xml:space="preserve"> </w:t>
      </w:r>
      <w:r>
        <w:t xml:space="preserve">providers, aggregated one-off adjustment costs ranged between EUR 164.6 million (asset managers)</w:t>
      </w:r>
      <w:r>
        <w:t xml:space="preserve"> </w:t>
      </w:r>
      <w:r>
        <w:t xml:space="preserve">and EUR 408.9 million (insurers), while aggregated ongoing adjustment costs could reach between</w:t>
      </w:r>
      <w:r>
        <w:t xml:space="preserve"> </w:t>
      </w:r>
      <w:r>
        <w:t xml:space="preserve">EUR 5.1 million (conglomerates) to EUR 38.2 million. The total compliance costs across all segments</w:t>
      </w:r>
      <w:r>
        <w:t xml:space="preserve"> </w:t>
      </w:r>
      <w:r>
        <w:t xml:space="preserve">were estimated at EUR 819.4 million (ongoing) and EUR 181.9 million (one-off); Annex 7.C provides</w:t>
      </w:r>
      <w:r>
        <w:t xml:space="preserve"> </w:t>
      </w:r>
      <w:r>
        <w:t xml:space="preserve">more details on the estimates and assumptions131.</w:t>
      </w:r>
      <w:r>
        <w:br/>
      </w:r>
      <w:r>
        <w:t xml:space="preserve">As mentioned above, the ban on inducements was introduced as part of a broader set of measures and</w:t>
      </w:r>
      <w:r>
        <w:t xml:space="preserve"> </w:t>
      </w:r>
      <w:r>
        <w:t xml:space="preserve">prior to the introduction of MiFID II and IDD. These cost indications also relate to other measures</w:t>
      </w:r>
      <w:r>
        <w:t xml:space="preserve"> </w:t>
      </w:r>
      <w:r>
        <w:t xml:space="preserve">introduced at the same time (e.g. a wide set of disclosure obligations which are already implemented</w:t>
      </w:r>
      <w:r>
        <w:t xml:space="preserve"> </w:t>
      </w:r>
      <w:r>
        <w:t xml:space="preserve">across the EU) and could therefore not be attributed solely to the ban. This might also explain a</w:t>
      </w:r>
      <w:r>
        <w:t xml:space="preserve"> </w:t>
      </w:r>
      <w:r>
        <w:t xml:space="preserve">significant portion of the ongoing costs, which does not appear to be directly linked to the ban on</w:t>
      </w:r>
      <w:r>
        <w:t xml:space="preserve"> </w:t>
      </w:r>
      <w:r>
        <w:t xml:space="preserve">inducements. It should furthermore be noted that the cost estimates included assumptions relating to</w:t>
      </w:r>
      <w:r>
        <w:t xml:space="preserve"> </w:t>
      </w:r>
      <w:r>
        <w:t xml:space="preserve">ICT costs that were reasonable in 2010, but which require adjustment in light of technological</w:t>
      </w:r>
      <w:r>
        <w:t xml:space="preserve"> </w:t>
      </w:r>
      <w:r>
        <w:t xml:space="preserve">advancements and the emergence of third-party providers servicing the industry. The ex-post review</w:t>
      </w:r>
    </w:p>
    <w:p>
      <w:pPr>
        <w:pStyle w:val="BodyText"/>
      </w:pPr>
      <w:r>
        <w:t xml:space="preserve">129 Data on those costs is not available.</w:t>
      </w:r>
      <w:r>
        <w:br/>
      </w:r>
      <w:r>
        <w:t xml:space="preserve">130 All figures presented in this paragraph are for illustration purposes aligned to latest consumer prices and presented in</w:t>
      </w:r>
      <w:r>
        <w:t xml:space="preserve"> </w:t>
      </w:r>
      <w:r>
        <w:t xml:space="preserve">EUR.</w:t>
      </w:r>
      <w:r>
        <w:br/>
      </w:r>
      <w:r>
        <w:t xml:space="preserve">131 Ibid footnote 120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of the set of measures published in 2014, pointed also to over-estimations and under-estimations in</w:t>
      </w:r>
      <w:r>
        <w:t xml:space="preserve"> </w:t>
      </w:r>
      <w:r>
        <w:t xml:space="preserve">selected areas (see annex 7.C)132. In the UK, these costs were also presented against the backdrop of</w:t>
      </w:r>
      <w:r>
        <w:t xml:space="preserve"> </w:t>
      </w:r>
      <w:r>
        <w:t xml:space="preserve">expected benefits, by the use of specific examples illustrating potential consumer detriment and were</w:t>
      </w:r>
      <w:r>
        <w:t xml:space="preserve"> </w:t>
      </w:r>
      <w:r>
        <w:t xml:space="preserve">in the range of EUR 314 million annually.</w:t>
      </w:r>
      <w:r>
        <w:t xml:space="preserve"> </w:t>
      </w:r>
      <w:r>
        <w:t xml:space="preserve">With a view to quantifying the compliance costs in connection with the inducement ban, the cost</w:t>
      </w:r>
      <w:r>
        <w:t xml:space="preserve"> </w:t>
      </w:r>
      <w:r>
        <w:t xml:space="preserve">estimates performed in the Netherlands and UK were extrapolated to the EU-26 (cf. Annex 7.C). These</w:t>
      </w:r>
      <w:r>
        <w:t xml:space="preserve"> </w:t>
      </w:r>
      <w:r>
        <w:t xml:space="preserve">extrapolations are subject to a number of assumptions and caveats, which are presented in Annex 7.C.</w:t>
      </w:r>
      <w:r>
        <w:t xml:space="preserve"> </w:t>
      </w:r>
      <w:r>
        <w:t xml:space="preserve">The results show orders of magnitude which range between EUR 58 million to EUR 69 million in terms</w:t>
      </w:r>
      <w:r>
        <w:t xml:space="preserve"> </w:t>
      </w:r>
      <w:r>
        <w:t xml:space="preserve">of relevant compliance costs on the basis of the Dutch estimation (covering only investment firms and</w:t>
      </w:r>
      <w:r>
        <w:t xml:space="preserve"> </w:t>
      </w:r>
      <w:r>
        <w:t xml:space="preserve">asset managers), whereas potential costs based on the UK’s estimates are substantially higher, ranging</w:t>
      </w:r>
      <w:r>
        <w:t xml:space="preserve"> </w:t>
      </w:r>
      <w:r>
        <w:t xml:space="preserve">between EUR 14bn and EUR 15bn, as that analysis also covered the sale of insurance-based investment</w:t>
      </w:r>
      <w:r>
        <w:t xml:space="preserve"> </w:t>
      </w:r>
      <w:r>
        <w:t xml:space="preserve">products. Both cost estimates refer to one-off costs, although these could be spread over any potential</w:t>
      </w:r>
      <w:r>
        <w:t xml:space="preserve"> </w:t>
      </w:r>
      <w:r>
        <w:t xml:space="preserve">transitional period to avoid cliff effects and achieve gradual compliance.</w:t>
      </w:r>
      <w:r>
        <w:br/>
      </w:r>
      <w:r>
        <w:t xml:space="preserve">The costs of the introduction of a partial ban would be expected to be lower than compared to the</w:t>
      </w:r>
      <w:r>
        <w:t xml:space="preserve"> </w:t>
      </w:r>
      <w:r>
        <w:t xml:space="preserve">introduction of a full ban, as a partial ban would not impact all investment products and services. A</w:t>
      </w:r>
      <w:r>
        <w:t xml:space="preserve"> </w:t>
      </w:r>
      <w:r>
        <w:t xml:space="preserve">partial ban may imply one-off costs for product manufacturers and distributors, including in relation to</w:t>
      </w:r>
      <w:r>
        <w:t xml:space="preserve"> </w:t>
      </w:r>
      <w:r>
        <w:t xml:space="preserve">the creation of separate asset classes without inducements, the change of billing systems and</w:t>
      </w:r>
      <w:r>
        <w:t xml:space="preserve"> </w:t>
      </w:r>
      <w:r>
        <w:t xml:space="preserve">communication to clients. The amount of these costs would depend on the degree to which firms</w:t>
      </w:r>
      <w:r>
        <w:t xml:space="preserve"> </w:t>
      </w:r>
      <w:r>
        <w:t xml:space="preserve">currently manufacture and offer products with inducements through execution-only channels and the</w:t>
      </w:r>
      <w:r>
        <w:t xml:space="preserve"> </w:t>
      </w:r>
      <w:r>
        <w:t xml:space="preserve">choices they would make for their business model and product offering after the introduction of a partial</w:t>
      </w:r>
      <w:r>
        <w:t xml:space="preserve"> </w:t>
      </w:r>
      <w:r>
        <w:t xml:space="preserve">ban. These costs are in any case expected to be lower than compared to a full ban on inducements. As</w:t>
      </w:r>
      <w:r>
        <w:t xml:space="preserve"> </w:t>
      </w:r>
      <w:r>
        <w:t xml:space="preserve">an illustration, and extrapolating on the basis of the UK figures, the one-off costs of EU stockbrokers’</w:t>
      </w:r>
      <w:r>
        <w:t xml:space="preserve"> </w:t>
      </w:r>
      <w:r>
        <w:t xml:space="preserve">firms133 - potentially the segment most affected by a partial ban (which targets pure brokerage services)</w:t>
      </w:r>
      <w:r>
        <w:t xml:space="preserve"> </w:t>
      </w:r>
      <w:r>
        <w:t xml:space="preserve">- would be estimated to be in the vicinity of EUR 48 million134. This amount can be considered an</w:t>
      </w:r>
      <w:r>
        <w:t xml:space="preserve"> </w:t>
      </w:r>
      <w:r>
        <w:t xml:space="preserve">underestimation, as it does not take into account the one-off costs that could be incurred by other</w:t>
      </w:r>
      <w:r>
        <w:t xml:space="preserve"> </w:t>
      </w:r>
      <w:r>
        <w:t xml:space="preserve">investment firms and insurance intermediaries.</w:t>
      </w:r>
      <w:r>
        <w:br/>
      </w:r>
      <w:r>
        <w:t xml:space="preserve">These above estimates should not be seen as actual estimates of the possible cost impacts in the EU as</w:t>
      </w:r>
      <w:r>
        <w:t xml:space="preserve"> </w:t>
      </w:r>
      <w:r>
        <w:t xml:space="preserve">a whole. Given the wide ranges, the series of assumptions and caveats and significant differences</w:t>
      </w:r>
      <w:r>
        <w:t xml:space="preserve"> </w:t>
      </w:r>
      <w:r>
        <w:t xml:space="preserve">between them, they do not permit a reliable extrapolation to the EU. They can however illustrate an</w:t>
      </w:r>
      <w:r>
        <w:t xml:space="preserve"> </w:t>
      </w:r>
      <w:r>
        <w:t xml:space="preserve">order of magnitude as to the possible adjustment costs incurred as a result of an inducement ban.</w:t>
      </w:r>
      <w:r>
        <w:br/>
      </w:r>
      <w:r>
        <w:t xml:space="preserve">3.</w:t>
      </w:r>
      <w:r>
        <w:t xml:space="preserve"> </w:t>
      </w:r>
      <w:r>
        <w:t xml:space="preserve">Overall assessment: Effectiveness, efficiency and coherence:</w:t>
      </w:r>
      <w:r>
        <w:br/>
      </w:r>
      <w:r>
        <w:t xml:space="preserve">Option 3 would be effective in achieving the prescribed objectives by removing the major source of</w:t>
      </w:r>
      <w:r>
        <w:t xml:space="preserve"> </w:t>
      </w:r>
      <w:r>
        <w:t xml:space="preserve">conflicts of interest of intermediaries. As advisors are no longer rewarded to “push” products that pay</w:t>
      </w:r>
      <w:r>
        <w:t xml:space="preserve"> </w:t>
      </w:r>
      <w:r>
        <w:t xml:space="preserve">the highest commissions but, due to their cost structure, are often not aligned with the objectives of the</w:t>
      </w:r>
      <w:r>
        <w:t xml:space="preserve"> </w:t>
      </w:r>
      <w:r>
        <w:t xml:space="preserve">client (product-bias), intermediaries would be able to focus on the clients’ needs and objectives in the</w:t>
      </w:r>
      <w:r>
        <w:t xml:space="preserve"> </w:t>
      </w:r>
      <w:r>
        <w:t xml:space="preserve">product selection135. This would contribute to the availability of bias-free distribution services,</w:t>
      </w:r>
      <w:r>
        <w:t xml:space="preserve"> </w:t>
      </w:r>
      <w:r>
        <w:t xml:space="preserve">including advice, resulting in an improved “product-client match” of products. A ban would also likely</w:t>
      </w:r>
      <w:r>
        <w:t xml:space="preserve"> </w:t>
      </w:r>
      <w:r>
        <w:t xml:space="preserve">improve market efficiency by allowing providers to compete on the basis of the merits of the product</w:t>
      </w:r>
      <w:r>
        <w:t xml:space="preserve"> </w:t>
      </w:r>
      <w:r>
        <w:t xml:space="preserve">offering136 (as opposed to competition based on the amount of inducements that distributors receive).</w:t>
      </w:r>
      <w:r>
        <w:t xml:space="preserve"> </w:t>
      </w:r>
      <w:r>
        <w:t xml:space="preserve">Adjustment to business models would be necessary and certain existing market structure trends might</w:t>
      </w:r>
      <w:r>
        <w:t xml:space="preserve"> </w:t>
      </w:r>
      <w:r>
        <w:t xml:space="preserve">further be enhanced.</w:t>
      </w:r>
    </w:p>
    <w:p>
      <w:pPr>
        <w:pStyle w:val="BodyText"/>
      </w:pPr>
      <w:r>
        <w:t xml:space="preserve">132 These over and under estimates from the ex-post evaluation have been included for illustration purposes in the amounts</w:t>
      </w:r>
      <w:r>
        <w:t xml:space="preserve"> </w:t>
      </w:r>
      <w:r>
        <w:t xml:space="preserve">presented in this paragraph.</w:t>
      </w:r>
      <w:r>
        <w:br/>
      </w:r>
      <w:r>
        <w:t xml:space="preserve">133 Stockbrokers are defined as MiFID firms, with a license for the receipt and transmission of clients’ orders or the</w:t>
      </w:r>
      <w:r>
        <w:t xml:space="preserve"> </w:t>
      </w:r>
      <w:r>
        <w:t xml:space="preserve">execution of orders, but who do not offer investment advice to clients and that are not banks.</w:t>
      </w:r>
      <w:r>
        <w:t xml:space="preserve"> </w:t>
      </w:r>
      <w:r>
        <w:t xml:space="preserve">134 See Annex 7.C (i.e. EUR 89,600 x 427 firms x 1.25 (scale factor))</w:t>
      </w:r>
      <w:r>
        <w:t xml:space="preserve"> </w:t>
      </w:r>
      <w:r>
        <w:t xml:space="preserve">135 The same thing applies to product manufacturers, when selecting underlying assets for structured products.</w:t>
      </w:r>
      <w:r>
        <w:br/>
      </w:r>
      <w:r>
        <w:t xml:space="preserve">136 See Annexes 7A and 7B on the Netherlands and UK examples.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clear-cut nature of a ban would be efficient compared to the baseline, according to which</w:t>
      </w:r>
      <w:r>
        <w:t xml:space="preserve"> </w:t>
      </w:r>
      <w:r>
        <w:t xml:space="preserve">inducements are allowed when they enhance the quality of the service (under MiFID) or are non-</w:t>
      </w:r>
      <w:r>
        <w:t xml:space="preserve"> </w:t>
      </w:r>
      <w:r>
        <w:t xml:space="preserve">detrimental to the quality of service (under IDD). As identified in the evaluation, the current</w:t>
      </w:r>
      <w:r>
        <w:t xml:space="preserve"> </w:t>
      </w:r>
      <w:r>
        <w:t xml:space="preserve">requirements are not sufficiently efficient to deter against the negative consequences and are also costly</w:t>
      </w:r>
      <w:r>
        <w:t xml:space="preserve"> </w:t>
      </w:r>
      <w:r>
        <w:t xml:space="preserve">to supervise and subject to diverging interpretation and application across the Union. Despite the</w:t>
      </w:r>
      <w:r>
        <w:t xml:space="preserve"> </w:t>
      </w:r>
      <w:r>
        <w:t xml:space="preserve">expected one-off adjustment costs, the measure is expected to be efficient considering the expected</w:t>
      </w:r>
      <w:r>
        <w:t xml:space="preserve"> </w:t>
      </w:r>
      <w:r>
        <w:t xml:space="preserve">benefits.</w:t>
      </w:r>
      <w:r>
        <w:t xml:space="preserve"> </w:t>
      </w:r>
      <w:r>
        <w:t xml:space="preserve">A ban of inducements across the different sectors would increase coherence by harmonising the</w:t>
      </w:r>
      <w:r>
        <w:t xml:space="preserve"> </w:t>
      </w:r>
      <w:r>
        <w:t xml:space="preserve">requirements across the Union and strengthen the internal market by granting the same level of</w:t>
      </w:r>
      <w:r>
        <w:t xml:space="preserve"> </w:t>
      </w:r>
      <w:r>
        <w:t xml:space="preserve">protection to all retail investors, irrespective of Member State, type of product or distribution model.</w:t>
      </w:r>
      <w:r>
        <w:t xml:space="preserve"> </w:t>
      </w:r>
      <w:r>
        <w:t xml:space="preserve">Particularly in light of increasing digital distribution, and the corresponding boost to cross-border</w:t>
      </w:r>
      <w:r>
        <w:t xml:space="preserve"> </w:t>
      </w:r>
      <w:r>
        <w:t xml:space="preserve">passported services, this coherence would ensure a level playing field in the Union.</w:t>
      </w:r>
      <w:r>
        <w:br/>
      </w:r>
      <w:r>
        <w:t xml:space="preserve">As in the case of a full ban on inducements, a partial ban relating to execution-only services would be</w:t>
      </w:r>
      <w:r>
        <w:t xml:space="preserve"> </w:t>
      </w:r>
      <w:r>
        <w:t xml:space="preserve">effective, coherent and efficient in addressing the identified problems in this market segment. Such a</w:t>
      </w:r>
      <w:r>
        <w:t xml:space="preserve"> </w:t>
      </w:r>
      <w:r>
        <w:t xml:space="preserve">measure would not however address the identified problems in the advice segment.</w:t>
      </w:r>
      <w:r>
        <w:br/>
      </w:r>
      <w:r>
        <w:t xml:space="preserve">4.</w:t>
      </w:r>
      <w:r>
        <w:t xml:space="preserve"> </w:t>
      </w:r>
      <w:r>
        <w:t xml:space="preserve">Affected groups of stakeholders:</w:t>
      </w:r>
      <w:r>
        <w:t xml:space="preserve"> </w:t>
      </w:r>
      <w:r>
        <w:t xml:space="preserve">Industry:</w:t>
      </w:r>
      <w:r>
        <w:t xml:space="preserve"> </w:t>
      </w:r>
      <w:r>
        <w:t xml:space="preserve">Option 3 would affect all financial institutions in the value chain that provides investment services to</w:t>
      </w:r>
      <w:r>
        <w:t xml:space="preserve"> </w:t>
      </w:r>
      <w:r>
        <w:t xml:space="preserve">retail investors. The shift to a ban on inducements would mean that distributors would no longer be</w:t>
      </w:r>
      <w:r>
        <w:t xml:space="preserve"> </w:t>
      </w:r>
      <w:r>
        <w:t xml:space="preserve">able to receive commissions from product manufacturers and as a consequence would have to move to</w:t>
      </w:r>
      <w:r>
        <w:t xml:space="preserve"> </w:t>
      </w:r>
      <w:r>
        <w:t xml:space="preserve">a fee-based model. Accelerated by increasing digitalisation, the ban on inducements would imply</w:t>
      </w:r>
      <w:r>
        <w:t xml:space="preserve"> </w:t>
      </w:r>
      <w:r>
        <w:t xml:space="preserve">changes to market structures and business/ distribution models, which may affect the cost and revenue</w:t>
      </w:r>
      <w:r>
        <w:t xml:space="preserve"> </w:t>
      </w:r>
      <w:r>
        <w:t xml:space="preserve">base both for individual financial institutions and the industry in general. Besides changes in the cost</w:t>
      </w:r>
      <w:r>
        <w:t xml:space="preserve"> </w:t>
      </w:r>
      <w:r>
        <w:t xml:space="preserve">structure, a ban on inducements may imply a loss of revenues, but may also create new opportunities</w:t>
      </w:r>
      <w:r>
        <w:t xml:space="preserve"> </w:t>
      </w:r>
      <w:r>
        <w:t xml:space="preserve">for financial institutions. The exact impact would depend on existing business models, the choices that</w:t>
      </w:r>
      <w:r>
        <w:t xml:space="preserve"> </w:t>
      </w:r>
      <w:r>
        <w:t xml:space="preserve">financial institutions would make in the transition to a new fee model and the duration of any</w:t>
      </w:r>
      <w:r>
        <w:t xml:space="preserve"> </w:t>
      </w:r>
      <w:r>
        <w:t xml:space="preserve">transitional period.</w:t>
      </w:r>
      <w:r>
        <w:br/>
      </w:r>
      <w:r>
        <w:t xml:space="preserve">The existing market structures vary across Member States and product segments. Both vertically and</w:t>
      </w:r>
      <w:r>
        <w:t xml:space="preserve"> </w:t>
      </w:r>
      <w:r>
        <w:t xml:space="preserve">non-vertically integrated value chains co-exist (in the former, the supply chain is within the same</w:t>
      </w:r>
      <w:r>
        <w:t xml:space="preserve"> </w:t>
      </w:r>
      <w:r>
        <w:t xml:space="preserve">corporate control). Another prominent feature is ‘closed architecture’ models (i.e. where distributors</w:t>
      </w:r>
      <w:r>
        <w:t xml:space="preserve"> </w:t>
      </w:r>
      <w:r>
        <w:t xml:space="preserve">favour investment products from manufacturers belonging to the same group or from favoured third</w:t>
      </w:r>
      <w:r>
        <w:t xml:space="preserve"> </w:t>
      </w:r>
      <w:r>
        <w:t xml:space="preserve">parties)137. Irrespective of the corporate structure and business model, investment products are</w:t>
      </w:r>
      <w:r>
        <w:t xml:space="preserve"> </w:t>
      </w:r>
      <w:r>
        <w:t xml:space="preserve">predominantly distributed on the basis of commissions.</w:t>
      </w:r>
      <w:r>
        <w:br/>
      </w:r>
      <w:r>
        <w:t xml:space="preserve">An inducement ban is expected to reduce the market-wide interconnectedness and break close ties</w:t>
      </w:r>
      <w:r>
        <w:t xml:space="preserve"> </w:t>
      </w:r>
      <w:r>
        <w:t xml:space="preserve">between investment product manufacturers and distributors that exist as a result of commission</w:t>
      </w:r>
      <w:r>
        <w:t xml:space="preserve"> </w:t>
      </w:r>
      <w:r>
        <w:t xml:space="preserve">payments. By removing the financial incentives created by the payment of inducements, financial</w:t>
      </w:r>
      <w:r>
        <w:t xml:space="preserve"> </w:t>
      </w:r>
      <w:r>
        <w:t xml:space="preserve">intermediaries and financial providers would be able to compete more easily on the merits of their</w:t>
      </w:r>
      <w:r>
        <w:t xml:space="preserve"> </w:t>
      </w:r>
      <w:r>
        <w:t xml:space="preserve">investment product offering (as opposed to competing on the level of commissions) and to use an open</w:t>
      </w:r>
      <w:r>
        <w:t xml:space="preserve"> </w:t>
      </w:r>
      <w:r>
        <w:t xml:space="preserve">architecture model (including through availability of independent advice).</w:t>
      </w:r>
      <w:r>
        <w:br/>
      </w:r>
      <w:r>
        <w:t xml:space="preserve">In its technical advice, ESMA pointed to a risk that vertical integration between banks and asset</w:t>
      </w:r>
      <w:r>
        <w:t xml:space="preserve"> </w:t>
      </w:r>
      <w:r>
        <w:t xml:space="preserve">managers might result from a ban on inducements, in particular in markets with bank-centric models,</w:t>
      </w:r>
      <w:r>
        <w:t xml:space="preserve"> </w:t>
      </w:r>
      <w:r>
        <w:t xml:space="preserve">possibly resulting in the offer by such groups of only in-house products to end-clients. This risk has not</w:t>
      </w:r>
      <w:r>
        <w:t xml:space="preserve"> </w:t>
      </w:r>
      <w:r>
        <w:t xml:space="preserve">however materialised in the Netherlands, where on the contrary, following the ban there was a shift</w:t>
      </w:r>
      <w:r>
        <w:t xml:space="preserve"> </w:t>
      </w:r>
      <w:r>
        <w:t xml:space="preserve">towards open architecture models. The three largest credit institutions divested their asset management</w:t>
      </w:r>
      <w:r>
        <w:t xml:space="preserve"> </w:t>
      </w:r>
      <w:r>
        <w:t xml:space="preserve">businesses and opened their distribution channels to third party asset managers, leading to an increased</w:t>
      </w:r>
    </w:p>
    <w:p>
      <w:pPr>
        <w:pStyle w:val="BodyText"/>
      </w:pPr>
      <w:r>
        <w:t xml:space="preserve">137 An overview of market structure, market participants and products is provided in Annex 7.D.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offer of third party and more cost-efficient products. Those asset managers that had been divested from</w:t>
      </w:r>
      <w:r>
        <w:t xml:space="preserve"> </w:t>
      </w:r>
      <w:r>
        <w:t xml:space="preserve">credit institutions built up their own direct distribution to retail clients, thus competing with the credit</w:t>
      </w:r>
      <w:r>
        <w:t xml:space="preserve"> </w:t>
      </w:r>
      <w:r>
        <w:t xml:space="preserve">institutions138. The availability of independent advice in the Netherlands is as high as 50% of the</w:t>
      </w:r>
      <w:r>
        <w:t xml:space="preserve"> </w:t>
      </w:r>
      <w:r>
        <w:t xml:space="preserve">market139.</w:t>
      </w:r>
      <w:r>
        <w:br/>
      </w:r>
      <w:r>
        <w:t xml:space="preserve">In order to enhance the effectiveness of the ban, Option 3 provides safeguards against intragroup</w:t>
      </w:r>
      <w:r>
        <w:t xml:space="preserve"> </w:t>
      </w:r>
      <w:r>
        <w:t xml:space="preserve">inducement-like payments (in the form of cross-subsidies to distributing entities from other group</w:t>
      </w:r>
      <w:r>
        <w:t xml:space="preserve"> </w:t>
      </w:r>
      <w:r>
        <w:t xml:space="preserve">entities), whereby vertically integrated distributors would be prevented from providing advice below</w:t>
      </w:r>
      <w:r>
        <w:t xml:space="preserve"> </w:t>
      </w:r>
      <w:r>
        <w:t xml:space="preserve">cost and, consequently, their ability to favour inferior in-house or preferred third party investment</w:t>
      </w:r>
      <w:r>
        <w:t xml:space="preserve"> </w:t>
      </w:r>
      <w:r>
        <w:t xml:space="preserve">products would be impacted140. The preferred options on value for money will also serve as a flanking</w:t>
      </w:r>
      <w:r>
        <w:t xml:space="preserve"> </w:t>
      </w:r>
      <w:r>
        <w:t xml:space="preserve">measure in this regard, helping to ensure cost efficiency of investment products, also when offered</w:t>
      </w:r>
      <w:r>
        <w:t xml:space="preserve"> </w:t>
      </w:r>
      <w:r>
        <w:t xml:space="preserve">through vertically integrated models.</w:t>
      </w:r>
      <w:r>
        <w:t xml:space="preserve"> </w:t>
      </w:r>
      <w:r>
        <w:t xml:space="preserve">Independently of the distribution structure or models chosen (vertically integrated or open architecture),</w:t>
      </w:r>
      <w:r>
        <w:t xml:space="preserve"> </w:t>
      </w:r>
      <w:r>
        <w:t xml:space="preserve">the ban on inducements would incentivise increased competition on the merits between investment</w:t>
      </w:r>
      <w:r>
        <w:t xml:space="preserve"> </w:t>
      </w:r>
      <w:r>
        <w:t xml:space="preserve">products. This is because Option 3 applies to all distributors who would need to adapt the attractiveness</w:t>
      </w:r>
      <w:r>
        <w:t xml:space="preserve"> </w:t>
      </w:r>
      <w:r>
        <w:t xml:space="preserve">of their investment product offerings to compete with that of other distributors141.</w:t>
      </w:r>
      <w:r>
        <w:br/>
      </w:r>
      <w:r>
        <w:t xml:space="preserve">Option 3 would also likely result in a change of the relative portion of the different types of investment</w:t>
      </w:r>
      <w:r>
        <w:t xml:space="preserve"> </w:t>
      </w:r>
      <w:r>
        <w:t xml:space="preserve">service provided to retail investors. The main channels through which products reach retail clients are</w:t>
      </w:r>
      <w:r>
        <w:t xml:space="preserve"> </w:t>
      </w:r>
      <w:r>
        <w:t xml:space="preserve">advice, portfolio management, or non-advised services (for certain IBIPs)/execution-only (for financial</w:t>
      </w:r>
      <w:r>
        <w:t xml:space="preserve"> </w:t>
      </w:r>
      <w:r>
        <w:t xml:space="preserve">instruments). Overall, the provision of advised sales would be expected to decrease in favour of the</w:t>
      </w:r>
      <w:r>
        <w:t xml:space="preserve"> </w:t>
      </w:r>
      <w:r>
        <w:t xml:space="preserve">provision of portfolio management services and non-advised/execution sales respectively, at least</w:t>
      </w:r>
      <w:r>
        <w:t xml:space="preserve"> </w:t>
      </w:r>
      <w:r>
        <w:t xml:space="preserve">initially. In the Netherlands, for example, the split between clients using advice, portfolio management</w:t>
      </w:r>
      <w:r>
        <w:t xml:space="preserve"> </w:t>
      </w:r>
      <w:r>
        <w:t xml:space="preserve">or execution-only in 2021 was 5% for advice (down from 21% in 2013) while (automated) portfolio</w:t>
      </w:r>
      <w:r>
        <w:t xml:space="preserve"> </w:t>
      </w:r>
      <w:r>
        <w:t xml:space="preserve">management services increased to 33% (up from 20% in 2013). Execution-only services, including</w:t>
      </w:r>
      <w:r>
        <w:t xml:space="preserve"> </w:t>
      </w:r>
      <w:r>
        <w:t xml:space="preserve">those with additional guidance142 remained stable (62% versus around 60% in the preceding years)143.</w:t>
      </w:r>
      <w:r>
        <w:t xml:space="preserve"> </w:t>
      </w:r>
      <w:r>
        <w:t xml:space="preserve">In the UK there was an increase of self-directed activities. Under Option 3 there may be lower demand</w:t>
      </w:r>
      <w:r>
        <w:t xml:space="preserve"> </w:t>
      </w:r>
      <w:r>
        <w:t xml:space="preserve">for advice and some financial institutions may decide to scale down their advisory activities and/or</w:t>
      </w:r>
      <w:r>
        <w:t xml:space="preserve"> </w:t>
      </w:r>
      <w:r>
        <w:t xml:space="preserve">focus on other services. Within the advice category, a shift towards independent advice is expected144.</w:t>
      </w:r>
      <w:r>
        <w:t xml:space="preserve"> </w:t>
      </w:r>
      <w:r>
        <w:t xml:space="preserve">It would also be easier for independent advisors to compete with non-independent advisors145, as they</w:t>
      </w:r>
    </w:p>
    <w:p>
      <w:pPr>
        <w:pStyle w:val="BodyText"/>
      </w:pPr>
      <w:r>
        <w:t xml:space="preserve">138 See Annex 7.A.</w:t>
      </w:r>
      <w:r>
        <w:br/>
      </w:r>
      <w:r>
        <w:t xml:space="preserve">139 See Annex 7.A. Compared to well below 1% in Italy and Germany, see supra.</w:t>
      </w:r>
      <w:r>
        <w:br/>
      </w:r>
      <w:r>
        <w:t xml:space="preserve">140 ESMA Technical advice 2020, at page 13. In the Netherlands where, as a part of the ban on inducements, groups</w:t>
      </w:r>
      <w:r>
        <w:t xml:space="preserve"> </w:t>
      </w:r>
      <w:r>
        <w:t xml:space="preserve">operating in-house distribution must recover cost of distribution at the level of the distribution entities, thus barring the</w:t>
      </w:r>
      <w:r>
        <w:t xml:space="preserve"> </w:t>
      </w:r>
      <w:r>
        <w:t xml:space="preserve">possibility to allocate costs elsewhere. There are standard requirements on cost allocation and apportionment and third-</w:t>
      </w:r>
      <w:r>
        <w:t xml:space="preserve"> </w:t>
      </w:r>
      <w:r>
        <w:t xml:space="preserve">party auditing. A similar requirement was introduced in the UK where “the allocation of costs and profit between the</w:t>
      </w:r>
      <w:r>
        <w:t xml:space="preserve"> </w:t>
      </w:r>
      <w:r>
        <w:t xml:space="preserve">adviser’s charge and product cost should be such that any cross-subsidisation is insignificant in ‘the long term’.</w:t>
      </w:r>
      <w:r>
        <w:br/>
      </w:r>
      <w:r>
        <w:t xml:space="preserve">141 The exact impact in terms of mix between vertical and non-vertical integration as well as open versus closed architecture</w:t>
      </w:r>
      <w:r>
        <w:t xml:space="preserve"> </w:t>
      </w:r>
      <w:r>
        <w:t xml:space="preserve">remains uncertain and is likely to vary among Member States.</w:t>
      </w:r>
      <w:r>
        <w:br/>
      </w:r>
      <w:r>
        <w:t xml:space="preserve">142 Approximately 10% of the Dutch execution-only clients invest via so-called guided execution only services. These are</w:t>
      </w:r>
      <w:r>
        <w:t xml:space="preserve"> </w:t>
      </w:r>
      <w:r>
        <w:t xml:space="preserve">execution-only services, where a pre-determined, cost efficient and well-diversified range of products in offered to the</w:t>
      </w:r>
      <w:r>
        <w:t xml:space="preserve"> </w:t>
      </w:r>
      <w:r>
        <w:t xml:space="preserve">clients. The estimated percentage of clients investing through guided execution-only services in the Netherlands was 10%</w:t>
      </w:r>
      <w:r>
        <w:t xml:space="preserve"> </w:t>
      </w:r>
      <w:r>
        <w:t xml:space="preserve">in 2021.</w:t>
      </w:r>
      <w:r>
        <w:br/>
      </w:r>
      <w:r>
        <w:t xml:space="preserve">143 See experience from the Netherlands at Annex 7.A. See also infra as regards the UK, and at Annex 7.B.</w:t>
      </w:r>
      <w:r>
        <w:t xml:space="preserve"> </w:t>
      </w:r>
      <w:r>
        <w:t xml:space="preserve">144 See Experience with the ban on inducement ban in the Netherlands at Annex 7.A.</w:t>
      </w:r>
      <w:r>
        <w:br/>
      </w:r>
      <w:r>
        <w:t xml:space="preserve">145 As is the case currently for independent advisors (see under problem definition the resulting insignificant uptake of</w:t>
      </w:r>
      <w:r>
        <w:t xml:space="preserve"> </w:t>
      </w:r>
      <w:r>
        <w:t xml:space="preserve">independent advice). For example, in Italy, only 428 out of 52,328 advisers are independent (0.8%), see report Relazione</w:t>
      </w:r>
      <w:r>
        <w:t xml:space="preserve"> </w:t>
      </w:r>
      <w:r>
        <w:t xml:space="preserve">Annuale 2021 by Organismo di vigilanza e tenuta dell’albo unico dei Consulenti Finanziari, page 68. In Germany BaFin’s</w:t>
      </w:r>
      <w:r>
        <w:t xml:space="preserve"> </w:t>
      </w:r>
      <w:r>
        <w:t xml:space="preserve">registers shows 17 “fee-based” advisors (Honorarberater).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would no longer need to explain why they charge a fee for their services directly to the retail when most</w:t>
      </w:r>
      <w:r>
        <w:t xml:space="preserve"> </w:t>
      </w:r>
      <w:r>
        <w:t xml:space="preserve">market participants do not146.</w:t>
      </w:r>
      <w:r>
        <w:br/>
      </w:r>
      <w:r>
        <w:t xml:space="preserve">As regards insurance intermediaries, a ban would be confined to the sale of IBIPs and would not apply</w:t>
      </w:r>
      <w:r>
        <w:t xml:space="preserve"> </w:t>
      </w:r>
      <w:r>
        <w:t xml:space="preserve">in the case of other insurance products. It is likely that a portion of insurance intermediaries would</w:t>
      </w:r>
      <w:r>
        <w:t xml:space="preserve"> </w:t>
      </w:r>
      <w:r>
        <w:t xml:space="preserve">specialise in IBIPs, terminate their intermediation activities or shift to non-life products, not covered</w:t>
      </w:r>
      <w:r>
        <w:t xml:space="preserve"> </w:t>
      </w:r>
      <w:r>
        <w:t xml:space="preserve">by the ban on inducements147.</w:t>
      </w:r>
      <w:r>
        <w:br/>
      </w:r>
      <w:r>
        <w:t xml:space="preserve">The above developments will be facilitated as well as accelerated by technological developments and</w:t>
      </w:r>
      <w:r>
        <w:t xml:space="preserve"> </w:t>
      </w:r>
      <w:r>
        <w:t xml:space="preserve">the ongoing trend of digitalisation of financial services. While the extent of physical sales versus digital</w:t>
      </w:r>
      <w:r>
        <w:t xml:space="preserve"> </w:t>
      </w:r>
      <w:r>
        <w:t xml:space="preserve">sales of investment services varies significantly across the EU, distribution channels and consumer</w:t>
      </w:r>
      <w:r>
        <w:t xml:space="preserve"> </w:t>
      </w:r>
      <w:r>
        <w:t xml:space="preserve">habits are shifting generally strongly towards digital sales148. As Option 3 would render costs and the</w:t>
      </w:r>
      <w:r>
        <w:t xml:space="preserve"> </w:t>
      </w:r>
      <w:r>
        <w:t xml:space="preserve">value of products and services more visible (both to investors and distributors), it is expected that this</w:t>
      </w:r>
      <w:r>
        <w:t xml:space="preserve"> </w:t>
      </w:r>
      <w:r>
        <w:t xml:space="preserve">option would further incentivize firms to enhance operational and other efficiencies, notably through</w:t>
      </w:r>
      <w:r>
        <w:t xml:space="preserve"> </w:t>
      </w:r>
      <w:r>
        <w:t xml:space="preserve">digital solutions, especially for products directed towards low-income/low net-worth clients149. Robo-</w:t>
      </w:r>
      <w:r>
        <w:t xml:space="preserve"> </w:t>
      </w:r>
      <w:r>
        <w:t xml:space="preserve">advice or other digital advice models currently represent only a very small share of total retail business,</w:t>
      </w:r>
      <w:r>
        <w:t xml:space="preserve"> </w:t>
      </w:r>
      <w:r>
        <w:t xml:space="preserve">but this is increasing150. Traditional distribution channels already innovate and will likely have greater</w:t>
      </w:r>
      <w:r>
        <w:t xml:space="preserve"> </w:t>
      </w:r>
      <w:r>
        <w:t xml:space="preserve">incentive to do so and use more automated or semi-automated solutions in their advice and other service</w:t>
      </w:r>
      <w:r>
        <w:t xml:space="preserve"> </w:t>
      </w:r>
      <w:r>
        <w:t xml:space="preserve">offerings in order to target client needs, reduce costs and improve operational efficiency151. Given the</w:t>
      </w:r>
      <w:r>
        <w:t xml:space="preserve"> </w:t>
      </w:r>
      <w:r>
        <w:t xml:space="preserve">technological advances and changing consumer habits, large scale market restructuring and changes of</w:t>
      </w:r>
      <w:r>
        <w:t xml:space="preserve"> </w:t>
      </w:r>
      <w:r>
        <w:t xml:space="preserve">business models is likely to be easier today than compared to a decade ago when the ban was introduced</w:t>
      </w:r>
      <w:r>
        <w:t xml:space="preserve"> </w:t>
      </w:r>
      <w:r>
        <w:t xml:space="preserve">in the Netherlands and third countries like the UK.</w:t>
      </w:r>
      <w:r>
        <w:t xml:space="preserve"> </w:t>
      </w:r>
      <w:r>
        <w:t xml:space="preserve">The impacts of a partial ban on inducements relating to execution-only services would be considerably</w:t>
      </w:r>
      <w:r>
        <w:t xml:space="preserve"> </w:t>
      </w:r>
      <w:r>
        <w:t xml:space="preserve">more limited than for a full ban on inducements, since it would only target the part of the industry that</w:t>
      </w:r>
      <w:r>
        <w:t xml:space="preserve"> </w:t>
      </w:r>
      <w:r>
        <w:t xml:space="preserve">manufactures and distributes products to retail investors through execution-only channels. The impact</w:t>
      </w:r>
      <w:r>
        <w:t xml:space="preserve"> </w:t>
      </w:r>
      <w:r>
        <w:t xml:space="preserve">of a partial ban on inducements relating to non-advised sales would be even more limited for IBIPs, as</w:t>
      </w:r>
      <w:r>
        <w:t xml:space="preserve"> </w:t>
      </w:r>
      <w:r>
        <w:t xml:space="preserve">advised sales are the predominant distribution channel in most Member States. This is partially due to</w:t>
      </w:r>
      <w:r>
        <w:t xml:space="preserve"> </w:t>
      </w:r>
      <w:r>
        <w:t xml:space="preserve">regulatory requirements, since a significant number of Member States either do not allow execution-</w:t>
      </w:r>
      <w:r>
        <w:t xml:space="preserve"> </w:t>
      </w:r>
      <w:r>
        <w:t xml:space="preserve">only sales or require compulsory advice for the sale of IBIPs; if those Member States maintain such</w:t>
      </w:r>
    </w:p>
    <w:p>
      <w:pPr>
        <w:pStyle w:val="BodyText"/>
      </w:pPr>
      <w:r>
        <w:t xml:space="preserve">146 See further in Annex 7.A. The issue is not whether a fee will be charged, but the level of fees and the scope/value of the</w:t>
      </w:r>
      <w:r>
        <w:t xml:space="preserve"> </w:t>
      </w:r>
      <w:r>
        <w:t xml:space="preserve">services, something facilitated by the fact that the advice is impartial. Where distributors provide added value advice to their</w:t>
      </w:r>
      <w:r>
        <w:t xml:space="preserve"> </w:t>
      </w:r>
      <w:r>
        <w:t xml:space="preserve">clients, they will be able to retain them. If not, it is likely that retail clients will over time shift towards non-advised</w:t>
      </w:r>
      <w:r>
        <w:t xml:space="preserve"> </w:t>
      </w:r>
      <w:r>
        <w:t xml:space="preserve">sales/execution only sales. This is what happened in the UK, see Annex 7.B.</w:t>
      </w:r>
      <w:r>
        <w:t xml:space="preserve"> </w:t>
      </w:r>
      <w:r>
        <w:t xml:space="preserve">147See Experience in the Netherlands at Annex 7.A. Note however that with respect to a potential shift to non-life products,</w:t>
      </w:r>
      <w:r>
        <w:t xml:space="preserve"> </w:t>
      </w:r>
      <w:r>
        <w:t xml:space="preserve">the Dutch ban on inducements was broader and not confined to IBIPs products only. Any such expected shift cannot be</w:t>
      </w:r>
      <w:r>
        <w:t xml:space="preserve"> </w:t>
      </w:r>
      <w:r>
        <w:t xml:space="preserve">directly compared to the Dutch ban. Self-employed advisors, making up 85% of the Dutch market, indicated that more than</w:t>
      </w:r>
      <w:r>
        <w:t xml:space="preserve"> </w:t>
      </w:r>
      <w:r>
        <w:t xml:space="preserve">50% of their total turnover came from non-life insurance consultancy and intermediation.</w:t>
      </w:r>
      <w:r>
        <w:t xml:space="preserve"> </w:t>
      </w:r>
      <w:r>
        <w:t xml:space="preserve">148 In the EU, on average, the number of bank branch office has decreased from 220,000 in 2010 to about 140,000 in 2022.</w:t>
      </w:r>
      <w:r>
        <w:t xml:space="preserve"> </w:t>
      </w:r>
      <w:r>
        <w:t xml:space="preserve">See ECB, Banking structural indicators, as at 19.11.2022. See Market structure overview at Annex 7.C. Also a 2021 by</w:t>
      </w:r>
      <w:r>
        <w:t xml:space="preserve"> </w:t>
      </w:r>
      <w:r>
        <w:t xml:space="preserve">Oliver Wyman shows that, in line with this trend, the percentage of clients holding online brokerage accounts in Germany</w:t>
      </w:r>
      <w:r>
        <w:t xml:space="preserve"> </w:t>
      </w:r>
      <w:r>
        <w:t xml:space="preserve">increased from 34% to 37% in 2021. Furthermore, in Germany for example there is an increasing trend towards online</w:t>
      </w:r>
      <w:r>
        <w:t xml:space="preserve"> </w:t>
      </w:r>
      <w:r>
        <w:t xml:space="preserve">banking across all age segments, but due to the Covid lockdown this jumped from 50% in 2019 to 64% in 2020. (Deutsche</w:t>
      </w:r>
      <w:r>
        <w:t xml:space="preserve"> </w:t>
      </w:r>
      <w:r>
        <w:t xml:space="preserve">Bankenverband/ Kantar 2020).</w:t>
      </w:r>
      <w:r>
        <w:t xml:space="preserve"> </w:t>
      </w:r>
      <w:r>
        <w:t xml:space="preserve">149 Increasing digitalisation is also contributing to the ongoing consolidation of distribution systems in Member States. It</w:t>
      </w:r>
      <w:r>
        <w:t xml:space="preserve"> </w:t>
      </w:r>
      <w:r>
        <w:t xml:space="preserve">cannot be excluded that shifting to a fee-based distribution model could further accentuate this trend. This is driven by the</w:t>
      </w:r>
      <w:r>
        <w:t xml:space="preserve"> </w:t>
      </w:r>
      <w:r>
        <w:t xml:space="preserve">need to reach higher scale economies (bigger volumes of (low cost) advice to clients) or scope economies (larger mix of</w:t>
      </w:r>
      <w:r>
        <w:t xml:space="preserve"> </w:t>
      </w:r>
      <w:r>
        <w:t xml:space="preserve">products) than what is currently the case.</w:t>
      </w:r>
      <w:r>
        <w:br/>
      </w:r>
      <w:r>
        <w:t xml:space="preserve">150 Study on distribution systems of retail investment products page 130; Report ESA Joint Committee Report on the results</w:t>
      </w:r>
      <w:r>
        <w:t xml:space="preserve"> </w:t>
      </w:r>
      <w:r>
        <w:t xml:space="preserve">of the monitoring exercise on automation in financial advice EIOPA, 2018, where they note a slight increase since the 2015</w:t>
      </w:r>
      <w:r>
        <w:t xml:space="preserve"> </w:t>
      </w:r>
      <w:r>
        <w:t xml:space="preserve">report.</w:t>
      </w:r>
      <w:r>
        <w:br/>
      </w:r>
      <w:r>
        <w:t xml:space="preserve">151 This is the case in the Netherlands, see Annex 7.A; and third countries examined, e.g. UK See FCA 2020 Report, Impact</w:t>
      </w:r>
      <w:r>
        <w:t xml:space="preserve"> </w:t>
      </w:r>
      <w:r>
        <w:t xml:space="preserve">of the RDR and FMR, page 21, and Europe Economics at page 51, See Annex 7.B.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requirements, a partial ban would have no impact on non-advised services relating to IBIPs in those</w:t>
      </w:r>
      <w:r>
        <w:t xml:space="preserve"> </w:t>
      </w:r>
      <w:r>
        <w:t xml:space="preserve">markets.</w:t>
      </w:r>
      <w:r>
        <w:t xml:space="preserve"> </w:t>
      </w:r>
      <w:r>
        <w:t xml:space="preserve">Retail investors:</w:t>
      </w:r>
      <w:r>
        <w:t xml:space="preserve"> </w:t>
      </w:r>
      <w:r>
        <w:t xml:space="preserve">A ban on inducements would eliminate conflicts of interest and increase the value and quality of advice</w:t>
      </w:r>
      <w:r>
        <w:t xml:space="preserve"> </w:t>
      </w:r>
      <w:r>
        <w:t xml:space="preserve">and other distribution services offered to retail investors. A ban could also be expected to result in the</w:t>
      </w:r>
      <w:r>
        <w:t xml:space="preserve"> </w:t>
      </w:r>
      <w:r>
        <w:t xml:space="preserve">sale of lower cost and less complex products to retail investors (see section on benefits).</w:t>
      </w:r>
      <w:r>
        <w:br/>
      </w:r>
      <w:r>
        <w:t xml:space="preserve">A ban on inducements would lead to more transparent pricing for retail investors, who would be</w:t>
      </w:r>
      <w:r>
        <w:t xml:space="preserve"> </w:t>
      </w:r>
      <w:r>
        <w:t xml:space="preserve">charged directly for investment services (including advice). Under the commission-based model, the</w:t>
      </w:r>
      <w:r>
        <w:t xml:space="preserve"> </w:t>
      </w:r>
      <w:r>
        <w:t xml:space="preserve">price of advice is embedded in the product and its cost is not visible to the client. The advice is</w:t>
      </w:r>
      <w:r>
        <w:t xml:space="preserve"> </w:t>
      </w:r>
      <w:r>
        <w:t xml:space="preserve">nonetheless not “for free”, but the client pays indirectly for this service (which they may not realize).</w:t>
      </w:r>
      <w:r>
        <w:t xml:space="preserve"> </w:t>
      </w:r>
      <w:r>
        <w:t xml:space="preserve">A fee-based model would provide retail investors with a salient reference point to consider the value</w:t>
      </w:r>
      <w:r>
        <w:t xml:space="preserve"> </w:t>
      </w:r>
      <w:r>
        <w:t xml:space="preserve">of the services/products provided to them (i.e. the price). As under the commission-based model, no</w:t>
      </w:r>
      <w:r>
        <w:t xml:space="preserve"> </w:t>
      </w:r>
      <w:r>
        <w:t xml:space="preserve">explicit service fees are charged to retail investors at the point of sale, however retail investors have a</w:t>
      </w:r>
      <w:r>
        <w:t xml:space="preserve"> </w:t>
      </w:r>
      <w:r>
        <w:t xml:space="preserve">tendency to underestimate the cost of advice, which also severely undermines their ability to assess its</w:t>
      </w:r>
      <w:r>
        <w:t xml:space="preserve"> </w:t>
      </w:r>
      <w:r>
        <w:t xml:space="preserve">actual value. Transparent fees would allow them to better consider the value of advice and make an</w:t>
      </w:r>
      <w:r>
        <w:t xml:space="preserve"> </w:t>
      </w:r>
      <w:r>
        <w:t xml:space="preserve">active decision as to whether or not they wish to solicit it152 or instead engage in self-directed</w:t>
      </w:r>
      <w:r>
        <w:t xml:space="preserve"> </w:t>
      </w:r>
      <w:r>
        <w:t xml:space="preserve">investments153. While a number of investors would be willing to pay for bias-free advice, other retail</w:t>
      </w:r>
      <w:r>
        <w:t xml:space="preserve"> </w:t>
      </w:r>
      <w:r>
        <w:t xml:space="preserve">investors may change to self-directed investing or decide to opt for portfolio management. Therefore,</w:t>
      </w:r>
      <w:r>
        <w:t xml:space="preserve"> </w:t>
      </w:r>
      <w:r>
        <w:t xml:space="preserve">it cannot be excluded, at least initially, that advised sales of investment products would decrease in</w:t>
      </w:r>
      <w:r>
        <w:t xml:space="preserve"> </w:t>
      </w:r>
      <w:r>
        <w:t xml:space="preserve">some markets154.</w:t>
      </w:r>
      <w:r>
        <w:t xml:space="preserve"> </w:t>
      </w:r>
      <w:r>
        <w:t xml:space="preserve">Some stakeholders (from the industry, but not the consumer side) have expressed concerns in the public</w:t>
      </w:r>
      <w:r>
        <w:t xml:space="preserve"> </w:t>
      </w:r>
      <w:r>
        <w:t xml:space="preserve">consultation about a risk of the emergence of an advice gap as a consequence of the inducements ban.</w:t>
      </w:r>
      <w:r>
        <w:t xml:space="preserve"> </w:t>
      </w:r>
      <w:r>
        <w:t xml:space="preserve">According to these stakeholders, some consumers might not be willing or able to pay for advice and</w:t>
      </w:r>
      <w:r>
        <w:t xml:space="preserve"> </w:t>
      </w:r>
      <w:r>
        <w:t xml:space="preserve">thus not invest at all. Consumers investing only small amounts of money might not be able to find</w:t>
      </w:r>
      <w:r>
        <w:t xml:space="preserve"> </w:t>
      </w:r>
      <w:r>
        <w:t xml:space="preserve">distributors willing to advise them. In addition, there could also be consumers who independently of</w:t>
      </w:r>
      <w:r>
        <w:t xml:space="preserve"> </w:t>
      </w:r>
      <w:r>
        <w:t xml:space="preserve">their investment needs and ability would remain ‘unengaged’ and who could use a “nudge” in order to</w:t>
      </w:r>
      <w:r>
        <w:t xml:space="preserve"> </w:t>
      </w:r>
      <w:r>
        <w:t xml:space="preserve">invest. According to this argument, intermediaries would cease to serve those (potential) retail investor</w:t>
      </w:r>
      <w:r>
        <w:t xml:space="preserve"> </w:t>
      </w:r>
      <w:r>
        <w:t xml:space="preserve">segments, because they would be unable to recover their costs155. On the other hand, other stakeholders,</w:t>
      </w:r>
      <w:r>
        <w:t xml:space="preserve"> </w:t>
      </w:r>
      <w:r>
        <w:t xml:space="preserve">in particular consumer organisations, argue that non-independent advice is currently mis-qualified as</w:t>
      </w:r>
      <w:r>
        <w:t xml:space="preserve"> </w:t>
      </w:r>
      <w:r>
        <w:t xml:space="preserve">“advice”, whereas in practice it could better be described as a sale of a financial product. These</w:t>
      </w:r>
      <w:r>
        <w:t xml:space="preserve"> </w:t>
      </w:r>
      <w:r>
        <w:t xml:space="preserve">stakeholders consider that given the dominance of the commission-based model across the Union,</w:t>
      </w:r>
      <w:r>
        <w:t xml:space="preserve"> </w:t>
      </w:r>
      <w:r>
        <w:t xml:space="preserve">“there is already an advice gap”, which would be removed by a ban on inducements156.</w:t>
      </w:r>
      <w:r>
        <w:t xml:space="preserve"> </w:t>
      </w:r>
      <w:r>
        <w:t xml:space="preserve">The experience in the Netherlands shows that the levels of retail investment remained stable and even</w:t>
      </w:r>
      <w:r>
        <w:t xml:space="preserve"> </w:t>
      </w:r>
      <w:r>
        <w:t xml:space="preserve">slightly increased since the introduction of a ban on inducements from 20% in 2013 to 23% in 2021157.</w:t>
      </w:r>
      <w:r>
        <w:br/>
      </w:r>
      <w:r>
        <w:t xml:space="preserve">That suggests that any reduction in advice services would not result in an investment gap, but rather in</w:t>
      </w:r>
    </w:p>
    <w:p>
      <w:pPr>
        <w:pStyle w:val="BodyText"/>
      </w:pPr>
      <w:r>
        <w:t xml:space="preserve">152 And whether they want independent or non-independent advice.</w:t>
      </w:r>
      <w:r>
        <w:t xml:space="preserve"> </w:t>
      </w:r>
      <w:r>
        <w:t xml:space="preserve">153 See experience from the Netherlands at Annex 7.A.</w:t>
      </w:r>
      <w:r>
        <w:br/>
      </w:r>
      <w:r>
        <w:t xml:space="preserve">154 As evidenced by the experiences in the Netherlands and the UK. in the UK there was an increase of self-directed activities</w:t>
      </w:r>
      <w:r>
        <w:t xml:space="preserve"> </w:t>
      </w:r>
      <w:r>
        <w:t xml:space="preserve">whereas in the Netherlands there was a shift to portfolio management services whereas self-directed investments remained</w:t>
      </w:r>
      <w:r>
        <w:t xml:space="preserve"> </w:t>
      </w:r>
      <w:r>
        <w:t xml:space="preserve">stable, but where guided execution-only services emerged as an offering.</w:t>
      </w:r>
      <w:r>
        <w:br/>
      </w:r>
      <w:r>
        <w:t xml:space="preserve">155 See for example ‘Commission-based remuneration vs. Fee-based remuneration: is there a better model for retail</w:t>
      </w:r>
      <w:r>
        <w:t xml:space="preserve"> </w:t>
      </w:r>
      <w:r>
        <w:t xml:space="preserve">investors?’ (2021) KPMG, page 64; and ‘The future of advice: A comparison of fee-based and commission-based advice</w:t>
      </w:r>
      <w:r>
        <w:t xml:space="preserve"> </w:t>
      </w:r>
      <w:r>
        <w:t xml:space="preserve">from the perspective of retail clients’ (2021) KPMG, page 20.</w:t>
      </w:r>
      <w:r>
        <w:t xml:space="preserve"> </w:t>
      </w:r>
      <w:r>
        <w:t xml:space="preserve">156Better Finance Research Paper on Detrimental Effects of</w:t>
      </w:r>
      <w:r>
        <w:t xml:space="preserve"> </w:t>
      </w:r>
      <w:r>
        <w:t xml:space="preserve">“Inducements”</w:t>
      </w:r>
      <w:r>
        <w:t xml:space="preserve">: Evidence &amp; Arguments for Banning</w:t>
      </w:r>
      <w:r>
        <w:t xml:space="preserve"> </w:t>
      </w:r>
      <w:r>
        <w:t xml:space="preserve">Inducements in Retail Investment Services’ (2022) and Better Finance, ‘Additional evidence on the detrimental impact of</w:t>
      </w:r>
      <w:r>
        <w:t xml:space="preserve"> </w:t>
      </w:r>
      <w:r>
        <w:t xml:space="preserve">sales commissions (</w:t>
      </w:r>
      <w:r>
        <w:t xml:space="preserve">“inducements”</w:t>
      </w:r>
      <w:r>
        <w:t xml:space="preserve">)’ (2022).</w:t>
      </w:r>
      <w:r>
        <w:t xml:space="preserve"> </w:t>
      </w:r>
      <w:r>
        <w:t xml:space="preserve">157 See experience from the Netherlands at Annex 7.A. See Retail investment study pages 247 and 277. In the UK, as noted</w:t>
      </w:r>
      <w:r>
        <w:t xml:space="preserve"> </w:t>
      </w:r>
      <w:r>
        <w:t xml:space="preserve">(infra), while there was a slight decline of total retail investments volumes in 2012, they have gone up again constantly to</w:t>
      </w:r>
      <w:r>
        <w:t xml:space="preserve"> </w:t>
      </w:r>
      <w:r>
        <w:t xml:space="preserve">above those levels by 2020 (2.9 million units sold compared to 2,3 million units). See Annex 7.B.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retail investors accessing investment services via other channels (see above)158. It can also be expected</w:t>
      </w:r>
      <w:r>
        <w:t xml:space="preserve"> </w:t>
      </w:r>
      <w:r>
        <w:t xml:space="preserve">that (as experienced in the Netherlands) different types of portfolio management services and various</w:t>
      </w:r>
      <w:r>
        <w:t xml:space="preserve"> </w:t>
      </w:r>
      <w:r>
        <w:t xml:space="preserve">types of execution-only services could emerge159. Investment advice, portfolio management and</w:t>
      </w:r>
      <w:r>
        <w:t xml:space="preserve"> </w:t>
      </w:r>
      <w:r>
        <w:t xml:space="preserve">execution only, in the form of guided execution-only concepts, have been broadly available in the</w:t>
      </w:r>
      <w:r>
        <w:t xml:space="preserve"> </w:t>
      </w:r>
      <w:r>
        <w:t xml:space="preserve">Netherlands since the introduction of the ban160, with fees as low as 0.8% -1% and without minimum</w:t>
      </w:r>
      <w:r>
        <w:t xml:space="preserve"> </w:t>
      </w:r>
      <w:r>
        <w:t xml:space="preserve">investment amounts161, meaning that a person investing 10,000 EUR is charged no more than 100 EUR</w:t>
      </w:r>
      <w:r>
        <w:t xml:space="preserve"> </w:t>
      </w:r>
      <w:r>
        <w:t xml:space="preserve">for the service and products acquired162.</w:t>
      </w:r>
      <w:r>
        <w:br/>
      </w:r>
      <w:r>
        <w:t xml:space="preserve">Unwillingness to seek/pay for advice may be due to reasons other than affordability163, e.g. lack of</w:t>
      </w:r>
      <w:r>
        <w:t xml:space="preserve"> </w:t>
      </w:r>
      <w:r>
        <w:t xml:space="preserve">understanding of the value that advice can provide, lack of engagement and limited interest in investing</w:t>
      </w:r>
      <w:r>
        <w:t xml:space="preserve"> </w:t>
      </w:r>
      <w:r>
        <w:t xml:space="preserve">altogether (“not for me”) or also lack of trust in the advice. It can also be the result of retail investors</w:t>
      </w:r>
      <w:r>
        <w:t xml:space="preserve"> </w:t>
      </w:r>
      <w:r>
        <w:t xml:space="preserve">preferring to do their own research and take their own investment decisions164. Introducing a ban would</w:t>
      </w:r>
      <w:r>
        <w:t xml:space="preserve"> </w:t>
      </w:r>
      <w:r>
        <w:t xml:space="preserve">therefore incentivize investment advisors to better communicate with and demonstrate to their clients</w:t>
      </w:r>
      <w:r>
        <w:t xml:space="preserve"> </w:t>
      </w:r>
      <w:r>
        <w:t xml:space="preserve">the value of the advice.</w:t>
      </w:r>
      <w:r>
        <w:br/>
      </w:r>
      <w:r>
        <w:t xml:space="preserve">It is clear that consumers can benefit from support and assistance in their investment journey, including</w:t>
      </w:r>
      <w:r>
        <w:t xml:space="preserve"> </w:t>
      </w:r>
      <w:r>
        <w:t xml:space="preserve">through un-biased advice, which is currently not sufficiently available or not available at all in many</w:t>
      </w:r>
      <w:r>
        <w:t xml:space="preserve"> </w:t>
      </w:r>
      <w:r>
        <w:t xml:space="preserve">Member States. Option 3 would address this problem. Furthermore, evidence from the Netherlands (as</w:t>
      </w:r>
      <w:r>
        <w:t xml:space="preserve"> </w:t>
      </w:r>
      <w:r>
        <w:t xml:space="preserve">discussed above) does not suggest that a ban on inducements would lead to an investment gap or an</w:t>
      </w:r>
      <w:r>
        <w:t xml:space="preserve"> </w:t>
      </w:r>
      <w:r>
        <w:t xml:space="preserve">advice gap165.</w:t>
      </w:r>
    </w:p>
    <w:p>
      <w:pPr>
        <w:pStyle w:val="BodyText"/>
      </w:pPr>
      <w:r>
        <w:t xml:space="preserve">158 See infra.</w:t>
      </w:r>
      <w:r>
        <w:t xml:space="preserve"> </w:t>
      </w:r>
      <w:r>
        <w:t xml:space="preserve">159 See supra as well as Annex 7.A.</w:t>
      </w:r>
      <w:r>
        <w:t xml:space="preserve"> </w:t>
      </w:r>
      <w:r>
        <w:t xml:space="preserve">160 Desktop research, websites from various NL providers, see table at Annex 7.A.</w:t>
      </w:r>
      <w:r>
        <w:t xml:space="preserve"> </w:t>
      </w:r>
      <w:r>
        <w:t xml:space="preserve">161 As regards the UK, there is inconclusive evidence on the issue of minimum investable amounts for advice services.</w:t>
      </w:r>
      <w:r>
        <w:t xml:space="preserve"> </w:t>
      </w:r>
      <w:r>
        <w:t xml:space="preserve">Survey research points to suggested minimum amounts between £20,000 up to £100,000. However, crucially, the study did</w:t>
      </w:r>
      <w:r>
        <w:t xml:space="preserve"> </w:t>
      </w:r>
      <w:r>
        <w:t xml:space="preserve">not compare the situation to availability of advice prior to the ban in 2012. Also, the number of clients that were “asked to</w:t>
      </w:r>
      <w:r>
        <w:t xml:space="preserve"> </w:t>
      </w:r>
      <w:r>
        <w:t xml:space="preserve">leave” remained insignificant and the number of clients of the firms surveyed increased over the period. Europe Economics</w:t>
      </w:r>
      <w:r>
        <w:t xml:space="preserve"> </w:t>
      </w:r>
      <w:r>
        <w:t xml:space="preserve">2014 report (p. 50 et al.). In addition, crucially, eight years after the reform, the FCA 2020 report observed that only 40%</w:t>
      </w:r>
      <w:r>
        <w:t xml:space="preserve"> </w:t>
      </w:r>
      <w:r>
        <w:t xml:space="preserve">of firms declared having formal minimum thresholds for pensions/investments, but there was no indication that firms</w:t>
      </w:r>
      <w:r>
        <w:t xml:space="preserve"> </w:t>
      </w:r>
      <w:r>
        <w:t xml:space="preserve">without a formal minimum investment size targeted or served less affluent customers. (FCA 2020, page 39). See, Annex</w:t>
      </w:r>
      <w:r>
        <w:t xml:space="preserve"> </w:t>
      </w:r>
      <w:r>
        <w:t xml:space="preserve">7.B. Also, see infra on the availability of low cost robo-advice.</w:t>
      </w:r>
      <w:r>
        <w:br/>
      </w:r>
      <w:r>
        <w:t xml:space="preserve">162 And where amounts of advice costs and management fees are clearly separated and disclosed (which, as noted above,</w:t>
      </w:r>
      <w:r>
        <w:t xml:space="preserve"> </w:t>
      </w:r>
      <w:r>
        <w:t xml:space="preserve">decreased by 40% on average in the Netherlands). See experience from the Netherlands at Annex 7.A.</w:t>
      </w:r>
      <w:r>
        <w:t xml:space="preserve"> </w:t>
      </w:r>
      <w:r>
        <w:t xml:space="preserve">163 There is mixed evidence available as to the portion of retail investors that might be unwilling to pay for advice when</w:t>
      </w:r>
      <w:r>
        <w:t xml:space="preserve"> </w:t>
      </w:r>
      <w:r>
        <w:t xml:space="preserve">they know the price of it in the form of a fee (Retail investment study, page 282 et al). In its consumer survey, 42% of</w:t>
      </w:r>
      <w:r>
        <w:t xml:space="preserve"> </w:t>
      </w:r>
      <w:r>
        <w:t xml:space="preserve">respondents stated that they either strongly or slightly agreed that they would pay for financial advice if it was affordable.</w:t>
      </w:r>
      <w:r>
        <w:t xml:space="preserve"> </w:t>
      </w:r>
      <w:r>
        <w:t xml:space="preserve">The people who have savings and are considering investing are in particular the most likely to say they would pay for advice</w:t>
      </w:r>
      <w:r>
        <w:t xml:space="preserve"> </w:t>
      </w:r>
      <w:r>
        <w:t xml:space="preserve">if it was affordable (54%).</w:t>
      </w:r>
      <w:r>
        <w:t xml:space="preserve"> </w:t>
      </w:r>
      <w:r>
        <w:t xml:space="preserve">164 See UK experience with ban at Annex 7.B. In the Netherlands there is an increase of investment product comparison</w:t>
      </w:r>
      <w:r>
        <w:t xml:space="preserve"> </w:t>
      </w:r>
      <w:r>
        <w:t xml:space="preserve">websites, which shows that there is demand among retail investors for services that assist them to engage in self-directed</w:t>
      </w:r>
      <w:r>
        <w:t xml:space="preserve"> </w:t>
      </w:r>
      <w:r>
        <w:t xml:space="preserve">investments. It could be the case that such services will increase in importance across the EU following a ban, although this</w:t>
      </w:r>
      <w:r>
        <w:t xml:space="preserve"> </w:t>
      </w:r>
      <w:r>
        <w:t xml:space="preserve">aspect has not been assessed. See experience from the Netherlands at Annex 7.A.</w:t>
      </w:r>
      <w:r>
        <w:t xml:space="preserve"> </w:t>
      </w:r>
      <w:r>
        <w:t xml:space="preserve">165 The FCA, when reviewing the impact of its inducement ban, noted that there was already falling demand for investment</w:t>
      </w:r>
      <w:r>
        <w:t xml:space="preserve"> </w:t>
      </w:r>
      <w:r>
        <w:t xml:space="preserve">advice between 2008 – 2012 prior to the ban, but later noted that the number of adults that received advice actually increased</w:t>
      </w:r>
      <w:r>
        <w:t xml:space="preserve"> </w:t>
      </w:r>
      <w:r>
        <w:t xml:space="preserve">again from 6% in 2017 to 8% in 2020. At the same time, by examining a time series between 2012 when the ban was</w:t>
      </w:r>
      <w:r>
        <w:t xml:space="preserve"> </w:t>
      </w:r>
      <w:r>
        <w:t xml:space="preserve">introduced and 2020 there was a large increase of non-advised sales volumes. Non-advised sales became the lion’s share of</w:t>
      </w:r>
      <w:r>
        <w:t xml:space="preserve"> </w:t>
      </w:r>
      <w:r>
        <w:t xml:space="preserve">sales of investment products (products examined included bonds, decumulation products, individual savings accounts (ISA),</w:t>
      </w:r>
      <w:r>
        <w:t xml:space="preserve"> </w:t>
      </w:r>
      <w:r>
        <w:t xml:space="preserve">occupational pensions, personal pensions, scarps, trusts and open-ended investment company (OEICs)). The reason for this</w:t>
      </w:r>
      <w:r>
        <w:t xml:space="preserve"> </w:t>
      </w:r>
      <w:r>
        <w:t xml:space="preserve">was identified as being that consumers “who would previously have paid for full regulated advice are increasingly turning</w:t>
      </w:r>
      <w:r>
        <w:t xml:space="preserve"> </w:t>
      </w:r>
      <w:r>
        <w:t xml:space="preserve">to alternatives such as investing on a non-advised basis, e.g. via platforms”. This is because consumers have become more</w:t>
      </w:r>
      <w:r>
        <w:t xml:space="preserve"> </w:t>
      </w:r>
      <w:r>
        <w:t xml:space="preserve">confident at directing their own financial affairs. [In fact] 74 per cent thought that it is better to research financial products</w:t>
      </w:r>
      <w:r>
        <w:t xml:space="preserve"> </w:t>
      </w:r>
      <w:r>
        <w:t xml:space="preserve">before considering financial advice, and 44 per cent thought that it is actually better to make the investment decisions</w:t>
      </w:r>
      <w:r>
        <w:t xml:space="preserve"> </w:t>
      </w:r>
      <w:r>
        <w:t xml:space="preserve">without obtaining professional advice.” Europe Economics 2014 paper page 42. Also, “most respondents said that they</w:t>
      </w:r>
      <w:r>
        <w:t xml:space="preserve"> </w:t>
      </w:r>
      <w:r>
        <w:t xml:space="preserve">hadn’t sought out advice because it was not needed, or that they felt they could make these decisions themselves (66%) and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Increased operational efficiencies made possible through technological developments and digitalisation</w:t>
      </w:r>
      <w:r>
        <w:t xml:space="preserve"> </w:t>
      </w:r>
      <w:r>
        <w:t xml:space="preserve">are also expected to contribute to improving access to investment services, especially for the category</w:t>
      </w:r>
      <w:r>
        <w:t xml:space="preserve"> </w:t>
      </w:r>
      <w:r>
        <w:t xml:space="preserve">of potentially ’unserved’ retail investors (with small investments amounts) but also for retail investors</w:t>
      </w:r>
      <w:r>
        <w:t xml:space="preserve"> </w:t>
      </w:r>
      <w:r>
        <w:t xml:space="preserve">more generally. This goes hand in hand with improving access to advice also for small investment</w:t>
      </w:r>
      <w:r>
        <w:t xml:space="preserve"> </w:t>
      </w:r>
      <w:r>
        <w:t xml:space="preserve">amounts through for example semi or fully automated solutions166. A recent AFM survey in the</w:t>
      </w:r>
      <w:r>
        <w:t xml:space="preserve"> </w:t>
      </w:r>
      <w:r>
        <w:t xml:space="preserve">Netherlands has shown that the proportion of retail clients that use or consider engaging with robo-</w:t>
      </w:r>
      <w:r>
        <w:t xml:space="preserve"> </w:t>
      </w:r>
      <w:r>
        <w:t xml:space="preserve">advisors/semi-automated portfolio management has risen from 25% in 2016 to 53% in 2018. Of those,</w:t>
      </w:r>
      <w:r>
        <w:t xml:space="preserve"> </w:t>
      </w:r>
      <w:r>
        <w:t xml:space="preserve">9% already used semi-automated portfolio management in 2018, compared to just 1% in 2016. Those</w:t>
      </w:r>
      <w:r>
        <w:t xml:space="preserve"> </w:t>
      </w:r>
      <w:r>
        <w:t xml:space="preserve">services typically provide access to low-cost index funds167.</w:t>
      </w:r>
    </w:p>
    <w:p>
      <w:pPr>
        <w:pStyle w:val="BodyText"/>
      </w:pPr>
      <w:r>
        <w:t xml:space="preserve">At the same time, other flanking measures are expected to facilitate access to cost efficient investment</w:t>
      </w:r>
      <w:r>
        <w:t xml:space="preserve"> </w:t>
      </w:r>
      <w:r>
        <w:t xml:space="preserve">services and increase retail investor engagement. These flanking measures would help guide investors</w:t>
      </w:r>
      <w:r>
        <w:t xml:space="preserve"> </w:t>
      </w:r>
      <w:r>
        <w:t xml:space="preserve">and reduce barriers to affordable advice. In particular, the following measures are envisaged: (i)</w:t>
      </w:r>
      <w:r>
        <w:t xml:space="preserve"> </w:t>
      </w:r>
      <w:r>
        <w:t xml:space="preserve">improvements to the suitability and appropriateness assessments (Annex 8), as well as adjustments of</w:t>
      </w:r>
      <w:r>
        <w:t xml:space="preserve"> </w:t>
      </w:r>
      <w:r>
        <w:t xml:space="preserve">the legal framework for investment services aimed at fostering the availability for retail clients of cost-</w:t>
      </w:r>
      <w:r>
        <w:t xml:space="preserve"> </w:t>
      </w:r>
      <w:r>
        <w:t xml:space="preserve">efficient investment support, (ii) by facilitating access and exchange to client and other relevant data,</w:t>
      </w:r>
      <w:r>
        <w:t xml:space="preserve"> </w:t>
      </w:r>
      <w:r>
        <w:t xml:space="preserve">the Commission’s initiative for an open finance framework168 should allow for operational efficiencies</w:t>
      </w:r>
      <w:r>
        <w:t xml:space="preserve"> </w:t>
      </w:r>
      <w:r>
        <w:t xml:space="preserve">and data sharing which should facilitate automated or semi-automated models and stimulate the uptake</w:t>
      </w:r>
      <w:r>
        <w:t xml:space="preserve"> </w:t>
      </w:r>
      <w:r>
        <w:t xml:space="preserve">of affordable advice, in both hybrid and digital forms, and (iii) efforts to raise financial literacy levels</w:t>
      </w:r>
      <w:r>
        <w:t xml:space="preserve"> </w:t>
      </w:r>
      <w:r>
        <w:t xml:space="preserve">should also contribute to stimulate retail investor engagement and increase their willingness and ability</w:t>
      </w:r>
      <w:r>
        <w:t xml:space="preserve"> </w:t>
      </w:r>
      <w:r>
        <w:t xml:space="preserve">to invest (see Annex 5). These measures would benefit all retail investors, including the less wealthy</w:t>
      </w:r>
      <w:r>
        <w:t xml:space="preserve"> </w:t>
      </w:r>
      <w:r>
        <w:t xml:space="preserve">or less engaged retail client segments.</w:t>
      </w:r>
      <w:r>
        <w:br/>
      </w:r>
      <w:r>
        <w:t xml:space="preserve">Finally, the partial ban variant of Option 3 relating only to execution-only services would offer benefits</w:t>
      </w:r>
      <w:r>
        <w:t xml:space="preserve"> </w:t>
      </w:r>
      <w:r>
        <w:t xml:space="preserve">to retail investors: those retail investors would no longer incur inducement charges for self-directed</w:t>
      </w:r>
      <w:r>
        <w:t xml:space="preserve"> </w:t>
      </w:r>
      <w:r>
        <w:t xml:space="preserve">sales; the partial ban would remove incentives to give more prominence to certain products in the</w:t>
      </w:r>
      <w:r>
        <w:t xml:space="preserve"> </w:t>
      </w:r>
      <w:r>
        <w:t xml:space="preserve">product offering; and retail investors could be more confident that products purchased without advice</w:t>
      </w:r>
      <w:r>
        <w:t xml:space="preserve"> </w:t>
      </w:r>
      <w:r>
        <w:t xml:space="preserve">would not include additional charges linked to the payment of inducements, thereby giving them access</w:t>
      </w:r>
      <w:r>
        <w:t xml:space="preserve"> </w:t>
      </w:r>
      <w:r>
        <w:t xml:space="preserve">to products carrying lower costs. But while a partial ban would address the consumer detriment</w:t>
      </w:r>
      <w:r>
        <w:t xml:space="preserve"> </w:t>
      </w:r>
      <w:r>
        <w:t xml:space="preserve">resulting from the payment of inducements in the execution-only segment, it would not address the</w:t>
      </w:r>
      <w:r>
        <w:t xml:space="preserve"> </w:t>
      </w:r>
      <w:r>
        <w:t xml:space="preserve">consumer detriment relating to advised services.</w:t>
      </w:r>
      <w:r>
        <w:br/>
      </w:r>
      <w:r>
        <w:t xml:space="preserve">Stakeholder views: similar to Option 2, stakeholders’ views diverge, although two main positions can</w:t>
      </w:r>
      <w:r>
        <w:t xml:space="preserve"> </w:t>
      </w:r>
      <w:r>
        <w:t xml:space="preserve">be identified. Consumer organisations are favourable to a ban, pointing out that this measure would be</w:t>
      </w:r>
      <w:r>
        <w:t xml:space="preserve"> </w:t>
      </w:r>
      <w:r>
        <w:t xml:space="preserve">the most effective way to address the inherent conflict of interest in the current system. Introducing a</w:t>
      </w:r>
      <w:r>
        <w:t xml:space="preserve"> </w:t>
      </w:r>
      <w:r>
        <w:t xml:space="preserve">ban would not create, but rather eliminate an advice gap that already exists, and thus decrease the cost</w:t>
      </w:r>
    </w:p>
    <w:p>
      <w:pPr>
        <w:pStyle w:val="BodyText"/>
      </w:pPr>
      <w:r>
        <w:t xml:space="preserve">22% had simply not thought about it.” FCA Report, Evaluation of the impact of the Retail Distribution Review and the</w:t>
      </w:r>
      <w:r>
        <w:t xml:space="preserve"> </w:t>
      </w:r>
      <w:r>
        <w:t xml:space="preserve">Financial Advice Market Review (2020), page 35. See Annex 7.B.</w:t>
      </w:r>
      <w:r>
        <w:t xml:space="preserve"> </w:t>
      </w:r>
      <w:r>
        <w:t xml:space="preserve">166 Study on distribution systems of retail investment products, page 130 et al. </w:t>
      </w:r>
      <w:r>
        <w:t xml:space="preserve"> </w:t>
      </w:r>
      <w:r>
        <w:t xml:space="preserve">167 See experience in the Netherlands at Annex 7.A. While in the UK, between 2017 and 2020 the consumer engagement</w:t>
      </w:r>
      <w:r>
        <w:t xml:space="preserve"> </w:t>
      </w:r>
      <w:r>
        <w:t xml:space="preserve">with automated advice services remained low and stable, at 1.3% and 1.4% of UK adults, the amount invested on such</w:t>
      </w:r>
      <w:r>
        <w:t xml:space="preserve"> </w:t>
      </w:r>
      <w:r>
        <w:t xml:space="preserve">platforms has increased eight-fold between 2016 and 2019. FCA, Evaluation of the impact of the Retail Distribution Review</w:t>
      </w:r>
      <w:r>
        <w:t xml:space="preserve"> </w:t>
      </w:r>
      <w:r>
        <w:t xml:space="preserve">and the Financial Advice Market Review, page 40, See Annex 7.B.</w:t>
      </w:r>
      <w:r>
        <w:br/>
      </w:r>
      <w:r>
        <w:t xml:space="preserve">168 In 2020, the Commission identified promotion of data-driven finance as one of the priorities in its Digital Finance</w:t>
      </w:r>
      <w:r>
        <w:t xml:space="preserve"> </w:t>
      </w:r>
      <w:r>
        <w:t xml:space="preserve">Strategy and stated its intention to put forward a legislative proposal on an open finance framework. Open finance refers to</w:t>
      </w:r>
      <w:r>
        <w:t xml:space="preserve"> </w:t>
      </w:r>
      <w:r>
        <w:t xml:space="preserve">the access to and processing of customer data upon customer request across a wide range of financial services. As such, it</w:t>
      </w:r>
      <w:r>
        <w:t xml:space="preserve"> </w:t>
      </w:r>
      <w:r>
        <w:t xml:space="preserve">constitutes the next EU policy step on access to customer data in the financial sector after the data sharing provisions on</w:t>
      </w:r>
      <w:r>
        <w:t xml:space="preserve"> </w:t>
      </w:r>
      <w:r>
        <w:t xml:space="preserve">payment accounts introduced by the revised Payment Services Directive (PSD2). The main objective of open finance is to</w:t>
      </w:r>
      <w:r>
        <w:t xml:space="preserve"> </w:t>
      </w:r>
      <w:r>
        <w:t xml:space="preserve">give more effective control to customers of financial service providers – whether consumers or firms – over how their</w:t>
      </w:r>
      <w:r>
        <w:t xml:space="preserve"> </w:t>
      </w:r>
      <w:r>
        <w:t xml:space="preserve">financial data are accessed and used in order to stimulate innovation, promote market transparency and enhance access to</w:t>
      </w:r>
      <w:r>
        <w:t xml:space="preserve"> </w:t>
      </w:r>
      <w:r>
        <w:t xml:space="preserve">finance. Open finance aims at unlocking this data to increase consumer choice, reduce costs and stimulate competition.</w:t>
      </w:r>
      <w:r>
        <w:t xml:space="preserve"> </w:t>
      </w:r>
      <w:r>
        <w:t xml:space="preserve">Wider data reuse should give consumers and small and medium enterprises (SMEs) access to a wider range of services and</w:t>
      </w:r>
      <w:r>
        <w:t xml:space="preserve"> </w:t>
      </w:r>
      <w:r>
        <w:t xml:space="preserve">products. More broadly, should contribute to better information for customers, as third-party providers accessing the data</w:t>
      </w:r>
      <w:r>
        <w:t xml:space="preserve"> </w:t>
      </w:r>
      <w:r>
        <w:t xml:space="preserve">have the potential to generate additional insights.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of investment, enhance quality of services and improve investment outcomes and more generally</w:t>
      </w:r>
      <w:r>
        <w:t xml:space="preserve"> </w:t>
      </w:r>
      <w:r>
        <w:t xml:space="preserve">restore investor confidence in financial markets. Other solutions would risk increasing the complexity</w:t>
      </w:r>
      <w:r>
        <w:t xml:space="preserve"> </w:t>
      </w:r>
      <w:r>
        <w:t xml:space="preserve">of the legal requirements without effectively addressing the core conflict of interest problem. The</w:t>
      </w:r>
      <w:r>
        <w:t xml:space="preserve"> </w:t>
      </w:r>
      <w:r>
        <w:t xml:space="preserve">majority of financial service providers on the other hand, as indicated in the public consultation, would</w:t>
      </w:r>
      <w:r>
        <w:t xml:space="preserve"> </w:t>
      </w:r>
      <w:r>
        <w:t xml:space="preserve">oppose a ban, referring primarily to the risk of an advice gap due to retail investors’ unwillingness to</w:t>
      </w:r>
      <w:r>
        <w:t xml:space="preserve"> </w:t>
      </w:r>
      <w:r>
        <w:t xml:space="preserve">pay for advice and the increased risk of bad investment outcomes should they engage in self-directed</w:t>
      </w:r>
      <w:r>
        <w:t xml:space="preserve"> </w:t>
      </w:r>
      <w:r>
        <w:t xml:space="preserve">investments. They would prefer to address problems relating to the payment of inducements through</w:t>
      </w:r>
      <w:r>
        <w:t xml:space="preserve"> </w:t>
      </w:r>
      <w:r>
        <w:t xml:space="preserve">increased transparency.</w:t>
      </w:r>
      <w:r>
        <w:br/>
      </w:r>
      <w:r>
        <w:t xml:space="preserve">Summary - Choice of the preferred option</w:t>
      </w:r>
      <w:r>
        <w:t xml:space="preserve"> </w:t>
      </w:r>
      <w:r>
        <w:t xml:space="preserve">Option 3, the introduction of a Union-wide ban on inducements, is judged to be the most effective</w:t>
      </w:r>
      <w:r>
        <w:t xml:space="preserve"> </w:t>
      </w:r>
      <w:r>
        <w:t xml:space="preserve">measure to reach the overall objectives of the retail investment strategy and in particular Specific</w:t>
      </w:r>
      <w:r>
        <w:t xml:space="preserve"> </w:t>
      </w:r>
      <w:r>
        <w:t xml:space="preserve">Objectives 2 and 3. It would remove or significantly reduce conflicts of interest in the investment</w:t>
      </w:r>
      <w:r>
        <w:t xml:space="preserve"> </w:t>
      </w:r>
      <w:r>
        <w:t xml:space="preserve">decision process uniformly across the Union, to the benefit of all retail investors. A ban would reduce</w:t>
      </w:r>
      <w:r>
        <w:t xml:space="preserve"> </w:t>
      </w:r>
      <w:r>
        <w:t xml:space="preserve">an important source of consumer detriment. The expected long-term benefits for retail investors are in</w:t>
      </w:r>
      <w:r>
        <w:t xml:space="preserve"> </w:t>
      </w:r>
      <w:r>
        <w:t xml:space="preserve">particular access to better performing, less costly and more relevant investment products.</w:t>
      </w:r>
      <w:r>
        <w:br/>
      </w:r>
      <w:r>
        <w:t xml:space="preserve">The level of knowledge and extent of participation of retail investors in capital markets varies greatly</w:t>
      </w:r>
      <w:r>
        <w:t xml:space="preserve"> </w:t>
      </w:r>
      <w:r>
        <w:t xml:space="preserve">across the Union, but a common feature in all Member States is that retail investors are at an information</w:t>
      </w:r>
      <w:r>
        <w:t xml:space="preserve"> </w:t>
      </w:r>
      <w:r>
        <w:t xml:space="preserve">disadvantage compared to providers, in particular with respect to the value of the service and products</w:t>
      </w:r>
      <w:r>
        <w:t xml:space="preserve"> </w:t>
      </w:r>
      <w:r>
        <w:t xml:space="preserve">provided to them. As a result of the conflicts of interest inherent in commission-based models,</w:t>
      </w:r>
      <w:r>
        <w:t xml:space="preserve"> </w:t>
      </w:r>
      <w:r>
        <w:t xml:space="preserve">independently of the level of development of the retail markets and level of knowledge of investors at</w:t>
      </w:r>
      <w:r>
        <w:t xml:space="preserve"> </w:t>
      </w:r>
      <w:r>
        <w:t xml:space="preserve">Member State level, inducements have had a detrimental effect on the quality of service provided to</w:t>
      </w:r>
      <w:r>
        <w:t xml:space="preserve"> </w:t>
      </w:r>
      <w:r>
        <w:t xml:space="preserve">retail investors and ultimately on their investment outcomes.</w:t>
      </w:r>
      <w:r>
        <w:t xml:space="preserve"> </w:t>
      </w:r>
      <w:r>
        <w:t xml:space="preserve">While Member States already have the option to introduce an inducement ban or other intermediary</w:t>
      </w:r>
      <w:r>
        <w:t xml:space="preserve"> </w:t>
      </w:r>
      <w:r>
        <w:t xml:space="preserve">solutions at national level, a common Union-wide ban, together with enhanced common investor</w:t>
      </w:r>
      <w:r>
        <w:t xml:space="preserve"> </w:t>
      </w:r>
      <w:r>
        <w:t xml:space="preserve">protection standards, would ensure a level playing field between Member States and across distribution</w:t>
      </w:r>
      <w:r>
        <w:t xml:space="preserve"> </w:t>
      </w:r>
      <w:r>
        <w:t xml:space="preserve">channels, thus improving the efficiency of the internal market, in line with General Objective 3. That</w:t>
      </w:r>
      <w:r>
        <w:t xml:space="preserve"> </w:t>
      </w:r>
      <w:r>
        <w:t xml:space="preserve">would benefit all retail investors across the EU. The trend towards increasing digitalization will</w:t>
      </w:r>
      <w:r>
        <w:t xml:space="preserve"> </w:t>
      </w:r>
      <w:r>
        <w:t xml:space="preserve">continue and further underlines the need to strengthen investor protection rules throughout the Union</w:t>
      </w:r>
      <w:r>
        <w:t xml:space="preserve"> </w:t>
      </w:r>
      <w:r>
        <w:t xml:space="preserve">for all service providers.</w:t>
      </w:r>
      <w:r>
        <w:t xml:space="preserve"> </w:t>
      </w:r>
      <w:r>
        <w:t xml:space="preserve">A transitional period to introduce a ban on inducements would be necessary to ensure that distributors</w:t>
      </w:r>
      <w:r>
        <w:t xml:space="preserve"> </w:t>
      </w:r>
      <w:r>
        <w:t xml:space="preserve">and manufacturers have time to adjust their business models from a commission-based to a fee-based</w:t>
      </w:r>
      <w:r>
        <w:t xml:space="preserve"> </w:t>
      </w:r>
      <w:r>
        <w:t xml:space="preserve">model. Examples of the steps that need to be taken are adjustments to the current fee schedule and</w:t>
      </w:r>
      <w:r>
        <w:t xml:space="preserve"> </w:t>
      </w:r>
      <w:r>
        <w:t xml:space="preserve">billing systems, informing clients of the new structures, creating new share classes without inducements</w:t>
      </w:r>
      <w:r>
        <w:t xml:space="preserve"> </w:t>
      </w:r>
      <w:r>
        <w:t xml:space="preserve">in the case of investment funds and upgrading IT systems where necessary.</w:t>
      </w:r>
      <w:r>
        <w:br/>
      </w:r>
      <w:r>
        <w:t xml:space="preserve">Option 2, enhanced transparency, will increase the information available to investors to make informed</w:t>
      </w:r>
      <w:r>
        <w:t xml:space="preserve"> </w:t>
      </w:r>
      <w:r>
        <w:t xml:space="preserve">decisions but is expected to be less impactful on retail investors’ ability to assess the implications of</w:t>
      </w:r>
      <w:r>
        <w:t xml:space="preserve"> </w:t>
      </w:r>
      <w:r>
        <w:t xml:space="preserve">the value of the services and products provided to them and, therefore, would be unlikely to act as a</w:t>
      </w:r>
      <w:r>
        <w:t xml:space="preserve"> </w:t>
      </w:r>
      <w:r>
        <w:t xml:space="preserve">deterrent or mitigating factor to effectively address the consequences of conflicts of interest.</w:t>
      </w:r>
      <w:r>
        <w:br/>
      </w:r>
      <w:r>
        <w:t xml:space="preserve">The variant to Option 3 (partial ban on inducements for execution-only services), would address the</w:t>
      </w:r>
      <w:r>
        <w:t xml:space="preserve"> </w:t>
      </w:r>
      <w:r>
        <w:t xml:space="preserve">consumer detriment resulting from the payment of inducements in the execution-only segment, but</w:t>
      </w:r>
      <w:r>
        <w:t xml:space="preserve"> </w:t>
      </w:r>
      <w:r>
        <w:t xml:space="preserve">would not address the consumer detriment relating to advised services. However, a partial ban could</w:t>
      </w:r>
      <w:r>
        <w:t xml:space="preserve"> </w:t>
      </w:r>
      <w:r>
        <w:t xml:space="preserve">be a first step that left open the possibility of further expansion to a full ban and could be a means of</w:t>
      </w:r>
      <w:r>
        <w:t xml:space="preserve"> </w:t>
      </w:r>
      <w:r>
        <w:t xml:space="preserve">ensuring a smooth and gradual transition into a new system that avoided shocks from sudden major</w:t>
      </w:r>
      <w:r>
        <w:t xml:space="preserve"> </w:t>
      </w:r>
      <w:r>
        <w:t xml:space="preserve">changes both in terms of impacts and adjustment costs for the industry. The situation relating to the</w:t>
      </w:r>
      <w:r>
        <w:t xml:space="preserve"> </w:t>
      </w:r>
      <w:r>
        <w:t xml:space="preserve">payment of inducements and the types of products purchased by retail investors could be closely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monitored and, should the implemented measures be considered insufficient, a comprehensive ban that</w:t>
      </w:r>
      <w:r>
        <w:t xml:space="preserve"> </w:t>
      </w:r>
      <w:r>
        <w:t xml:space="preserve">included advised services might then be considered.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(SO1)</w:t>
      </w:r>
      <w:r>
        <w:t xml:space="preserve"> </w:t>
      </w:r>
      <w:r>
        <w:t xml:space="preserve">(SO2)</w:t>
      </w:r>
      <w:r>
        <w:t xml:space="preserve"> </w:t>
      </w:r>
      <w:r>
        <w:t xml:space="preserve">(SO3)</w:t>
      </w:r>
      <w:r>
        <w:t xml:space="preserve"> </w:t>
      </w:r>
      <w:r>
        <w:t xml:space="preserve">Option 1 - Do nothing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– Additional</w:t>
      </w:r>
      <w:r>
        <w:t xml:space="preserve"> </w:t>
      </w:r>
      <w:r>
        <w:t xml:space="preserve">disclosures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 – A ban on</w:t>
      </w:r>
      <w:r>
        <w:t xml:space="preserve"> </w:t>
      </w:r>
      <w:r>
        <w:t xml:space="preserve">inducements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6.3 Value for Money</w:t>
      </w:r>
      <w:r>
        <w:br/>
      </w:r>
      <w:r>
        <w:t xml:space="preserve">Option 2: strengthened governance rules at the product manufacturing level</w:t>
      </w:r>
      <w:r>
        <w:t xml:space="preserve"> </w:t>
      </w:r>
      <w:r>
        <w:t xml:space="preserve">1.</w:t>
      </w:r>
      <w:r>
        <w:t xml:space="preserve"> </w:t>
      </w:r>
      <w:r>
        <w:t xml:space="preserve">Benefits</w:t>
      </w:r>
      <w:r>
        <w:t xml:space="preserve"> </w:t>
      </w:r>
      <w:r>
        <w:t xml:space="preserve">Strengthening the rules on product governance would require manufacturers to pay greater attention to</w:t>
      </w:r>
      <w:r>
        <w:t xml:space="preserve"> </w:t>
      </w:r>
      <w:r>
        <w:t xml:space="preserve">costs to ensure that their products offer value for money. Increased controls and pressure to always</w:t>
      </w:r>
      <w:r>
        <w:t xml:space="preserve"> </w:t>
      </w:r>
      <w:r>
        <w:t xml:space="preserve">maintain the cost-effectiveness of products would enhance discipline among manufacturers. The</w:t>
      </w:r>
      <w:r>
        <w:t xml:space="preserve"> </w:t>
      </w:r>
      <w:r>
        <w:t xml:space="preserve">mechanism introduced by this option would significantly enhance the enforcement of Value for Money,</w:t>
      </w:r>
      <w:r>
        <w:t xml:space="preserve"> </w:t>
      </w:r>
      <w:r>
        <w:t xml:space="preserve">by shifting the burden of proof from NCAs to manufacturers; manufacturers would need to demonstrate</w:t>
      </w:r>
      <w:r>
        <w:t xml:space="preserve"> </w:t>
      </w:r>
      <w:r>
        <w:t xml:space="preserve">that the costs of their products do not deviate excessively from the appropriate benchmarks, or else to</w:t>
      </w:r>
      <w:r>
        <w:t xml:space="preserve"> </w:t>
      </w:r>
      <w:r>
        <w:t xml:space="preserve">justify any such deviations. That would help eliminate from the market those products that are likely</w:t>
      </w:r>
      <w:r>
        <w:t xml:space="preserve"> </w:t>
      </w:r>
      <w:r>
        <w:t xml:space="preserve">to present investors with poor value for money, as well as contributing to ensuring retail investors</w:t>
      </w:r>
      <w:r>
        <w:t xml:space="preserve"> </w:t>
      </w:r>
      <w:r>
        <w:t xml:space="preserve">benefit from more cost-effective products (SO3), including wider availability of lower cost and</w:t>
      </w:r>
      <w:r>
        <w:t xml:space="preserve"> </w:t>
      </w:r>
      <w:r>
        <w:t xml:space="preserve">potentially less complex (hence easier to understand) products that would better match their needs. It</w:t>
      </w:r>
      <w:r>
        <w:t xml:space="preserve"> </w:t>
      </w:r>
      <w:r>
        <w:t xml:space="preserve">would also help ensure that the cost of each product is better aligned to its quality, i.e. the relationship</w:t>
      </w:r>
      <w:r>
        <w:t xml:space="preserve"> </w:t>
      </w:r>
      <w:r>
        <w:t xml:space="preserve">between return expectations and the level of risk, taking into consideration other product features that</w:t>
      </w:r>
      <w:r>
        <w:t xml:space="preserve"> </w:t>
      </w:r>
      <w:r>
        <w:t xml:space="preserve">would reasonably be expected to bring value for investors.</w:t>
      </w:r>
      <w:r>
        <w:br/>
      </w:r>
      <w:r>
        <w:t xml:space="preserve">In its 2021 Supervisory Statement, EIOPA clarified that, as part of the assessment of value for money</w:t>
      </w:r>
      <w:r>
        <w:t xml:space="preserve"> </w:t>
      </w:r>
      <w:r>
        <w:t xml:space="preserve">risks in their products, “manufacturers should be able to present a structured pricing process in their</w:t>
      </w:r>
      <w:r>
        <w:t xml:space="preserve"> </w:t>
      </w:r>
      <w:r>
        <w:t xml:space="preserve">POG reporting to competent authorities”169. ESMA also considers the control of the cost/fee structure</w:t>
      </w:r>
      <w:r>
        <w:t xml:space="preserve"> </w:t>
      </w:r>
      <w:r>
        <w:t xml:space="preserve">of the fund at the authorisation stage as a positive development170, and has encouraged competent</w:t>
      </w:r>
      <w:r>
        <w:t xml:space="preserve"> </w:t>
      </w:r>
      <w:r>
        <w:t xml:space="preserve">authorities to perform a timely assessment of funds’ cost and fee structures in order to address investor</w:t>
      </w:r>
      <w:r>
        <w:t xml:space="preserve"> </w:t>
      </w:r>
      <w:r>
        <w:t xml:space="preserve">protection risks.</w:t>
      </w:r>
    </w:p>
    <w:p>
      <w:pPr>
        <w:pStyle w:val="BodyText"/>
      </w:pPr>
      <w:r>
        <w:t xml:space="preserve">169 See EIOPA Supervisory Statement on “Assessment of value for money of unit-linked insurance products under product</w:t>
      </w:r>
      <w:r>
        <w:t xml:space="preserve"> </w:t>
      </w:r>
      <w:r>
        <w:t xml:space="preserve">oversight and governance”, page 5. The assessment should include evidence on the quantification and breakdown of costs</w:t>
      </w:r>
      <w:r>
        <w:t xml:space="preserve"> </w:t>
      </w:r>
      <w:r>
        <w:t xml:space="preserve">and charges, that adequate and sufficient testing has taken place on whether the product offers value for money taking into</w:t>
      </w:r>
      <w:r>
        <w:t xml:space="preserve"> </w:t>
      </w:r>
      <w:r>
        <w:t xml:space="preserve">account the target market specificities, and that elements such as performance, costs and charges are adequately and</w:t>
      </w:r>
      <w:r>
        <w:t xml:space="preserve"> </w:t>
      </w:r>
      <w:r>
        <w:t xml:space="preserve">periodically reviewed.</w:t>
      </w:r>
      <w:r>
        <w:br/>
      </w:r>
      <w:r>
        <w:t xml:space="preserve">170 Page 22, ESMA’s Final Report on the 2021 CSA on costs and fees.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Furthermore, the establishment of benchmarks would stimulate competition among manufacturers and</w:t>
      </w:r>
      <w:r>
        <w:t xml:space="preserve"> </w:t>
      </w:r>
      <w:r>
        <w:t xml:space="preserve">help increase the overall cost efficiency of retail investment products. Benchmarks would also facilitate</w:t>
      </w:r>
      <w:r>
        <w:t xml:space="preserve"> </w:t>
      </w:r>
      <w:r>
        <w:t xml:space="preserve">the task of supervisory authorities and ensure more effective supervision.</w:t>
      </w:r>
      <w:r>
        <w:t xml:space="preserve"> </w:t>
      </w:r>
      <w:r>
        <w:t xml:space="preserve">The benefits for retail investors would depend on the effectiveness of the new measures. Scenarios are</w:t>
      </w:r>
      <w:r>
        <w:t xml:space="preserve"> </w:t>
      </w:r>
      <w:r>
        <w:t xml:space="preserve">presented under option 3 (below) illustrating the impact on the net returns that households could expect</w:t>
      </w:r>
      <w:r>
        <w:t xml:space="preserve"> </w:t>
      </w:r>
      <w:r>
        <w:t xml:space="preserve">to earn on investment funds and insurance-based investment products, using existing microeconomic</w:t>
      </w:r>
      <w:r>
        <w:t xml:space="preserve"> </w:t>
      </w:r>
      <w:r>
        <w:t xml:space="preserve">benchmarks and macroeconomic variables. Since option 2 is limited to manufacturing benchmarks, this</w:t>
      </w:r>
      <w:r>
        <w:t xml:space="preserve"> </w:t>
      </w:r>
      <w:r>
        <w:t xml:space="preserve">analysis requires additional assumptions, which are explained below. The higher returns that investors</w:t>
      </w:r>
      <w:r>
        <w:t xml:space="preserve"> </w:t>
      </w:r>
      <w:r>
        <w:t xml:space="preserve">could earn would amount to slightly below EUR 15 billion per annum in a scenario where yields in</w:t>
      </w:r>
      <w:r>
        <w:t xml:space="preserve"> </w:t>
      </w:r>
      <w:r>
        <w:t xml:space="preserve">Member States with below average returns have converged half ways to the EU average.171</w:t>
      </w:r>
      <w:r>
        <w:br/>
      </w:r>
      <w:r>
        <w:t xml:space="preserve">2.</w:t>
      </w:r>
      <w:r>
        <w:t xml:space="preserve"> </w:t>
      </w:r>
      <w:r>
        <w:t xml:space="preserve">Costs</w:t>
      </w:r>
      <w:r>
        <w:t xml:space="preserve"> </w:t>
      </w:r>
      <w:r>
        <w:t xml:space="preserve">Since well-run product manufacturers should already have in place functioning cost accounting</w:t>
      </w:r>
      <w:r>
        <w:t xml:space="preserve"> </w:t>
      </w:r>
      <w:r>
        <w:t xml:space="preserve">systems, the costs of producing comparisons against benchmarks should not generate high</w:t>
      </w:r>
      <w:r>
        <w:t xml:space="preserve"> </w:t>
      </w:r>
      <w:r>
        <w:t xml:space="preserve">administrative costs. Article 9 of the MiFID delegated directive172 already contains a number of</w:t>
      </w:r>
      <w:r>
        <w:t xml:space="preserve"> </w:t>
      </w:r>
      <w:r>
        <w:t xml:space="preserve">obligations on manufacturers in respect of determining the target market and ensuring product quality,</w:t>
      </w:r>
      <w:r>
        <w:t xml:space="preserve"> </w:t>
      </w:r>
      <w:r>
        <w:t xml:space="preserve">including the need to undertake a scenario analysis to assess the risks of poor outcomes for clients.</w:t>
      </w:r>
      <w:r>
        <w:t xml:space="preserve"> </w:t>
      </w:r>
      <w:r>
        <w:t xml:space="preserve">Article 22(4) of the UCITS level 2 Directive requires management companies to prevent undue costs</w:t>
      </w:r>
      <w:r>
        <w:t xml:space="preserve"> </w:t>
      </w:r>
      <w:r>
        <w:t xml:space="preserve">being charged to the UCITS and its unitholders and for each Member State to draw up rules of conduct</w:t>
      </w:r>
      <w:r>
        <w:t xml:space="preserve"> </w:t>
      </w:r>
      <w:r>
        <w:t xml:space="preserve">for management companies. Similar requirements are also present in Article 17(2) of the AIFMD level</w:t>
      </w:r>
      <w:r>
        <w:t xml:space="preserve"> </w:t>
      </w:r>
      <w:r>
        <w:t xml:space="preserve">2 Regulation, as well as in Articles 4 to 8 of the IDD delegated regulation on product oversight and</w:t>
      </w:r>
      <w:r>
        <w:t xml:space="preserve"> </w:t>
      </w:r>
      <w:r>
        <w:t xml:space="preserve">governance173. EIOPA also issued on 30 November 2021 a Supervisory Statement174 explaining that</w:t>
      </w:r>
      <w:r>
        <w:t xml:space="preserve"> </w:t>
      </w:r>
      <w:r>
        <w:t xml:space="preserve">Article 25 of the IDD and the delegated regulation on product oversight and governance require</w:t>
      </w:r>
      <w:r>
        <w:t xml:space="preserve"> </w:t>
      </w:r>
      <w:r>
        <w:t xml:space="preserve">manufacturers of IBIPs to assess whether their products offer value for money in line with needs,</w:t>
      </w:r>
      <w:r>
        <w:t xml:space="preserve"> </w:t>
      </w:r>
      <w:r>
        <w:t xml:space="preserve">objectives and characteristics of their target market.</w:t>
      </w:r>
      <w:r>
        <w:t xml:space="preserve"> </w:t>
      </w:r>
      <w:r>
        <w:t xml:space="preserve">The value for money (“VfM”) assessment would therefore represent a refinement of existing rules but</w:t>
      </w:r>
      <w:r>
        <w:t xml:space="preserve"> </w:t>
      </w:r>
      <w:r>
        <w:t xml:space="preserve">including specified criteria and reference to benchmarks. The main adjustment costs resulting from this</w:t>
      </w:r>
      <w:r>
        <w:t xml:space="preserve"> </w:t>
      </w:r>
      <w:r>
        <w:t xml:space="preserve">process would concern adjustment of processes to incorporate VfM aspects, involving one-off changes</w:t>
      </w:r>
      <w:r>
        <w:t xml:space="preserve"> </w:t>
      </w:r>
      <w:r>
        <w:t xml:space="preserve">to IT systems. As calculations can be automated, this option would also not be expected to generate</w:t>
      </w:r>
      <w:r>
        <w:t xml:space="preserve"> </w:t>
      </w:r>
      <w:r>
        <w:t xml:space="preserve">significant additional ongoing adjustment costs. The adjustment cost of the assessment against VfM</w:t>
      </w:r>
      <w:r>
        <w:t xml:space="preserve"> </w:t>
      </w:r>
      <w:r>
        <w:t xml:space="preserve">benchmarks would be limited as most of the data and IT infrastructure are already in place in order to</w:t>
      </w:r>
      <w:r>
        <w:t xml:space="preserve"> </w:t>
      </w:r>
      <w:r>
        <w:t xml:space="preserve">comply with existing disclosure requirements e.g. under the PRIIPs framework and existing product</w:t>
      </w:r>
      <w:r>
        <w:t xml:space="preserve"> </w:t>
      </w:r>
      <w:r>
        <w:t xml:space="preserve">governance rules.</w:t>
      </w:r>
      <w:r>
        <w:br/>
      </w:r>
      <w:r>
        <w:t xml:space="preserve">However, reporting to supervisors will entail additional administrative costs. The magnitude of these</w:t>
      </w:r>
      <w:r>
        <w:t xml:space="preserve"> </w:t>
      </w:r>
      <w:r>
        <w:t xml:space="preserve">administrative costs will depend to a significant extent on how VfM is ultimately implemented, and the</w:t>
      </w:r>
      <w:r>
        <w:t xml:space="preserve"> </w:t>
      </w:r>
      <w:r>
        <w:t xml:space="preserve">degree of granularity required. It will also depend in part on possible synergies with the supervisory</w:t>
      </w:r>
    </w:p>
    <w:p>
      <w:pPr>
        <w:pStyle w:val="BodyText"/>
      </w:pPr>
      <w:r>
        <w:t xml:space="preserve">171 For details, see Annex 3. Given the narrower scope in option 2, the benefits would be a proportion of the broader</w:t>
      </w:r>
      <w:r>
        <w:t xml:space="preserve"> </w:t>
      </w:r>
      <w:r>
        <w:t xml:space="preserve">benchmark. Assumptions are based on the proportion of manufacturers’ revenues relative to distributors’. These numbers,</w:t>
      </w:r>
      <w:r>
        <w:t xml:space="preserve"> </w:t>
      </w:r>
      <w:r>
        <w:t xml:space="preserve">however, must be considered in light of the validity of the assumptions and are strongly driven by observations in two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172 Commission delegated directive (EU) 2017/593 of 7 April 2016 supplementing Directive 2014/65/EU of the European</w:t>
      </w:r>
      <w:r>
        <w:t xml:space="preserve"> </w:t>
      </w:r>
      <w:r>
        <w:t xml:space="preserve">Parliament and of the Council with regard to safeguarding of financial instruments and funds belonging to clients, product</w:t>
      </w:r>
      <w:r>
        <w:t xml:space="preserve"> </w:t>
      </w:r>
      <w:r>
        <w:t xml:space="preserve">governance obligations and the rules applicable to the provision or reception of fees, commissions or any monetary or non-</w:t>
      </w:r>
      <w:r>
        <w:t xml:space="preserve"> </w:t>
      </w:r>
      <w:r>
        <w:t xml:space="preserve">monetary benefits Directive</w:t>
      </w:r>
      <w:r>
        <w:br/>
      </w:r>
      <w:r>
        <w:t xml:space="preserve">173 Commission Delegated Regulation (EU) 2017/2358 of 21 September 2017 supplementing Directive (EU) 2016/97 of</w:t>
      </w:r>
      <w:r>
        <w:t xml:space="preserve"> </w:t>
      </w:r>
      <w:r>
        <w:t xml:space="preserve">the European Parliament and of the Council with regard to product oversight and governance requirements for insurance</w:t>
      </w:r>
      <w:r>
        <w:t xml:space="preserve"> </w:t>
      </w:r>
      <w:r>
        <w:t xml:space="preserve">undertakings and insurance distributors, OJ L 341, 20.12.2017, page 1.</w:t>
      </w:r>
      <w:r>
        <w:t xml:space="preserve"> </w:t>
      </w:r>
      <w:r>
        <w:t xml:space="preserve">174 EIOPA Supervisory Statement on “Assessment of value for money of unit-linked insurance products under product</w:t>
      </w:r>
      <w:r>
        <w:t xml:space="preserve"> </w:t>
      </w:r>
      <w:r>
        <w:t xml:space="preserve">oversight and governance”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reporting introduced by the AIFMD review175. Estimates (but which do not take account of such</w:t>
      </w:r>
      <w:r>
        <w:t xml:space="preserve"> </w:t>
      </w:r>
      <w:r>
        <w:t xml:space="preserve">synergies) point to possible one-off costs for supervisory reporting about €60 million (range €13 to</w:t>
      </w:r>
      <w:r>
        <w:t xml:space="preserve"> </w:t>
      </w:r>
      <w:r>
        <w:t xml:space="preserve">€252) million and ongoing annual costs of €2.3-22.6 million. The reason for this wide range is due to</w:t>
      </w:r>
      <w:r>
        <w:t xml:space="preserve"> </w:t>
      </w:r>
      <w:r>
        <w:t xml:space="preserve">the uncertainty related to the underlying assumptions.176 ESMA and EIOPA would be expected to</w:t>
      </w:r>
      <w:r>
        <w:t xml:space="preserve"> </w:t>
      </w:r>
      <w:r>
        <w:t xml:space="preserve">refine these cost figures as part of their mandate to develop VfM benchmarks.</w:t>
      </w:r>
      <w:r>
        <w:br/>
      </w:r>
      <w:r>
        <w:t xml:space="preserve">ESMA and EIOPA would be allowed sufficient time to develop the relevant benchmarks as part of</w:t>
      </w:r>
      <w:r>
        <w:t xml:space="preserve"> </w:t>
      </w:r>
      <w:r>
        <w:t xml:space="preserve">their existing regulatory roles. Any additional burdens should also be seen against the background of</w:t>
      </w:r>
      <w:r>
        <w:t xml:space="preserve"> </w:t>
      </w:r>
      <w:r>
        <w:t xml:space="preserve">cost savings that ESMA and EIOPA will achieve (e.g. as a result of more targeted supervision, the</w:t>
      </w:r>
      <w:r>
        <w:t xml:space="preserve"> </w:t>
      </w:r>
      <w:r>
        <w:t xml:space="preserve">availability of more granular data for their cost and performance reports, more tools to identify</w:t>
      </w:r>
      <w:r>
        <w:t xml:space="preserve"> </w:t>
      </w:r>
      <w:r>
        <w:t xml:space="preserve">problems in specific sectors and in relation to specific products, etc.). It can be expected that additional</w:t>
      </w:r>
      <w:r>
        <w:t xml:space="preserve"> </w:t>
      </w:r>
      <w:r>
        <w:t xml:space="preserve">costs for NCAs to receive the relevant information from product manufacturers and pass it on to the</w:t>
      </w:r>
      <w:r>
        <w:t xml:space="preserve"> </w:t>
      </w:r>
      <w:r>
        <w:t xml:space="preserve">ESAs would likely be very limited. Some NCAs may need to intensify supervisory efforts to police the</w:t>
      </w:r>
      <w:r>
        <w:t xml:space="preserve"> </w:t>
      </w:r>
      <w:r>
        <w:t xml:space="preserve">more rigorous rules, and staff would need to acquire new skills via training.</w:t>
      </w:r>
      <w:r>
        <w:t xml:space="preserve"> </w:t>
      </w:r>
      <w:r>
        <w:t xml:space="preserve">3.</w:t>
      </w:r>
      <w:r>
        <w:t xml:space="preserve"> </w:t>
      </w:r>
      <w:r>
        <w:t xml:space="preserve">Overall Assessment: Effectiveness, efficiency, and coherence</w:t>
      </w:r>
      <w:r>
        <w:t xml:space="preserve"> </w:t>
      </w:r>
      <w:r>
        <w:t xml:space="preserve">Option 2 (limited to the product manufacturing level) would be an effective means to improve the cost</w:t>
      </w:r>
      <w:r>
        <w:t xml:space="preserve"> </w:t>
      </w:r>
      <w:r>
        <w:t xml:space="preserve">effectiveness of retail investment products. It would be achieved via relatively limited amendments to</w:t>
      </w:r>
      <w:r>
        <w:t xml:space="preserve"> </w:t>
      </w:r>
      <w:r>
        <w:t xml:space="preserve">existing product governance rules which would not entail substantial additional costs for product</w:t>
      </w:r>
      <w:r>
        <w:t xml:space="preserve"> </w:t>
      </w:r>
      <w:r>
        <w:t xml:space="preserve">manufacturers. The elaboration of benchmarks to facilitate comparison with market standards would</w:t>
      </w:r>
      <w:r>
        <w:t xml:space="preserve"> </w:t>
      </w:r>
      <w:r>
        <w:t xml:space="preserve">facilitate their tasks but would require additional resources for ESMA and EIOPA.</w:t>
      </w:r>
      <w:r>
        <w:br/>
      </w:r>
      <w:r>
        <w:t xml:space="preserve">It would be efficient, as the benchmarks developed and provided by the ESAs would give</w:t>
      </w:r>
      <w:r>
        <w:t xml:space="preserve"> </w:t>
      </w:r>
      <w:r>
        <w:t xml:space="preserve">manufacturers an objective standard against which to measure their products in the product approval</w:t>
      </w:r>
      <w:r>
        <w:t xml:space="preserve"> </w:t>
      </w:r>
      <w:r>
        <w:t xml:space="preserve">process and facilitate their task.</w:t>
      </w:r>
      <w:r>
        <w:br/>
      </w:r>
      <w:r>
        <w:t xml:space="preserve">A common approach developed at EU level would contribute to the further integration of EU capital</w:t>
      </w:r>
      <w:r>
        <w:t xml:space="preserve"> </w:t>
      </w:r>
      <w:r>
        <w:t xml:space="preserve">markets and thereby increase coherence.</w:t>
      </w:r>
      <w:r>
        <w:t xml:space="preserve"> </w:t>
      </w:r>
      <w:r>
        <w:t xml:space="preserve">4.</w:t>
      </w:r>
      <w:r>
        <w:t xml:space="preserve"> </w:t>
      </w:r>
      <w:r>
        <w:t xml:space="preserve">Affected groups of stakeholders</w:t>
      </w:r>
      <w:r>
        <w:t xml:space="preserve"> </w:t>
      </w:r>
      <w:r>
        <w:t xml:space="preserve">Retail investors</w:t>
      </w:r>
      <w:r>
        <w:t xml:space="preserve"> </w:t>
      </w:r>
      <w:r>
        <w:t xml:space="preserve">Retail investors would benefit from a higher level of protection, in particular as a consequence of</w:t>
      </w:r>
      <w:r>
        <w:t xml:space="preserve"> </w:t>
      </w:r>
      <w:r>
        <w:t xml:space="preserve">improvements at the product design stage that could eliminate poor value investment products from the</w:t>
      </w:r>
      <w:r>
        <w:t xml:space="preserve"> </w:t>
      </w:r>
      <w:r>
        <w:t xml:space="preserve">market, ensure better alignment of costs of products to a measure of their quality (i.e. relation between</w:t>
      </w:r>
      <w:r>
        <w:t xml:space="preserve"> </w:t>
      </w:r>
      <w:r>
        <w:t xml:space="preserve">return expectations and level of risk), as well as increased market efficiency due to the introduction of</w:t>
      </w:r>
      <w:r>
        <w:t xml:space="preserve"> </w:t>
      </w:r>
      <w:r>
        <w:t xml:space="preserve">benchmarks that enabled easier comparisons against market standards.</w:t>
      </w:r>
      <w:r>
        <w:br/>
      </w:r>
      <w:r>
        <w:t xml:space="preserve">Industry</w:t>
      </w:r>
      <w:r>
        <w:t xml:space="preserve"> </w:t>
      </w:r>
      <w:r>
        <w:t xml:space="preserve">Manufacturers would benefit from greater clarity as to what is expected under product governance rules</w:t>
      </w:r>
      <w:r>
        <w:t xml:space="preserve"> </w:t>
      </w:r>
      <w:r>
        <w:t xml:space="preserve">(in the form of criteria and benchmarks) detailing how to assess whether their products are designed</w:t>
      </w:r>
      <w:r>
        <w:t xml:space="preserve"> </w:t>
      </w:r>
      <w:r>
        <w:t xml:space="preserve">appropriately so as to meet the target market’s needs and the supervisory expectations of their national</w:t>
      </w:r>
      <w:r>
        <w:t xml:space="preserve"> </w:t>
      </w:r>
      <w:r>
        <w:t xml:space="preserve">authorities. They would need to adjust their processes and would no longer be able to put into the</w:t>
      </w:r>
      <w:r>
        <w:t xml:space="preserve"> </w:t>
      </w:r>
      <w:r>
        <w:t xml:space="preserve">market products that offered poor value for money. That would prevent them from incorporating high</w:t>
      </w:r>
      <w:r>
        <w:t xml:space="preserve"> </w:t>
      </w:r>
      <w:r>
        <w:t xml:space="preserve">fees into products if they could not be justified. Distributors would be limited to selling only cost-</w:t>
      </w:r>
      <w:r>
        <w:t xml:space="preserve"> </w:t>
      </w:r>
      <w:r>
        <w:t xml:space="preserve">effective products, thereby enhancing the attractiveness of product offerings in the market. Some</w:t>
      </w:r>
      <w:r>
        <w:t xml:space="preserve"> </w:t>
      </w:r>
      <w:r>
        <w:t xml:space="preserve">transitional costs would be borne by the industry, but these would be expected to be marginal. Firms</w:t>
      </w:r>
    </w:p>
    <w:p>
      <w:pPr>
        <w:pStyle w:val="BodyText"/>
      </w:pPr>
      <w:r>
        <w:t xml:space="preserve">175 Proposal for a directive of the European Parliament and of the Council amending Directives 2011/61/EU and</w:t>
      </w:r>
      <w:r>
        <w:t xml:space="preserve"> </w:t>
      </w:r>
      <w:r>
        <w:t xml:space="preserve">2009/65/EC as regards delegation arrangements, liquidity risk management, supervisory reporting, provision of depositary</w:t>
      </w:r>
      <w:r>
        <w:t xml:space="preserve"> </w:t>
      </w:r>
      <w:r>
        <w:t xml:space="preserve">and custody services and loan origination by alternative investment funds, COM/2021/721 final</w:t>
      </w:r>
      <w:r>
        <w:br/>
      </w:r>
      <w:r>
        <w:t xml:space="preserve">176 See Annex 14.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that were profiting from excessive fees would see revenue streams reduced. This could lead to some</w:t>
      </w:r>
      <w:r>
        <w:t xml:space="preserve"> </w:t>
      </w:r>
      <w:r>
        <w:t xml:space="preserve">consolidation in the asset management industry. Currently, there are many manufacturers of investment</w:t>
      </w:r>
      <w:r>
        <w:t xml:space="preserve"> </w:t>
      </w:r>
      <w:r>
        <w:t xml:space="preserve">products with a low average fund size, in which implies further potential to achieve economies of scale</w:t>
      </w:r>
      <w:r>
        <w:t xml:space="preserve"> </w:t>
      </w:r>
      <w:r>
        <w:t xml:space="preserve">and a more efficient provision of financial products. A reduction in investment opportunities for retail</w:t>
      </w:r>
      <w:r>
        <w:t xml:space="preserve"> </w:t>
      </w:r>
      <w:r>
        <w:t xml:space="preserve">investors appears a very unlikely consequence of increased competitive pressure on the manufacturers</w:t>
      </w:r>
      <w:r>
        <w:t xml:space="preserve"> </w:t>
      </w:r>
      <w:r>
        <w:t xml:space="preserve">of investment products. Clearer standards would make the task of supervision more effective and</w:t>
      </w:r>
      <w:r>
        <w:t xml:space="preserve"> </w:t>
      </w:r>
      <w:r>
        <w:t xml:space="preserve">straightforward.</w:t>
      </w:r>
      <w:r>
        <w:t xml:space="preserve"> </w:t>
      </w:r>
      <w:r>
        <w:t xml:space="preserve">Supervisors</w:t>
      </w:r>
      <w:r>
        <w:t xml:space="preserve"> </w:t>
      </w:r>
      <w:r>
        <w:t xml:space="preserve">NCAs will benefit from greater clarity as to how the supervision of costs should be applied. The new</w:t>
      </w:r>
      <w:r>
        <w:t xml:space="preserve"> </w:t>
      </w:r>
      <w:r>
        <w:t xml:space="preserve">VfM provisions will equip NCAs with a tool, based on access to sufficiently broad-ranging data on</w:t>
      </w:r>
      <w:r>
        <w:t xml:space="preserve"> </w:t>
      </w:r>
      <w:r>
        <w:t xml:space="preserve">costs of products, which will enable them to make evidence-based assessments. The burden of proof</w:t>
      </w:r>
      <w:r>
        <w:t xml:space="preserve"> </w:t>
      </w:r>
      <w:r>
        <w:t xml:space="preserve">will be transferred from NCAs onto manufacturers who will need to justify deviations in their costs</w:t>
      </w:r>
      <w:r>
        <w:t xml:space="preserve"> </w:t>
      </w:r>
      <w:r>
        <w:t xml:space="preserve">from relevant benchmarks. Supervisors will collect data on costs from manufacturers to pass on,</w:t>
      </w:r>
      <w:r>
        <w:t xml:space="preserve"> </w:t>
      </w:r>
      <w:r>
        <w:t xml:space="preserve">possibly in aggregated form, to ESMA or EIOPA.</w:t>
      </w:r>
      <w:r>
        <w:t xml:space="preserve"> </w:t>
      </w:r>
      <w:r>
        <w:t xml:space="preserve">Stakeholder views: consumer organisations have broadly welcomed the idea of a strengthened VfM</w:t>
      </w:r>
      <w:r>
        <w:t xml:space="preserve"> </w:t>
      </w:r>
      <w:r>
        <w:t xml:space="preserve">approach and set out clear ideas on how that might be framed in the legislation. This included</w:t>
      </w:r>
      <w:r>
        <w:t xml:space="preserve"> </w:t>
      </w:r>
      <w:r>
        <w:t xml:space="preserve">developing market benchmarks against which the VfM prospect of proposed products might be</w:t>
      </w:r>
      <w:r>
        <w:t xml:space="preserve"> </w:t>
      </w:r>
      <w:r>
        <w:t xml:space="preserve">compared (as opposed to comparing only to the distributor’s portfolio). All consulted consumer</w:t>
      </w:r>
      <w:r>
        <w:t xml:space="preserve"> </w:t>
      </w:r>
      <w:r>
        <w:t xml:space="preserve">organisations recommended that VfM should be extended to all product categories, with all products</w:t>
      </w:r>
      <w:r>
        <w:t xml:space="preserve"> </w:t>
      </w:r>
      <w:r>
        <w:t xml:space="preserve">falling in scope. Doubts were nonetheless expressed by some consumer organisations that the impact</w:t>
      </w:r>
      <w:r>
        <w:t xml:space="preserve"> </w:t>
      </w:r>
      <w:r>
        <w:t xml:space="preserve">of any measure would be dependent on the extent of enforcement. Industry representatives had more</w:t>
      </w:r>
      <w:r>
        <w:t xml:space="preserve"> </w:t>
      </w:r>
      <w:r>
        <w:t xml:space="preserve">mixed reactions and were generally more sceptical about how a VfM approach might be framed and</w:t>
      </w:r>
      <w:r>
        <w:t xml:space="preserve"> </w:t>
      </w:r>
      <w:r>
        <w:t xml:space="preserve">how it might be able to capture a notion of value across a broad range of very different products.</w:t>
      </w:r>
      <w:r>
        <w:br/>
      </w:r>
      <w:r>
        <w:t xml:space="preserve">Option 3 – strengthened product governance rules for manufacturers and distributors</w:t>
      </w:r>
      <w:r>
        <w:br/>
      </w:r>
      <w:r>
        <w:t xml:space="preserve">1.</w:t>
      </w:r>
      <w:r>
        <w:t xml:space="preserve"> </w:t>
      </w:r>
      <w:r>
        <w:t xml:space="preserve">Benefits</w:t>
      </w:r>
      <w:r>
        <w:t xml:space="preserve"> </w:t>
      </w:r>
      <w:r>
        <w:t xml:space="preserve">Option 3, in addition to the benefits as described under Option 2, would also oblige distributors to focus</w:t>
      </w:r>
      <w:r>
        <w:t xml:space="preserve"> </w:t>
      </w:r>
      <w:r>
        <w:t xml:space="preserve">more clearly on identifying the most cost-effective products for their clients. It would ensure that the</w:t>
      </w:r>
      <w:r>
        <w:t xml:space="preserve"> </w:t>
      </w:r>
      <w:r>
        <w:t xml:space="preserve">distribution costs177 borne by the retail client would also be taken into account in the VfM assessment,</w:t>
      </w:r>
      <w:r>
        <w:t xml:space="preserve"> </w:t>
      </w:r>
      <w:r>
        <w:t xml:space="preserve">together with the product costs. Distribution costs are important for the VfM assessment, as they are</w:t>
      </w:r>
      <w:r>
        <w:t xml:space="preserve"> </w:t>
      </w:r>
      <w:r>
        <w:t xml:space="preserve">among the main cost drivers for retail products. For example, EIOPA found that distribution fees were</w:t>
      </w:r>
      <w:r>
        <w:t xml:space="preserve"> </w:t>
      </w:r>
      <w:r>
        <w:t xml:space="preserve">among the main cost drivers for the most expensive retail insurance products (unit-linked and hybrid</w:t>
      </w:r>
      <w:r>
        <w:t xml:space="preserve"> </w:t>
      </w:r>
      <w:r>
        <w:t xml:space="preserve">products)178.</w:t>
      </w:r>
      <w:r>
        <w:t xml:space="preserve"> </w:t>
      </w:r>
      <w:r>
        <w:t xml:space="preserve">Distributors would be helped to assess VfM by the availability of benchmarks and criteria for the</w:t>
      </w:r>
      <w:r>
        <w:t xml:space="preserve"> </w:t>
      </w:r>
      <w:r>
        <w:t xml:space="preserve">assessment, as well as being able to base their assessments on information provided to them by product</w:t>
      </w:r>
      <w:r>
        <w:t xml:space="preserve"> </w:t>
      </w:r>
      <w:r>
        <w:t xml:space="preserve">manufacturers. The available benchmarks, which would include distribution costs, and the need to</w:t>
      </w:r>
      <w:r>
        <w:t xml:space="preserve"> </w:t>
      </w:r>
      <w:r>
        <w:t xml:space="preserve">document how products approved for distribution performed against these benchmarks, would ensure</w:t>
      </w:r>
      <w:r>
        <w:t xml:space="preserve"> </w:t>
      </w:r>
      <w:r>
        <w:t xml:space="preserve">an additional level of accountability on the part of distributors.</w:t>
      </w:r>
      <w:r>
        <w:br/>
      </w:r>
      <w:r>
        <w:t xml:space="preserve">It is expected that this option, involving the application of VfM assessments by both product</w:t>
      </w:r>
      <w:r>
        <w:t xml:space="preserve"> </w:t>
      </w:r>
      <w:r>
        <w:t xml:space="preserve">manufacturers and distributors, would reduce the risk of poor investment outcomes for retail investors.</w:t>
      </w:r>
      <w:r>
        <w:br/>
      </w:r>
      <w:r>
        <w:t xml:space="preserve">The introduction of benchmarks would limit the pricing power of providers and force inferior providers</w:t>
      </w:r>
      <w:r>
        <w:t xml:space="preserve"> </w:t>
      </w:r>
      <w:r>
        <w:t xml:space="preserve">to adjust, either by offering higher returns or exiting the market. This would lift average returns that</w:t>
      </w:r>
    </w:p>
    <w:p>
      <w:pPr>
        <w:pStyle w:val="BodyText"/>
      </w:pPr>
      <w:r>
        <w:t xml:space="preserve">177 i.e. the costs related to the service provided by the distributor.</w:t>
      </w:r>
      <w:r>
        <w:t xml:space="preserve"> </w:t>
      </w:r>
      <w:r>
        <w:t xml:space="preserve">178 EIOPA’s Costs and Past Performance Report – 2022, page 4.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retail investors can earn and reduce their likelihood of encountering frustrating investment experiences.</w:t>
      </w:r>
      <w:r>
        <w:t xml:space="preserve"> </w:t>
      </w:r>
      <w:r>
        <w:t xml:space="preserve">The exit of inefficient providers is unlikely to cause a reduction in the supply of products and remaining</w:t>
      </w:r>
      <w:r>
        <w:t xml:space="preserve"> </w:t>
      </w:r>
      <w:r>
        <w:t xml:space="preserve">competitors should be able to absorb additional demand, as production costs of financial products</w:t>
      </w:r>
      <w:r>
        <w:t xml:space="preserve"> </w:t>
      </w:r>
      <w:r>
        <w:t xml:space="preserve">increase only marginally with the number of products offered and since cross-border providers might</w:t>
      </w:r>
      <w:r>
        <w:t xml:space="preserve"> </w:t>
      </w:r>
      <w:r>
        <w:t xml:space="preserve">be keen to expand business to other Member States.</w:t>
      </w:r>
      <w:r>
        <w:br/>
      </w:r>
      <w:r>
        <w:t xml:space="preserve">Convergence scenarios can indicate the likely magnitude of the welfare gains stemming from the</w:t>
      </w:r>
      <w:r>
        <w:t xml:space="preserve"> </w:t>
      </w:r>
      <w:r>
        <w:t xml:space="preserve">introduction of Value for Money benchmarks. At the onset, it should be noted that the numbers are</w:t>
      </w:r>
      <w:r>
        <w:t xml:space="preserve"> </w:t>
      </w:r>
      <w:r>
        <w:t xml:space="preserve">strongly dependent on the assumptions made. For the below scenario, it was assumed that the net return</w:t>
      </w:r>
      <w:r>
        <w:t xml:space="preserve"> </w:t>
      </w:r>
      <w:r>
        <w:t xml:space="preserve">of investments in investment funds and insurance unit linked products converges to the EU average in</w:t>
      </w:r>
      <w:r>
        <w:t xml:space="preserve"> </w:t>
      </w:r>
      <w:r>
        <w:t xml:space="preserve">all those Member States in which the return has been below this average. The assumption is that</w:t>
      </w:r>
      <w:r>
        <w:t xml:space="preserve"> </w:t>
      </w:r>
      <w:r>
        <w:t xml:space="preserve">increased competition resulting from benchmarks would close a certain proportion of the difference</w:t>
      </w:r>
      <w:r>
        <w:t xml:space="preserve"> </w:t>
      </w:r>
      <w:r>
        <w:t xml:space="preserve">between the yield observed in these Member States and the EU average. Since there is no precedent to</w:t>
      </w:r>
      <w:r>
        <w:t xml:space="preserve"> </w:t>
      </w:r>
      <w:r>
        <w:t xml:space="preserve">determine the proportion, scenarios were calculated with assumptions ranging from 10% to 50%. A</w:t>
      </w:r>
      <w:r>
        <w:t xml:space="preserve"> </w:t>
      </w:r>
      <w:r>
        <w:t xml:space="preserve">less conservative approach would be to assume that returns converge to best practices, i.e. highest in</w:t>
      </w:r>
      <w:r>
        <w:t xml:space="preserve"> </w:t>
      </w:r>
      <w:r>
        <w:t xml:space="preserve">the EU.</w:t>
      </w:r>
      <w:r>
        <w:t xml:space="preserve"> </w:t>
      </w:r>
      <w:r>
        <w:t xml:space="preserve">ESMA’s and EIOPA’s cost and performance reports provide comparable information on the current</w:t>
      </w:r>
      <w:r>
        <w:t xml:space="preserve"> </w:t>
      </w:r>
      <w:r>
        <w:t xml:space="preserve">return of these products. Both ESMA and EIOPA however caution on data gaps and methodological</w:t>
      </w:r>
      <w:r>
        <w:t xml:space="preserve"> </w:t>
      </w:r>
      <w:r>
        <w:t xml:space="preserve">differences that should condition our assumptions. Since ESMA’s and EIOPA’s reports do not indicate</w:t>
      </w:r>
      <w:r>
        <w:t xml:space="preserve"> </w:t>
      </w:r>
      <w:r>
        <w:t xml:space="preserve">the extent to which retail investors actually purchase these products, a second complimentary data</w:t>
      </w:r>
      <w:r>
        <w:t xml:space="preserve"> </w:t>
      </w:r>
      <w:r>
        <w:t xml:space="preserve">source was used, namely information on households’ investment income from investment funds and</w:t>
      </w:r>
      <w:r>
        <w:t xml:space="preserve"> </w:t>
      </w:r>
      <w:r>
        <w:t xml:space="preserve">insurance policies from the sectoral non-financial accounts. Using the latest observations for the returns</w:t>
      </w:r>
      <w:r>
        <w:t xml:space="preserve"> </w:t>
      </w:r>
      <w:r>
        <w:t xml:space="preserve">and combining these assumed increases in returns to the EU average with the value of investment funds</w:t>
      </w:r>
      <w:r>
        <w:t xml:space="preserve"> </w:t>
      </w:r>
      <w:r>
        <w:t xml:space="preserve">and life insurance products held by households in the EU Member States, allows us to design scenarios</w:t>
      </w:r>
      <w:r>
        <w:t xml:space="preserve"> </w:t>
      </w:r>
      <w:r>
        <w:t xml:space="preserve">that quantify the welfare gains in monetary terms under different assumptions. The scenarios suggest</w:t>
      </w:r>
      <w:r>
        <w:t xml:space="preserve"> </w:t>
      </w:r>
      <w:r>
        <w:t xml:space="preserve">that benefits could reach EUR 2.8-13.8 billion for investment funds, and between EUR 1.7 and 8.4</w:t>
      </w:r>
      <w:r>
        <w:t xml:space="preserve"> </w:t>
      </w:r>
      <w:r>
        <w:t xml:space="preserve">billion for insurance products per annum, once convergence is accomplished.</w:t>
      </w:r>
      <w:r>
        <w:t xml:space="preserve"> </w:t>
      </w:r>
      <w:r>
        <w:t xml:space="preserve">Given the more limited scope of option 2 compared to option 3, monetary benefits under option 2 would</w:t>
      </w:r>
      <w:r>
        <w:t xml:space="preserve"> </w:t>
      </w:r>
      <w:r>
        <w:t xml:space="preserve">be a share of those under option 3 and would depend on the extent to which revenues from the sales of</w:t>
      </w:r>
      <w:r>
        <w:t xml:space="preserve"> </w:t>
      </w:r>
      <w:r>
        <w:t xml:space="preserve">the investment products go to either the manufacturer of the product or the distributor. A survey of</w:t>
      </w:r>
      <w:r>
        <w:t xml:space="preserve"> </w:t>
      </w:r>
      <w:r>
        <w:t xml:space="preserve">distribution costs in the funds sector undertaken by ESMA in 2020 documented sizeable heterogeneity</w:t>
      </w:r>
      <w:r>
        <w:t xml:space="preserve"> </w:t>
      </w:r>
      <w:r>
        <w:t xml:space="preserve">in this share, varying from at least 50% and up to 80%179. EIOPA’s report points to a much lower share</w:t>
      </w:r>
      <w:r>
        <w:t xml:space="preserve"> </w:t>
      </w:r>
      <w:r>
        <w:t xml:space="preserve">of distribution costs for insurance investment products, but the lack of transparency around distribution</w:t>
      </w:r>
      <w:r>
        <w:t xml:space="preserve"> </w:t>
      </w:r>
      <w:r>
        <w:t xml:space="preserve">costs and in particular payments of inducements, make estimates extremely difficult. The majority of</w:t>
      </w:r>
      <w:r>
        <w:t xml:space="preserve"> </w:t>
      </w:r>
      <w:r>
        <w:t xml:space="preserve">observations for unit-linked products ranged from 10 to 30%.180 Assuming that the revenue sharing is</w:t>
      </w:r>
      <w:r>
        <w:t xml:space="preserve"> </w:t>
      </w:r>
      <w:r>
        <w:t xml:space="preserve">proportional to the cost shares, a benchmarking of manufacturing could reach a maximum share of 50%</w:t>
      </w:r>
      <w:r>
        <w:t xml:space="preserve"> </w:t>
      </w:r>
      <w:r>
        <w:t xml:space="preserve">of the benefits of option 3 for investment funds and about 90% of the benefits for insurance products.</w:t>
      </w:r>
      <w:r>
        <w:t xml:space="preserve"> </w:t>
      </w:r>
      <w:r>
        <w:t xml:space="preserve">This would amount to monetary benefits of between EUR 1.4 and 6.9 billion for fund products and 1.5</w:t>
      </w:r>
      <w:r>
        <w:t xml:space="preserve"> </w:t>
      </w:r>
      <w:r>
        <w:t xml:space="preserve">to 7.6 billion for insurance products.</w:t>
      </w:r>
      <w:r>
        <w:t xml:space="preserve"> </w:t>
      </w:r>
      <w:r>
        <w:t xml:space="preserve">2.</w:t>
      </w:r>
      <w:r>
        <w:t xml:space="preserve"> </w:t>
      </w:r>
      <w:r>
        <w:t xml:space="preserve">Costs</w:t>
      </w:r>
      <w:r>
        <w:t xml:space="preserve"> </w:t>
      </w:r>
      <w:r>
        <w:t xml:space="preserve">In addition to the costs for manufacturers, as outlined under option 2, there would also be costs for</w:t>
      </w:r>
      <w:r>
        <w:t xml:space="preserve"> </w:t>
      </w:r>
      <w:r>
        <w:t xml:space="preserve">distributors. Article 10 of the MiFID delegated regulation already contains a number of obligations on</w:t>
      </w:r>
      <w:r>
        <w:t xml:space="preserve"> </w:t>
      </w:r>
      <w:r>
        <w:t xml:space="preserve">distributors to ensure that the products and services that they recommend are compatible with the needs,</w:t>
      </w:r>
      <w:r>
        <w:t xml:space="preserve"> </w:t>
      </w:r>
      <w:r>
        <w:t xml:space="preserve">characteristics and objectives of an identified target market. Article 25 IDD and the Delegated</w:t>
      </w:r>
      <w:r>
        <w:t xml:space="preserve"> </w:t>
      </w:r>
      <w:r>
        <w:t xml:space="preserve">Regulation on product oversight and governance provides similar requirements for insurance</w:t>
      </w:r>
      <w:r>
        <w:t xml:space="preserve"> </w:t>
      </w:r>
      <w:r>
        <w:t xml:space="preserve">distributors, who must establish and regularly review product distribution arrangements to ensure that</w:t>
      </w:r>
    </w:p>
    <w:p>
      <w:pPr>
        <w:pStyle w:val="BodyText"/>
      </w:pPr>
      <w:r>
        <w:t xml:space="preserve">179 ESMA cost and performance report 2021.</w:t>
      </w:r>
      <w:r>
        <w:t xml:space="preserve"> </w:t>
      </w:r>
      <w:r>
        <w:t xml:space="preserve">180 EIOPA cost and past performances 2022, Figure 25.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the objectives, interests and characteristics of customers are duly taken into account. They must also</w:t>
      </w:r>
      <w:r>
        <w:t xml:space="preserve"> </w:t>
      </w:r>
      <w:r>
        <w:t xml:space="preserve">feed information back to the manufacturer in case of problems. The VfM assessment would represent</w:t>
      </w:r>
      <w:r>
        <w:t xml:space="preserve"> </w:t>
      </w:r>
      <w:r>
        <w:t xml:space="preserve">an additional element to the assessment that distributors already need to undertake. Beyond the</w:t>
      </w:r>
      <w:r>
        <w:t xml:space="preserve"> </w:t>
      </w:r>
      <w:r>
        <w:t xml:space="preserve">adjustment costs, additional ongoing administrative costs would not be expected to be significant, as</w:t>
      </w:r>
      <w:r>
        <w:t xml:space="preserve"> </w:t>
      </w:r>
      <w:r>
        <w:t xml:space="preserve">this process could take place at a central level (e.g. the compliance department), and as costs must</w:t>
      </w:r>
      <w:r>
        <w:t xml:space="preserve"> </w:t>
      </w:r>
      <w:r>
        <w:t xml:space="preserve">already be disclosed to retail clients and are hence known by distributors. Distributors would benefit</w:t>
      </w:r>
      <w:r>
        <w:t xml:space="preserve"> </w:t>
      </w:r>
      <w:r>
        <w:t xml:space="preserve">from the availability of information on product costs that they would receive from product</w:t>
      </w:r>
      <w:r>
        <w:t xml:space="preserve"> </w:t>
      </w:r>
      <w:r>
        <w:t xml:space="preserve">manufacturers, and from the possibility to base their assessments on objective available benchmarks.</w:t>
      </w:r>
      <w:r>
        <w:t xml:space="preserve"> </w:t>
      </w:r>
      <w:r>
        <w:t xml:space="preserve">Some additional administrative costs would, however, result from the additional reporting on their</w:t>
      </w:r>
      <w:r>
        <w:t xml:space="preserve"> </w:t>
      </w:r>
      <w:r>
        <w:t xml:space="preserve">distribution costs (as outlined in option 2). The cost relating to additional reporting should not be</w:t>
      </w:r>
      <w:r>
        <w:t xml:space="preserve"> </w:t>
      </w:r>
      <w:r>
        <w:t xml:space="preserve">significant, as relevant cost data should already be known and available to distributors in accordance</w:t>
      </w:r>
      <w:r>
        <w:t xml:space="preserve"> </w:t>
      </w:r>
      <w:r>
        <w:t xml:space="preserve">with existing MiFID and IDD rules, where such data must be disclosed to retail investors.</w:t>
      </w:r>
      <w:r>
        <w:br/>
      </w:r>
      <w:r>
        <w:t xml:space="preserve">Some NCAs may need to intensify supervisory efforts to police the more rigorous rules, and staff would</w:t>
      </w:r>
      <w:r>
        <w:t xml:space="preserve"> </w:t>
      </w:r>
      <w:r>
        <w:t xml:space="preserve">need to acquire new skills via staff training. This option would not significantly increase the work for</w:t>
      </w:r>
      <w:r>
        <w:t xml:space="preserve"> </w:t>
      </w:r>
      <w:r>
        <w:t xml:space="preserve">supervisors by comparison to option 2. It would allow supervisory action to focus more on distributors.</w:t>
      </w:r>
      <w:r>
        <w:t xml:space="preserve"> </w:t>
      </w:r>
      <w:r>
        <w:t xml:space="preserve">For the ESAs, additional resources may be required in particular to develop the methodology and</w:t>
      </w:r>
      <w:r>
        <w:t xml:space="preserve"> </w:t>
      </w:r>
      <w:r>
        <w:t xml:space="preserve">monitor the market.</w:t>
      </w:r>
      <w:r>
        <w:t xml:space="preserve"> </w:t>
      </w:r>
      <w:r>
        <w:t xml:space="preserve">3.</w:t>
      </w:r>
      <w:r>
        <w:t xml:space="preserve"> </w:t>
      </w:r>
      <w:r>
        <w:t xml:space="preserve">Overall Assessment: effectiveness, efficiency and coherence</w:t>
      </w:r>
      <w:r>
        <w:t xml:space="preserve"> </w:t>
      </w:r>
      <w:r>
        <w:t xml:space="preserve">Option 3 would be a more effective means to improve cost effectiveness of investment products because</w:t>
      </w:r>
      <w:r>
        <w:t xml:space="preserve"> </w:t>
      </w:r>
      <w:r>
        <w:t xml:space="preserve">it addresses both the product manufacturing and distribution stages. In so doing, it would ensure that</w:t>
      </w:r>
      <w:r>
        <w:t xml:space="preserve"> </w:t>
      </w:r>
      <w:r>
        <w:t xml:space="preserve">investment products offer value for money by design, as well as providing a full overview of the cost</w:t>
      </w:r>
      <w:r>
        <w:t xml:space="preserve"> </w:t>
      </w:r>
      <w:r>
        <w:t xml:space="preserve">effectiveness of investment products sold to clients, combining the product costs with the costs of</w:t>
      </w:r>
      <w:r>
        <w:t xml:space="preserve"> </w:t>
      </w:r>
      <w:r>
        <w:t xml:space="preserve">distribution.</w:t>
      </w:r>
      <w:r>
        <w:br/>
      </w:r>
      <w:r>
        <w:t xml:space="preserve">Both options 2 and 3 would be equally efficient, in particular due to the objective standard provided in</w:t>
      </w:r>
      <w:r>
        <w:t xml:space="preserve"> </w:t>
      </w:r>
      <w:r>
        <w:t xml:space="preserve">the form of benchmarks compiled by the ESAs, against which a value for money assessment can be</w:t>
      </w:r>
      <w:r>
        <w:t xml:space="preserve"> </w:t>
      </w:r>
      <w:r>
        <w:t xml:space="preserve">made. The development of such benchmarks should be done in line with the principle of</w:t>
      </w:r>
      <w:r>
        <w:t xml:space="preserve"> </w:t>
      </w:r>
      <w:r>
        <w:t xml:space="preserve">proportionality, to avoid disproportionate adjustment and administrative costs on smaller distributors.</w:t>
      </w:r>
      <w:r>
        <w:t xml:space="preserve"> </w:t>
      </w:r>
      <w:r>
        <w:t xml:space="preserve">Similar to option 2, a common approach developed at EU level would contribute to the further</w:t>
      </w:r>
      <w:r>
        <w:t xml:space="preserve"> </w:t>
      </w:r>
      <w:r>
        <w:t xml:space="preserve">integration of capital markets. Given that the VfM rules would be introduced for retail products across</w:t>
      </w:r>
      <w:r>
        <w:t xml:space="preserve"> </w:t>
      </w:r>
      <w:r>
        <w:t xml:space="preserve">the different sectors, both options would be coherent.</w:t>
      </w:r>
      <w:r>
        <w:t xml:space="preserve"> </w:t>
      </w:r>
      <w:r>
        <w:t xml:space="preserve">4.</w:t>
      </w:r>
      <w:r>
        <w:t xml:space="preserve"> </w:t>
      </w:r>
      <w:r>
        <w:t xml:space="preserve">Affected groups of stakeholders</w:t>
      </w:r>
      <w:r>
        <w:t xml:space="preserve"> </w:t>
      </w:r>
      <w:r>
        <w:t xml:space="preserve">Retail investors</w:t>
      </w:r>
      <w:r>
        <w:t xml:space="preserve"> </w:t>
      </w:r>
      <w:r>
        <w:t xml:space="preserve">Retail investors would benefit from a higher level of protection, in particular as distributors would be</w:t>
      </w:r>
      <w:r>
        <w:t xml:space="preserve"> </w:t>
      </w:r>
      <w:r>
        <w:t xml:space="preserve">obliged to factor in the VfM prospect of the distributed products (in clearer terms than under current</w:t>
      </w:r>
      <w:r>
        <w:t xml:space="preserve"> </w:t>
      </w:r>
      <w:r>
        <w:t xml:space="preserve">rules). As a consequence, retail investors should no longer purchase products that offer poor value for</w:t>
      </w:r>
      <w:r>
        <w:t xml:space="preserve"> </w:t>
      </w:r>
      <w:r>
        <w:t xml:space="preserve">money, and the obligation to compare products against benchmarks should improve market efficiency.</w:t>
      </w:r>
      <w:r>
        <w:br/>
      </w:r>
      <w:r>
        <w:t xml:space="preserve">Industry</w:t>
      </w:r>
      <w:r>
        <w:t xml:space="preserve"> </w:t>
      </w:r>
      <w:r>
        <w:t xml:space="preserve">The implications for product manufacturers would be the same as described under option 2. Distributors</w:t>
      </w:r>
      <w:r>
        <w:t xml:space="preserve"> </w:t>
      </w:r>
      <w:r>
        <w:t xml:space="preserve">would be limited to selling only cost-effective products, thereby enhancing the attractiveness of product</w:t>
      </w:r>
      <w:r>
        <w:t xml:space="preserve"> </w:t>
      </w:r>
      <w:r>
        <w:t xml:space="preserve">offerings in the market. They would be required to undertake a VfM assessment in addition to the</w:t>
      </w:r>
      <w:r>
        <w:t xml:space="preserve"> </w:t>
      </w:r>
      <w:r>
        <w:t xml:space="preserve">existing obligations under product governance rules. Some transitional costs would be borne by the</w:t>
      </w:r>
      <w:r>
        <w:t xml:space="preserve"> </w:t>
      </w:r>
      <w:r>
        <w:t xml:space="preserve">industry, but these would be expected to be marginal. Firms that were profiting from excessive fees</w:t>
      </w:r>
      <w:r>
        <w:t xml:space="preserve"> </w:t>
      </w:r>
      <w:r>
        <w:t xml:space="preserve">would see revenue streams reduced. Both manufacturers and distributors of investment products could</w:t>
      </w:r>
      <w:r>
        <w:t xml:space="preserve"> </w:t>
      </w:r>
      <w:r>
        <w:t xml:space="preserve">be subject to more intense competitive pressure. This is likely to intensify the consolidation and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adjustment pressure on distributors of financial products, complementing the competitive pressure from</w:t>
      </w:r>
      <w:r>
        <w:t xml:space="preserve"> </w:t>
      </w:r>
      <w:r>
        <w:t xml:space="preserve">the growth of digital distribution channels. Given low entry barriers and technical progress, it seems</w:t>
      </w:r>
      <w:r>
        <w:t xml:space="preserve"> </w:t>
      </w:r>
      <w:r>
        <w:t xml:space="preserve">very unlikely that the intensification of consolidation pressure could lead to a reduction in the supply</w:t>
      </w:r>
      <w:r>
        <w:t xml:space="preserve"> </w:t>
      </w:r>
      <w:r>
        <w:t xml:space="preserve">of investment products to retail investors. Clearer standards would make the task of supervision, and</w:t>
      </w:r>
      <w:r>
        <w:t xml:space="preserve"> </w:t>
      </w:r>
      <w:r>
        <w:t xml:space="preserve">also compliance, more effective and straightforward.</w:t>
      </w:r>
      <w:r>
        <w:t xml:space="preserve"> </w:t>
      </w:r>
      <w:r>
        <w:t xml:space="preserve">Supervisors</w:t>
      </w:r>
      <w:r>
        <w:t xml:space="preserve"> </w:t>
      </w:r>
      <w:r>
        <w:t xml:space="preserve">NCAs will benefit from greater clarity as to how the supervision of costs should be applied. The new</w:t>
      </w:r>
      <w:r>
        <w:t xml:space="preserve"> </w:t>
      </w:r>
      <w:r>
        <w:t xml:space="preserve">VfM provisions will equip NCAs with a tool, based on access to sufficiently broad-ranging data on</w:t>
      </w:r>
      <w:r>
        <w:t xml:space="preserve"> </w:t>
      </w:r>
      <w:r>
        <w:t xml:space="preserve">costs of products, which will enable them to make evidence-based assessments. The burden of proof</w:t>
      </w:r>
      <w:r>
        <w:t xml:space="preserve"> </w:t>
      </w:r>
      <w:r>
        <w:t xml:space="preserve">will be transferred from NCAs onto manufacturers who will need to justify deviations in their costs</w:t>
      </w:r>
      <w:r>
        <w:t xml:space="preserve"> </w:t>
      </w:r>
      <w:r>
        <w:t xml:space="preserve">from relevant benchmarks Supervisors will collect data on costs from manufacturers and distributors</w:t>
      </w:r>
      <w:r>
        <w:t xml:space="preserve"> </w:t>
      </w:r>
      <w:r>
        <w:t xml:space="preserve">to pass on, possibly in aggregated form, to ESMA or EIOPA.</w:t>
      </w:r>
      <w:r>
        <w:br/>
      </w:r>
      <w:r>
        <w:t xml:space="preserve">Stakeholder views: Consumer organisations stressed the importance of ensuring that intermediaries</w:t>
      </w:r>
      <w:r>
        <w:t xml:space="preserve"> </w:t>
      </w:r>
      <w:r>
        <w:t xml:space="preserve">should be obliged to compare products with equivalent products offered in the market. They were</w:t>
      </w:r>
      <w:r>
        <w:t xml:space="preserve"> </w:t>
      </w:r>
      <w:r>
        <w:t xml:space="preserve">favourable to the use of benchmarks, noting that a market-wide benchmark would ensure clarity with</w:t>
      </w:r>
      <w:r>
        <w:t xml:space="preserve"> </w:t>
      </w:r>
      <w:r>
        <w:t xml:space="preserve">respect to product comparisons should be made. This would enhance the efficiency of the market. Most</w:t>
      </w:r>
      <w:r>
        <w:t xml:space="preserve"> </w:t>
      </w:r>
      <w:r>
        <w:t xml:space="preserve">consulted industry organisations expressed scepticism with respect to the introduction of VfM duties</w:t>
      </w:r>
      <w:r>
        <w:t xml:space="preserve"> </w:t>
      </w:r>
      <w:r>
        <w:t xml:space="preserve">for distributors, as they lacked the necessary data. They were in particular opposed to an assessment of</w:t>
      </w:r>
      <w:r>
        <w:t xml:space="preserve"> </w:t>
      </w:r>
      <w:r>
        <w:t xml:space="preserve">VfM and disclosure to the client at the advice stage (i.e. the discarded sub-option 2), on account of the</w:t>
      </w:r>
      <w:r>
        <w:t xml:space="preserve"> </w:t>
      </w:r>
      <w:r>
        <w:t xml:space="preserve">potential for more information to confuse clients and as the VfM test would be unsuited for direct</w:t>
      </w:r>
      <w:r>
        <w:t xml:space="preserve"> </w:t>
      </w:r>
      <w:r>
        <w:t xml:space="preserve">communication to clients.</w:t>
      </w:r>
      <w:r>
        <w:br/>
      </w:r>
      <w:r>
        <w:t xml:space="preserve">Summary - Choice of the preferred option</w:t>
      </w:r>
      <w:r>
        <w:t xml:space="preserve"> </w:t>
      </w:r>
      <w:r>
        <w:t xml:space="preserve">Option 2, strengthened product governance rules applied to only product manufacturers, would be an</w:t>
      </w:r>
      <w:r>
        <w:t xml:space="preserve"> </w:t>
      </w:r>
      <w:r>
        <w:t xml:space="preserve">effective measure to tackle the problem of excessive cost and poor value for retail investors. While it</w:t>
      </w:r>
      <w:r>
        <w:t xml:space="preserve"> </w:t>
      </w:r>
      <w:r>
        <w:t xml:space="preserve">would focus on the way products are designed at the outset and require manufacturers to make costs</w:t>
      </w:r>
      <w:r>
        <w:t xml:space="preserve"> </w:t>
      </w:r>
      <w:r>
        <w:t xml:space="preserve">transparent and consider how each cost element can be considered justified and proportionate and</w:t>
      </w:r>
      <w:r>
        <w:t xml:space="preserve"> </w:t>
      </w:r>
      <w:r>
        <w:t xml:space="preserve">provide value to the intended target market, this option would not address the way products were</w:t>
      </w:r>
      <w:r>
        <w:t xml:space="preserve"> </w:t>
      </w:r>
      <w:r>
        <w:t xml:space="preserve">actually distributed to retail investors.</w:t>
      </w:r>
      <w:r>
        <w:br/>
      </w:r>
      <w:r>
        <w:t xml:space="preserve">Option 3, which would include the improvements to the product approval process set out in option 2,</w:t>
      </w:r>
      <w:r>
        <w:t xml:space="preserve"> </w:t>
      </w:r>
      <w:r>
        <w:t xml:space="preserve">and additionally require distributors, as part of their product governance duties, to make a similar</w:t>
      </w:r>
      <w:r>
        <w:t xml:space="preserve"> </w:t>
      </w:r>
      <w:r>
        <w:t xml:space="preserve">assessment that included additional distribution costs, would help ensure that products are offered only</w:t>
      </w:r>
      <w:r>
        <w:t xml:space="preserve"> </w:t>
      </w:r>
      <w:r>
        <w:t xml:space="preserve">to an appropriate client base. This would ensure that costs of distribution that are not known to the</w:t>
      </w:r>
      <w:r>
        <w:t xml:space="preserve"> </w:t>
      </w:r>
      <w:r>
        <w:t xml:space="preserve">product manufacturer would also be included. As in the case of Option 2, the value for money</w:t>
      </w:r>
      <w:r>
        <w:t xml:space="preserve"> </w:t>
      </w:r>
      <w:r>
        <w:t xml:space="preserve">assessments would require the development of clear criteria and benchmarks against which the notion</w:t>
      </w:r>
      <w:r>
        <w:t xml:space="preserve"> </w:t>
      </w:r>
      <w:r>
        <w:t xml:space="preserve">of “value” can be measured and compared to market standards. The compilation of benchmarks would</w:t>
      </w:r>
      <w:r>
        <w:t xml:space="preserve"> </w:t>
      </w:r>
      <w:r>
        <w:t xml:space="preserve">rely on access to data relating to various cost components that are included in investment products,</w:t>
      </w:r>
      <w:r>
        <w:t xml:space="preserve"> </w:t>
      </w:r>
      <w:r>
        <w:t xml:space="preserve">which may necessitate additional data reporting from firms to supervisors, wherever possible on the</w:t>
      </w:r>
      <w:r>
        <w:t xml:space="preserve"> </w:t>
      </w:r>
      <w:r>
        <w:t xml:space="preserve">basis of data that is already known by firms (e.g. due to existing disclosure obligations). The</w:t>
      </w:r>
      <w:r>
        <w:t xml:space="preserve"> </w:t>
      </w:r>
      <w:r>
        <w:t xml:space="preserve">development of these benchmarks should avoid imposing disproportionate costs on smaller distributors.</w:t>
      </w:r>
      <w:r>
        <w:br/>
      </w:r>
      <w:r>
        <w:t xml:space="preserve">The more comprehensive approach – which is more effective than Option 2 – that includes the costs of</w:t>
      </w:r>
      <w:r>
        <w:t xml:space="preserve"> </w:t>
      </w:r>
      <w:r>
        <w:t xml:space="preserve">distribution, set out in option 3, is the preferred option.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(SO1)</w:t>
      </w:r>
      <w:r>
        <w:t xml:space="preserve"> </w:t>
      </w:r>
      <w:r>
        <w:t xml:space="preserve">(SO2)</w:t>
      </w:r>
      <w:r>
        <w:t xml:space="preserve"> </w:t>
      </w:r>
      <w:r>
        <w:t xml:space="preserve">(SO3)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Option 1 - Do nothing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– VfM 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 – VfM 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distributors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11"/>
        </w:numPr>
      </w:pPr>
      <w:r>
        <w:t xml:space="preserve">PREFERRED COMBINATION OF OPTIONS</w:t>
      </w:r>
      <w:r>
        <w:t xml:space="preserve"> </w:t>
      </w:r>
      <w:r>
        <w:t xml:space="preserve">The selection of certain options has been made with the aim of maximising the effectiveness in</w:t>
      </w:r>
      <w:r>
        <w:t xml:space="preserve"> </w:t>
      </w:r>
      <w:r>
        <w:t xml:space="preserve">addressing the specific objective related to a problem, while limiting the costs and potential negative</w:t>
      </w:r>
      <w:r>
        <w:t xml:space="preserve"> </w:t>
      </w:r>
      <w:r>
        <w:t xml:space="preserve">side-effects on other specific objectives.</w:t>
      </w:r>
      <w:r>
        <w:br/>
      </w:r>
      <w:r>
        <w:t xml:space="preserve">The preferred combination of options is as follows: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Preferred Option</w:t>
      </w:r>
      <w:r>
        <w:br/>
      </w:r>
      <w:r>
        <w:t xml:space="preserve">Which specific objective is</w:t>
      </w:r>
      <w:r>
        <w:t xml:space="preserve"> </w:t>
      </w:r>
      <w:r>
        <w:t xml:space="preserve">met?</w:t>
      </w:r>
      <w:r>
        <w:br/>
      </w:r>
      <w:r>
        <w:t xml:space="preserve">Information provided to</w:t>
      </w:r>
      <w:r>
        <w:t xml:space="preserve"> </w:t>
      </w:r>
      <w:r>
        <w:t xml:space="preserve">investors is not always</w:t>
      </w:r>
      <w:r>
        <w:t xml:space="preserve"> </w:t>
      </w:r>
      <w:r>
        <w:t xml:space="preserve">useful or relevant for their</w:t>
      </w:r>
      <w:r>
        <w:t xml:space="preserve"> </w:t>
      </w:r>
      <w:r>
        <w:t xml:space="preserve">decision-making process</w:t>
      </w:r>
      <w:r>
        <w:t xml:space="preserve"> </w:t>
      </w:r>
      <w:r>
        <w:t xml:space="preserve">Targeted changes to disclosure</w:t>
      </w:r>
      <w:r>
        <w:t xml:space="preserve"> </w:t>
      </w:r>
      <w:r>
        <w:t xml:space="preserve">rules to improve their relevance</w:t>
      </w:r>
      <w:r>
        <w:t xml:space="preserve"> </w:t>
      </w:r>
      <w:r>
        <w:t xml:space="preserve">for retail investors (Option 2)</w:t>
      </w:r>
      <w:r>
        <w:t xml:space="preserve"> </w:t>
      </w:r>
      <w:r>
        <w:t xml:space="preserve">SO1:</w:t>
      </w:r>
      <w:r>
        <w:t xml:space="preserve"> </w:t>
      </w:r>
      <w:r>
        <w:t xml:space="preserve">Improve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 to investors and their</w:t>
      </w:r>
      <w:r>
        <w:t xml:space="preserve"> </w:t>
      </w:r>
      <w:r>
        <w:t xml:space="preserve">ability to take well-informed</w:t>
      </w:r>
      <w:r>
        <w:t xml:space="preserve"> </w:t>
      </w:r>
      <w:r>
        <w:t xml:space="preserve">investment decisions</w:t>
      </w:r>
      <w:r>
        <w:t xml:space="preserve"> </w:t>
      </w:r>
      <w:r>
        <w:t xml:space="preserve">Retail investors tend to be</w:t>
      </w:r>
      <w:r>
        <w:t xml:space="preserve"> </w:t>
      </w:r>
      <w:r>
        <w:t xml:space="preserve">unduly</w:t>
      </w:r>
      <w:r>
        <w:t xml:space="preserve"> </w:t>
      </w:r>
      <w:r>
        <w:t xml:space="preserve">influenced</w:t>
      </w:r>
      <w:r>
        <w:t xml:space="preserve"> </w:t>
      </w:r>
      <w:r>
        <w:t xml:space="preserve">by</w:t>
      </w:r>
      <w:r>
        <w:t xml:space="preserve"> </w:t>
      </w:r>
      <w:r>
        <w:t xml:space="preserve">enticing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through</w:t>
      </w:r>
      <w:r>
        <w:t xml:space="preserve"> </w:t>
      </w:r>
      <w:r>
        <w:t xml:space="preserve">digital</w:t>
      </w:r>
      <w:r>
        <w:t xml:space="preserve"> </w:t>
      </w:r>
      <w:r>
        <w:t xml:space="preserve">channels</w:t>
      </w:r>
      <w:r>
        <w:t xml:space="preserve"> </w:t>
      </w:r>
      <w:r>
        <w:t xml:space="preserve">and</w:t>
      </w:r>
      <w:r>
        <w:br/>
      </w:r>
      <w:r>
        <w:t xml:space="preserve">misleading</w:t>
      </w:r>
      <w:r>
        <w:t xml:space="preserve"> </w:t>
      </w:r>
      <w:r>
        <w:t xml:space="preserve">marketing</w:t>
      </w:r>
      <w:r>
        <w:t xml:space="preserve"> </w:t>
      </w:r>
      <w:r>
        <w:t xml:space="preserve">practices</w:t>
      </w:r>
      <w:r>
        <w:br/>
      </w:r>
      <w:r>
        <w:t xml:space="preserve">Targeted changes to address</w:t>
      </w:r>
      <w:r>
        <w:t xml:space="preserve"> </w:t>
      </w:r>
      <w:r>
        <w:t xml:space="preserve">information</w:t>
      </w:r>
      <w:r>
        <w:t xml:space="preserve"> </w:t>
      </w:r>
      <w:r>
        <w:t xml:space="preserve">deficiencies</w:t>
      </w:r>
      <w:r>
        <w:t xml:space="preserve"> </w:t>
      </w:r>
      <w:r>
        <w:t xml:space="preserve">in</w:t>
      </w:r>
      <w:r>
        <w:t xml:space="preserve"> </w:t>
      </w:r>
      <w:r>
        <w:t xml:space="preserve">marketing communications and</w:t>
      </w:r>
      <w:r>
        <w:t xml:space="preserve"> </w:t>
      </w:r>
      <w:r>
        <w:t xml:space="preserve">lack of clarity as to the concept of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</w:t>
      </w:r>
      <w:r>
        <w:t xml:space="preserve"> </w:t>
      </w:r>
      <w:r>
        <w:t xml:space="preserve">(Option 3)</w:t>
      </w:r>
      <w:r>
        <w:t xml:space="preserve"> </w:t>
      </w:r>
      <w:r>
        <w:t xml:space="preserve">SO1:</w:t>
      </w:r>
      <w:r>
        <w:t xml:space="preserve"> </w:t>
      </w:r>
      <w:r>
        <w:t xml:space="preserve">Improve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 to investors and their</w:t>
      </w:r>
      <w:r>
        <w:t xml:space="preserve"> </w:t>
      </w:r>
      <w:r>
        <w:t xml:space="preserve">ability to take well-informed</w:t>
      </w:r>
      <w:r>
        <w:t xml:space="preserve"> </w:t>
      </w:r>
      <w:r>
        <w:t xml:space="preserve">investment decisions</w:t>
      </w:r>
      <w:r>
        <w:t xml:space="preserve"> </w:t>
      </w:r>
      <w:r>
        <w:t xml:space="preserve">Conflicts of interest 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inducements</w:t>
      </w:r>
      <w:r>
        <w:t xml:space="preserve"> </w:t>
      </w:r>
      <w:r>
        <w:t xml:space="preserve">negatively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investment products offered</w:t>
      </w:r>
      <w:r>
        <w:t xml:space="preserve"> </w:t>
      </w:r>
      <w:r>
        <w:t xml:space="preserve">and investment advice</w:t>
      </w:r>
      <w:r>
        <w:br/>
      </w:r>
      <w:r>
        <w:t xml:space="preserve">A ban on inducements (Option 3) SO2:</w:t>
      </w:r>
      <w:r>
        <w:t xml:space="preserve"> </w:t>
      </w:r>
      <w:r>
        <w:t xml:space="preserve">Better</w:t>
      </w:r>
      <w:r>
        <w:t xml:space="preserve"> </w:t>
      </w:r>
      <w:r>
        <w:t xml:space="preserve">align</w:t>
      </w:r>
      <w:r>
        <w:t xml:space="preserve"> </w:t>
      </w:r>
      <w:r>
        <w:t xml:space="preserve">interests</w:t>
      </w:r>
      <w:r>
        <w:t xml:space="preserve"> </w:t>
      </w:r>
      <w:r>
        <w:t xml:space="preserve">between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and</w:t>
      </w:r>
      <w:r>
        <w:t xml:space="preserve"> </w:t>
      </w:r>
      <w:r>
        <w:t xml:space="preserve">investors.</w:t>
      </w:r>
    </w:p>
    <w:p>
      <w:pPr>
        <w:pStyle w:val="FirstParagraph"/>
      </w:pPr>
      <w:r>
        <w:t xml:space="preserve">Some</w:t>
      </w:r>
      <w:r>
        <w:t xml:space="preserve"> </w:t>
      </w:r>
      <w:r>
        <w:t xml:space="preserve">retail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</w:t>
      </w:r>
      <w:r>
        <w:t xml:space="preserve"> </w:t>
      </w:r>
      <w:r>
        <w:t xml:space="preserve">incorporate</w:t>
      </w:r>
      <w:r>
        <w:t xml:space="preserve"> </w:t>
      </w:r>
      <w:r>
        <w:t xml:space="preserve">unjustifiably high levels of</w:t>
      </w:r>
      <w:r>
        <w:t xml:space="preserve"> </w:t>
      </w:r>
      <w:r>
        <w:t xml:space="preserve">costs and/or do not offer</w:t>
      </w:r>
      <w:r>
        <w:t xml:space="preserve"> </w:t>
      </w:r>
      <w:r>
        <w:t xml:space="preserve">value to retail investors</w:t>
      </w:r>
      <w:r>
        <w:t xml:space="preserve"> </w:t>
      </w:r>
      <w:r>
        <w:t xml:space="preserve">Strengthening</w:t>
      </w:r>
      <w:r>
        <w:t xml:space="preserve"> </w:t>
      </w:r>
      <w:r>
        <w:t xml:space="preserve">product</w:t>
      </w:r>
      <w:r>
        <w:t xml:space="preserve"> </w:t>
      </w:r>
      <w:r>
        <w:t xml:space="preserve">governance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 and distributors</w:t>
      </w:r>
      <w:r>
        <w:t xml:space="preserve"> </w:t>
      </w:r>
      <w:r>
        <w:t xml:space="preserve">with focus on costs, also by</w:t>
      </w:r>
      <w:r>
        <w:t xml:space="preserve"> </w:t>
      </w:r>
      <w:r>
        <w:t xml:space="preserve">requiring comparison of products</w:t>
      </w:r>
      <w:r>
        <w:t xml:space="preserve"> </w:t>
      </w:r>
      <w:r>
        <w:t xml:space="preserve">to relevant benchmarks and</w:t>
      </w:r>
      <w:r>
        <w:t xml:space="preserve"> </w:t>
      </w:r>
      <w:r>
        <w:t xml:space="preserve">justification of any departures</w:t>
      </w:r>
      <w:r>
        <w:t xml:space="preserve"> </w:t>
      </w:r>
      <w:r>
        <w:t xml:space="preserve">from the benchmarks (Option 3).</w:t>
      </w:r>
      <w:r>
        <w:t xml:space="preserve"> </w:t>
      </w:r>
      <w:r>
        <w:t xml:space="preserve">SO3: Ensure that retail investors</w:t>
      </w:r>
      <w:r>
        <w:t xml:space="preserve"> </w:t>
      </w:r>
      <w:r>
        <w:t xml:space="preserve">are</w:t>
      </w:r>
      <w:r>
        <w:t xml:space="preserve"> </w:t>
      </w:r>
      <w:r>
        <w:t xml:space="preserve">offered</w:t>
      </w:r>
      <w:r>
        <w:t xml:space="preserve"> </w:t>
      </w:r>
      <w:r>
        <w:t xml:space="preserve">cost-effective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The combination of preferred options was designed to address the two key identified problems</w:t>
      </w:r>
      <w:r>
        <w:t xml:space="preserve"> </w:t>
      </w:r>
      <w:r>
        <w:t xml:space="preserve">(informational deficiencies and shortcomings in the manufacturing and distribution processes). Retail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investors should benefit from improved disclosures, in the form of more targeted and engaging</w:t>
      </w:r>
      <w:r>
        <w:t xml:space="preserve"> </w:t>
      </w:r>
      <w:r>
        <w:t xml:space="preserve">information aimed at facilitating decision-making, while being better protected against increasing</w:t>
      </w:r>
      <w:r>
        <w:t xml:space="preserve"> </w:t>
      </w:r>
      <w:r>
        <w:t xml:space="preserve">exposure to misleading marketing. At the same time, they should be faced with a choice of products</w:t>
      </w:r>
      <w:r>
        <w:t xml:space="preserve"> </w:t>
      </w:r>
      <w:r>
        <w:t xml:space="preserve">that offer them better value for money and advised in ways that help them achieve better investment</w:t>
      </w:r>
      <w:r>
        <w:t xml:space="preserve"> </w:t>
      </w:r>
      <w:r>
        <w:t xml:space="preserve">outcomes due to the removal of conflicts of interest in the advice process.</w:t>
      </w:r>
      <w:r>
        <w:br/>
      </w:r>
      <w:r>
        <w:t xml:space="preserve">During the preparation of this initiative, various alternative combinations of options were considered.</w:t>
      </w:r>
      <w:r>
        <w:t xml:space="preserve"> </w:t>
      </w:r>
      <w:r>
        <w:t xml:space="preserve">In particular, they assessed whether a package of measures that did not include an inducement ban, but</w:t>
      </w:r>
      <w:r>
        <w:t xml:space="preserve"> </w:t>
      </w:r>
      <w:r>
        <w:t xml:space="preserve">rather increased transparency around the payment of inducements might be effective. Such an approach</w:t>
      </w:r>
      <w:r>
        <w:t xml:space="preserve"> </w:t>
      </w:r>
      <w:r>
        <w:t xml:space="preserve">would have also included a stronger emphasis on disclosures (e.g. cost disclosures) as well as a stronger</w:t>
      </w:r>
      <w:r>
        <w:t xml:space="preserve"> </w:t>
      </w:r>
      <w:r>
        <w:t xml:space="preserve">suitability test (e.g. including an obligation on distributors of retail investment products to draw up a</w:t>
      </w:r>
      <w:r>
        <w:t xml:space="preserve"> </w:t>
      </w:r>
      <w:r>
        <w:t xml:space="preserve">personal investment plan with an asset allocation strategy), in addition to a Value for Money option</w:t>
      </w:r>
      <w:r>
        <w:t xml:space="preserve"> </w:t>
      </w:r>
      <w:r>
        <w:t xml:space="preserve">with stricter obligations for distributors. They concluded, however, that as long as conflicts of interest</w:t>
      </w:r>
      <w:r>
        <w:t xml:space="preserve"> </w:t>
      </w:r>
      <w:r>
        <w:t xml:space="preserve">remained in place due to the continued payment of inducements, such a package of measures was</w:t>
      </w:r>
      <w:r>
        <w:t xml:space="preserve"> </w:t>
      </w:r>
      <w:r>
        <w:t xml:space="preserve">unlikely to be as effective in helping retail investors achieve optimal outcomes from their investments.</w:t>
      </w:r>
      <w:r>
        <w:t xml:space="preserve"> </w:t>
      </w:r>
      <w:r>
        <w:t xml:space="preserve">Therefore it was decided that the preferred option should feature a full inducement ban to eliminate</w:t>
      </w:r>
      <w:r>
        <w:t xml:space="preserve"> </w:t>
      </w:r>
      <w:r>
        <w:t xml:space="preserve">conflicts of interest, which was assessed to be the most effective way to address a fundamental</w:t>
      </w:r>
      <w:r>
        <w:t xml:space="preserve"> </w:t>
      </w:r>
      <w:r>
        <w:t xml:space="preserve">shortcoming.</w:t>
      </w:r>
      <w:r>
        <w:br/>
      </w:r>
      <w:r>
        <w:t xml:space="preserve">The “flanking measures” (see section 5.4 and corresponding annexes) help to address the identified</w:t>
      </w:r>
      <w:r>
        <w:t xml:space="preserve"> </w:t>
      </w:r>
      <w:r>
        <w:t xml:space="preserve">problems. They are an intrinsic part of the overall package under the preferred option. The measures</w:t>
      </w:r>
      <w:r>
        <w:t xml:space="preserve"> </w:t>
      </w:r>
      <w:r>
        <w:t xml:space="preserve">are valuable as stand-alone measures but also amplify the effect of the main measures via synergies,</w:t>
      </w:r>
      <w:r>
        <w:t xml:space="preserve"> </w:t>
      </w:r>
      <w:r>
        <w:t xml:space="preserve">for example:</w:t>
      </w:r>
      <w:r>
        <w:br/>
      </w:r>
      <w:r>
        <w:t xml:space="preserve"> Increasing the level of financial literacy empowers investors to deal with investment</w:t>
      </w:r>
      <w:r>
        <w:t xml:space="preserve"> </w:t>
      </w:r>
      <w:r>
        <w:t xml:space="preserve">information, assess the value their investment brings to them and take sound investment</w:t>
      </w:r>
      <w:r>
        <w:t xml:space="preserve"> </w:t>
      </w:r>
      <w:r>
        <w:t xml:space="preserve">decisions. By promoting efforts to enhance financial literacy, the proposed disclosure</w:t>
      </w:r>
      <w:r>
        <w:t xml:space="preserve"> </w:t>
      </w:r>
      <w:r>
        <w:t xml:space="preserve">measures could also become more effective. The financial literacy measures also complement</w:t>
      </w:r>
      <w:r>
        <w:t xml:space="preserve"> </w:t>
      </w:r>
      <w:r>
        <w:t xml:space="preserve">the proposed measures on digital marketing because more literate investors will be better at</w:t>
      </w:r>
      <w:r>
        <w:t xml:space="preserve"> </w:t>
      </w:r>
      <w:r>
        <w:t xml:space="preserve">identifying bogus or poor-quality investment offers.</w:t>
      </w:r>
      <w:r>
        <w:t xml:space="preserve"> </w:t>
      </w:r>
      <w:r>
        <w:t xml:space="preserve"> The possibility for investors with appropriate knowledge, experience and ability to bear losses,</w:t>
      </w:r>
      <w:r>
        <w:t xml:space="preserve"> </w:t>
      </w:r>
      <w:r>
        <w:t xml:space="preserve">to request the status of ‘professional investor’ as proposed in the measures on investor</w:t>
      </w:r>
      <w:r>
        <w:t xml:space="preserve"> </w:t>
      </w:r>
      <w:r>
        <w:t xml:space="preserve">categorisation will allow these investors to obtain more suitable and cost-efficient investment</w:t>
      </w:r>
      <w:r>
        <w:t xml:space="preserve"> </w:t>
      </w:r>
      <w:r>
        <w:t xml:space="preserve">portfolios that match their profile. In addition, they would receive more targeted information,</w:t>
      </w:r>
      <w:r>
        <w:t xml:space="preserve"> </w:t>
      </w:r>
      <w:r>
        <w:t xml:space="preserve">which fits in the aim of making disclosures more relevant for retail investors.</w:t>
      </w:r>
      <w:r>
        <w:t xml:space="preserve"> </w:t>
      </w:r>
      <w:r>
        <w:t xml:space="preserve"> The measures on enhanced suitability and appropriateness assessments should improve the</w:t>
      </w:r>
      <w:r>
        <w:t xml:space="preserve"> </w:t>
      </w:r>
      <w:r>
        <w:t xml:space="preserve">quality of advice given to retail investors, or when no advice is requested, the appropriateness</w:t>
      </w:r>
      <w:r>
        <w:t xml:space="preserve"> </w:t>
      </w:r>
      <w:r>
        <w:t xml:space="preserve">assessment should provide a minimum protection. The enhanced appropriateness assessment</w:t>
      </w:r>
      <w:r>
        <w:t xml:space="preserve"> </w:t>
      </w:r>
      <w:r>
        <w:t xml:space="preserve">would include stronger warnings to help clients avoid investments in highly complex and often</w:t>
      </w:r>
      <w:r>
        <w:t xml:space="preserve"> </w:t>
      </w:r>
      <w:r>
        <w:t xml:space="preserve">costly products that are not compatible with their financial capacity and ability to bear losses.</w:t>
      </w:r>
      <w:r>
        <w:t xml:space="preserve"> </w:t>
      </w:r>
      <w:r>
        <w:t xml:space="preserve">These measures would improve the advice given to investors, complementing the measures to</w:t>
      </w:r>
      <w:r>
        <w:t xml:space="preserve"> </w:t>
      </w:r>
      <w:r>
        <w:t xml:space="preserve">tackle the conflicts of interest stemming from inducements. In addition, they contribute to an</w:t>
      </w:r>
      <w:r>
        <w:t xml:space="preserve"> </w:t>
      </w:r>
      <w:r>
        <w:t xml:space="preserve">investment environment in which retail investors receive value for money. Measures aimed at</w:t>
      </w:r>
      <w:r>
        <w:t xml:space="preserve"> </w:t>
      </w:r>
      <w:r>
        <w:t xml:space="preserve">raising the standards of professional qualifications across the EU should further support the</w:t>
      </w:r>
      <w:r>
        <w:t xml:space="preserve"> </w:t>
      </w:r>
      <w:r>
        <w:t xml:space="preserve">efforts to improve the quality of investment advice and increase trust.</w:t>
      </w:r>
      <w:r>
        <w:br/>
      </w:r>
      <w:r>
        <w:t xml:space="preserve"> The various measures aimed at enhancing supervisory enforcement should result in a better</w:t>
      </w:r>
      <w:r>
        <w:t xml:space="preserve"> </w:t>
      </w:r>
      <w:r>
        <w:t xml:space="preserve">general retail investment environment and strengthen and complement different specific</w:t>
      </w:r>
      <w:r>
        <w:t xml:space="preserve"> </w:t>
      </w:r>
      <w:r>
        <w:t xml:space="preserve">measures across the preferred option package. For example, following the proposed measures</w:t>
      </w:r>
      <w:r>
        <w:t xml:space="preserve"> </w:t>
      </w:r>
      <w:r>
        <w:t xml:space="preserve">NCAs would be in a better position to more rapidly address aggressive marketing practices and</w:t>
      </w:r>
      <w:r>
        <w:t xml:space="preserve"> </w:t>
      </w:r>
      <w:r>
        <w:t xml:space="preserve">impose risk warnings. In addition, strengthening rules to facilitate complaints handling in cross-</w:t>
      </w:r>
      <w:r>
        <w:t xml:space="preserve"> </w:t>
      </w:r>
      <w:r>
        <w:t xml:space="preserve">border situations, for instance, should have a positive effect on the level of trust in the retail</w:t>
      </w:r>
      <w:r>
        <w:t xml:space="preserve"> </w:t>
      </w:r>
      <w:r>
        <w:t xml:space="preserve">investment market.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Economic impacts and impacts on SMEs</w:t>
      </w:r>
      <w:r>
        <w:t xml:space="preserve"> </w:t>
      </w:r>
      <w:r>
        <w:t xml:space="preserve">The package of measures assessed in this impact assessment would enhance retail investor protection</w:t>
      </w:r>
      <w:r>
        <w:t xml:space="preserve"> </w:t>
      </w:r>
      <w:r>
        <w:t xml:space="preserve">by addressing two types of market failure that determine the relationship between retail investors and</w:t>
      </w:r>
      <w:r>
        <w:t xml:space="preserve"> </w:t>
      </w:r>
      <w:r>
        <w:t xml:space="preserve">providers of financial services: asymmetric information and misaligned incentives (conflicts of</w:t>
      </w:r>
      <w:r>
        <w:t xml:space="preserve"> </w:t>
      </w:r>
      <w:r>
        <w:t xml:space="preserve">interests). Enhancing disclosures and oversight on marketing communications would reduce the</w:t>
      </w:r>
      <w:r>
        <w:t xml:space="preserve"> </w:t>
      </w:r>
      <w:r>
        <w:t xml:space="preserve">information costs for retail investors that accrue in the selection of financial distributors and products.</w:t>
      </w:r>
      <w:r>
        <w:t xml:space="preserve"> </w:t>
      </w:r>
      <w:r>
        <w:t xml:space="preserve">Value for Money benchmarks would have a comparable effect on investors’ search and information</w:t>
      </w:r>
      <w:r>
        <w:t xml:space="preserve"> </w:t>
      </w:r>
      <w:r>
        <w:t xml:space="preserve">costs, as they would provide them with information on the value of investment products. Investors’</w:t>
      </w:r>
      <w:r>
        <w:t xml:space="preserve"> </w:t>
      </w:r>
      <w:r>
        <w:t xml:space="preserve">capacity to benefit from better disclosure and benchmarks would be improved by flanking measures</w:t>
      </w:r>
      <w:r>
        <w:t xml:space="preserve"> </w:t>
      </w:r>
      <w:r>
        <w:t xml:space="preserve">that increase their financial literacy and access to high-quality advice, consistent with findings in</w:t>
      </w:r>
      <w:r>
        <w:t xml:space="preserve"> </w:t>
      </w:r>
      <w:r>
        <w:t xml:space="preserve">economic literature that the better informed and educated the retail investors are, the better they are</w:t>
      </w:r>
      <w:r>
        <w:t xml:space="preserve"> </w:t>
      </w:r>
      <w:r>
        <w:t xml:space="preserve">able to make use of advice and benefit in terms of improved investment performance181.</w:t>
      </w:r>
      <w:r>
        <w:t xml:space="preserve"> </w:t>
      </w:r>
      <w:r>
        <w:t xml:space="preserve">The relationship between disclosure and retail investors’ financial literacy is self-reinforcing. An</w:t>
      </w:r>
      <w:r>
        <w:t xml:space="preserve"> </w:t>
      </w:r>
      <w:r>
        <w:t xml:space="preserve">improvement in financial literacy enables investors to make better use of the information at their</w:t>
      </w:r>
      <w:r>
        <w:t xml:space="preserve"> </w:t>
      </w:r>
      <w:r>
        <w:t xml:space="preserve">disposal to avoid financial products that do not correspond to their needs. Without useful information,</w:t>
      </w:r>
      <w:r>
        <w:t xml:space="preserve"> </w:t>
      </w:r>
      <w:r>
        <w:t xml:space="preserve">however, better financial education may on the contrary actually reduce the confidence of investors to</w:t>
      </w:r>
      <w:r>
        <w:t xml:space="preserve"> </w:t>
      </w:r>
      <w:r>
        <w:t xml:space="preserve">make good choices, with the likely outcome of even higher search and information costs. Moreover,</w:t>
      </w:r>
      <w:r>
        <w:t xml:space="preserve"> </w:t>
      </w:r>
      <w:r>
        <w:t xml:space="preserve">since financial literacy goes hand-in-hand with some investors becoming overconfident182, efforts to</w:t>
      </w:r>
      <w:r>
        <w:t xml:space="preserve"> </w:t>
      </w:r>
      <w:r>
        <w:t xml:space="preserve">increase financial education without at the same time introducing measures to improve the information</w:t>
      </w:r>
      <w:r>
        <w:t xml:space="preserve"> </w:t>
      </w:r>
      <w:r>
        <w:t xml:space="preserve">set available to investors may even lead to an increase in cases of mis-selling. The obligation to subject</w:t>
      </w:r>
      <w:r>
        <w:t xml:space="preserve"> </w:t>
      </w:r>
      <w:r>
        <w:t xml:space="preserve">retail investors to a suitability assessment or appropriateness test addresses detrimental effects from</w:t>
      </w:r>
      <w:r>
        <w:t xml:space="preserve"> </w:t>
      </w:r>
      <w:r>
        <w:t xml:space="preserve">investors becoming over-confident, implying that they would take on more importance the better</w:t>
      </w:r>
      <w:r>
        <w:t xml:space="preserve"> </w:t>
      </w:r>
      <w:r>
        <w:t xml:space="preserve">informed and more literate retail investors become.</w:t>
      </w:r>
      <w:r>
        <w:t xml:space="preserve"> </w:t>
      </w:r>
      <w:r>
        <w:t xml:space="preserve">Measures to reduce information asymmetry would not be sufficient to address the issue of conflicting</w:t>
      </w:r>
      <w:r>
        <w:t xml:space="preserve"> </w:t>
      </w:r>
      <w:r>
        <w:t xml:space="preserve">interests. Academics have suggested that under specific theoretical conditions, more information could</w:t>
      </w:r>
      <w:r>
        <w:t xml:space="preserve"> </w:t>
      </w:r>
      <w:r>
        <w:t xml:space="preserve">even make the investor worse off183. Measures that address conflicts of interest reduce the importance</w:t>
      </w:r>
      <w:r>
        <w:t xml:space="preserve"> </w:t>
      </w:r>
      <w:r>
        <w:t xml:space="preserve">of trust and hence the need for both investors and distributors to develop longer-term relationships. For</w:t>
      </w:r>
      <w:r>
        <w:t xml:space="preserve"> </w:t>
      </w:r>
      <w:r>
        <w:t xml:space="preserve">example, a ban on inducements paid by manufacturers to distributors could reduce reluctance of</w:t>
      </w:r>
      <w:r>
        <w:t xml:space="preserve"> </w:t>
      </w:r>
      <w:r>
        <w:t xml:space="preserve">investors to interact with other distributors or to take advice from them. Value for Money benchmarks</w:t>
      </w:r>
      <w:r>
        <w:t xml:space="preserve"> </w:t>
      </w:r>
      <w:r>
        <w:t xml:space="preserve">improve investors’ access to more cost efficient products. Standards on the qualification of financial</w:t>
      </w:r>
      <w:r>
        <w:t xml:space="preserve"> </w:t>
      </w:r>
      <w:r>
        <w:t xml:space="preserve">advisors would allow investors to change their advisor more frequently. Likewise, trust in supervisory</w:t>
      </w:r>
      <w:r>
        <w:t xml:space="preserve"> </w:t>
      </w:r>
      <w:r>
        <w:t xml:space="preserve">enforcement would provide reassurance to investors that they receive a certain level of advice and</w:t>
      </w:r>
      <w:r>
        <w:t xml:space="preserve"> </w:t>
      </w:r>
      <w:r>
        <w:t xml:space="preserve">guidance independent from which specific supplier they approach.</w:t>
      </w:r>
      <w:r>
        <w:t xml:space="preserve"> </w:t>
      </w:r>
      <w:r>
        <w:t xml:space="preserve">Overall, better investor protection would translate into fewer incidents of mis-selling and lead to a</w:t>
      </w:r>
      <w:r>
        <w:t xml:space="preserve"> </w:t>
      </w:r>
      <w:r>
        <w:t xml:space="preserve">better selection of investment products. It would also enhance transparency around costs and the ESG</w:t>
      </w:r>
      <w:r>
        <w:t xml:space="preserve"> </w:t>
      </w:r>
      <w:r>
        <w:t xml:space="preserve">profile of investment products and improve investors’ ability to understand and select between</w:t>
      </w:r>
      <w:r>
        <w:t xml:space="preserve"> </w:t>
      </w:r>
      <w:r>
        <w:t xml:space="preserve">investment products and ultimately could improve the level of trust of retail investors. Multiple</w:t>
      </w:r>
      <w:r>
        <w:t xml:space="preserve"> </w:t>
      </w:r>
      <w:r>
        <w:t xml:space="preserve">measures included in the preferred options would improve market efficiency and innovation and jointly</w:t>
      </w:r>
      <w:r>
        <w:t xml:space="preserve"> </w:t>
      </w:r>
      <w:r>
        <w:t xml:space="preserve">contribute to a shift towards cheaper and higher quality investment products.</w:t>
      </w:r>
    </w:p>
    <w:p>
      <w:pPr>
        <w:pStyle w:val="BodyText"/>
      </w:pPr>
      <w:r>
        <w:t xml:space="preserve">181 See Bucher-Koenen, T. and J. Koenen, ‚Do Seemingly Smarter consumers get better Advice’, Max-Planck Institute for</w:t>
      </w:r>
      <w:r>
        <w:t xml:space="preserve"> </w:t>
      </w:r>
      <w:r>
        <w:t xml:space="preserve">Social Law and Social Policy, MEA Discussion Paper No 01-2015, Belofatto, A. et al., Subjective financial literacy and</w:t>
      </w:r>
      <w:r>
        <w:t xml:space="preserve"> </w:t>
      </w:r>
      <w:r>
        <w:t xml:space="preserve">retail investors’ behaviour, Journal of Banking and Finance, Vol. 92 (2018), pp. 168-171, Prasad, S. et al. Influence of</w:t>
      </w:r>
      <w:r>
        <w:t xml:space="preserve"> </w:t>
      </w:r>
      <w:r>
        <w:t xml:space="preserve">financial literacy on retail investors’ decisions in relation to return, risk and market analysis, International Journal of</w:t>
      </w:r>
      <w:r>
        <w:t xml:space="preserve"> </w:t>
      </w:r>
      <w:r>
        <w:t xml:space="preserve">Finance and Economics, Vol. 26 (8), 2020.</w:t>
      </w:r>
      <w:r>
        <w:t xml:space="preserve"> </w:t>
      </w:r>
      <w:r>
        <w:t xml:space="preserve">182 Overconfidence seems to depress the benefits of financial investment, see Gaudecker, H.-M., ‘How Does Household</w:t>
      </w:r>
      <w:r>
        <w:t xml:space="preserve"> </w:t>
      </w:r>
      <w:r>
        <w:t xml:space="preserve">Portfolio Diversification Vary with Financial Literacy and Financial Advice?, Journal of Finance, Vol 70, April 2015, pp. </w:t>
      </w:r>
      <w:r>
        <w:t xml:space="preserve"> </w:t>
      </w:r>
      <w:r>
        <w:t xml:space="preserve">489-507.</w:t>
      </w:r>
      <w:r>
        <w:t xml:space="preserve"> </w:t>
      </w:r>
      <w:r>
        <w:t xml:space="preserve">183 This would be the case if the investors learn that they have no alternative to the offer.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Higher trust levels might also entice population groups that had not yet invested to consider reallocating</w:t>
      </w:r>
      <w:r>
        <w:t xml:space="preserve"> </w:t>
      </w:r>
      <w:r>
        <w:t xml:space="preserve">their financial wealth from both traditional savings instruments or possibly more speculative and risky</w:t>
      </w:r>
      <w:r>
        <w:t xml:space="preserve"> </w:t>
      </w:r>
      <w:r>
        <w:t xml:space="preserve">instruments towards well-regulated retail investment products. As a consequence, both new and</w:t>
      </w:r>
      <w:r>
        <w:t xml:space="preserve"> </w:t>
      </w:r>
      <w:r>
        <w:t xml:space="preserve">existing investors would stand to benefit from higher long-term returns on their financial assets, better</w:t>
      </w:r>
      <w:r>
        <w:t xml:space="preserve"> </w:t>
      </w:r>
      <w:r>
        <w:t xml:space="preserve">protection against inflation and better diversification of their wealth. This also would help consumers</w:t>
      </w:r>
      <w:r>
        <w:t xml:space="preserve"> </w:t>
      </w:r>
      <w:r>
        <w:t xml:space="preserve">accumulate capital for their retirement and other life objectives.</w:t>
      </w:r>
      <w:r>
        <w:br/>
      </w:r>
      <w:r>
        <w:t xml:space="preserve">The combination of adjustment costs, reduced pricing power and overall more competitive pressure are</w:t>
      </w:r>
      <w:r>
        <w:t xml:space="preserve"> </w:t>
      </w:r>
      <w:r>
        <w:t xml:space="preserve">likely to lead to a decline in financial firms’ profit margins. The combined effect of the policy measures</w:t>
      </w:r>
      <w:r>
        <w:t xml:space="preserve"> </w:t>
      </w:r>
      <w:r>
        <w:t xml:space="preserve">would be a redistribution of rents from financial corporations to the household sector and, for those</w:t>
      </w:r>
      <w:r>
        <w:t xml:space="preserve"> </w:t>
      </w:r>
      <w:r>
        <w:t xml:space="preserve">cases where financial firms need to upgrade IT and skills of staff to comply with new requirements, the</w:t>
      </w:r>
      <w:r>
        <w:t xml:space="preserve"> </w:t>
      </w:r>
      <w:r>
        <w:t xml:space="preserve">transformation of their profits into higher revenues for suppliers of IT and professional training. The</w:t>
      </w:r>
      <w:r>
        <w:t xml:space="preserve"> </w:t>
      </w:r>
      <w:r>
        <w:t xml:space="preserve">comparison of the estimates of benefits and costs, however, suggest that the net welfare increase will</w:t>
      </w:r>
      <w:r>
        <w:t xml:space="preserve"> </w:t>
      </w:r>
      <w:r>
        <w:t xml:space="preserve">be positive.</w:t>
      </w:r>
      <w:r>
        <w:t xml:space="preserve"> </w:t>
      </w:r>
      <w:r>
        <w:t xml:space="preserve">Table: Benefits and costs for policy measures where it was possible to estimate numbers, in</w:t>
      </w:r>
      <w:r>
        <w:t xml:space="preserve"> </w:t>
      </w:r>
      <w:r>
        <w:t xml:space="preserve">EUR184</w:t>
      </w:r>
    </w:p>
    <w:p>
      <w:pPr>
        <w:pStyle w:val="BodyText"/>
      </w:pPr>
      <w:r>
        <w:t xml:space="preserve">Benefits p.a.</w:t>
      </w:r>
      <w:r>
        <w:t xml:space="preserve"> </w:t>
      </w:r>
      <w:r>
        <w:t xml:space="preserve">One off cost</w:t>
      </w:r>
      <w:r>
        <w:t xml:space="preserve"> </w:t>
      </w:r>
      <w:r>
        <w:t xml:space="preserve">Ongoing costs</w:t>
      </w:r>
      <w:r>
        <w:t xml:space="preserve"> </w:t>
      </w:r>
      <w:r>
        <w:t xml:space="preserve">Disclosure</w:t>
      </w:r>
      <w:r>
        <w:t xml:space="preserve"> </w:t>
      </w:r>
      <w:r>
        <w:t xml:space="preserve">N/A</w:t>
      </w:r>
      <w:r>
        <w:t xml:space="preserve"> </w:t>
      </w:r>
      <w:r>
        <w:t xml:space="preserve">19-67.5 million</w:t>
      </w:r>
      <w:r>
        <w:t xml:space="preserve"> </w:t>
      </w:r>
      <w:r>
        <w:t xml:space="preserve">250 million</w:t>
      </w:r>
      <w:r>
        <w:t xml:space="preserve"> </w:t>
      </w:r>
      <w:r>
        <w:t xml:space="preserve">Inducement ban</w:t>
      </w:r>
      <w:r>
        <w:t xml:space="preserve"> </w:t>
      </w:r>
      <w:r>
        <w:t xml:space="preserve">5-6 billion</w:t>
      </w:r>
      <w:r>
        <w:t xml:space="preserve"> </w:t>
      </w:r>
      <w:r>
        <w:t xml:space="preserve">14 - 15 billion</w:t>
      </w:r>
      <w:r>
        <w:t xml:space="preserve"> </w:t>
      </w:r>
      <w:r>
        <w:t xml:space="preserve">Not significant</w:t>
      </w:r>
      <w:r>
        <w:t xml:space="preserve"> </w:t>
      </w:r>
      <w:r>
        <w:t xml:space="preserve">Value for Money</w:t>
      </w:r>
      <w:r>
        <w:t xml:space="preserve"> </w:t>
      </w:r>
      <w:r>
        <w:t xml:space="preserve">4.4 to 22 billion185</w:t>
      </w:r>
      <w:r>
        <w:t xml:space="preserve"> </w:t>
      </w:r>
      <w:r>
        <w:t xml:space="preserve">13-252 million</w:t>
      </w:r>
      <w:r>
        <w:t xml:space="preserve"> </w:t>
      </w:r>
      <w:r>
        <w:t xml:space="preserve">2.3-22.6 million</w:t>
      </w:r>
      <w:r>
        <w:t xml:space="preserve"> </w:t>
      </w:r>
      <w:r>
        <w:t xml:space="preserve">Suitability/appropriateness</w:t>
      </w:r>
      <w:r>
        <w:t xml:space="preserve"> </w:t>
      </w:r>
      <w:r>
        <w:t xml:space="preserve">tests</w:t>
      </w:r>
      <w:r>
        <w:t xml:space="preserve"> </w:t>
      </w:r>
      <w:r>
        <w:t xml:space="preserve">N/A</w:t>
      </w:r>
      <w:r>
        <w:t xml:space="preserve"> </w:t>
      </w:r>
      <w:r>
        <w:t xml:space="preserve">12.5-48.5 million</w:t>
      </w:r>
      <w:r>
        <w:t xml:space="preserve"> </w:t>
      </w:r>
      <w:r>
        <w:t xml:space="preserve">7.1 to 19.1 million</w:t>
      </w:r>
    </w:p>
    <w:p>
      <w:pPr>
        <w:pStyle w:val="BodyText"/>
      </w:pPr>
      <w:r>
        <w:t xml:space="preserve">The above numbers assume that the investor base remains constant. Firms would benefit from improved</w:t>
      </w:r>
      <w:r>
        <w:t xml:space="preserve"> </w:t>
      </w:r>
      <w:r>
        <w:t xml:space="preserve">consumer protection if more symmetric distribution of information and better alignment of incentives</w:t>
      </w:r>
      <w:r>
        <w:t xml:space="preserve"> </w:t>
      </w:r>
      <w:r>
        <w:t xml:space="preserve">succeeds in fostering investor participation. The available data suggests that about a quarter of EU</w:t>
      </w:r>
      <w:r>
        <w:t xml:space="preserve"> </w:t>
      </w:r>
      <w:r>
        <w:t xml:space="preserve">households hold investment products, while three quarters do not. When asked in the Eurobarometer</w:t>
      </w:r>
      <w:r>
        <w:t xml:space="preserve"> </w:t>
      </w:r>
      <w:r>
        <w:t xml:space="preserve">survey, why they did not invest, about half responded that they had not the financial means to do so.</w:t>
      </w:r>
      <w:r>
        <w:t xml:space="preserve"> </w:t>
      </w:r>
      <w:r>
        <w:t xml:space="preserve">The remaining respondents, that would extrapolate to around 70 million households, quoted other</w:t>
      </w:r>
      <w:r>
        <w:t xml:space="preserve"> </w:t>
      </w:r>
      <w:r>
        <w:t xml:space="preserve">obstacles, to which the policy measures analysed in this impact assessment would contribute to</w:t>
      </w:r>
      <w:r>
        <w:t xml:space="preserve"> </w:t>
      </w:r>
      <w:r>
        <w:t xml:space="preserve">overcoming. Measures to improve information disclosure and financial literacy could foster</w:t>
      </w:r>
      <w:r>
        <w:t xml:space="preserve"> </w:t>
      </w:r>
      <w:r>
        <w:t xml:space="preserve">participation of households that had not invested because they considered investment as too complex.</w:t>
      </w:r>
      <w:r>
        <w:t xml:space="preserve"> </w:t>
      </w:r>
      <w:r>
        <w:t xml:space="preserve">Aligning incentives through the inducement ban, improving the quality of advice and stronger</w:t>
      </w:r>
      <w:r>
        <w:t xml:space="preserve"> </w:t>
      </w:r>
      <w:r>
        <w:t xml:space="preserve">supervisory enforcement could contribute to unblocking reluctance of some households that are</w:t>
      </w:r>
      <w:r>
        <w:t xml:space="preserve"> </w:t>
      </w:r>
      <w:r>
        <w:t xml:space="preserve">concerned about risks. Availability of more cost-efficient products resulting from the new Value for</w:t>
      </w:r>
      <w:r>
        <w:t xml:space="preserve"> </w:t>
      </w:r>
      <w:r>
        <w:t xml:space="preserve">Money approach could convince some of those households that refrained from investment because of</w:t>
      </w:r>
      <w:r>
        <w:t xml:space="preserve"> </w:t>
      </w:r>
      <w:r>
        <w:t xml:space="preserve">too low returns. Although the results from the Eurobarometer allow an estimation of how large the</w:t>
      </w:r>
      <w:r>
        <w:t xml:space="preserve"> </w:t>
      </w:r>
      <w:r>
        <w:t xml:space="preserve">untapped retail investor base might be, the impact of the measures on higher investor participation</w:t>
      </w:r>
      <w:r>
        <w:t xml:space="preserve"> </w:t>
      </w:r>
      <w:r>
        <w:t xml:space="preserve">cannot be quantified with any confidence, since there are no good coefficients available from academic</w:t>
      </w:r>
      <w:r>
        <w:t xml:space="preserve"> </w:t>
      </w:r>
      <w:r>
        <w:t xml:space="preserve">research to do so.</w:t>
      </w:r>
    </w:p>
    <w:p>
      <w:pPr>
        <w:pStyle w:val="BodyText"/>
      </w:pPr>
      <w:r>
        <w:t xml:space="preserve">184 The estimates are based on numerous assumptions, which are detailed in the Annexes. The wide ranges are due to the</w:t>
      </w:r>
      <w:r>
        <w:t xml:space="preserve"> </w:t>
      </w:r>
      <w:r>
        <w:t xml:space="preserve">lack of data at sufficient granularity and the uncertainty surrounding several critical parameters, which were necessary to</w:t>
      </w:r>
      <w:r>
        <w:t xml:space="preserve"> </w:t>
      </w:r>
      <w:r>
        <w:t xml:space="preserve">undertake the estimates.</w:t>
      </w:r>
      <w:r>
        <w:t xml:space="preserve"> </w:t>
      </w:r>
      <w:r>
        <w:t xml:space="preserve">185 The range depends on assumptions about the effectiveness of convergence pressure, see Annex 14. Since convergence</w:t>
      </w:r>
      <w:r>
        <w:t xml:space="preserve"> </w:t>
      </w:r>
      <w:r>
        <w:t xml:space="preserve">pressure depends also on the effectiveness of the other policy measures, the benefits estimated for Value for Money</w:t>
      </w:r>
      <w:r>
        <w:t xml:space="preserve"> </w:t>
      </w:r>
      <w:r>
        <w:t xml:space="preserve">encompass those from the other measures and should not be added to those. This estimate includes investment funds and</w:t>
      </w:r>
      <w:r>
        <w:t xml:space="preserve"> </w:t>
      </w:r>
      <w:r>
        <w:t xml:space="preserve">insurance-based investment products.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Table: Reasons for non-investment and policy measures that could impact on them</w:t>
      </w:r>
      <w:r>
        <w:t xml:space="preserve"> </w:t>
      </w:r>
      <w:r>
        <w:t xml:space="preserve">Reasons given why households</w:t>
      </w:r>
      <w:r>
        <w:t xml:space="preserve"> </w:t>
      </w:r>
      <w:r>
        <w:t xml:space="preserve">do not invest, EB*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responses in</w:t>
      </w:r>
      <w:r>
        <w:t xml:space="preserve"> </w:t>
      </w:r>
      <w:r>
        <w:t xml:space="preserve">%, EB*</w:t>
      </w:r>
      <w:r>
        <w:t xml:space="preserve"> </w:t>
      </w:r>
      <w:r>
        <w:t xml:space="preserve">Households</w:t>
      </w:r>
      <w:r>
        <w:t xml:space="preserve"> </w:t>
      </w:r>
      <w:r>
        <w:t xml:space="preserve">concerned</w:t>
      </w:r>
      <w:r>
        <w:t xml:space="preserve"> </w:t>
      </w:r>
      <w:r>
        <w:t xml:space="preserve">in</w:t>
      </w:r>
      <w:r>
        <w:t xml:space="preserve"> </w:t>
      </w:r>
      <w:r>
        <w:t xml:space="preserve">million**</w:t>
      </w:r>
      <w:r>
        <w:t xml:space="preserve"> </w:t>
      </w:r>
      <w:r>
        <w:t xml:space="preserve">Policy measures that could impact</w:t>
      </w:r>
      <w:r>
        <w:t xml:space="preserve"> </w:t>
      </w:r>
      <w:r>
        <w:t xml:space="preserve">on these reasons</w:t>
      </w:r>
      <w:r>
        <w:t xml:space="preserve"> </w:t>
      </w:r>
      <w:r>
        <w:t xml:space="preserve">I do not have sufficient money to</w:t>
      </w:r>
      <w:r>
        <w:t xml:space="preserve"> </w:t>
      </w:r>
      <w:r>
        <w:t xml:space="preserve">invest</w:t>
      </w:r>
      <w:r>
        <w:t xml:space="preserve"> </w:t>
      </w:r>
      <w:r>
        <w:t xml:space="preserve">47.1</w:t>
      </w:r>
      <w:r>
        <w:t xml:space="preserve"> </w:t>
      </w:r>
      <w:r>
        <w:t xml:space="preserve">68.0</w:t>
      </w:r>
      <w:r>
        <w:t xml:space="preserve"> </w:t>
      </w:r>
      <w:r>
        <w:t xml:space="preserve">N/A</w:t>
      </w:r>
      <w:r>
        <w:t xml:space="preserve"> </w:t>
      </w:r>
      <w:r>
        <w:t xml:space="preserve">I do not know how to invest or find</w:t>
      </w:r>
      <w:r>
        <w:t xml:space="preserve"> </w:t>
      </w:r>
      <w:r>
        <w:t xml:space="preserve">it too complex</w:t>
      </w:r>
      <w:r>
        <w:t xml:space="preserve"> </w:t>
      </w:r>
      <w:r>
        <w:t xml:space="preserve">14.0</w:t>
      </w:r>
      <w:r>
        <w:t xml:space="preserve"> </w:t>
      </w:r>
      <w:r>
        <w:t xml:space="preserve">20.2</w:t>
      </w:r>
      <w:r>
        <w:t xml:space="preserve"> </w:t>
      </w:r>
      <w:r>
        <w:t xml:space="preserve">Information</w:t>
      </w:r>
      <w:r>
        <w:t xml:space="preserve"> </w:t>
      </w:r>
      <w:r>
        <w:t xml:space="preserve">disclosure,</w:t>
      </w:r>
      <w:r>
        <w:t xml:space="preserve"> </w:t>
      </w:r>
      <w:r>
        <w:t xml:space="preserve">financial</w:t>
      </w:r>
      <w:r>
        <w:t xml:space="preserve"> </w:t>
      </w:r>
      <w:r>
        <w:t xml:space="preserve">literacy</w:t>
      </w:r>
      <w:r>
        <w:t xml:space="preserve"> </w:t>
      </w:r>
      <w:r>
        <w:t xml:space="preserve">I am not confident that I will</w:t>
      </w:r>
      <w:r>
        <w:t xml:space="preserve"> </w:t>
      </w:r>
      <w:r>
        <w:t xml:space="preserve">receive sufficient returns on my</w:t>
      </w:r>
      <w:r>
        <w:t xml:space="preserve"> </w:t>
      </w:r>
      <w:r>
        <w:t xml:space="preserve">investment</w:t>
      </w:r>
      <w:r>
        <w:t xml:space="preserve"> </w:t>
      </w:r>
      <w:r>
        <w:t xml:space="preserve">15.0</w:t>
      </w:r>
      <w:r>
        <w:t xml:space="preserve"> </w:t>
      </w:r>
      <w:r>
        <w:t xml:space="preserve">21.7</w:t>
      </w:r>
      <w:r>
        <w:t xml:space="preserve"> </w:t>
      </w:r>
      <w:r>
        <w:t xml:space="preserve">Value for Money, ban on inducement,</w:t>
      </w:r>
      <w:r>
        <w:t xml:space="preserve"> </w:t>
      </w:r>
      <w:r>
        <w:t xml:space="preserve">investor categorisation</w:t>
      </w:r>
      <w:r>
        <w:t xml:space="preserve"> </w:t>
      </w:r>
      <w:r>
        <w:t xml:space="preserve">I am concerned about the risks</w:t>
      </w:r>
      <w:r>
        <w:t xml:space="preserve"> </w:t>
      </w:r>
      <w:r>
        <w:t xml:space="preserve">20.9</w:t>
      </w:r>
      <w:r>
        <w:t xml:space="preserve"> </w:t>
      </w:r>
      <w:r>
        <w:t xml:space="preserve">30.2</w:t>
      </w:r>
      <w:r>
        <w:t xml:space="preserve"> </w:t>
      </w:r>
      <w:r>
        <w:t xml:space="preserve">Information disclosure, suitability</w:t>
      </w:r>
      <w:r>
        <w:t xml:space="preserve"> </w:t>
      </w:r>
      <w:r>
        <w:t xml:space="preserve">assessment/appropriateness</w:t>
      </w:r>
      <w:r>
        <w:t xml:space="preserve"> </w:t>
      </w:r>
      <w:r>
        <w:t xml:space="preserve">test,</w:t>
      </w:r>
      <w:r>
        <w:t xml:space="preserve"> </w:t>
      </w:r>
      <w:r>
        <w:t xml:space="preserve">supervisory enforcement</w:t>
      </w:r>
      <w:r>
        <w:t xml:space="preserve"> </w:t>
      </w:r>
      <w:r>
        <w:t xml:space="preserve">I do not trust investment advice</w:t>
      </w:r>
      <w:r>
        <w:t xml:space="preserve"> </w:t>
      </w:r>
      <w:r>
        <w:t xml:space="preserve">12.3</w:t>
      </w:r>
      <w:r>
        <w:t xml:space="preserve"> </w:t>
      </w:r>
      <w:r>
        <w:t xml:space="preserve">17.8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suitability</w:t>
      </w:r>
      <w:r>
        <w:t xml:space="preserve"> </w:t>
      </w:r>
      <w:r>
        <w:t xml:space="preserve">assessment/appropriateness</w:t>
      </w:r>
      <w:r>
        <w:t xml:space="preserve"> </w:t>
      </w:r>
      <w:r>
        <w:t xml:space="preserve">test,</w:t>
      </w:r>
      <w:r>
        <w:t xml:space="preserve"> </w:t>
      </w:r>
      <w:r>
        <w:t xml:space="preserve">supervisory</w:t>
      </w:r>
      <w:r>
        <w:t xml:space="preserve"> </w:t>
      </w:r>
      <w:r>
        <w:t xml:space="preserve">enforcement,</w:t>
      </w:r>
      <w:r>
        <w:t xml:space="preserve"> </w:t>
      </w:r>
      <w:r>
        <w:t xml:space="preserve">qualification of advisors</w:t>
      </w:r>
      <w:r>
        <w:t xml:space="preserve"> </w:t>
      </w:r>
      <w:r>
        <w:t xml:space="preserve">Notes: * EB := Eurobarometer No 509, 2022; multiple replies were possible. ** 26% of the respondents to the</w:t>
      </w:r>
      <w:r>
        <w:t xml:space="preserve"> </w:t>
      </w:r>
      <w:r>
        <w:t xml:space="preserve">Eurobarometer survey indicated they were holding investment products. The basis for these questions were those</w:t>
      </w:r>
      <w:r>
        <w:t xml:space="preserve"> </w:t>
      </w:r>
      <w:r>
        <w:t xml:space="preserve">that replied they did not hold an investment product. These shares were multiplied with 145 million households</w:t>
      </w:r>
      <w:r>
        <w:t xml:space="preserve"> </w:t>
      </w:r>
      <w:r>
        <w:t xml:space="preserve">in the EU that did not hold investment products (out of 195 million total households in the EU).</w:t>
      </w:r>
      <w:r>
        <w:br/>
      </w:r>
      <w:r>
        <w:t xml:space="preserve">Any resulting increase in retail investor participation would also have implications for the size of the</w:t>
      </w:r>
      <w:r>
        <w:t xml:space="preserve"> </w:t>
      </w:r>
      <w:r>
        <w:t xml:space="preserve">EU capital market investor base: the resulting scale effects would contribute to making EU capital</w:t>
      </w:r>
      <w:r>
        <w:t xml:space="preserve"> </w:t>
      </w:r>
      <w:r>
        <w:t xml:space="preserve">markets more efficient and attractive. Over time, corporations might benefit from more access to</w:t>
      </w:r>
      <w:r>
        <w:t xml:space="preserve"> </w:t>
      </w:r>
      <w:r>
        <w:t xml:space="preserve">funding, reduced bank dependency and new restructuring opportunities allowing them to adapt and</w:t>
      </w:r>
      <w:r>
        <w:t xml:space="preserve"> </w:t>
      </w:r>
      <w:r>
        <w:t xml:space="preserve">grow.</w:t>
      </w:r>
      <w:r>
        <w:br/>
      </w:r>
      <w:r>
        <w:t xml:space="preserve">The problems this impact assessment aims to address occur throughout the market. The proposed</w:t>
      </w:r>
      <w:r>
        <w:t xml:space="preserve"> </w:t>
      </w:r>
      <w:r>
        <w:t xml:space="preserve">measures, such as the ban on inducement, therefore apply to all relevant active intermediaries,</w:t>
      </w:r>
      <w:r>
        <w:t xml:space="preserve"> </w:t>
      </w:r>
      <w:r>
        <w:t xml:space="preserve">independent of their size. The measures are expected to contribute to a more equitable and competitive</w:t>
      </w:r>
      <w:r>
        <w:t xml:space="preserve"> </w:t>
      </w:r>
      <w:r>
        <w:t xml:space="preserve">market in which those intermediaries, whether large or small, that offer (provide) good value-for-</w:t>
      </w:r>
      <w:r>
        <w:t xml:space="preserve"> </w:t>
      </w:r>
      <w:r>
        <w:t xml:space="preserve">money products (services) can thrive.</w:t>
      </w:r>
      <w:r>
        <w:br/>
      </w:r>
      <w:r>
        <w:t xml:space="preserve">The transition from a commission-based to a fee-based model will lead to temporary costs for large</w:t>
      </w:r>
      <w:r>
        <w:t xml:space="preserve"> </w:t>
      </w:r>
      <w:r>
        <w:t xml:space="preserve">firms and SMEs but might also accelerate the development of alternative (digital) sale channels or</w:t>
      </w:r>
      <w:r>
        <w:t xml:space="preserve"> </w:t>
      </w:r>
      <w:r>
        <w:t xml:space="preserve">services and encourage innovation. The regulatory changes might support the ongoing trend towards</w:t>
      </w:r>
      <w:r>
        <w:t xml:space="preserve"> </w:t>
      </w:r>
      <w:r>
        <w:t xml:space="preserve">increased consolidation, depending on industry dynamics186.Regarding the partial ban, the same</w:t>
      </w:r>
      <w:r>
        <w:t xml:space="preserve"> </w:t>
      </w:r>
      <w:r>
        <w:t xml:space="preserve">considerations would likely apply to those financial service providers which are SMEs.</w:t>
      </w:r>
      <w:r>
        <w:br/>
      </w:r>
      <w:r>
        <w:t xml:space="preserve">Adjustment costs and other compliance costs are unavoidable, for instance to implement the Value-for-</w:t>
      </w:r>
      <w:r>
        <w:t xml:space="preserve"> </w:t>
      </w:r>
      <w:r>
        <w:t xml:space="preserve">Money framework but are considered to be reasonable in view of the benefits they will bring to all</w:t>
      </w:r>
      <w:r>
        <w:t xml:space="preserve"> </w:t>
      </w:r>
      <w:r>
        <w:t xml:space="preserve">stakeholders187. Fulfilment of any additional reporting requirements188 should, to the extent feasible,</w:t>
      </w:r>
    </w:p>
    <w:p>
      <w:pPr>
        <w:pStyle w:val="BodyText"/>
      </w:pPr>
      <w:r>
        <w:t xml:space="preserve">186 Evidence from the Netherlands shows that since the introduction of the ban on inducements, the decline in the number</w:t>
      </w:r>
      <w:r>
        <w:t xml:space="preserve"> </w:t>
      </w:r>
      <w:r>
        <w:t xml:space="preserve">of self-employed financial advisors has ranged between 2% and 4.4% per year. However, that is in line with the observed</w:t>
      </w:r>
      <w:r>
        <w:t xml:space="preserve"> </w:t>
      </w:r>
      <w:r>
        <w:t xml:space="preserve">trend towards increased consolidation in the sector since the global financial crisis.</w:t>
      </w:r>
      <w:r>
        <w:t xml:space="preserve"> </w:t>
      </w:r>
      <w:r>
        <w:t xml:space="preserve">187 E.g. investors will be able to reach better investment decision and access to more cost-effective products and unbiased</w:t>
      </w:r>
      <w:r>
        <w:t xml:space="preserve"> </w:t>
      </w:r>
      <w:r>
        <w:t xml:space="preserve">advice. Intermediaries can compete in a more competitive and equitable business environment. Increased clarity of rules</w:t>
      </w:r>
      <w:r>
        <w:t xml:space="preserve"> </w:t>
      </w:r>
      <w:r>
        <w:t xml:space="preserve">reduces compliance costs for intermediaries and supervisory costs.</w:t>
      </w:r>
      <w:r>
        <w:t xml:space="preserve"> </w:t>
      </w:r>
      <w:r>
        <w:t xml:space="preserve">188 See mandate to the ESAs to define detailed measures at level 2, subject to further assessment by the ESAs. The ESAs</w:t>
      </w:r>
      <w:r>
        <w:t xml:space="preserve"> </w:t>
      </w:r>
      <w:r>
        <w:t xml:space="preserve">should consider specifically the impact on and ways to alleviate the burden on small firms.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be based on already reported or existing data and collected in the most efficient way in order to</w:t>
      </w:r>
      <w:r>
        <w:t xml:space="preserve"> </w:t>
      </w:r>
      <w:r>
        <w:t xml:space="preserve">minimize administrative burden for large and small entities, which will be explicitly requested in the</w:t>
      </w:r>
      <w:r>
        <w:t xml:space="preserve"> </w:t>
      </w:r>
      <w:r>
        <w:t xml:space="preserve">Level 2 empowerments of the ESAs.</w:t>
      </w:r>
      <w:r>
        <w:br/>
      </w:r>
      <w:r>
        <w:t xml:space="preserve">The overall benefits and costs of this initiative are summarised in Annex 3.</w:t>
      </w:r>
      <w:r>
        <w:br/>
      </w:r>
      <w:r>
        <w:t xml:space="preserve">External impacts</w:t>
      </w:r>
      <w:r>
        <w:t xml:space="preserve"> </w:t>
      </w:r>
      <w:r>
        <w:t xml:space="preserve">This initiative would not have any significant external impacts. Financial advisors and other entities</w:t>
      </w:r>
      <w:r>
        <w:t xml:space="preserve"> </w:t>
      </w:r>
      <w:r>
        <w:t xml:space="preserve">from third countries may only be affected if they do business in the EU and in the same way as their</w:t>
      </w:r>
      <w:r>
        <w:t xml:space="preserve"> </w:t>
      </w:r>
      <w:r>
        <w:t xml:space="preserve">EU-domiciled competitors.</w:t>
      </w:r>
      <w:r>
        <w:br/>
      </w:r>
      <w:r>
        <w:t xml:space="preserve">Impact on environmental and social factors, fundamental rights and on Sustainable Development</w:t>
      </w:r>
      <w:r>
        <w:t xml:space="preserve"> </w:t>
      </w:r>
      <w:r>
        <w:t xml:space="preserve">Goals (SDGs)</w:t>
      </w:r>
      <w:r>
        <w:t xml:space="preserve"> </w:t>
      </w:r>
      <w:r>
        <w:t xml:space="preserve">This initiative can be expected to have a slightly positive impact on environmental and social factors,</w:t>
      </w:r>
      <w:r>
        <w:t xml:space="preserve"> </w:t>
      </w:r>
      <w:r>
        <w:t xml:space="preserve">notably though the inclusion of an ESG dashboard in PRIIPs key information documents. This would</w:t>
      </w:r>
      <w:r>
        <w:t xml:space="preserve"> </w:t>
      </w:r>
      <w:r>
        <w:t xml:space="preserve">contribute to greater visibility of environmental and social characteristics of investment products for</w:t>
      </w:r>
      <w:r>
        <w:t xml:space="preserve"> </w:t>
      </w:r>
      <w:r>
        <w:t xml:space="preserve">retail investors and could lead indirectly to greater use of such information when comparing and</w:t>
      </w:r>
      <w:r>
        <w:t xml:space="preserve"> </w:t>
      </w:r>
      <w:r>
        <w:t xml:space="preserve">selecting products. This measure would hence contribute positively to multiple SDGs and notably to</w:t>
      </w:r>
      <w:r>
        <w:t xml:space="preserve"> </w:t>
      </w:r>
      <w:r>
        <w:t xml:space="preserve">SDG no. 13.</w:t>
      </w:r>
      <w:r>
        <w:br/>
      </w:r>
      <w:r>
        <w:t xml:space="preserve">The overall initiative would indirectly contribute to SDG no. 8 – decent work and economic growth –</w:t>
      </w:r>
      <w:r>
        <w:t xml:space="preserve"> </w:t>
      </w:r>
      <w:r>
        <w:t xml:space="preserve">as it would shift incentives to favour the interests of retail investors and over time contribute to their</w:t>
      </w:r>
      <w:r>
        <w:t xml:space="preserve"> </w:t>
      </w:r>
      <w:r>
        <w:t xml:space="preserve">greater participation in capital markets. Further detail on the impact on SDGs is included in Annex 3.</w:t>
      </w:r>
      <w:r>
        <w:t xml:space="preserve"> </w:t>
      </w:r>
      <w:r>
        <w:t xml:space="preserve">No potential negative impacts on fundamental rights have been identified.</w:t>
      </w:r>
      <w:r>
        <w:br/>
      </w:r>
      <w:r>
        <w:t xml:space="preserve">Digital by default</w:t>
      </w:r>
      <w:r>
        <w:br/>
      </w:r>
      <w:r>
        <w:t xml:space="preserve">This initiative can be expected to have slightly positive impacts on the promotion of digitalisation,</w:t>
      </w:r>
      <w:r>
        <w:t xml:space="preserve"> </w:t>
      </w:r>
      <w:r>
        <w:t xml:space="preserve">notably due to the adaptation of PRIIPs key information documents to the digital age by enabling</w:t>
      </w:r>
      <w:r>
        <w:t xml:space="preserve"> </w:t>
      </w:r>
      <w:r>
        <w:t xml:space="preserve">greater use of layering and adapting PRIIPs key information documents to be compatible with digital</w:t>
      </w:r>
      <w:r>
        <w:t xml:space="preserve"> </w:t>
      </w:r>
      <w:r>
        <w:t xml:space="preserve">formats and use on smartphones. Furthermore, the ban on inducements could contribute to a digital</w:t>
      </w:r>
      <w:r>
        <w:t xml:space="preserve"> </w:t>
      </w:r>
      <w:r>
        <w:t xml:space="preserve">shift in investment product distribution, such as greater use of robo-advice or direct digital marketing.</w:t>
      </w:r>
      <w:r>
        <w:br/>
      </w:r>
      <w:r>
        <w:t xml:space="preserve">Application of the ‘one in, one out’ approach and REFIT (simplification and improved efficiency)</w:t>
      </w:r>
      <w:r>
        <w:t xml:space="preserve"> </w:t>
      </w:r>
      <w:r>
        <w:t xml:space="preserve">With regard to cost savings and simplification, the main objective of the strategy is to enhance retail</w:t>
      </w:r>
      <w:r>
        <w:t xml:space="preserve"> </w:t>
      </w:r>
      <w:r>
        <w:t xml:space="preserve">investor protection; any assessment of its potential for simplification and burden reduction should not</w:t>
      </w:r>
      <w:r>
        <w:t xml:space="preserve"> </w:t>
      </w:r>
      <w:r>
        <w:t xml:space="preserve">compromise this objective. Moreover, the Evaluation (Annex 11) has concluded that overall, the retail</w:t>
      </w:r>
      <w:r>
        <w:t xml:space="preserve"> </w:t>
      </w:r>
      <w:r>
        <w:t xml:space="preserve">investment protection framework does not generate high costs (especially administrative costs) for the</w:t>
      </w:r>
      <w:r>
        <w:t xml:space="preserve"> </w:t>
      </w:r>
      <w:r>
        <w:t xml:space="preserve">financial industry. Hence the potential for simplification is limited, even as the team has assessed it and</w:t>
      </w:r>
      <w:r>
        <w:t xml:space="preserve"> </w:t>
      </w:r>
      <w:r>
        <w:t xml:space="preserve">identified the following measures189 expected to reduce administrative costs (“OUTs” under “one in,</w:t>
      </w:r>
      <w:r>
        <w:t xml:space="preserve"> </w:t>
      </w:r>
      <w:r>
        <w:t xml:space="preserve">one out”):</w:t>
      </w:r>
      <w:r>
        <w:br/>
      </w:r>
      <w:r>
        <w:t xml:space="preserve">1.</w:t>
      </w:r>
      <w:r>
        <w:t xml:space="preserve"> </w:t>
      </w:r>
      <w:r>
        <w:t xml:space="preserve">Savings on existing requirements on inducements190 due to the ban on inducements: A ban on</w:t>
      </w:r>
      <w:r>
        <w:t xml:space="preserve"> </w:t>
      </w:r>
      <w:r>
        <w:t xml:space="preserve">inducements is considered a more straight-forward solution to the issue of misaligned incentives</w:t>
      </w:r>
      <w:r>
        <w:t xml:space="preserve"> </w:t>
      </w:r>
      <w:r>
        <w:t xml:space="preserve">and would replace existing administrative obligations. This benefit cannot be feasibly</w:t>
      </w:r>
      <w:r>
        <w:t xml:space="preserve"> </w:t>
      </w:r>
      <w:r>
        <w:t xml:space="preserve">quantified191.</w:t>
      </w:r>
    </w:p>
    <w:p>
      <w:pPr>
        <w:pStyle w:val="BodyText"/>
      </w:pPr>
      <w:r>
        <w:t xml:space="preserve">189 The latter two are flanking measures assessed in Annex 6 and Annex 8 due to the expected lower impact.</w:t>
      </w:r>
      <w:r>
        <w:t xml:space="preserve"> </w:t>
      </w:r>
      <w:r>
        <w:t xml:space="preserve">190 Notably disclosures and quality enhancement / no detriment test.</w:t>
      </w:r>
      <w:r>
        <w:t xml:space="preserve"> </w:t>
      </w:r>
      <w:r>
        <w:t xml:space="preserve">191 Any estimations made by stakeholders would be unreliable as the evidence gathered points to a potentially sizeable</w:t>
      </w:r>
      <w:r>
        <w:t xml:space="preserve"> </w:t>
      </w:r>
      <w:r>
        <w:t xml:space="preserve">degree of non-compliance with the existing requirements.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2.</w:t>
      </w:r>
      <w:r>
        <w:t xml:space="preserve"> </w:t>
      </w:r>
      <w:r>
        <w:t xml:space="preserve">Investor categorisation: regulatory alleviations for investors with appropriate knowledge,</w:t>
      </w:r>
      <w:r>
        <w:t xml:space="preserve"> </w:t>
      </w:r>
      <w:r>
        <w:t xml:space="preserve">experience, and ability to bear losses. This implies a reduction in information overload for these</w:t>
      </w:r>
      <w:r>
        <w:t xml:space="preserve"> </w:t>
      </w:r>
      <w:r>
        <w:t xml:space="preserve">investors and that product manufacturers and distributors would be able to save resources dedicated</w:t>
      </w:r>
      <w:r>
        <w:t xml:space="preserve"> </w:t>
      </w:r>
      <w:r>
        <w:t xml:space="preserve">to assessing clients’ needs and objectives and providing information to them. However, as this</w:t>
      </w:r>
      <w:r>
        <w:t xml:space="preserve"> </w:t>
      </w:r>
      <w:r>
        <w:t xml:space="preserve">benefit is expected to affect only a small number of retail investors and to be rather small, it has</w:t>
      </w:r>
      <w:r>
        <w:t xml:space="preserve"> </w:t>
      </w:r>
      <w:r>
        <w:t xml:space="preserve">not been quantified in line with the principle of proportionality of analysis.</w:t>
      </w:r>
      <w:r>
        <w:t xml:space="preserve"> </w:t>
      </w:r>
      <w:r>
        <w:t xml:space="preserve">Additional administrative costs (“INs” under “one in, one out” offsetting) would arise from supervisory</w:t>
      </w:r>
      <w:r>
        <w:t xml:space="preserve"> </w:t>
      </w:r>
      <w:r>
        <w:t xml:space="preserve">reporting against the Value for Money benchmarks and changes to the disclosure rules. The new</w:t>
      </w:r>
      <w:r>
        <w:t xml:space="preserve"> </w:t>
      </w:r>
      <w:r>
        <w:t xml:space="preserve">obligations under Value for Money would imply one-off costs estimated approximately at €13-252</w:t>
      </w:r>
      <w:r>
        <w:t xml:space="preserve"> </w:t>
      </w:r>
      <w:r>
        <w:t xml:space="preserve">million and ongoing costs estimated approximately at €2.3-22.6 million per year (both figures present</w:t>
      </w:r>
      <w:r>
        <w:t xml:space="preserve"> </w:t>
      </w:r>
      <w:r>
        <w:t xml:space="preserve">an EU-wide total). Important practical specifications will be decided at a later stage, as part of a</w:t>
      </w:r>
      <w:r>
        <w:t xml:space="preserve"> </w:t>
      </w:r>
      <w:r>
        <w:t xml:space="preserve">mandate to the ESAs, so these estimates are subject to considerable uncertainty. Further assessment of</w:t>
      </w:r>
      <w:r>
        <w:t xml:space="preserve"> </w:t>
      </w:r>
      <w:r>
        <w:t xml:space="preserve">these costs would be made at Level 2 by the ESAs, with the intention of obtaining more precise</w:t>
      </w:r>
      <w:r>
        <w:t xml:space="preserve"> </w:t>
      </w:r>
      <w:r>
        <w:t xml:space="preserve">estimates. Only some of the administrative costs192 related to the changes to disclosure rules and</w:t>
      </w:r>
      <w:r>
        <w:t xml:space="preserve"> </w:t>
      </w:r>
      <w:r>
        <w:t xml:space="preserve">marketing communications could be quantified: these amount to €19-67.5 million in one-off costs.</w:t>
      </w:r>
      <w:r>
        <w:t xml:space="preserve"> </w:t>
      </w:r>
      <w:r>
        <w:t xml:space="preserve">None of the other measures are expected to lead to significant administrative cost implications. Other</w:t>
      </w:r>
      <w:r>
        <w:t xml:space="preserve"> </w:t>
      </w:r>
      <w:r>
        <w:t xml:space="preserve">costs resulting from this initiative are discussed in Annex 3. Since not all “INs” and “OUTs” could be</w:t>
      </w:r>
      <w:r>
        <w:t xml:space="preserve"> </w:t>
      </w:r>
      <w:r>
        <w:t xml:space="preserve">quantified, it is not possible to establish which element would be larger.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will monitor how the implementation of the proposals on disclosure and marketing</w:t>
      </w:r>
      <w:r>
        <w:t xml:space="preserve"> </w:t>
      </w:r>
      <w:r>
        <w:t xml:space="preserve">communications, inducements, and value for money achieve the objectives set out in this impact</w:t>
      </w:r>
      <w:r>
        <w:t xml:space="preserve"> </w:t>
      </w:r>
      <w:r>
        <w:t xml:space="preserve">assessment. An evaluation of these initiatives will be carried out five years after its entry into</w:t>
      </w:r>
      <w:r>
        <w:t xml:space="preserve"> </w:t>
      </w:r>
      <w:r>
        <w:t xml:space="preserve">application. Any externally commissioned study conducted in preparation of the evaluation may also</w:t>
      </w:r>
      <w:r>
        <w:t xml:space="preserve"> </w:t>
      </w:r>
      <w:r>
        <w:t xml:space="preserve">assess structural changes in the retail investment and distribution market, including in relation to advice</w:t>
      </w:r>
      <w:r>
        <w:t xml:space="preserve"> </w:t>
      </w:r>
      <w:r>
        <w:t xml:space="preserve">and its availability and the proportion of advised to non-advised services, and their relation with the</w:t>
      </w:r>
      <w:r>
        <w:t xml:space="preserve"> </w:t>
      </w:r>
      <w:r>
        <w:t xml:space="preserve">above measures. Relevant developments related to the implementation of the flanking measures</w:t>
      </w:r>
      <w:r>
        <w:t xml:space="preserve"> </w:t>
      </w:r>
      <w:r>
        <w:t xml:space="preserve">described in annex will be also considered193.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Indicator/ subject of</w:t>
      </w:r>
      <w:r>
        <w:t xml:space="preserve"> </w:t>
      </w:r>
      <w:r>
        <w:t xml:space="preserve">evaluation</w:t>
      </w:r>
      <w:r>
        <w:t xml:space="preserve"> </w:t>
      </w:r>
      <w:r>
        <w:t xml:space="preserve">Source of information</w:t>
      </w:r>
      <w:r>
        <w:t xml:space="preserve"> </w:t>
      </w:r>
      <w:r>
        <w:t xml:space="preserve">Data</w:t>
      </w:r>
      <w:r>
        <w:t xml:space="preserve"> </w:t>
      </w:r>
      <w:r>
        <w:t xml:space="preserve">already</w:t>
      </w:r>
      <w:r>
        <w:t xml:space="preserve"> </w:t>
      </w:r>
      <w:r>
        <w:t xml:space="preserve">collected?</w:t>
      </w:r>
      <w:r>
        <w:t xml:space="preserve"> </w:t>
      </w:r>
      <w:r>
        <w:t xml:space="preserve">Actor(s)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Improve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investors and their</w:t>
      </w:r>
      <w:r>
        <w:t xml:space="preserve"> </w:t>
      </w:r>
      <w:r>
        <w:t xml:space="preserve">ability to take well-</w:t>
      </w:r>
      <w:r>
        <w:t xml:space="preserve"> </w:t>
      </w:r>
      <w:r>
        <w:t xml:space="preserve">informed</w:t>
      </w:r>
      <w:r>
        <w:t xml:space="preserve"> </w:t>
      </w:r>
      <w:r>
        <w:t xml:space="preserve">investment</w:t>
      </w:r>
      <w:r>
        <w:t xml:space="preserve"> </w:t>
      </w:r>
      <w:r>
        <w:t xml:space="preserve">decisions</w:t>
      </w:r>
      <w:r>
        <w:t xml:space="preserve"> </w:t>
      </w:r>
      <w:r>
        <w:t xml:space="preserve">ESMA and EIOPA</w:t>
      </w:r>
      <w:r>
        <w:t xml:space="preserve"> </w:t>
      </w:r>
      <w:r>
        <w:t xml:space="preserve">will be tasked with</w:t>
      </w:r>
      <w:r>
        <w:t xml:space="preserve"> </w:t>
      </w:r>
      <w:r>
        <w:t xml:space="preserve">monitoring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digital disclosures.</w:t>
      </w:r>
      <w:r>
        <w:t xml:space="preserve"> </w:t>
      </w:r>
      <w:r>
        <w:t xml:space="preserve">Based on mandate to</w:t>
      </w:r>
      <w:r>
        <w:t xml:space="preserve"> </w:t>
      </w:r>
      <w:r>
        <w:t xml:space="preserve">ESMA and EIOPA</w:t>
      </w:r>
      <w:r>
        <w:br/>
      </w:r>
      <w:r>
        <w:t xml:space="preserve">No</w:t>
      </w:r>
      <w:r>
        <w:t xml:space="preserve"> </w:t>
      </w:r>
      <w:r>
        <w:t xml:space="preserve">ESMA and EIPOA</w:t>
      </w:r>
      <w:r>
        <w:t xml:space="preserve"> </w:t>
      </w:r>
      <w:r>
        <w:t xml:space="preserve">Change in number of</w:t>
      </w:r>
      <w:r>
        <w:t xml:space="preserve"> </w:t>
      </w:r>
      <w:r>
        <w:t xml:space="preserve">complaints regarding</w:t>
      </w:r>
      <w:r>
        <w:t xml:space="preserve"> </w:t>
      </w:r>
      <w:r>
        <w:t xml:space="preserve">quality/lack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ESMA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  <w:r>
        <w:br/>
      </w:r>
      <w:r>
        <w:t xml:space="preserve">EIOPA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</w:p>
    <w:p>
      <w:pPr>
        <w:pStyle w:val="BodyText"/>
      </w:pPr>
      <w:r>
        <w:t xml:space="preserve">Yes(2)</w:t>
      </w:r>
    </w:p>
    <w:p>
      <w:pPr>
        <w:pStyle w:val="BodyText"/>
      </w:pPr>
      <w:r>
        <w:t xml:space="preserve">ESMA and EIOPA</w:t>
      </w:r>
    </w:p>
    <w:p>
      <w:pPr>
        <w:pStyle w:val="BodyText"/>
      </w:pPr>
      <w:r>
        <w:t xml:space="preserve">192 Although these costs relate to the substantive requirements of the proposal which are necessary for the fulfilment of the</w:t>
      </w:r>
      <w:r>
        <w:t xml:space="preserve"> </w:t>
      </w:r>
      <w:r>
        <w:t xml:space="preserve">objective of informing retail investors, they are categorised as administrative costs for “one in, one out” purposes.</w:t>
      </w:r>
      <w:r>
        <w:br/>
      </w:r>
      <w:r>
        <w:t xml:space="preserve">193 Flanking measures are considered to have a less significant and direct impact on achieving the objectives set out in this</w:t>
      </w:r>
      <w:r>
        <w:t xml:space="preserve"> </w:t>
      </w:r>
      <w:r>
        <w:t xml:space="preserve">Impact assessment. Monitoring will thus be more general to remain proportionate, especially in cases where data sources</w:t>
      </w:r>
      <w:r>
        <w:t xml:space="preserve"> </w:t>
      </w:r>
      <w:r>
        <w:t xml:space="preserve">are not readily available. Developments on financial literacy can be monitored via the existing ESAs repositories on</w:t>
      </w:r>
      <w:r>
        <w:t xml:space="preserve"> </w:t>
      </w:r>
      <w:r>
        <w:t xml:space="preserve">financial education initiatives. Relevant supervisory enforcement developments could be considered through peer reviews.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Evaluation of role of</w:t>
      </w:r>
      <w:r>
        <w:t xml:space="preserve"> </w:t>
      </w:r>
      <w:r>
        <w:t xml:space="preserve">disclosure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well-informed</w:t>
      </w:r>
      <w:r>
        <w:t xml:space="preserve"> </w:t>
      </w:r>
      <w:r>
        <w:t xml:space="preserve">investment decisions</w:t>
      </w:r>
      <w:r>
        <w:t xml:space="preserve"> </w:t>
      </w:r>
      <w:r>
        <w:t xml:space="preserve">External study or study</w:t>
      </w:r>
      <w:r>
        <w:t xml:space="preserve"> </w:t>
      </w:r>
      <w:r>
        <w:t xml:space="preserve">by ESMA and EIOPA</w:t>
      </w:r>
      <w:r>
        <w:t xml:space="preserve"> </w:t>
      </w:r>
      <w:r>
        <w:t xml:space="preserve">No</w:t>
      </w:r>
      <w:r>
        <w:t xml:space="preserve"> </w:t>
      </w:r>
      <w:r>
        <w:t xml:space="preserve">Commission</w:t>
      </w:r>
      <w:r>
        <w:t xml:space="preserve"> </w:t>
      </w:r>
      <w:r>
        <w:t xml:space="preserve">or</w:t>
      </w:r>
      <w:r>
        <w:t xml:space="preserve"> </w:t>
      </w:r>
      <w:r>
        <w:t xml:space="preserve">ESMA/EIOPA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risk</w:t>
      </w:r>
      <w:r>
        <w:t xml:space="preserve"> </w:t>
      </w:r>
      <w:r>
        <w:t xml:space="preserve">warnings</w:t>
      </w:r>
      <w:r>
        <w:t xml:space="preserve"> </w:t>
      </w:r>
      <w:r>
        <w:t xml:space="preserve">regarding</w:t>
      </w:r>
      <w:r>
        <w:t xml:space="preserve"> </w:t>
      </w:r>
      <w:r>
        <w:t xml:space="preserve">(aggressive)</w:t>
      </w:r>
      <w:r>
        <w:t xml:space="preserve"> </w:t>
      </w:r>
      <w:r>
        <w:t xml:space="preserve">marketing</w:t>
      </w:r>
      <w:r>
        <w:t xml:space="preserve"> </w:t>
      </w:r>
      <w:r>
        <w:t xml:space="preserve">ESMA an EIOPA based</w:t>
      </w:r>
      <w:r>
        <w:t xml:space="preserve"> </w:t>
      </w:r>
      <w:r>
        <w:t xml:space="preserve">on info from NCAs</w:t>
      </w:r>
      <w:r>
        <w:t xml:space="preserve"> </w:t>
      </w:r>
      <w:r>
        <w:t xml:space="preserve">No</w:t>
      </w:r>
      <w:r>
        <w:t xml:space="preserve"> </w:t>
      </w:r>
      <w:r>
        <w:t xml:space="preserve">ESMA and EIOPA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investor’s ability to</w:t>
      </w:r>
      <w:r>
        <w:t xml:space="preserve"> </w:t>
      </w:r>
      <w:r>
        <w:t xml:space="preserve">discern</w:t>
      </w:r>
      <w:r>
        <w:t xml:space="preserve"> </w:t>
      </w:r>
      <w:r>
        <w:t xml:space="preserve">essential</w:t>
      </w:r>
      <w:r>
        <w:t xml:space="preserve"> </w:t>
      </w:r>
      <w:r>
        <w:t xml:space="preserve">product information</w:t>
      </w:r>
      <w:r>
        <w:t xml:space="preserve"> </w:t>
      </w:r>
      <w:r>
        <w:t xml:space="preserve">from new marketing</w:t>
      </w:r>
      <w:r>
        <w:t xml:space="preserve"> </w:t>
      </w:r>
      <w:r>
        <w:t xml:space="preserve">disclosure format</w:t>
      </w:r>
      <w:r>
        <w:t xml:space="preserve"> </w:t>
      </w:r>
      <w:r>
        <w:t xml:space="preserve">External study or study</w:t>
      </w:r>
      <w:r>
        <w:t xml:space="preserve"> </w:t>
      </w:r>
      <w:r>
        <w:t xml:space="preserve">by ESMA and EIOPA</w:t>
      </w:r>
      <w:r>
        <w:t xml:space="preserve"> </w:t>
      </w:r>
      <w:r>
        <w:t xml:space="preserve">No</w:t>
      </w:r>
      <w:r>
        <w:t xml:space="preserve"> </w:t>
      </w:r>
      <w:r>
        <w:t xml:space="preserve">Commission</w:t>
      </w:r>
      <w:r>
        <w:t xml:space="preserve"> </w:t>
      </w:r>
      <w:r>
        <w:t xml:space="preserve">or</w:t>
      </w:r>
      <w:r>
        <w:t xml:space="preserve"> </w:t>
      </w:r>
      <w:r>
        <w:t xml:space="preserve">ESMA/EIOPA</w:t>
      </w:r>
      <w:r>
        <w:t xml:space="preserve"> </w:t>
      </w:r>
      <w:r>
        <w:t xml:space="preserve">Emerging marketing-</w:t>
      </w:r>
      <w:r>
        <w:t xml:space="preserve"> </w:t>
      </w:r>
      <w:r>
        <w:t xml:space="preserve">related</w:t>
      </w:r>
      <w:r>
        <w:t xml:space="preserve"> </w:t>
      </w:r>
      <w:r>
        <w:t xml:space="preserve">trends</w:t>
      </w:r>
      <w:r>
        <w:t xml:space="preserve"> </w:t>
      </w:r>
      <w:r>
        <w:t xml:space="preserve">and</w:t>
      </w:r>
      <w:r>
        <w:t xml:space="preserve"> </w:t>
      </w:r>
      <w:r>
        <w:t xml:space="preserve">risks</w:t>
      </w:r>
      <w:r>
        <w:t xml:space="preserve"> </w:t>
      </w:r>
      <w:r>
        <w:t xml:space="preserve">Based on mandate to</w:t>
      </w:r>
      <w:r>
        <w:t xml:space="preserve"> </w:t>
      </w:r>
      <w:r>
        <w:t xml:space="preserve">ESMA and EIOPA(3)</w:t>
      </w:r>
      <w:r>
        <w:t xml:space="preserve"> </w:t>
      </w:r>
      <w:r>
        <w:t xml:space="preserve">No</w:t>
      </w:r>
      <w:r>
        <w:t xml:space="preserve"> </w:t>
      </w:r>
      <w:r>
        <w:t xml:space="preserve">ESMA and EIOPA</w:t>
      </w:r>
      <w:r>
        <w:t xml:space="preserve"> </w:t>
      </w:r>
      <w:r>
        <w:t xml:space="preserve">Better align</w:t>
      </w:r>
      <w:r>
        <w:t xml:space="preserve"> </w:t>
      </w:r>
      <w:r>
        <w:t xml:space="preserve">interests between</w:t>
      </w:r>
      <w:r>
        <w:t xml:space="preserve"> </w:t>
      </w:r>
      <w:r>
        <w:t xml:space="preserve">intermediaries and</w:t>
      </w:r>
      <w:r>
        <w:t xml:space="preserve"> </w:t>
      </w:r>
      <w:r>
        <w:t xml:space="preserve">investors</w:t>
      </w:r>
      <w:r>
        <w:t xml:space="preserve"> </w:t>
      </w:r>
      <w:r>
        <w:t xml:space="preserve">Distribution of retail</w:t>
      </w:r>
      <w:r>
        <w:t xml:space="preserve"> </w:t>
      </w:r>
      <w:r>
        <w:t xml:space="preserve">investment products</w:t>
      </w:r>
      <w:r>
        <w:t xml:space="preserve"> </w:t>
      </w:r>
      <w:r>
        <w:t xml:space="preserve">per investment type</w:t>
      </w:r>
      <w:r>
        <w:t xml:space="preserve"> </w:t>
      </w:r>
      <w:r>
        <w:t xml:space="preserve">ESMA and EIOPA cost</w:t>
      </w:r>
      <w:r>
        <w:t xml:space="preserve"> </w:t>
      </w:r>
      <w:r>
        <w:t xml:space="preserve">and performance annual</w:t>
      </w:r>
      <w:r>
        <w:t xml:space="preserve"> </w:t>
      </w:r>
      <w:r>
        <w:t xml:space="preserve">reports</w:t>
      </w:r>
      <w:r>
        <w:t xml:space="preserve"> </w:t>
      </w:r>
      <w:r>
        <w:t xml:space="preserve">Yes</w:t>
      </w:r>
      <w:r>
        <w:t xml:space="preserve"> </w:t>
      </w:r>
      <w:r>
        <w:t xml:space="preserve">ESMA and EIPOA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number of complaints</w:t>
      </w:r>
      <w:r>
        <w:t xml:space="preserve"> </w:t>
      </w:r>
      <w:r>
        <w:t xml:space="preserve">regarding investment</w:t>
      </w:r>
      <w:r>
        <w:t xml:space="preserve"> </w:t>
      </w:r>
      <w:r>
        <w:t xml:space="preserve">advice,</w:t>
      </w:r>
      <w:r>
        <w:t xml:space="preserve"> </w:t>
      </w:r>
      <w:r>
        <w:t xml:space="preserve">portfolio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execution of orders</w:t>
      </w:r>
      <w:r>
        <w:t xml:space="preserve"> </w:t>
      </w:r>
      <w:r>
        <w:t xml:space="preserve">ESMA</w:t>
      </w:r>
      <w:r>
        <w:t xml:space="preserve"> </w:t>
      </w:r>
      <w:r>
        <w:t xml:space="preserve">complaints</w:t>
      </w:r>
      <w:r>
        <w:t xml:space="preserve"> </w:t>
      </w:r>
      <w:r>
        <w:t xml:space="preserve">database</w:t>
      </w:r>
      <w:r>
        <w:t xml:space="preserve"> </w:t>
      </w:r>
      <w:r>
        <w:t xml:space="preserve">EIOPA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</w:p>
    <w:p>
      <w:pPr>
        <w:pStyle w:val="BodyText"/>
      </w:pPr>
      <w:r>
        <w:t xml:space="preserve">Yes(2)</w:t>
      </w:r>
    </w:p>
    <w:p>
      <w:pPr>
        <w:pStyle w:val="BodyText"/>
      </w:pPr>
      <w:r>
        <w:t xml:space="preserve">ESMA and EIOPA</w:t>
      </w:r>
      <w:r>
        <w:t xml:space="preserve"> </w:t>
      </w:r>
      <w:r>
        <w:t xml:space="preserve">Change in number of</w:t>
      </w:r>
      <w:r>
        <w:t xml:space="preserve"> </w:t>
      </w:r>
      <w:r>
        <w:t xml:space="preserve">complaints according</w:t>
      </w:r>
      <w:r>
        <w:t xml:space="preserve"> </w:t>
      </w:r>
      <w:r>
        <w:t xml:space="preserve">to firm type</w:t>
      </w:r>
      <w:r>
        <w:t xml:space="preserve"> </w:t>
      </w:r>
      <w:r>
        <w:t xml:space="preserve">ESMA</w:t>
      </w:r>
      <w:r>
        <w:t xml:space="preserve"> </w:t>
      </w:r>
      <w:r>
        <w:t xml:space="preserve">complaints</w:t>
      </w:r>
      <w:r>
        <w:t xml:space="preserve"> </w:t>
      </w:r>
      <w:r>
        <w:t xml:space="preserve">database</w:t>
      </w:r>
      <w:r>
        <w:t xml:space="preserve"> </w:t>
      </w:r>
      <w:r>
        <w:t xml:space="preserve">EIOPA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</w:p>
    <w:p>
      <w:pPr>
        <w:pStyle w:val="BodyText"/>
      </w:pPr>
      <w:r>
        <w:t xml:space="preserve">Yes(2)</w:t>
      </w:r>
    </w:p>
    <w:p>
      <w:pPr>
        <w:pStyle w:val="BodyText"/>
      </w:pPr>
      <w:r>
        <w:t xml:space="preserve">ESMA and EIOPA</w:t>
      </w:r>
      <w:r>
        <w:t xml:space="preserve"> </w:t>
      </w:r>
      <w:r>
        <w:t xml:space="preserve">Ensure that 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are</w:t>
      </w:r>
      <w:r>
        <w:t xml:space="preserve"> </w:t>
      </w:r>
      <w:r>
        <w:t xml:space="preserve">offered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 products</w:t>
      </w:r>
      <w:r>
        <w:t xml:space="preserve"> </w:t>
      </w:r>
      <w:r>
        <w:t xml:space="preserve">Distribution of costs</w:t>
      </w:r>
      <w:r>
        <w:t xml:space="preserve"> </w:t>
      </w:r>
      <w:r>
        <w:t xml:space="preserve">and performance per</w:t>
      </w:r>
      <w:r>
        <w:t xml:space="preserve"> </w:t>
      </w:r>
      <w:r>
        <w:t xml:space="preserve">investment type</w:t>
      </w:r>
      <w:r>
        <w:t xml:space="preserve"> </w:t>
      </w:r>
      <w:r>
        <w:t xml:space="preserve">ESMA and EIOPA cost</w:t>
      </w:r>
      <w:r>
        <w:t xml:space="preserve"> </w:t>
      </w:r>
      <w:r>
        <w:t xml:space="preserve">and performance annual</w:t>
      </w:r>
      <w:r>
        <w:t xml:space="preserve"> </w:t>
      </w:r>
      <w:r>
        <w:t xml:space="preserve">reports</w:t>
      </w:r>
      <w:r>
        <w:t xml:space="preserve"> </w:t>
      </w:r>
      <w:r>
        <w:t xml:space="preserve">CMU indicators</w:t>
      </w:r>
      <w:r>
        <w:t xml:space="preserve"> </w:t>
      </w:r>
      <w:r>
        <w:t xml:space="preserve">Yes</w:t>
      </w:r>
      <w:r>
        <w:t xml:space="preserve"> </w:t>
      </w:r>
      <w:r>
        <w:t xml:space="preserve">ESMA and EIPOA</w:t>
      </w:r>
      <w:r>
        <w:t xml:space="preserve"> </w:t>
      </w:r>
      <w:r>
        <w:t xml:space="preserve">Change in cost of</w:t>
      </w:r>
      <w:r>
        <w:t xml:space="preserve"> </w:t>
      </w:r>
      <w:r>
        <w:t xml:space="preserve">value-for-money</w:t>
      </w:r>
      <w:r>
        <w:t xml:space="preserve"> </w:t>
      </w:r>
      <w:r>
        <w:t xml:space="preserve">related benchmarks</w:t>
      </w:r>
      <w:r>
        <w:t xml:space="preserve"> </w:t>
      </w:r>
      <w:r>
        <w:t xml:space="preserve">ESMA and EIOPA</w:t>
      </w:r>
      <w:r>
        <w:t xml:space="preserve"> </w:t>
      </w:r>
      <w:r>
        <w:t xml:space="preserve">No</w:t>
      </w:r>
      <w:r>
        <w:t xml:space="preserve"> </w:t>
      </w:r>
      <w:r>
        <w:t xml:space="preserve">ESMA and EIOPA</w:t>
      </w:r>
      <w:r>
        <w:t xml:space="preserve"> </w:t>
      </w:r>
      <w:r>
        <w:t xml:space="preserve">Change in number of</w:t>
      </w:r>
      <w:r>
        <w:t xml:space="preserve"> </w:t>
      </w:r>
      <w:r>
        <w:t xml:space="preserve">complaints regarding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ESMA</w:t>
      </w:r>
      <w:r>
        <w:t xml:space="preserve"> </w:t>
      </w:r>
      <w:r>
        <w:t xml:space="preserve">complaints</w:t>
      </w:r>
      <w:r>
        <w:t xml:space="preserve"> </w:t>
      </w:r>
      <w:r>
        <w:t xml:space="preserve">database</w:t>
      </w:r>
      <w:r>
        <w:t xml:space="preserve"> </w:t>
      </w:r>
      <w:r>
        <w:t xml:space="preserve">EIOPA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</w:p>
    <w:p>
      <w:pPr>
        <w:pStyle w:val="BodyText"/>
      </w:pPr>
      <w:r>
        <w:t xml:space="preserve">Yes(2)</w:t>
      </w:r>
    </w:p>
    <w:p>
      <w:pPr>
        <w:pStyle w:val="BodyText"/>
      </w:pPr>
      <w:r>
        <w:t xml:space="preserve">ESMA and EIOPA</w:t>
      </w:r>
      <w:r>
        <w:t xml:space="preserve"> </w:t>
      </w:r>
      <w:r>
        <w:t xml:space="preserve">1.</w:t>
      </w:r>
      <w:r>
        <w:t xml:space="preserve"> </w:t>
      </w:r>
      <w:r>
        <w:t xml:space="preserve">For published 2014-16 data, see ESMA report on Trends, Risk and Vulnerabilities, 2017, No. 1</w:t>
      </w:r>
      <w:r>
        <w:t xml:space="preserve"> </w:t>
      </w:r>
      <w:r>
        <w:t xml:space="preserve">2.</w:t>
      </w:r>
      <w:r>
        <w:t xml:space="preserve"> </w:t>
      </w:r>
      <w:r>
        <w:t xml:space="preserve">ESMA and EIOPA will be tasked to develop guidelines and ensure regular monitoring of how marketing practices</w:t>
      </w:r>
      <w:r>
        <w:t xml:space="preserve"> </w:t>
      </w:r>
      <w:r>
        <w:t xml:space="preserve">are changing, including any new emerging risks.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Lead DG, Decide Planning/CWP references</w:t>
      </w:r>
    </w:p>
    <w:p>
      <w:pPr>
        <w:pStyle w:val="BodyText"/>
      </w:pPr>
      <w:r>
        <w:t xml:space="preserve">Directorate-General for Financial Stability, Financial Services and Capital Markets Union.</w:t>
      </w:r>
    </w:p>
    <w:p>
      <w:pPr>
        <w:pStyle w:val="BodyText"/>
      </w:pPr>
      <w:r>
        <w:t xml:space="preserve">[PLAN/2021/12340]</w:t>
      </w:r>
    </w:p>
    <w:p>
      <w:pPr>
        <w:pStyle w:val="BodyText"/>
      </w:pPr>
      <w:r>
        <w:t xml:space="preserve">Organisation and timing</w:t>
      </w:r>
    </w:p>
    <w:p>
      <w:pPr>
        <w:pStyle w:val="BodyText"/>
      </w:pPr>
      <w:r>
        <w:t xml:space="preserve">The initiative is included in the Commission Work Programme 2023. Furthermore, the initiative</w:t>
      </w:r>
      <w:r>
        <w:t xml:space="preserve"> </w:t>
      </w:r>
      <w:r>
        <w:t xml:space="preserve">covers topics from action points 7 and 8 from the Capital Markets Union action plan194.</w:t>
      </w:r>
    </w:p>
    <w:p>
      <w:pPr>
        <w:pStyle w:val="BodyText"/>
      </w:pPr>
      <w:r>
        <w:t xml:space="preserve">Consultations Inter-service Steering Group (ISSG)</w:t>
      </w:r>
    </w:p>
    <w:p>
      <w:pPr>
        <w:pStyle w:val="BodyText"/>
      </w:pPr>
      <w:r>
        <w:t xml:space="preserve">The first ISSG meeting took place on 27 January 2022 with the attendance of the representatives</w:t>
      </w:r>
      <w:r>
        <w:t xml:space="preserve"> </w:t>
      </w:r>
      <w:r>
        <w:t xml:space="preserve">from the following Directorates-General (DGs) of the European Commission: Justice and</w:t>
      </w:r>
      <w:r>
        <w:t xml:space="preserve"> </w:t>
      </w:r>
      <w:r>
        <w:t xml:space="preserve">Consumers; Competition; Employment, Social Affairs and Inclusion; Taxation and Customs</w:t>
      </w:r>
      <w:r>
        <w:t xml:space="preserve"> </w:t>
      </w:r>
      <w:r>
        <w:t xml:space="preserve">Union; Trade; Internal Market, Industry, Entrepreneurship and SMEs; Regional and Urban Policy;</w:t>
      </w:r>
      <w:r>
        <w:t xml:space="preserve"> </w:t>
      </w:r>
      <w:r>
        <w:t xml:space="preserve">Migration and Home Affairs; Communication Networks, Content and Technology; Structural</w:t>
      </w:r>
      <w:r>
        <w:t xml:space="preserve"> </w:t>
      </w:r>
      <w:r>
        <w:t xml:space="preserve">Reform Support; Environment; Research and Innovation; Legal Service; Secretariat General;</w:t>
      </w:r>
      <w:r>
        <w:t xml:space="preserve"> </w:t>
      </w:r>
      <w:r>
        <w:t xml:space="preserve">Financial Stability, Financial Services and Capital Markets Union. There were two more ISSG</w:t>
      </w:r>
      <w:r>
        <w:t xml:space="preserve"> </w:t>
      </w:r>
      <w:r>
        <w:t xml:space="preserve">meetings that took place on 29 September 2022 and 5 December 2022.</w:t>
      </w:r>
      <w:r>
        <w:t xml:space="preserve"> </w:t>
      </w:r>
      <w:r>
        <w:t xml:space="preserve">DG FISMA has considered the comments made by DGs in the final version of the impact</w:t>
      </w:r>
      <w:r>
        <w:t xml:space="preserve"> </w:t>
      </w:r>
      <w:r>
        <w:t xml:space="preserve">assessment. In particular, DG FISMA has provided more clarity about the seriousness of some of</w:t>
      </w:r>
      <w:r>
        <w:t xml:space="preserve"> </w:t>
      </w:r>
      <w:r>
        <w:t xml:space="preserve">the problems, as well as the links between the flanking measures and the main areas addressed in</w:t>
      </w:r>
      <w:r>
        <w:t xml:space="preserve"> </w:t>
      </w:r>
      <w:r>
        <w:t xml:space="preserve">the impact assessment. FISMA has also strengthened the coherence of this impact assessment with</w:t>
      </w:r>
      <w:r>
        <w:t xml:space="preserve"> </w:t>
      </w:r>
      <w:r>
        <w:t xml:space="preserve">the evaluation. The analysis of impacts and the preferred option takes account of the views and</w:t>
      </w:r>
      <w:r>
        <w:t xml:space="preserve"> </w:t>
      </w:r>
      <w:r>
        <w:t xml:space="preserve">input of different DGs.</w:t>
      </w:r>
    </w:p>
    <w:p>
      <w:pPr>
        <w:pStyle w:val="BodyText"/>
      </w:pPr>
      <w:r>
        <w:t xml:space="preserve">Consultation of the RSB</w:t>
      </w:r>
    </w:p>
    <w:p>
      <w:pPr>
        <w:pStyle w:val="BodyText"/>
      </w:pPr>
      <w:r>
        <w:t xml:space="preserve">The Impact Assessment report was examined by the Regulatory Scrutiny Board (RSB) on 18</w:t>
      </w:r>
      <w:r>
        <w:t xml:space="preserve"> </w:t>
      </w:r>
      <w:r>
        <w:t xml:space="preserve">January 2023. The Board gave a positive opinion with reservations on 20 January 2023 following</w:t>
      </w:r>
      <w:r>
        <w:t xml:space="preserve"> </w:t>
      </w:r>
      <w:r>
        <w:t xml:space="preserve">which the Commission made changes in order to address the Board’s requests for improvements</w:t>
      </w:r>
      <w:r>
        <w:t xml:space="preserve"> </w:t>
      </w:r>
      <w:r>
        <w:t xml:space="preserve">in the final version of the Impact Assessment.</w:t>
      </w:r>
      <w:r>
        <w:br/>
      </w:r>
      <w:r>
        <w:t xml:space="preserve">The main areas in which this Impact Assessment was reinforced following the Board’s</w:t>
      </w:r>
      <w:r>
        <w:t xml:space="preserve"> </w:t>
      </w:r>
      <w:r>
        <w:t xml:space="preserve">recommendations on the impact assessment are summarised as follows:</w:t>
      </w:r>
      <w:r>
        <w:t xml:space="preserve"> </w:t>
      </w:r>
      <w:r>
        <w:t xml:space="preserve">The Board’s request to reinforce the presentation of the scope and scale of the problem and its</w:t>
      </w:r>
      <w:r>
        <w:t xml:space="preserve"> </w:t>
      </w:r>
      <w:r>
        <w:t xml:space="preserve">effects on the retail financial services ecosystem was addressed by strengthening the text, notably</w:t>
      </w:r>
      <w:r>
        <w:t xml:space="preserve"> </w:t>
      </w:r>
      <w:r>
        <w:t xml:space="preserve">by inserting additional data and better explanation of the underlying economic context. Consumer</w:t>
      </w:r>
      <w:r>
        <w:t xml:space="preserve"> </w:t>
      </w:r>
      <w:r>
        <w:t xml:space="preserve">detriment has been more clearly explained and the description of issues has been improved,</w:t>
      </w:r>
      <w:r>
        <w:t xml:space="preserve"> </w:t>
      </w:r>
      <w:r>
        <w:t xml:space="preserve">highlighting the need to take urgent action. The presentation of the key policy choices and flanking</w:t>
      </w:r>
      <w:r>
        <w:t xml:space="preserve"> </w:t>
      </w:r>
      <w:r>
        <w:t xml:space="preserve">measures have been improved by elaborating and clarifying further on certain elements of the</w:t>
      </w:r>
      <w:r>
        <w:t xml:space="preserve"> </w:t>
      </w:r>
      <w:r>
        <w:t xml:space="preserve">policy options</w:t>
      </w:r>
    </w:p>
    <w:p>
      <w:pPr>
        <w:pStyle w:val="BodyText"/>
      </w:pPr>
      <w:r>
        <w:t xml:space="preserve">194 Communication from the Commission on a Capital Markets Union for people and businesses-new</w:t>
      </w:r>
      <w:r>
        <w:br/>
      </w:r>
      <w:r>
        <w:t xml:space="preserve">action plan, COM(2020)590 final, 24 September 2020.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In addition, the quantitative analysis impact has been improved and the revised text now includes</w:t>
      </w:r>
      <w:r>
        <w:t xml:space="preserve"> </w:t>
      </w:r>
      <w:r>
        <w:t xml:space="preserve">additional estimates of the impact of the inducement ban and value for money, explaining where</w:t>
      </w:r>
      <w:r>
        <w:t xml:space="preserve"> </w:t>
      </w:r>
      <w:r>
        <w:t xml:space="preserve">necessary the limitations around quantifying disclosure measures. The discussion of qualitative</w:t>
      </w:r>
      <w:r>
        <w:t xml:space="preserve"> </w:t>
      </w:r>
      <w:r>
        <w:t xml:space="preserve">economic effects has been deepened and enlarged, including a clearer explanation of the connection</w:t>
      </w:r>
      <w:r>
        <w:t xml:space="preserve"> </w:t>
      </w:r>
      <w:r>
        <w:t xml:space="preserve">to relevant economic concepts and interlinkages with the flanking measures. An SME test has been</w:t>
      </w:r>
      <w:r>
        <w:t xml:space="preserve"> </w:t>
      </w:r>
      <w:r>
        <w:t xml:space="preserve">added as additional annex.</w:t>
      </w:r>
      <w:r>
        <w:t xml:space="preserve"> </w:t>
      </w:r>
      <w:r>
        <w:t xml:space="preserve">The overall presentation of the costs and benefits of the preferred option package has been</w:t>
      </w:r>
      <w:r>
        <w:t xml:space="preserve"> </w:t>
      </w:r>
      <w:r>
        <w:t xml:space="preserve">improved. With respect to the flanking measures, the text now includes an additional table setting</w:t>
      </w:r>
      <w:r>
        <w:t xml:space="preserve"> </w:t>
      </w:r>
      <w:r>
        <w:t xml:space="preserve">out the flanking measures that are assessed in annex, the problem that they seek to address and the</w:t>
      </w:r>
      <w:r>
        <w:t xml:space="preserve"> </w:t>
      </w:r>
      <w:r>
        <w:t xml:space="preserve">objective they seek to achieve. The text also includes an explanation as to how the flanking</w:t>
      </w:r>
      <w:r>
        <w:t xml:space="preserve"> </w:t>
      </w:r>
      <w:r>
        <w:t xml:space="preserve">measures interact with preferred options and produce synergy effects. A paragraph has been added</w:t>
      </w:r>
      <w:r>
        <w:t xml:space="preserve"> </w:t>
      </w:r>
      <w:r>
        <w:t xml:space="preserve">outlining an alternative combination of options that was considered, which did not include an</w:t>
      </w:r>
      <w:r>
        <w:t xml:space="preserve"> </w:t>
      </w:r>
      <w:r>
        <w:t xml:space="preserve">inducement ban, as well as an explanation as to why this was not taken up.</w:t>
      </w:r>
    </w:p>
    <w:p>
      <w:pPr>
        <w:pStyle w:val="BodyText"/>
      </w:pPr>
      <w:r>
        <w:t xml:space="preserve">Consultation with the Member States</w:t>
      </w:r>
    </w:p>
    <w:p>
      <w:pPr>
        <w:pStyle w:val="BodyText"/>
      </w:pPr>
      <w:r>
        <w:t xml:space="preserve">The Commission held separate meetings with the Government Expert Group on Retail Financial</w:t>
      </w:r>
      <w:r>
        <w:t xml:space="preserve"> </w:t>
      </w:r>
      <w:r>
        <w:t xml:space="preserve">Services (GEGRFS) on 3 December 2020, 7 December 2021 and 2 March 2023.</w:t>
      </w:r>
    </w:p>
    <w:p>
      <w:pPr>
        <w:pStyle w:val="BodyText"/>
      </w:pPr>
      <w:r>
        <w:t xml:space="preserve">The views expressed by several Member States at the first meeting included the need for the Retail</w:t>
      </w:r>
      <w:r>
        <w:t xml:space="preserve"> </w:t>
      </w:r>
      <w:r>
        <w:t xml:space="preserve">Investment Strategy to be coordinated with other workstreams, in particular on sustainable finance,</w:t>
      </w:r>
      <w:r>
        <w:t xml:space="preserve"> </w:t>
      </w:r>
      <w:r>
        <w:t xml:space="preserve">the need for comparability and simplification of information as well as greater cost-efficiency for</w:t>
      </w:r>
      <w:r>
        <w:t xml:space="preserve"> </w:t>
      </w:r>
      <w:r>
        <w:t xml:space="preserve">retail investors. Investor protection, also in relation to inducements, and the importance of</w:t>
      </w:r>
      <w:r>
        <w:t xml:space="preserve"> </w:t>
      </w:r>
      <w:r>
        <w:t xml:space="preserve">disclosures were also stressed.</w:t>
      </w:r>
    </w:p>
    <w:p>
      <w:pPr>
        <w:pStyle w:val="BodyText"/>
      </w:pPr>
      <w:r>
        <w:t xml:space="preserve">At the second meeting, following a presentation of the preliminary results of the public consultation</w:t>
      </w:r>
      <w:r>
        <w:t xml:space="preserve"> </w:t>
      </w:r>
      <w:r>
        <w:t xml:space="preserve">on the retail investment strategy, Member States expressed their support for work on financial</w:t>
      </w:r>
      <w:r>
        <w:t xml:space="preserve"> </w:t>
      </w:r>
      <w:r>
        <w:t xml:space="preserve">literacy, for further efforts to streamline and improve disclosure requirements as well as the need</w:t>
      </w:r>
      <w:r>
        <w:t xml:space="preserve"> </w:t>
      </w:r>
      <w:r>
        <w:t xml:space="preserve">to update the existing framework to accommodate digitalisation challenges. Some Member States</w:t>
      </w:r>
      <w:r>
        <w:t xml:space="preserve"> </w:t>
      </w:r>
      <w:r>
        <w:t xml:space="preserve">also noted their support for a ban on inducements, while other expressed concerns that access to</w:t>
      </w:r>
      <w:r>
        <w:t xml:space="preserve"> </w:t>
      </w:r>
      <w:r>
        <w:t xml:space="preserve">advice should remain available. Member States also highlighted the need to address aggressive</w:t>
      </w:r>
      <w:r>
        <w:t xml:space="preserve"> </w:t>
      </w:r>
      <w:r>
        <w:t xml:space="preserve">marketing techniques, and the need to facilitate access to suitable and simple investment products.</w:t>
      </w:r>
    </w:p>
    <w:p>
      <w:pPr>
        <w:pStyle w:val="BodyText"/>
      </w:pPr>
      <w:r>
        <w:t xml:space="preserve">During the third GEGRFS meeting, the Retail investment Strategy was discussed, with a specific</w:t>
      </w:r>
      <w:r>
        <w:t xml:space="preserve"> </w:t>
      </w:r>
      <w:r>
        <w:t xml:space="preserve">focus on inducements. In the beginning, representatives from both the consumer and financial</w:t>
      </w:r>
      <w:r>
        <w:t xml:space="preserve"> </w:t>
      </w:r>
      <w:r>
        <w:t xml:space="preserve">sector were invited and provided opposing views on the issue of inducements, including a potential</w:t>
      </w:r>
      <w:r>
        <w:t xml:space="preserve"> </w:t>
      </w:r>
      <w:r>
        <w:t xml:space="preserve">ban on inducements. In addition, the Dutch AFM presented its experience with the ban on</w:t>
      </w:r>
      <w:r>
        <w:t xml:space="preserve"> </w:t>
      </w:r>
      <w:r>
        <w:t xml:space="preserve">inducements underlining that the results were positive and the ban achieved its goal of eliminating</w:t>
      </w:r>
      <w:r>
        <w:t xml:space="preserve"> </w:t>
      </w:r>
      <w:r>
        <w:t xml:space="preserve">conflicts of interest. The Commission services gave an overview of the Retail investment Strategy.</w:t>
      </w:r>
      <w:r>
        <w:t xml:space="preserve"> </w:t>
      </w:r>
      <w:r>
        <w:t xml:space="preserve">During the following discussion, a large majority of Member States expressed concerns about a</w:t>
      </w:r>
      <w:r>
        <w:t xml:space="preserve"> </w:t>
      </w:r>
      <w:r>
        <w:t xml:space="preserve">potential impact of a ban on retail investment distribution systems.</w:t>
      </w:r>
    </w:p>
    <w:p>
      <w:pPr>
        <w:pStyle w:val="BodyText"/>
      </w:pPr>
      <w:r>
        <w:t xml:space="preserve">Evidence, sources and quality</w:t>
      </w:r>
    </w:p>
    <w:p>
      <w:pPr>
        <w:pStyle w:val="BodyText"/>
      </w:pPr>
      <w:r>
        <w:t xml:space="preserve">In line with the general principles in the Better Regulation guidelines on the need for evidence-</w:t>
      </w:r>
      <w:r>
        <w:t xml:space="preserve"> </w:t>
      </w:r>
      <w:r>
        <w:t xml:space="preserve">based impact assessments, this impact assessment is based on the following data and information</w:t>
      </w:r>
      <w:r>
        <w:t xml:space="preserve"> </w:t>
      </w:r>
      <w:r>
        <w:t xml:space="preserve">sources:</w:t>
      </w:r>
      <w:r>
        <w:t xml:space="preserve"> </w:t>
      </w:r>
      <w:r>
        <w:t xml:space="preserve">1.</w:t>
      </w:r>
      <w:r>
        <w:t xml:space="preserve"> </w:t>
      </w:r>
      <w:r>
        <w:t xml:space="preserve">European Commission, Directorate-General for Financial Stability, Financial Services and</w:t>
      </w:r>
      <w:r>
        <w:t xml:space="preserve"> </w:t>
      </w:r>
      <w:r>
        <w:t xml:space="preserve">Capital Markets Union, Uličná, D., Vincze, M., Mosoreanu, M., et al., Disclosure,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inducements, and suitability rules for retail investors study: final report, Publications Office</w:t>
      </w:r>
      <w:r>
        <w:t xml:space="preserve"> </w:t>
      </w:r>
      <w:r>
        <w:t xml:space="preserve">of the European Union, 2022, https://data.europa.eu/doi/10.2874/647061 (Retail</w:t>
      </w:r>
      <w:r>
        <w:t xml:space="preserve"> </w:t>
      </w:r>
      <w:r>
        <w:t xml:space="preserve">investment study)</w:t>
      </w:r>
      <w:r>
        <w:t xml:space="preserve"> </w:t>
      </w:r>
      <w:r>
        <w:t xml:space="preserve">2.</w:t>
      </w:r>
      <w:r>
        <w:t xml:space="preserve"> </w:t>
      </w:r>
      <w:r>
        <w:t xml:space="preserve">European Commission, Directorate-General for Financial Stability, Financial Services and</w:t>
      </w:r>
      <w:r>
        <w:t xml:space="preserve"> </w:t>
      </w:r>
      <w:r>
        <w:t xml:space="preserve">Capital Markets Union, Distribution systems of retail investment products across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https://data.europa.eu/doi/10.2874/037900 (Study on distribution systems of retail</w:t>
      </w:r>
      <w:r>
        <w:t xml:space="preserve"> </w:t>
      </w:r>
      <w:r>
        <w:t xml:space="preserve">investment products)</w:t>
      </w:r>
      <w:r>
        <w:t xml:space="preserve"> </w:t>
      </w:r>
      <w:r>
        <w:t xml:space="preserve">3.</w:t>
      </w:r>
      <w:r>
        <w:t xml:space="preserve"> </w:t>
      </w:r>
      <w:r>
        <w:t xml:space="preserve">A new Vision for Europe’s capital markets Final Report of the High Level Forum on the</w:t>
      </w:r>
      <w:r>
        <w:t xml:space="preserve"> </w:t>
      </w:r>
      <w:r>
        <w:t xml:space="preserve">Capital Markets Union, June 2020</w:t>
      </w:r>
      <w:r>
        <w:br/>
      </w:r>
      <w:r>
        <w:t xml:space="preserve">4.</w:t>
      </w:r>
      <w:r>
        <w:t xml:space="preserve"> </w:t>
      </w:r>
      <w:r>
        <w:t xml:space="preserve">Final Report on the European Commission mandate on certain aspects relating to retail</w:t>
      </w:r>
      <w:r>
        <w:t xml:space="preserve"> </w:t>
      </w:r>
      <w:r>
        <w:t xml:space="preserve">investor protection, 29 April 2022, ESMA (ESMA advice on retail investor protection)</w:t>
      </w:r>
      <w:r>
        <w:br/>
      </w:r>
      <w:r>
        <w:t xml:space="preserve">5.</w:t>
      </w:r>
      <w:r>
        <w:t xml:space="preserve"> </w:t>
      </w:r>
      <w:r>
        <w:t xml:space="preserve">Final Report on technical advice to the European Commission regarding certain aspects</w:t>
      </w:r>
      <w:r>
        <w:t xml:space="preserve"> </w:t>
      </w:r>
      <w:r>
        <w:t xml:space="preserve">relating to retail investor protection, 29 April 2022, EIOPA (EIOPA advice on retail</w:t>
      </w:r>
      <w:r>
        <w:t xml:space="preserve"> </w:t>
      </w:r>
      <w:r>
        <w:t xml:space="preserve">investor protection)</w:t>
      </w:r>
      <w:r>
        <w:t xml:space="preserve"> </w:t>
      </w:r>
      <w:r>
        <w:t xml:space="preserve">6.</w:t>
      </w:r>
      <w:r>
        <w:t xml:space="preserve"> </w:t>
      </w:r>
      <w:r>
        <w:t xml:space="preserve">Call for Advice on PRIIPs: ESA advice on the review of the PRIIPs Regulation, 29 April</w:t>
      </w:r>
      <w:r>
        <w:t xml:space="preserve"> </w:t>
      </w:r>
      <w:r>
        <w:t xml:space="preserve">2022, Joint Committee of the European Supervisory Authorities (Advice of the ESA joint</w:t>
      </w:r>
      <w:r>
        <w:t xml:space="preserve"> </w:t>
      </w:r>
      <w:r>
        <w:t xml:space="preserve">committee on PRIIPs)</w:t>
      </w:r>
      <w:r>
        <w:t xml:space="preserve"> </w:t>
      </w:r>
      <w:r>
        <w:t xml:space="preserve">7.</w:t>
      </w:r>
      <w:r>
        <w:t xml:space="preserve"> </w:t>
      </w:r>
      <w:r>
        <w:t xml:space="preserve">Joint European Supervisory Authority response to the European Commission’s February</w:t>
      </w:r>
      <w:r>
        <w:t xml:space="preserve"> </w:t>
      </w:r>
      <w:r>
        <w:t xml:space="preserve">2021 Call for Advice on digital finance and related issues, 31 January 2022</w:t>
      </w:r>
      <w:r>
        <w:t xml:space="preserve"> </w:t>
      </w:r>
      <w:r>
        <w:t xml:space="preserve">8.</w:t>
      </w:r>
      <w:r>
        <w:t xml:space="preserve"> </w:t>
      </w:r>
      <w:r>
        <w:t xml:space="preserve">IOSCO, ‘Report on retail distribution and digitalisation’ Final report, The Board of the</w:t>
      </w:r>
      <w:r>
        <w:t xml:space="preserve"> </w:t>
      </w:r>
      <w:r>
        <w:t xml:space="preserve">International Organization of Securities Commissions, October 2022 (IOSCO report on</w:t>
      </w:r>
      <w:r>
        <w:t xml:space="preserve"> </w:t>
      </w:r>
      <w:r>
        <w:t xml:space="preserve">retail distribution and digitalisation)</w:t>
      </w:r>
      <w:r>
        <w:t xml:space="preserve"> </w:t>
      </w:r>
      <w:r>
        <w:t xml:space="preserve">9.</w:t>
      </w:r>
      <w:r>
        <w:t xml:space="preserve"> </w:t>
      </w:r>
      <w:r>
        <w:t xml:space="preserve">Publicly available studies, reports, position papers and other relevant documents drawn up</w:t>
      </w:r>
      <w:r>
        <w:t xml:space="preserve"> </w:t>
      </w:r>
      <w:r>
        <w:t xml:space="preserve">by private and public stakeholders.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ANNEX 2: STAKEHOLDER CONSULTATION (SYNOPSIS REPORT)</w:t>
      </w:r>
    </w:p>
    <w:p>
      <w:pPr>
        <w:pStyle w:val="BodyText"/>
      </w:pPr>
      <w:r>
        <w:t xml:space="preserve">With a view of developing an EU strategy for retail investors, the Commission launched a number</w:t>
      </w:r>
      <w:r>
        <w:t xml:space="preserve"> </w:t>
      </w:r>
      <w:r>
        <w:t xml:space="preserve">of consultations with the objective of gathering stakeholders’ views on how the existing framework</w:t>
      </w:r>
      <w:r>
        <w:t xml:space="preserve"> </w:t>
      </w:r>
      <w:r>
        <w:t xml:space="preserve">for retail investments can be improved. The Commission also collected feedback in the course of</w:t>
      </w:r>
      <w:r>
        <w:t xml:space="preserve"> </w:t>
      </w:r>
      <w:r>
        <w:t xml:space="preserve">dedicated workshops and interviews with stakeholders, including industry representatives and</w:t>
      </w:r>
      <w:r>
        <w:t xml:space="preserve"> </w:t>
      </w:r>
      <w:r>
        <w:t xml:space="preserve">consumer organisations. To obtain additional evidence, moreover, the ESAs were requested to</w:t>
      </w:r>
      <w:r>
        <w:t xml:space="preserve"> </w:t>
      </w:r>
      <w:r>
        <w:t xml:space="preserve">provide the Commission with their technical advice on the retail investment framework and the</w:t>
      </w:r>
      <w:r>
        <w:t xml:space="preserve"> </w:t>
      </w:r>
      <w:r>
        <w:t xml:space="preserve">PRIIPs Regulation. This Annex provides an overview of the feedback received to support this</w:t>
      </w:r>
      <w:r>
        <w:t xml:space="preserve"> </w:t>
      </w:r>
      <w:r>
        <w:t xml:space="preserve">impact assessment.</w:t>
      </w:r>
    </w:p>
    <w:p>
      <w:pPr>
        <w:pStyle w:val="Compact"/>
        <w:numPr>
          <w:ilvl w:val="0"/>
          <w:numId w:val="1012"/>
        </w:numPr>
      </w:pPr>
      <w:r>
        <w:t xml:space="preserve">Public stakeholder consultation: A Retail Investment Strategy For Europe</w:t>
      </w:r>
      <w:r>
        <w:t xml:space="preserve"> </w:t>
      </w:r>
      <w:r>
        <w:t xml:space="preserve">A public consultation on ‘A Retail Investment Strategy For Europe’ was launched by DG FISMA</w:t>
      </w:r>
      <w:r>
        <w:t xml:space="preserve"> </w:t>
      </w:r>
      <w:r>
        <w:t xml:space="preserve">on 11 May 2021 to gather views from a broad group of stakeholders on various aspects pertaining</w:t>
      </w:r>
      <w:r>
        <w:t xml:space="preserve"> </w:t>
      </w:r>
      <w:r>
        <w:t xml:space="preserve">to retail investments, namely: pre-contractual disclosures (including PRIIPs), quality of advice in</w:t>
      </w:r>
      <w:r>
        <w:t xml:space="preserve"> </w:t>
      </w:r>
      <w:r>
        <w:t xml:space="preserve">light of current inducement practices, the suitability and appropriateness assessments, financial</w:t>
      </w:r>
      <w:r>
        <w:t xml:space="preserve"> </w:t>
      </w:r>
      <w:r>
        <w:t xml:space="preserve">literacy, complexity of products, the impact of increased digitalisation of financial services,</w:t>
      </w:r>
      <w:r>
        <w:t xml:space="preserve"> </w:t>
      </w:r>
      <w:r>
        <w:t xml:space="preserve">investor categorisation, redress, the ESAs’ product intervention powers and sustainable investing.</w:t>
      </w:r>
      <w:r>
        <w:t xml:space="preserve"> </w:t>
      </w:r>
      <w:r>
        <w:t xml:space="preserve">The consultation ran until 3 August 2021, and all contributions were submitted online.</w:t>
      </w:r>
      <w:r>
        <w:br/>
      </w:r>
      <w:r>
        <w:t xml:space="preserve">Overview of respondents</w:t>
      </w:r>
      <w:r>
        <w:t xml:space="preserve"> </w:t>
      </w:r>
      <w:r>
        <w:t xml:space="preserve">A total of 186 respondents participated in the public consultation. The types of organisations most</w:t>
      </w:r>
      <w:r>
        <w:t xml:space="preserve"> </w:t>
      </w:r>
      <w:r>
        <w:t xml:space="preserve">widely represented were business associations (59) and company/business organisations (51),</w:t>
      </w:r>
      <w:r>
        <w:t xml:space="preserve"> </w:t>
      </w:r>
      <w:r>
        <w:t xml:space="preserve">together representing 59% of all respondents. Respondents also included 4 consumer organizations</w:t>
      </w:r>
      <w:r>
        <w:t xml:space="preserve"> </w:t>
      </w:r>
      <w:r>
        <w:t xml:space="preserve">(2%), 9 NGOs (5%), 17 public authorities (9%), 4 trade unions (2%), 35 citizens (33 from the EU</w:t>
      </w:r>
      <w:r>
        <w:t xml:space="preserve"> </w:t>
      </w:r>
      <w:r>
        <w:t xml:space="preserve">and 2 from outside the EU, in total 19%) and 8 classified as ‘others’ (4%).</w:t>
      </w:r>
      <w:r>
        <w:br/>
      </w:r>
      <w:r>
        <w:t xml:space="preserve">The largest group of respondents selected investment management as the sector of belonging (37%,</w:t>
      </w:r>
      <w:r>
        <w:t xml:space="preserve"> </w:t>
      </w:r>
      <w:r>
        <w:t xml:space="preserve">58 respondents), followed by banking (35%, 54 respondents), a third group which indicated “other”</w:t>
      </w:r>
      <w:r>
        <w:t xml:space="preserve"> </w:t>
      </w:r>
      <w:r>
        <w:t xml:space="preserve">(32%, 49 respondents) and insurance (14%, 26 respondents). Among industry stakeholders only,</w:t>
      </w:r>
      <w:r>
        <w:t xml:space="preserve"> </w:t>
      </w:r>
      <w:r>
        <w:t xml:space="preserve">the most represented sectors were investment management (43 or 39%) and banking (also 43 or</w:t>
      </w:r>
      <w:r>
        <w:t xml:space="preserve"> </w:t>
      </w:r>
      <w:r>
        <w:t xml:space="preserve">39%), followed by insurance (18 or 16%), market infrastructure (12 or 11%) and a group which</w:t>
      </w:r>
      <w:r>
        <w:t xml:space="preserve"> </w:t>
      </w:r>
      <w:r>
        <w:t xml:space="preserve">only indicated “other” (21 or 20%)195.</w:t>
      </w:r>
      <w:r>
        <w:br/>
      </w:r>
      <w:r>
        <w:t xml:space="preserve">The majority of respondents came from the EU (91%, 170 respondents), from 22 Member States.</w:t>
      </w:r>
      <w:r>
        <w:t xml:space="preserve"> </w:t>
      </w:r>
      <w:r>
        <w:t xml:space="preserve">The highest number of respondents came from Germany (21%, 39 respondents), followed by</w:t>
      </w:r>
      <w:r>
        <w:t xml:space="preserve"> </w:t>
      </w:r>
      <w:r>
        <w:t xml:space="preserve">France (14.5%, 27 respondents) and Belgium (12.9%, 24 respondents). There were also 16</w:t>
      </w:r>
      <w:r>
        <w:t xml:space="preserve"> </w:t>
      </w:r>
      <w:r>
        <w:t xml:space="preserve">responses (9%) from five countries outside the EU (Australia, Norway, Switzerland, UK and the</w:t>
      </w:r>
      <w:r>
        <w:t xml:space="preserve"> </w:t>
      </w:r>
      <w:r>
        <w:t xml:space="preserve">United States).</w:t>
      </w:r>
      <w:r>
        <w:t xml:space="preserve"> </w:t>
      </w:r>
      <w:r>
        <w:t xml:space="preserve">Respondents’ feedback to the general questions196</w:t>
      </w:r>
    </w:p>
    <w:p>
      <w:pPr>
        <w:pStyle w:val="FirstParagraph"/>
      </w:pPr>
      <w:r>
        <w:t xml:space="preserve">195 Industry stakeholders could select more than one sector of belonging, hence this sectoral breakdown contains</w:t>
      </w:r>
      <w:r>
        <w:t xml:space="preserve"> </w:t>
      </w:r>
      <w:r>
        <w:t xml:space="preserve">overlaps between respondents (e.g. an industry stakeholder may belong to both the banking and insurance sectors</w:t>
      </w:r>
      <w:r>
        <w:t xml:space="preserve"> </w:t>
      </w:r>
      <w:r>
        <w:t xml:space="preserve">at the same time).</w:t>
      </w:r>
      <w:r>
        <w:br/>
      </w:r>
      <w:r>
        <w:t xml:space="preserve">196 In this and following paragraphs, percentages of respondents are calculated by dividing the number of</w:t>
      </w:r>
      <w:r>
        <w:t xml:space="preserve"> </w:t>
      </w:r>
      <w:r>
        <w:t xml:space="preserve">responding stakeholders expressing a specific view (e.g. agree/disagree) over the total number of respondents to a</w:t>
      </w:r>
      <w:r>
        <w:t xml:space="preserve"> </w:t>
      </w:r>
      <w:r>
        <w:t xml:space="preserve">given question. Blank answers were not taken into account.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 majority of respondents (86 out of 150, or 57%, including company/business representatives of</w:t>
      </w:r>
      <w:r>
        <w:t xml:space="preserve"> </w:t>
      </w:r>
      <w:r>
        <w:t xml:space="preserve">the banking, insurance and investment management industries, as well as a 9 public authorities)</w:t>
      </w:r>
      <w:r>
        <w:t xml:space="preserve"> </w:t>
      </w:r>
      <w:r>
        <w:t xml:space="preserve">were of the view that the current framework sufficiently empowered and protected retail investors.</w:t>
      </w:r>
      <w:r>
        <w:t xml:space="preserve"> </w:t>
      </w:r>
      <w:r>
        <w:t xml:space="preserve">53 or 35% were largely of the opposing view, mainly consumer organisations and NGOs, as well</w:t>
      </w:r>
      <w:r>
        <w:t xml:space="preserve"> </w:t>
      </w:r>
      <w:r>
        <w:t xml:space="preserve">as 4 national authorities and some company/business representatives of investment management,</w:t>
      </w:r>
      <w:r>
        <w:t xml:space="preserve"> </w:t>
      </w:r>
      <w:r>
        <w:t xml:space="preserve">banking and market infrastructure. Similarly, when asked whether existing limitations stemming</w:t>
      </w:r>
      <w:r>
        <w:t xml:space="preserve"> </w:t>
      </w:r>
      <w:r>
        <w:t xml:space="preserve">from retail investor protection rules were justified, a majority (89 out of 149, or 60%, mainly</w:t>
      </w:r>
      <w:r>
        <w:t xml:space="preserve"> </w:t>
      </w:r>
      <w:r>
        <w:t xml:space="preserve">company/business representatives of banking, insurance, investment management and market</w:t>
      </w:r>
      <w:r>
        <w:t xml:space="preserve"> </w:t>
      </w:r>
      <w:r>
        <w:t xml:space="preserve">infrastructure), were of the view that limitations were unjustified, whereas 45 or 30%, (including</w:t>
      </w:r>
      <w:r>
        <w:t xml:space="preserve"> </w:t>
      </w:r>
      <w:r>
        <w:t xml:space="preserve">consumer organisations, NGOs, some banking and insurance representatives as well as most public</w:t>
      </w:r>
      <w:r>
        <w:t xml:space="preserve"> </w:t>
      </w:r>
      <w:r>
        <w:t xml:space="preserve">authorities) defended the limitations.</w:t>
      </w:r>
      <w:r>
        <w:br/>
      </w:r>
      <w:r>
        <w:t xml:space="preserve">A substantial majority of respondents (95 out of 154, or 62%, mainly company/business</w:t>
      </w:r>
      <w:r>
        <w:t xml:space="preserve"> </w:t>
      </w:r>
      <w:r>
        <w:t xml:space="preserve">representatives of all participating sectors as well as 7 public authorities) were aware of investment</w:t>
      </w:r>
      <w:r>
        <w:t xml:space="preserve"> </w:t>
      </w:r>
      <w:r>
        <w:t xml:space="preserve">products that retail investors were prevented from buying due to constraints imposed by EU</w:t>
      </w:r>
      <w:r>
        <w:t xml:space="preserve"> </w:t>
      </w:r>
      <w:r>
        <w:t xml:space="preserve">regulation, with a number of respondents (predominantly business and company representatives)</w:t>
      </w:r>
      <w:r>
        <w:t xml:space="preserve"> </w:t>
      </w:r>
      <w:r>
        <w:t xml:space="preserve">highlighting areas where they considered that the regulatory framework (or indeed lack of</w:t>
      </w:r>
      <w:r>
        <w:t xml:space="preserve"> </w:t>
      </w:r>
      <w:r>
        <w:t xml:space="preserve">regulation) unnecessarily prevented retail investor participation. Respondents also expressed</w:t>
      </w:r>
      <w:r>
        <w:t xml:space="preserve"> </w:t>
      </w:r>
      <w:r>
        <w:t xml:space="preserve">concerns about perception of risk and lack of understanding as some of the most important factors</w:t>
      </w:r>
      <w:r>
        <w:t xml:space="preserve"> </w:t>
      </w:r>
      <w:r>
        <w:t xml:space="preserve">that might discourage or prevent retail investment. A majority of respondents (78 out of 142, or</w:t>
      </w:r>
      <w:r>
        <w:t xml:space="preserve"> </w:t>
      </w:r>
      <w:r>
        <w:t xml:space="preserve">55%), including 9 public authorities and company/business representatives of investment</w:t>
      </w:r>
      <w:r>
        <w:t xml:space="preserve"> </w:t>
      </w:r>
      <w:r>
        <w:t xml:space="preserve">management, banking and insurance, agreed that investment products were sufficiently available</w:t>
      </w:r>
      <w:r>
        <w:t xml:space="preserve"> </w:t>
      </w:r>
      <w:r>
        <w:t xml:space="preserve">to retail investors, although that sentiment was less strongly felt among 29 or 37% of respondents,</w:t>
      </w:r>
      <w:r>
        <w:t xml:space="preserve"> </w:t>
      </w:r>
      <w:r>
        <w:t xml:space="preserve">namely consumer organisations, NGOs, and citizens. Business and company respondents from all</w:t>
      </w:r>
      <w:r>
        <w:t xml:space="preserve"> </w:t>
      </w:r>
      <w:r>
        <w:t xml:space="preserve">sectors represented in the consultation also strongly supported the view that products were</w:t>
      </w:r>
      <w:r>
        <w:t xml:space="preserve"> </w:t>
      </w:r>
      <w:r>
        <w:t xml:space="preserve">competitively priced and offered alongside a sufficient range of competitive products, in contrast</w:t>
      </w:r>
      <w:r>
        <w:t xml:space="preserve"> </w:t>
      </w:r>
      <w:r>
        <w:t xml:space="preserve">to the views of consumer organisations, citizens, NGOs and 4 public authorities, who disagreed.</w:t>
      </w:r>
      <w:r>
        <w:br/>
      </w:r>
      <w:r>
        <w:t xml:space="preserve">Almost half of respondents (66 out of 138, or 48%)197 agreed that products were adapted to modern</w:t>
      </w:r>
      <w:r>
        <w:t xml:space="preserve"> </w:t>
      </w:r>
      <w:r>
        <w:t xml:space="preserve">digital channels whereas a lower share of respondents (48 out of 137, or 35%)198 agreed that retail</w:t>
      </w:r>
      <w:r>
        <w:t xml:space="preserve"> </w:t>
      </w:r>
      <w:r>
        <w:t xml:space="preserve">investment products are sufficiently adapted to ESG criteria. The most supported area where the</w:t>
      </w:r>
      <w:r>
        <w:t xml:space="preserve"> </w:t>
      </w:r>
      <w:r>
        <w:t xml:space="preserve">vast majority of respondents (104 out of 134, or 78%), namely consumer organisations,</w:t>
      </w:r>
      <w:r>
        <w:t xml:space="preserve"> </w:t>
      </w:r>
      <w:r>
        <w:t xml:space="preserve">company/business representatives from all the sectors participating in the consultation and most</w:t>
      </w:r>
      <w:r>
        <w:t xml:space="preserve"> </w:t>
      </w:r>
      <w:r>
        <w:t xml:space="preserve">(i.e. 9) public authorities, saw scope for improvement was financial literacy. Consumer</w:t>
      </w:r>
      <w:r>
        <w:t xml:space="preserve"> </w:t>
      </w:r>
      <w:r>
        <w:t xml:space="preserve">organisations also expressed a preference for improvements to disclosure requirements and</w:t>
      </w:r>
      <w:r>
        <w:t xml:space="preserve"> </w:t>
      </w:r>
      <w:r>
        <w:t xml:space="preserve">inducements as well as quality of advice and complexity of products, whereas public authorities</w:t>
      </w:r>
      <w:r>
        <w:t xml:space="preserve"> </w:t>
      </w:r>
      <w:r>
        <w:t xml:space="preserve">gave the highest priority to inducements and quality of advice, disclosure requirements as well as</w:t>
      </w:r>
      <w:r>
        <w:t xml:space="preserve"> </w:t>
      </w:r>
      <w:r>
        <w:t xml:space="preserve">financial literacy.</w:t>
      </w:r>
      <w:r>
        <w:br/>
      </w:r>
      <w:r>
        <w:t xml:space="preserve">Financial literacy</w:t>
      </w:r>
      <w:r>
        <w:t xml:space="preserve"> </w:t>
      </w:r>
      <w:r>
        <w:t xml:space="preserve">There was overwhelming consensus that increased financial literacy would be beneficial to retail</w:t>
      </w:r>
      <w:r>
        <w:t xml:space="preserve"> </w:t>
      </w:r>
      <w:r>
        <w:t xml:space="preserve">investors. A majority of respondents affirmed the positive impact of financial literacy, noting that</w:t>
      </w:r>
      <w:r>
        <w:t xml:space="preserve"> </w:t>
      </w:r>
      <w:r>
        <w:t xml:space="preserve">financial literacy helped improve investors’ understanding of financial products, helped investors</w:t>
      </w:r>
      <w:r>
        <w:t xml:space="preserve"> </w:t>
      </w:r>
      <w:r>
        <w:t xml:space="preserve">create realistic expectations, and helped them to align investments with their objectives (137 out of</w:t>
      </w:r>
      <w:r>
        <w:t xml:space="preserve"> </w:t>
      </w:r>
      <w:r>
        <w:t xml:space="preserve">144 or 95%, 139 out of 143 or 97%, and 138 out of 144 or 96% respectively). Stakeholders’ views</w:t>
      </w:r>
    </w:p>
    <w:p>
      <w:pPr>
        <w:pStyle w:val="BodyText"/>
      </w:pPr>
      <w:r>
        <w:t xml:space="preserve">197 Among which company/business representatives of banking, insurance and investment management as well as 5</w:t>
      </w:r>
      <w:r>
        <w:t xml:space="preserve"> </w:t>
      </w:r>
      <w:r>
        <w:t xml:space="preserve">public authorities.</w:t>
      </w:r>
      <w:r>
        <w:t xml:space="preserve"> </w:t>
      </w:r>
      <w:r>
        <w:t xml:space="preserve">198 Including representatives from investment management, banking, insurance and market infrastructure and 3</w:t>
      </w:r>
      <w:r>
        <w:t xml:space="preserve"> </w:t>
      </w:r>
      <w:r>
        <w:t xml:space="preserve">public authorities.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were also sought as to which further measures aimed at increasing financial literacy might be</w:t>
      </w:r>
      <w:r>
        <w:t xml:space="preserve"> </w:t>
      </w:r>
      <w:r>
        <w:t xml:space="preserve">pursued at EU level. Respondents offered various suggestions and comments, including on</w:t>
      </w:r>
      <w:r>
        <w:t xml:space="preserve"> </w:t>
      </w:r>
      <w:r>
        <w:t xml:space="preserve">cooperation and funding, the coordinating role of the Commission, the importance of financial</w:t>
      </w:r>
      <w:r>
        <w:t xml:space="preserve"> </w:t>
      </w:r>
      <w:r>
        <w:t xml:space="preserve">literacy at school, as well as the effectiveness of financial education and the need for other measures</w:t>
      </w:r>
      <w:r>
        <w:t xml:space="preserve"> </w:t>
      </w:r>
      <w:r>
        <w:t xml:space="preserve">in addition to financial literacy to protect retail investors.</w:t>
      </w:r>
      <w:r>
        <w:t xml:space="preserve"> </w:t>
      </w:r>
      <w:r>
        <w:t xml:space="preserve">Digital innovation</w:t>
      </w:r>
      <w:r>
        <w:t xml:space="preserve"> </w:t>
      </w:r>
      <w:r>
        <w:t xml:space="preserve">A strong majority of respondents (80%) was positive towards an open finance approach, noting</w:t>
      </w:r>
      <w:r>
        <w:t xml:space="preserve"> </w:t>
      </w:r>
      <w:r>
        <w:t xml:space="preserve">several benefits, while however acknowledging the risks. Machine-readability of key documents</w:t>
      </w:r>
      <w:r>
        <w:t xml:space="preserve"> </w:t>
      </w:r>
      <w:r>
        <w:t xml:space="preserve">was identified as an essential new tool that might be enabled through innovation, as was the</w:t>
      </w:r>
      <w:r>
        <w:t xml:space="preserve"> </w:t>
      </w:r>
      <w:r>
        <w:t xml:space="preserve">development of a digital identity, the latter of which would be very beneficial for consumers and</w:t>
      </w:r>
      <w:r>
        <w:t xml:space="preserve"> </w:t>
      </w:r>
      <w:r>
        <w:t xml:space="preserve">reduce duplicative compliance costs. Artificial intelligence and analytical tools would help service</w:t>
      </w:r>
      <w:r>
        <w:t xml:space="preserve"> </w:t>
      </w:r>
      <w:r>
        <w:t xml:space="preserve">providers create better, customised products. Half of respondents (68 out of 137, 50%) considered</w:t>
      </w:r>
      <w:r>
        <w:t xml:space="preserve"> </w:t>
      </w:r>
      <w:r>
        <w:t xml:space="preserve">that diverging rules on marketing and advertising of investment products constituted an obstacle</w:t>
      </w:r>
      <w:r>
        <w:t xml:space="preserve"> </w:t>
      </w:r>
      <w:r>
        <w:t xml:space="preserve">for retail investments when accessing products in other EU markets, while a smaller group of</w:t>
      </w:r>
      <w:r>
        <w:t xml:space="preserve"> </w:t>
      </w:r>
      <w:r>
        <w:t xml:space="preserve">respondents (33, 24%) disagreed and 36 respondents (26%) expressed no opinion. All stakeholder</w:t>
      </w:r>
      <w:r>
        <w:t xml:space="preserve"> </w:t>
      </w:r>
      <w:r>
        <w:t xml:space="preserve">groups were generally in agreement, with the exception of public authorities whose opinions were</w:t>
      </w:r>
      <w:r>
        <w:t xml:space="preserve"> </w:t>
      </w:r>
      <w:r>
        <w:t xml:space="preserve">split evenly. Views were split as to whether there might be a need for stricter enforcement of rules</w:t>
      </w:r>
      <w:r>
        <w:t xml:space="preserve"> </w:t>
      </w:r>
      <w:r>
        <w:t xml:space="preserve">on online advertising to protect against possible mis-selling of retail investment products, with a</w:t>
      </w:r>
      <w:r>
        <w:t xml:space="preserve"> </w:t>
      </w:r>
      <w:r>
        <w:t xml:space="preserve">slightly larger group of respondents (61 out of 142, 43%), composed of most business organisations</w:t>
      </w:r>
      <w:r>
        <w:t xml:space="preserve"> </w:t>
      </w:r>
      <w:r>
        <w:t xml:space="preserve">and associations, suggesting that the current enforcement regime was adequate, as opposed to those</w:t>
      </w:r>
      <w:r>
        <w:t xml:space="preserve"> </w:t>
      </w:r>
      <w:r>
        <w:t xml:space="preserve">(59, 42%), which included most consumer organisations and public authorities, who saw the need</w:t>
      </w:r>
      <w:r>
        <w:t xml:space="preserve"> </w:t>
      </w:r>
      <w:r>
        <w:t xml:space="preserve">for stricter enforcement.</w:t>
      </w:r>
      <w:r>
        <w:br/>
      </w:r>
      <w:r>
        <w:t xml:space="preserve">A majority of respondents (83 out of 144, 58%), which included a majority from all stakeholder</w:t>
      </w:r>
      <w:r>
        <w:t xml:space="preserve"> </w:t>
      </w:r>
      <w:r>
        <w:t xml:space="preserve">groups, expressed support for further coordination and harmonisation of national rules on online</w:t>
      </w:r>
      <w:r>
        <w:t xml:space="preserve"> </w:t>
      </w:r>
      <w:r>
        <w:t xml:space="preserve">advertising and marketing of investment products, whereas 41 respondents (28%) disagreed, and</w:t>
      </w:r>
      <w:r>
        <w:t xml:space="preserve"> </w:t>
      </w:r>
      <w:r>
        <w:t xml:space="preserve">20 respondents (14%) expressed no opinion. A strong majority (105 out of 137, 77%) agreed that</w:t>
      </w:r>
      <w:r>
        <w:t xml:space="preserve"> </w:t>
      </w:r>
      <w:r>
        <w:t xml:space="preserve">social media platforms played an (either somewhat or very) important role in influencing retail</w:t>
      </w:r>
      <w:r>
        <w:t xml:space="preserve"> </w:t>
      </w:r>
      <w:r>
        <w:t xml:space="preserve">investor behaviour, whereas an even larger majority (111 out of 136, 82%) considered that social</w:t>
      </w:r>
      <w:r>
        <w:t xml:space="preserve"> </w:t>
      </w:r>
      <w:r>
        <w:t xml:space="preserve">media platforms may be used as a vehicle by some users to help disseminate investment related</w:t>
      </w:r>
      <w:r>
        <w:t xml:space="preserve"> </w:t>
      </w:r>
      <w:r>
        <w:t xml:space="preserve">information, and this may pose (either somewhat or very) significant risks for retail investment.</w:t>
      </w:r>
      <w:r>
        <w:t xml:space="preserve"> </w:t>
      </w:r>
      <w:r>
        <w:t xml:space="preserve">Consumer organisations and public authorities were almost unanimous in this view, while a</w:t>
      </w:r>
      <w:r>
        <w:t xml:space="preserve"> </w:t>
      </w:r>
      <w:r>
        <w:t xml:space="preserve">majority of business associations and organisations agreed. In this regard, 50% (amounting to 69</w:t>
      </w:r>
      <w:r>
        <w:t xml:space="preserve"> </w:t>
      </w:r>
      <w:r>
        <w:t xml:space="preserve">out of 138 respondents) highlighted the need to introduce rules at EU level, whereas 39 respondents</w:t>
      </w:r>
      <w:r>
        <w:t xml:space="preserve"> </w:t>
      </w:r>
      <w:r>
        <w:t xml:space="preserve">(28%) disagreed, and 31 respondents (22%) voiced no opinion. Consumer organisations, NGOs</w:t>
      </w:r>
      <w:r>
        <w:t xml:space="preserve"> </w:t>
      </w:r>
      <w:r>
        <w:t xml:space="preserve">and public authorities were overwhelmingly in favour of this introduction, with a smaller majority</w:t>
      </w:r>
      <w:r>
        <w:t xml:space="preserve"> </w:t>
      </w:r>
      <w:r>
        <w:t xml:space="preserve">of business organisations and associations agreeing. Most respondents (82 out of 141, 58%), mainly</w:t>
      </w:r>
      <w:r>
        <w:t xml:space="preserve"> </w:t>
      </w:r>
      <w:r>
        <w:t xml:space="preserve">from public authorities, business organisations and associations, indicated that adequate protection</w:t>
      </w:r>
      <w:r>
        <w:t xml:space="preserve"> </w:t>
      </w:r>
      <w:r>
        <w:t xml:space="preserve">for online purchases existed, commenting that where problems did occur, they were an enforcement</w:t>
      </w:r>
      <w:r>
        <w:t xml:space="preserve"> </w:t>
      </w:r>
      <w:r>
        <w:t xml:space="preserve">issue. Others (39, 28%), including all consumer organisations, noted that some digital-specific risks</w:t>
      </w:r>
      <w:r>
        <w:t xml:space="preserve"> </w:t>
      </w:r>
      <w:r>
        <w:t xml:space="preserve">existed and should be addressed via EU rules. Finally, views were split as to how important it was</w:t>
      </w:r>
      <w:r>
        <w:t xml:space="preserve"> </w:t>
      </w:r>
      <w:r>
        <w:t xml:space="preserve">that lower risk and non-complex products appeared first on listings when products were offered</w:t>
      </w:r>
      <w:r>
        <w:t xml:space="preserve"> </w:t>
      </w:r>
      <w:r>
        <w:t xml:space="preserve">online, with 39% (52 respondents out of 132), mainly business organisations and associations,</w:t>
      </w:r>
      <w:r>
        <w:t xml:space="preserve"> </w:t>
      </w:r>
      <w:r>
        <w:t xml:space="preserve">indicating it was rather not important or not important at all and 30% (40 respondents), including</w:t>
      </w:r>
      <w:r>
        <w:t xml:space="preserve"> </w:t>
      </w:r>
      <w:r>
        <w:t xml:space="preserve">a majority of public authorities, indicating that it was somewhat or very important. One consumer</w:t>
      </w:r>
      <w:r>
        <w:t xml:space="preserve"> </w:t>
      </w:r>
      <w:r>
        <w:t xml:space="preserve">organisation also suggested that risky and complex products should not be included in the rankings</w:t>
      </w:r>
      <w:r>
        <w:t xml:space="preserve"> </w:t>
      </w:r>
      <w:r>
        <w:t xml:space="preserve">at all.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Disclosure requirements</w:t>
      </w:r>
      <w:r>
        <w:t xml:space="preserve"> </w:t>
      </w:r>
      <w:r>
        <w:t xml:space="preserve">Industry representatives generally agreed that pre-contractual disclosure documentation for retail</w:t>
      </w:r>
      <w:r>
        <w:t xml:space="preserve"> </w:t>
      </w:r>
      <w:r>
        <w:t xml:space="preserve">investments enabled adequate understanding of the key product features in cases where no KID</w:t>
      </w:r>
      <w:r>
        <w:t xml:space="preserve"> </w:t>
      </w:r>
      <w:r>
        <w:t xml:space="preserve">was provided (52 out of 131, or 40%, mainly representatives of banking, investment management</w:t>
      </w:r>
      <w:r>
        <w:t xml:space="preserve"> </w:t>
      </w:r>
      <w:r>
        <w:t xml:space="preserve">and insurance). On the other hand, 35 respondents (or 27%) including 5 NGOs and all consumer</w:t>
      </w:r>
      <w:r>
        <w:t xml:space="preserve"> </w:t>
      </w:r>
      <w:r>
        <w:t xml:space="preserve">organisations considered these inadequate and public authorities saw room for improvement. A</w:t>
      </w:r>
      <w:r>
        <w:t xml:space="preserve"> </w:t>
      </w:r>
      <w:r>
        <w:t xml:space="preserve">group of respondents was of the view that the information provided to retail investors in the PRIIPs</w:t>
      </w:r>
      <w:r>
        <w:t xml:space="preserve"> </w:t>
      </w:r>
      <w:r>
        <w:t xml:space="preserve">KID was sufficiently understandable (33 out of 128, or 26%) and reliable (37 out of 124, 30%), to</w:t>
      </w:r>
      <w:r>
        <w:t xml:space="preserve"> </w:t>
      </w:r>
      <w:r>
        <w:t xml:space="preserve">help them take investment decisions, including half of consumer organisations, business</w:t>
      </w:r>
      <w:r>
        <w:t xml:space="preserve"> </w:t>
      </w:r>
      <w:r>
        <w:t xml:space="preserve">representatives from all sectors participating in the consultation and a minority of public authorities</w:t>
      </w:r>
      <w:r>
        <w:t xml:space="preserve"> </w:t>
      </w:r>
      <w:r>
        <w:t xml:space="preserve">and NGOs. This was opposed to those who indicated that the information was not sufficiently</w:t>
      </w:r>
      <w:r>
        <w:t xml:space="preserve"> </w:t>
      </w:r>
      <w:r>
        <w:t xml:space="preserve">understandable (42, 33%) or reliable (33, 27%), including consumer organisations, less than half</w:t>
      </w:r>
      <w:r>
        <w:t xml:space="preserve"> </w:t>
      </w:r>
      <w:r>
        <w:t xml:space="preserve">of public authorities as well as representatives of all the sectors participating in the consultation.</w:t>
      </w:r>
      <w:r>
        <w:t xml:space="preserve"> </w:t>
      </w:r>
      <w:r>
        <w:t xml:space="preserve">Moreover, respondents were generally of the view that information about the type, objectives,</w:t>
      </w:r>
      <w:r>
        <w:t xml:space="preserve"> </w:t>
      </w:r>
      <w:r>
        <w:t xml:space="preserve">functioning, risk-profile, and the summary risk indicator of the product was understandable and</w:t>
      </w:r>
      <w:r>
        <w:t xml:space="preserve"> </w:t>
      </w:r>
      <w:r>
        <w:t xml:space="preserve">reliable, while the information about product performance was less so. In addition, the majority (77</w:t>
      </w:r>
      <w:r>
        <w:t xml:space="preserve"> </w:t>
      </w:r>
      <w:r>
        <w:t xml:space="preserve">out of 134, or 57%) of respondents199 agreed that pre-contractual disclosure should enable as far as</w:t>
      </w:r>
      <w:r>
        <w:t xml:space="preserve"> </w:t>
      </w:r>
      <w:r>
        <w:t xml:space="preserve">possible a clear comparison between different investment products (e.g. insurance versus</w:t>
      </w:r>
      <w:r>
        <w:t xml:space="preserve"> </w:t>
      </w:r>
      <w:r>
        <w:t xml:space="preserve">investment funds), unlike the 37 (28%) who disagreed200.</w:t>
      </w:r>
      <w:r>
        <w:br/>
      </w:r>
      <w:r>
        <w:t xml:space="preserve">Almost half of respondents (55 out of 126, 44%), including consumer organisations and NGOs as</w:t>
      </w:r>
      <w:r>
        <w:t xml:space="preserve"> </w:t>
      </w:r>
      <w:r>
        <w:t xml:space="preserve">well as 5 public authorities and company/business representatives of banking, investment</w:t>
      </w:r>
      <w:r>
        <w:t xml:space="preserve"> </w:t>
      </w:r>
      <w:r>
        <w:t xml:space="preserve">management and insurance, considered that the amount of information provided in the PRIIPs KID</w:t>
      </w:r>
      <w:r>
        <w:t xml:space="preserve"> </w:t>
      </w:r>
      <w:r>
        <w:t xml:space="preserve">was adequate, however views on information about product performance were split201. On the</w:t>
      </w:r>
      <w:r>
        <w:t xml:space="preserve"> </w:t>
      </w:r>
      <w:r>
        <w:t xml:space="preserve">PRIIPs KID, a group of 33 out of 119, or 28% of respondents202 considered that information on</w:t>
      </w:r>
      <w:r>
        <w:t xml:space="preserve"> </w:t>
      </w:r>
      <w:r>
        <w:t xml:space="preserve">sustainability-aspects of the product was insufficient. A similar share of respondents, 31 or 26%203,</w:t>
      </w:r>
      <w:r>
        <w:t xml:space="preserve"> </w:t>
      </w:r>
      <w:r>
        <w:t xml:space="preserve">considered that it was adequate, while only 11 or 9% thought it was excessive. The remaining 37%</w:t>
      </w:r>
      <w:r>
        <w:t xml:space="preserve"> </w:t>
      </w:r>
      <w:r>
        <w:t xml:space="preserve">did not express an opinion. In general, respondents expressed support for the current maximum</w:t>
      </w:r>
      <w:r>
        <w:t xml:space="preserve"> </w:t>
      </w:r>
      <w:r>
        <w:t xml:space="preserve">length of the PRIIPs KID or a similar pre-contractual disclosure document, although some</w:t>
      </w:r>
      <w:r>
        <w:t xml:space="preserve"> </w:t>
      </w:r>
      <w:r>
        <w:t xml:space="preserve">consumer organisations and public authorities expressed a preference for shorter KIDs, and the</w:t>
      </w:r>
      <w:r>
        <w:t xml:space="preserve"> </w:t>
      </w:r>
      <w:r>
        <w:t xml:space="preserve">investment management industry expressed a preference for more flexibility. There seemed to be</w:t>
      </w:r>
      <w:r>
        <w:t xml:space="preserve"> </w:t>
      </w:r>
      <w:r>
        <w:t xml:space="preserve">general agreement that the PRIIPs KID was overloaded with information.</w:t>
      </w:r>
      <w:r>
        <w:br/>
      </w:r>
      <w:r>
        <w:t xml:space="preserve">On the Insurance Information Document, 31 respondents out of 91, or 34%, including one</w:t>
      </w:r>
      <w:r>
        <w:t xml:space="preserve"> </w:t>
      </w:r>
      <w:r>
        <w:t xml:space="preserve">consumer association, 6 public authorities, most NGOs and representatives of the banking,</w:t>
      </w:r>
      <w:r>
        <w:t xml:space="preserve"> </w:t>
      </w:r>
      <w:r>
        <w:t xml:space="preserve">insurance and investment management sectors, said that the amount of information provided was</w:t>
      </w:r>
    </w:p>
    <w:p>
      <w:pPr>
        <w:pStyle w:val="BodyText"/>
      </w:pPr>
      <w:r>
        <w:t xml:space="preserve">199 Including all consumer organisations and most NGOs, representatives of the banking, insurance and investment</w:t>
      </w:r>
      <w:r>
        <w:t xml:space="preserve"> </w:t>
      </w:r>
      <w:r>
        <w:t xml:space="preserve">management sectors, 9 national authorities as well citizens.</w:t>
      </w:r>
      <w:r>
        <w:br/>
      </w:r>
      <w:r>
        <w:t xml:space="preserve">200 Mainly investment management representatives, as well as some banking and insurance representatives, 1</w:t>
      </w:r>
      <w:r>
        <w:t xml:space="preserve"> </w:t>
      </w:r>
      <w:r>
        <w:t xml:space="preserve">public authority and a minority of NGOs.</w:t>
      </w:r>
      <w:r>
        <w:t xml:space="preserve"> </w:t>
      </w:r>
      <w:r>
        <w:t xml:space="preserve">201 Opinions included ‘insufficient’ (29 out of 123, or 24%, including all consumer organisations, citizens, 2 public</w:t>
      </w:r>
      <w:r>
        <w:t xml:space="preserve"> </w:t>
      </w:r>
      <w:r>
        <w:t xml:space="preserve">authorities and representatives of mainly investment management as well as banking and insurance), ‘adequate’</w:t>
      </w:r>
      <w:r>
        <w:t xml:space="preserve"> </w:t>
      </w:r>
      <w:r>
        <w:t xml:space="preserve">(38, 31%, mainly NGOs, a few public authorities and representatives of banking, investment management and</w:t>
      </w:r>
      <w:r>
        <w:t xml:space="preserve"> </w:t>
      </w:r>
      <w:r>
        <w:t xml:space="preserve">insurance), and ‘excessive’ (33, 27%, including representatives of investment management, banking and insurance,</w:t>
      </w:r>
      <w:r>
        <w:t xml:space="preserve"> </w:t>
      </w:r>
      <w:r>
        <w:t xml:space="preserve">as well as 5 public authorities and a consumer organisation).</w:t>
      </w:r>
      <w:r>
        <w:t xml:space="preserve"> </w:t>
      </w:r>
      <w:r>
        <w:t xml:space="preserve">202 All consumer organisations and NGOs, 5 public authorities and a few representatives of banking, insurance and</w:t>
      </w:r>
      <w:r>
        <w:t xml:space="preserve"> </w:t>
      </w:r>
      <w:r>
        <w:t xml:space="preserve">investment management.</w:t>
      </w:r>
      <w:r>
        <w:br/>
      </w:r>
      <w:r>
        <w:t xml:space="preserve">203 Including banking, investment management and insurance representatives as well as citizens and a few NGOs.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adequate. Only 5 (5%) stated that it was insufficient, while 9 (10%) deemed it excessive, in both</w:t>
      </w:r>
      <w:r>
        <w:t xml:space="preserve"> </w:t>
      </w:r>
      <w:r>
        <w:t xml:space="preserve">cases mainly business representatives of the insurance sector. The remaining 51% did not provide</w:t>
      </w:r>
      <w:r>
        <w:t xml:space="preserve"> </w:t>
      </w:r>
      <w:r>
        <w:t xml:space="preserve">an answer.</w:t>
      </w:r>
      <w:r>
        <w:br/>
      </w:r>
      <w:r>
        <w:t xml:space="preserve">Regarding the way product cost information is calculated and presented in the EU disclosure rules</w:t>
      </w:r>
      <w:r>
        <w:t xml:space="preserve"> </w:t>
      </w:r>
      <w:r>
        <w:t xml:space="preserve">(e.g. PRIIPs, MiFID, IDD, PEPP, etc.), a vast majority (80 out of 128, or 63%,204) saw overlaps,</w:t>
      </w:r>
      <w:r>
        <w:t xml:space="preserve"> </w:t>
      </w:r>
      <w:r>
        <w:t xml:space="preserve">inconsistencies, redundancies, or gaps. Only a minority (11 or 9%) stated that they were not aware</w:t>
      </w:r>
      <w:r>
        <w:t xml:space="preserve"> </w:t>
      </w:r>
      <w:r>
        <w:t xml:space="preserve">of such characteristics in EU disclosure rules. With respect to how performance information is</w:t>
      </w:r>
      <w:r>
        <w:t xml:space="preserve"> </w:t>
      </w:r>
      <w:r>
        <w:t xml:space="preserve">presented, similarly, a majority of 71 out of 122, or 58%205, stated that they were aware of overlaps,</w:t>
      </w:r>
      <w:r>
        <w:t xml:space="preserve"> </w:t>
      </w:r>
      <w:r>
        <w:t xml:space="preserve">inconsistencies, redundancies, or gaps. Only a minority (13 or 11%) answered that they were not.</w:t>
      </w:r>
      <w:r>
        <w:t xml:space="preserve"> </w:t>
      </w:r>
      <w:r>
        <w:t xml:space="preserve">Moreover, respondents expressed different views on how disclosure requirements for more</w:t>
      </w:r>
      <w:r>
        <w:t xml:space="preserve"> </w:t>
      </w:r>
      <w:r>
        <w:t xml:space="preserve">complex products and those for simpler products should differ, including inter alia that more</w:t>
      </w:r>
      <w:r>
        <w:t xml:space="preserve"> </w:t>
      </w:r>
      <w:r>
        <w:t xml:space="preserve">information on complex products would not necessarily facilitate understanding, that the definition</w:t>
      </w:r>
      <w:r>
        <w:t xml:space="preserve"> </w:t>
      </w:r>
      <w:r>
        <w:t xml:space="preserve">of “complex” products was not always appropriate, that it would be important to ensure that</w:t>
      </w:r>
      <w:r>
        <w:t xml:space="preserve"> </w:t>
      </w:r>
      <w:r>
        <w:t xml:space="preserve">consumers saw less risky and complex products first, or that such products should not be offered</w:t>
      </w:r>
      <w:r>
        <w:t xml:space="preserve"> </w:t>
      </w:r>
      <w:r>
        <w:t xml:space="preserve">without advice (some respondents suggested adding one extra page to the KID for complex</w:t>
      </w:r>
      <w:r>
        <w:t xml:space="preserve"> </w:t>
      </w:r>
      <w:r>
        <w:t xml:space="preserve">products. Many respondents, particularly from the industry, considered that there was no need for</w:t>
      </w:r>
      <w:r>
        <w:t xml:space="preserve"> </w:t>
      </w:r>
      <w:r>
        <w:t xml:space="preserve">additional information).</w:t>
      </w:r>
      <w:r>
        <w:br/>
      </w:r>
      <w:r>
        <w:t xml:space="preserve">A vast majority of respondents (108 out of 133, 83%206) were in favour of the use of electronic</w:t>
      </w:r>
      <w:r>
        <w:t xml:space="preserve"> </w:t>
      </w:r>
      <w:r>
        <w:t xml:space="preserve">format by default, with (free) paper versions available upon request. A similarly strong majority</w:t>
      </w:r>
      <w:r>
        <w:t xml:space="preserve"> </w:t>
      </w:r>
      <w:r>
        <w:t xml:space="preserve">(110 out of 134, 82%207) noted the importance of information documents translated into the official</w:t>
      </w:r>
      <w:r>
        <w:t xml:space="preserve"> </w:t>
      </w:r>
      <w:r>
        <w:t xml:space="preserve">language of the place of distribution. When disclosing information through digital means, a large</w:t>
      </w:r>
      <w:r>
        <w:t xml:space="preserve"> </w:t>
      </w:r>
      <w:r>
        <w:t xml:space="preserve">group of respondents found that it was important that key information was displayed in ways which</w:t>
      </w:r>
      <w:r>
        <w:t xml:space="preserve"> </w:t>
      </w:r>
      <w:r>
        <w:t xml:space="preserve">highlighted the prominence, was appropriately labelled, and that relevant hyperlinks used to</w:t>
      </w:r>
      <w:r>
        <w:t xml:space="preserve"> </w:t>
      </w:r>
      <w:r>
        <w:t xml:space="preserve">provide access to supplementary information. Clear rules to prescribe presentation formats and the</w:t>
      </w:r>
      <w:r>
        <w:t xml:space="preserve"> </w:t>
      </w:r>
      <w:r>
        <w:t xml:space="preserve">adaptation of formats for different kinds of devices were also recommended.</w:t>
      </w:r>
      <w:r>
        <w:t xml:space="preserve"> </w:t>
      </w:r>
      <w:r>
        <w:t xml:space="preserve">The PRIIPs regulation</w:t>
      </w:r>
      <w:r>
        <w:t xml:space="preserve"> </w:t>
      </w:r>
      <w:r>
        <w:t xml:space="preserve">Slightly more than a third of respondents who answered (49 out of 129, or 38%) agreed that the</w:t>
      </w:r>
      <w:r>
        <w:t xml:space="preserve"> </w:t>
      </w:r>
      <w:r>
        <w:t xml:space="preserve">PRIIPs KID improved the level of understanding that retail investors have of retail investment</w:t>
      </w:r>
      <w:r>
        <w:t xml:space="preserve"> </w:t>
      </w:r>
      <w:r>
        <w:t xml:space="preserve">products, as opposed to slightly fewer who disagreed (43, 33%), while the remaining respondents</w:t>
      </w:r>
      <w:r>
        <w:t xml:space="preserve"> </w:t>
      </w:r>
      <w:r>
        <w:t xml:space="preserve">(38, 29%) voiced no opinion. While the views of consumer organisations were split, representatives</w:t>
      </w:r>
      <w:r>
        <w:t xml:space="preserve"> </w:t>
      </w:r>
      <w:r>
        <w:t xml:space="preserve">of investment advisors, insurance, and other sectors such as banks generally answered</w:t>
      </w:r>
      <w:r>
        <w:t xml:space="preserve"> </w:t>
      </w:r>
      <w:r>
        <w:t xml:space="preserve">affirmatively. Half of the public authorities who answered (7 out of 14) found that the PRIIPs</w:t>
      </w:r>
      <w:r>
        <w:t xml:space="preserve"> </w:t>
      </w:r>
      <w:r>
        <w:t xml:space="preserve">Regulation had not met this objective, pointing to the PRIIPs KID’s complexity, its tendency to be</w:t>
      </w:r>
      <w:r>
        <w:t xml:space="preserve"> </w:t>
      </w:r>
      <w:r>
        <w:t xml:space="preserve">overloaded with information, and the fact that cost and performance indicators may in some cases</w:t>
      </w:r>
      <w:r>
        <w:t xml:space="preserve"> </w:t>
      </w:r>
      <w:r>
        <w:t xml:space="preserve">be misleading.</w:t>
      </w:r>
      <w:r>
        <w:br/>
      </w:r>
      <w:r>
        <w:t xml:space="preserve">Views were split (49 out of 128, or 38%, disagreed whereas 46, or 36%, agreed and 33, or 26%</w:t>
      </w:r>
      <w:r>
        <w:t xml:space="preserve"> </w:t>
      </w:r>
      <w:r>
        <w:t xml:space="preserve">voiced no opinion) on whether the PRIIPs Regulation improved the ability of retail investors to</w:t>
      </w:r>
      <w:r>
        <w:t xml:space="preserve"> </w:t>
      </w:r>
      <w:r>
        <w:t xml:space="preserve">compare different retail investment products, both within and among different product types.</w:t>
      </w:r>
    </w:p>
    <w:p>
      <w:pPr>
        <w:pStyle w:val="BodyText"/>
      </w:pPr>
      <w:r>
        <w:t xml:space="preserve">204 Mainly investment management, banking and insurance representatives, as well as 9 public authorities, one</w:t>
      </w:r>
      <w:r>
        <w:t xml:space="preserve"> </w:t>
      </w:r>
      <w:r>
        <w:t xml:space="preserve">consumer organisation and most NGOs.</w:t>
      </w:r>
      <w:r>
        <w:br/>
      </w:r>
      <w:r>
        <w:t xml:space="preserve">205 Representatives from all sectors participating to the consultation, 2 consumer organisations, NGOs and 9 public</w:t>
      </w:r>
      <w:r>
        <w:t xml:space="preserve"> </w:t>
      </w:r>
      <w:r>
        <w:t xml:space="preserve">authorities.</w:t>
      </w:r>
      <w:r>
        <w:br/>
      </w:r>
      <w:r>
        <w:t xml:space="preserve">206 Including most consumer associations and NGOs, most public authorities (12 out of 17) and representatives of all</w:t>
      </w:r>
      <w:r>
        <w:t xml:space="preserve"> </w:t>
      </w:r>
      <w:r>
        <w:t xml:space="preserve">the sectors participating to the consultation.</w:t>
      </w:r>
      <w:r>
        <w:br/>
      </w:r>
      <w:r>
        <w:t xml:space="preserve">207 Namely all consumer organisations, almost all public authorities (14 out of 17) and a vast majority of industry</w:t>
      </w:r>
      <w:r>
        <w:t xml:space="preserve"> </w:t>
      </w:r>
      <w:r>
        <w:t xml:space="preserve">stakeholders comprising all sectors represented in the consultation.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Among those who agreed were 1 consumer organisation, 5 public authorities and representatives</w:t>
      </w:r>
      <w:r>
        <w:t xml:space="preserve"> </w:t>
      </w:r>
      <w:r>
        <w:t xml:space="preserve">mainly from the banking sector, as well as the insurance and the investment management ones.</w:t>
      </w:r>
      <w:r>
        <w:t xml:space="preserve"> </w:t>
      </w:r>
      <w:r>
        <w:t xml:space="preserve">Those who disagreed included 2 consumer organisations, 6 public authorities, as well as NGOs and</w:t>
      </w:r>
      <w:r>
        <w:t xml:space="preserve"> </w:t>
      </w:r>
      <w:r>
        <w:t xml:space="preserve">company/business representatives of mainly investment management, in addition to some from</w:t>
      </w:r>
      <w:r>
        <w:t xml:space="preserve"> </w:t>
      </w:r>
      <w:r>
        <w:t xml:space="preserve">banking and insurance. A fourth of respondents (34 out of 127, 27%), mainly from business</w:t>
      </w:r>
      <w:r>
        <w:t xml:space="preserve"> </w:t>
      </w:r>
      <w:r>
        <w:t xml:space="preserve">associations and companies (overwhelming from the banking and insurance sectors) and a minority</w:t>
      </w:r>
      <w:r>
        <w:t xml:space="preserve"> </w:t>
      </w:r>
      <w:r>
        <w:t xml:space="preserve">of public authorities (2), indicated that the PRIIPs Regulation had reduced the frequency of mis-</w:t>
      </w:r>
      <w:r>
        <w:t xml:space="preserve"> </w:t>
      </w:r>
      <w:r>
        <w:t xml:space="preserve">selling of retail investment products and the number of complaints, while a smaller group (22, 17%)</w:t>
      </w:r>
      <w:r>
        <w:t xml:space="preserve"> </w:t>
      </w:r>
      <w:r>
        <w:t xml:space="preserve">counting 4 public authorities and NGOs disagreed. The remaining 60% expressed no preference.</w:t>
      </w:r>
      <w:r>
        <w:t xml:space="preserve"> </w:t>
      </w:r>
      <w:r>
        <w:t xml:space="preserve">Moreover, 39 respondents out of 128 (30%)208 agreed that the PRIIPs Regulation had enabled retail</w:t>
      </w:r>
      <w:r>
        <w:t xml:space="preserve"> </w:t>
      </w:r>
      <w:r>
        <w:t xml:space="preserve">investors to correctly identify and choose the investment products that are suitable for them, based</w:t>
      </w:r>
      <w:r>
        <w:t xml:space="preserve"> </w:t>
      </w:r>
      <w:r>
        <w:t xml:space="preserve">on their MiFID and IDD defined individual sustainability preferences, financial situation,</w:t>
      </w:r>
      <w:r>
        <w:t xml:space="preserve"> </w:t>
      </w:r>
      <w:r>
        <w:t xml:space="preserve">investment objectives and needs, and risk tolerance. However, 50 respondents, or 39%,</w:t>
      </w:r>
      <w:r>
        <w:t xml:space="preserve"> </w:t>
      </w:r>
      <w:r>
        <w:t xml:space="preserve">disagreed209. Finally, 39, or 30%, voiced no opinion. Almost half of respondents (77 out of 128, or</w:t>
      </w:r>
      <w:r>
        <w:t xml:space="preserve"> </w:t>
      </w:r>
      <w:r>
        <w:t xml:space="preserve">47%)210 considered that retail investors were easily able to find and access PRIIPs KIDs, while</w:t>
      </w:r>
      <w:r>
        <w:t xml:space="preserve"> </w:t>
      </w:r>
      <w:r>
        <w:t xml:space="preserve">another group (26, or 20%)211 were of the opposing view and another 26 respondents (20%) had</w:t>
      </w:r>
      <w:r>
        <w:t xml:space="preserve"> </w:t>
      </w:r>
      <w:r>
        <w:t xml:space="preserve">no opinion. No views were expressed on the rules on access to the PEPP KID.</w:t>
      </w:r>
      <w:r>
        <w:br/>
      </w:r>
      <w:r>
        <w:t xml:space="preserve">A majority of respondents (67 out of 119, 56%) preferred requiring that the PRIIPs KIDs and PEPP</w:t>
      </w:r>
      <w:r>
        <w:t xml:space="preserve"> </w:t>
      </w:r>
      <w:r>
        <w:t xml:space="preserve">KIDs be made available in a dedicated section on manufacturer and distributor websites212. This</w:t>
      </w:r>
      <w:r>
        <w:t xml:space="preserve"> </w:t>
      </w:r>
      <w:r>
        <w:t xml:space="preserve">was followed by requiring that the KIDs be uploaded onto a searchable EU-wide database (47,</w:t>
      </w:r>
      <w:r>
        <w:t xml:space="preserve"> </w:t>
      </w:r>
      <w:r>
        <w:t xml:space="preserve">39%,213), whereas a larger portion of respondents (60 or 50%,214) disagreed. The uploading onto</w:t>
      </w:r>
      <w:r>
        <w:t xml:space="preserve"> </w:t>
      </w:r>
      <w:r>
        <w:t xml:space="preserve">national databases was supported by 40, or 34%215.</w:t>
      </w:r>
      <w:r>
        <w:br/>
      </w:r>
      <w:r>
        <w:t xml:space="preserve">A significant majority of respondents (86 out of 123, or 70%, made up of 1 consumer organisation,</w:t>
      </w:r>
      <w:r>
        <w:t xml:space="preserve"> </w:t>
      </w:r>
      <w:r>
        <w:t xml:space="preserve">9 public authorities, NGOs, and company/business representatives of all the sectors participating</w:t>
      </w:r>
      <w:r>
        <w:t xml:space="preserve"> </w:t>
      </w:r>
      <w:r>
        <w:t xml:space="preserve">to the consultation) saw merits in simplifying the current PRIIPs KIDs. A group of respondents (49</w:t>
      </w:r>
      <w:r>
        <w:t xml:space="preserve"> </w:t>
      </w:r>
      <w:r>
        <w:t xml:space="preserve">out of 117, 36%, i.e. 9 public authorities, NGOs and company/business representatives of banking,</w:t>
      </w:r>
      <w:r>
        <w:t xml:space="preserve"> </w:t>
      </w:r>
      <w:r>
        <w:t xml:space="preserve">insurance and investment management) noted the existence of inconsistencies or discrepancies in</w:t>
      </w:r>
      <w:r>
        <w:t xml:space="preserve"> </w:t>
      </w:r>
      <w:r>
        <w:t xml:space="preserve">the actual implementation of the PRIIPs Regulation. Only 16 or 14% disagreed. A small number</w:t>
      </w:r>
      <w:r>
        <w:t xml:space="preserve"> </w:t>
      </w:r>
      <w:r>
        <w:t xml:space="preserve">(18 out of 111, 14%, among which investment management companies, insurance and banking</w:t>
      </w:r>
      <w:r>
        <w:t xml:space="preserve"> </w:t>
      </w:r>
      <w:r>
        <w:t xml:space="preserve">associations, as well as 2 public authorities) noted inconsistencies in the supervision of PRIIPs</w:t>
      </w:r>
      <w:r>
        <w:t xml:space="preserve"> </w:t>
      </w:r>
      <w:r>
        <w:t xml:space="preserve">KIDs. Limited answers were provided, with strong variability between them, on the costs of</w:t>
      </w:r>
      <w:r>
        <w:t xml:space="preserve"> </w:t>
      </w:r>
      <w:r>
        <w:t xml:space="preserve">manufacturing and updating a PRIIPs KID, a PEPP KID and an IPID. A larger group of respondents</w:t>
      </w:r>
    </w:p>
    <w:p>
      <w:pPr>
        <w:pStyle w:val="BodyText"/>
      </w:pPr>
      <w:r>
        <w:t xml:space="preserve">208 Predominantly banking and insurance representatives and a minority of public authorities (2).</w:t>
      </w:r>
      <w:r>
        <w:br/>
      </w:r>
      <w:r>
        <w:t xml:space="preserve">209 Including all consumer organisations, NGOs, 7 public authorities and representatives of mainly investment</w:t>
      </w:r>
      <w:r>
        <w:t xml:space="preserve"> </w:t>
      </w:r>
      <w:r>
        <w:t xml:space="preserve">management, and some from banking and insurance.</w:t>
      </w:r>
      <w:r>
        <w:br/>
      </w:r>
      <w:r>
        <w:t xml:space="preserve">210 In particular business associations and companies from the investment management, insurance and banking</w:t>
      </w:r>
      <w:r>
        <w:t xml:space="preserve"> </w:t>
      </w:r>
      <w:r>
        <w:t xml:space="preserve">sectors, as well as 6 public authorities.</w:t>
      </w:r>
      <w:r>
        <w:t xml:space="preserve"> </w:t>
      </w:r>
      <w:r>
        <w:t xml:space="preserve">211 Mainly citizens, consumer associations, and NGOs.</w:t>
      </w:r>
      <w:r>
        <w:t xml:space="preserve"> </w:t>
      </w:r>
      <w:r>
        <w:t xml:space="preserve">212 This included all consumer organisations, NGOs, 8 public authorities and representatives from investment</w:t>
      </w:r>
      <w:r>
        <w:t xml:space="preserve"> </w:t>
      </w:r>
      <w:r>
        <w:t xml:space="preserve">management, banking and insurance. The minority who disagreed (37, or 31%) comprised representatives of mainly</w:t>
      </w:r>
      <w:r>
        <w:t xml:space="preserve"> </w:t>
      </w:r>
      <w:r>
        <w:t xml:space="preserve">banking and insurance, as well as investment management, and 2 public authorities.</w:t>
      </w:r>
      <w:r>
        <w:t xml:space="preserve"> </w:t>
      </w:r>
      <w:r>
        <w:t xml:space="preserve">213 All consumer organisations, NGOs, 4 public authorities and representatives of investment management, banking</w:t>
      </w:r>
      <w:r>
        <w:t xml:space="preserve"> </w:t>
      </w:r>
      <w:r>
        <w:t xml:space="preserve">and insurance.</w:t>
      </w:r>
      <w:r>
        <w:t xml:space="preserve"> </w:t>
      </w:r>
      <w:r>
        <w:t xml:space="preserve">214 6 public authorities and a sizeable number of representatives of banking, insurance and investment</w:t>
      </w:r>
      <w:r>
        <w:t xml:space="preserve"> </w:t>
      </w:r>
      <w:r>
        <w:t xml:space="preserve">management.</w:t>
      </w:r>
      <w:r>
        <w:t xml:space="preserve"> </w:t>
      </w:r>
      <w:r>
        <w:t xml:space="preserve">215 Consumer organisations, NGOs, 4 public authorities and representatives of investment management, banking</w:t>
      </w:r>
      <w:r>
        <w:t xml:space="preserve"> </w:t>
      </w:r>
      <w:r>
        <w:t xml:space="preserve">and insurance.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(44 out of 107, 41%216) answered that distributors and/or manufacturers of Multiple Option</w:t>
      </w:r>
      <w:r>
        <w:t xml:space="preserve"> </w:t>
      </w:r>
      <w:r>
        <w:t xml:space="preserve">Products should not be required to provide retail investors with a single tailor-made KID reflecting</w:t>
      </w:r>
      <w:r>
        <w:t xml:space="preserve"> </w:t>
      </w:r>
      <w:r>
        <w:t xml:space="preserve">the preferred underlying portfolio of each investor, as opposed to those who agreed to this (21,</w:t>
      </w:r>
      <w:r>
        <w:t xml:space="preserve"> </w:t>
      </w:r>
      <w:r>
        <w:t xml:space="preserve">19%,217), while 41 (38%) held no opinion. A majority of consumer associations and public</w:t>
      </w:r>
      <w:r>
        <w:t xml:space="preserve"> </w:t>
      </w:r>
      <w:r>
        <w:t xml:space="preserve">authorities which responded expressed their support for a single tailor-made KID.</w:t>
      </w:r>
      <w:r>
        <w:br/>
      </w:r>
      <w:r>
        <w:t xml:space="preserve">On the question whether pension products should be included under the scope of the PRIIPs</w:t>
      </w:r>
      <w:r>
        <w:t xml:space="preserve"> </w:t>
      </w:r>
      <w:r>
        <w:t xml:space="preserve">Regulation, a majority of respondents, mainly from business associations and companies from the</w:t>
      </w:r>
      <w:r>
        <w:t xml:space="preserve"> </w:t>
      </w:r>
      <w:r>
        <w:t xml:space="preserve">banking, insurance, and investment management sectors, were generally of the opinion that pension</w:t>
      </w:r>
      <w:r>
        <w:t xml:space="preserve"> </w:t>
      </w:r>
      <w:r>
        <w:t xml:space="preserve">products should remain outside the scope, whereas a minority, mainly NGOs, consumer</w:t>
      </w:r>
      <w:r>
        <w:t xml:space="preserve"> </w:t>
      </w:r>
      <w:r>
        <w:t xml:space="preserve">organisations, and citizens, expressed their support. Half of respondents (70 out of 118, 59%), in</w:t>
      </w:r>
      <w:r>
        <w:t xml:space="preserve"> </w:t>
      </w:r>
      <w:r>
        <w:t xml:space="preserve">particular on the industry side, were generally opposed to allowing access to past versions of</w:t>
      </w:r>
      <w:r>
        <w:t xml:space="preserve"> </w:t>
      </w:r>
      <w:r>
        <w:t xml:space="preserve">PRIIPs KIDs, pointing to the risk of displaying outdated KID versions and subsequent</w:t>
      </w:r>
      <w:r>
        <w:t xml:space="preserve"> </w:t>
      </w:r>
      <w:r>
        <w:t xml:space="preserve">misinterpretation. A smaller group of respondents (20, 17%) were in favour and 28 respondents</w:t>
      </w:r>
      <w:r>
        <w:t xml:space="preserve"> </w:t>
      </w:r>
      <w:r>
        <w:t xml:space="preserve">(24%) voiced no opinion. A strong majority (90 out of 122, or 74%) finally indicated that the review</w:t>
      </w:r>
      <w:r>
        <w:t xml:space="preserve"> </w:t>
      </w:r>
      <w:r>
        <w:t xml:space="preserve">and updating of the PRIIPs KID should not occur more regularly than what was the case at the time</w:t>
      </w:r>
      <w:r>
        <w:t xml:space="preserve"> </w:t>
      </w:r>
      <w:r>
        <w:t xml:space="preserve">of consultation.</w:t>
      </w:r>
      <w:r>
        <w:br/>
      </w:r>
      <w:r>
        <w:t xml:space="preserve">Suitability and appropriateness assessment</w:t>
      </w:r>
      <w:r>
        <w:t xml:space="preserve"> </w:t>
      </w:r>
      <w:r>
        <w:t xml:space="preserve">The results of the consultation on the suitability and appropriateness assessments show a significant</w:t>
      </w:r>
      <w:r>
        <w:t xml:space="preserve"> </w:t>
      </w:r>
      <w:r>
        <w:t xml:space="preserve">contrast in the perception of the effectiveness of those tools between the respondents from industry</w:t>
      </w:r>
      <w:r>
        <w:t xml:space="preserve"> </w:t>
      </w:r>
      <w:r>
        <w:t xml:space="preserve">and those from consumer organisations.</w:t>
      </w:r>
      <w:r>
        <w:br/>
      </w:r>
      <w:r>
        <w:t xml:space="preserve">The overall majority of respondents (81 out of 126, 64%), mainly from business organisations</w:t>
      </w:r>
      <w:r>
        <w:t xml:space="preserve"> </w:t>
      </w:r>
      <w:r>
        <w:t xml:space="preserve">(73%), public authorities (54%) and business associations (90%) considered that the suitability</w:t>
      </w:r>
      <w:r>
        <w:t xml:space="preserve"> </w:t>
      </w:r>
      <w:r>
        <w:t xml:space="preserve">assessment served retail investor needs and was effective in ensuring that they are not offered</w:t>
      </w:r>
      <w:r>
        <w:t xml:space="preserve"> </w:t>
      </w:r>
      <w:r>
        <w:t xml:space="preserve">unsuitable products. Public authorities were equally divided about the usefulness of the</w:t>
      </w:r>
      <w:r>
        <w:t xml:space="preserve"> </w:t>
      </w:r>
      <w:r>
        <w:t xml:space="preserve">appropriateness test to serve retail investor needs. Consumer organisations and NGOs, on the other</w:t>
      </w:r>
      <w:r>
        <w:t xml:space="preserve"> </w:t>
      </w:r>
      <w:r>
        <w:t xml:space="preserve">hand, overwhelmingly disagreed on the efficiency of those tools. Nearly 100% of this group and</w:t>
      </w:r>
      <w:r>
        <w:t xml:space="preserve"> </w:t>
      </w:r>
      <w:r>
        <w:t xml:space="preserve">52% (65) of all respondents identified problems with the suitability assessment and made</w:t>
      </w:r>
      <w:r>
        <w:t xml:space="preserve"> </w:t>
      </w:r>
      <w:r>
        <w:t xml:space="preserve">suggestions for improvement regarding inter alia the interplay between the product governance</w:t>
      </w:r>
      <w:r>
        <w:t xml:space="preserve"> </w:t>
      </w:r>
      <w:r>
        <w:t xml:space="preserve">rules and suitability or appropriateness testing, focussing on the overall understanding of</w:t>
      </w:r>
      <w:r>
        <w:t xml:space="preserve"> </w:t>
      </w:r>
      <w:r>
        <w:t xml:space="preserve">investments or portfolio composition, making the rules less burdensome and more useful for the</w:t>
      </w:r>
      <w:r>
        <w:t xml:space="preserve"> </w:t>
      </w:r>
      <w:r>
        <w:t xml:space="preserve">investor and clarifying the interaction between knowledge and experience criteria.</w:t>
      </w:r>
      <w:r>
        <w:br/>
      </w:r>
      <w:r>
        <w:t xml:space="preserve">Most stakeholders, constituting majorities from business organisations, business associations, and</w:t>
      </w:r>
      <w:r>
        <w:t xml:space="preserve"> </w:t>
      </w:r>
      <w:r>
        <w:t xml:space="preserve">public authorities, found that the rules on suitability assessments (64 out of 121, 53%) and</w:t>
      </w:r>
      <w:r>
        <w:t xml:space="preserve"> </w:t>
      </w:r>
      <w:r>
        <w:t xml:space="preserve">appropriateness tests (74 out of 122, 61%) were sufficiently adapted to the increasing use of online</w:t>
      </w:r>
      <w:r>
        <w:t xml:space="preserve"> </w:t>
      </w:r>
      <w:r>
        <w:t xml:space="preserve">platforms or brokers when providing advice. However, consumer organisations and NGOs largely</w:t>
      </w:r>
      <w:r>
        <w:t xml:space="preserve"> </w:t>
      </w:r>
      <w:r>
        <w:t xml:space="preserve">disagreed or expressed no opinion.</w:t>
      </w:r>
      <w:r>
        <w:br/>
      </w:r>
      <w:r>
        <w:t xml:space="preserve">A strong majority (91 out of 123, 74%) of stakeholders from the business groups, considered that</w:t>
      </w:r>
      <w:r>
        <w:t xml:space="preserve"> </w:t>
      </w:r>
      <w:r>
        <w:t xml:space="preserve">providing a warning about the fact that a product was inappropriate was sufficient protection for</w:t>
      </w:r>
      <w:r>
        <w:t xml:space="preserve"> </w:t>
      </w:r>
      <w:r>
        <w:t xml:space="preserve">retail investors, however some respondents of that group expressed concerns, inter alia that</w:t>
      </w:r>
      <w:r>
        <w:t xml:space="preserve"> </w:t>
      </w:r>
      <w:r>
        <w:t xml:space="preserve">warnings might not be enough for complex instruments. On the same topic, nearly all of the</w:t>
      </w:r>
      <w:r>
        <w:t xml:space="preserve"> </w:t>
      </w:r>
      <w:r>
        <w:t xml:space="preserve">consumer associations considered that providing a warning was not sufficient in terms of investor</w:t>
      </w:r>
      <w:r>
        <w:t xml:space="preserve"> </w:t>
      </w:r>
      <w:r>
        <w:t xml:space="preserve">protection. The majority of stakeholders (83 out of 123, 67%) from all respondent groups except</w:t>
      </w:r>
    </w:p>
    <w:p>
      <w:pPr>
        <w:pStyle w:val="BodyText"/>
      </w:pPr>
      <w:r>
        <w:t xml:space="preserve">216 3 public authorities, and a large group of investment management, banking and insurance representatives.</w:t>
      </w:r>
      <w:r>
        <w:t xml:space="preserve"> </w:t>
      </w:r>
      <w:r>
        <w:t xml:space="preserve">217 1 consumer organisation, 4 public authorities and investment management, insurance and banking</w:t>
      </w:r>
      <w:r>
        <w:t xml:space="preserve"> </w:t>
      </w:r>
      <w:r>
        <w:t xml:space="preserve">representatives.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for consumer organisations (of which only a third agreed) agreed that in case of the execution of</w:t>
      </w:r>
      <w:r>
        <w:t xml:space="preserve"> </w:t>
      </w:r>
      <w:r>
        <w:t xml:space="preserve">orders or transmission and reception of orders of certain non-complex products, at the initiative of</w:t>
      </w:r>
      <w:r>
        <w:t xml:space="preserve"> </w:t>
      </w:r>
      <w:r>
        <w:t xml:space="preserve">the client, no appropriateness test should be required.</w:t>
      </w:r>
      <w:r>
        <w:t xml:space="preserve"> </w:t>
      </w:r>
      <w:r>
        <w:t xml:space="preserve">39 respondents out of 98, or 40%, mainly business organisations and associations agreed or</w:t>
      </w:r>
      <w:r>
        <w:t xml:space="preserve"> </w:t>
      </w:r>
      <w:r>
        <w:t xml:space="preserve">strongly agreed that the demands and needs test in its current form was effective in avoiding mis-</w:t>
      </w:r>
      <w:r>
        <w:t xml:space="preserve"> </w:t>
      </w:r>
      <w:r>
        <w:t xml:space="preserve">selling of insurance products and in ensuring that products distributed correspond to the individual</w:t>
      </w:r>
      <w:r>
        <w:t xml:space="preserve"> </w:t>
      </w:r>
      <w:r>
        <w:t xml:space="preserve">situation of the customer, opposed to the 9 (9%) that disagreed or strongly disagreed. However,</w:t>
      </w:r>
      <w:r>
        <w:t xml:space="preserve"> </w:t>
      </w:r>
      <w:r>
        <w:t xml:space="preserve">51% of respondents, in large part consumer organisations and public authorities, indicated that they</w:t>
      </w:r>
      <w:r>
        <w:t xml:space="preserve"> </w:t>
      </w:r>
      <w:r>
        <w:t xml:space="preserve">had no opinion (38) or viewed this as neutral (12). A few (21 out of 100, or 21%), being a minority</w:t>
      </w:r>
      <w:r>
        <w:t xml:space="preserve"> </w:t>
      </w:r>
      <w:r>
        <w:t xml:space="preserve">from all stakeholder groups except consumer organisations, all of which voiced no opinion,</w:t>
      </w:r>
      <w:r>
        <w:t xml:space="preserve"> </w:t>
      </w:r>
      <w:r>
        <w:t xml:space="preserve">identified problems with the demands and needs test, in particular its application in combination</w:t>
      </w:r>
      <w:r>
        <w:t xml:space="preserve"> </w:t>
      </w:r>
      <w:r>
        <w:t xml:space="preserve">with the suitability assessment in the case of insurance-based investment products, including inter</w:t>
      </w:r>
      <w:r>
        <w:t xml:space="preserve"> </w:t>
      </w:r>
      <w:r>
        <w:t xml:space="preserve">alia the failure to consider the consumer’s global assets and/or possible over-insurance or double</w:t>
      </w:r>
      <w:r>
        <w:t xml:space="preserve"> </w:t>
      </w:r>
      <w:r>
        <w:t xml:space="preserve">insurance and the fact that the line between suitability test and demands and needs test appeared to</w:t>
      </w:r>
      <w:r>
        <w:t xml:space="preserve"> </w:t>
      </w:r>
      <w:r>
        <w:t xml:space="preserve">be blurred. Around one third (33 out of 96, 34%) disagreed that more detailed rules were needed</w:t>
      </w:r>
      <w:r>
        <w:t xml:space="preserve"> </w:t>
      </w:r>
      <w:r>
        <w:t xml:space="preserve">in EU law regarding the demands and needs test to make sure that it was applied consistently</w:t>
      </w:r>
      <w:r>
        <w:t xml:space="preserve"> </w:t>
      </w:r>
      <w:r>
        <w:t xml:space="preserve">throughout the internal market, opposed to roughly 19% of respondents (18) who answered</w:t>
      </w:r>
      <w:r>
        <w:t xml:space="preserve"> </w:t>
      </w:r>
      <w:r>
        <w:t xml:space="preserve">affirmatively. The majority of respondents (45, 47%), representing a majority from all different</w:t>
      </w:r>
      <w:r>
        <w:t xml:space="preserve"> </w:t>
      </w:r>
      <w:r>
        <w:t xml:space="preserve">stakeholder groups, voiced no opinion. About one fourth of respondents (34 out of 93, or 37%),</w:t>
      </w:r>
      <w:r>
        <w:t xml:space="preserve"> </w:t>
      </w:r>
      <w:r>
        <w:t xml:space="preserve">mainly public authorities, business associations and organisations, considered that the demands and</w:t>
      </w:r>
      <w:r>
        <w:t xml:space="preserve"> </w:t>
      </w:r>
      <w:r>
        <w:t xml:space="preserve">needs test was sufficiently adapted to the online distribution of insurance products, while a much</w:t>
      </w:r>
      <w:r>
        <w:t xml:space="preserve"> </w:t>
      </w:r>
      <w:r>
        <w:t xml:space="preserve">smaller group (8, 9%) considered that this was not the case and an absolute majority of 51</w:t>
      </w:r>
      <w:r>
        <w:t xml:space="preserve"> </w:t>
      </w:r>
      <w:r>
        <w:t xml:space="preserve">respondents (55%) voiced no opinion. Respondents were also divided (out of 94, 20 affirmative</w:t>
      </w:r>
      <w:r>
        <w:t xml:space="preserve"> </w:t>
      </w:r>
      <w:r>
        <w:t xml:space="preserve">(21%) versus 25 negative (27%)) on whether procedural improvements or additional rules or</w:t>
      </w:r>
      <w:r>
        <w:t xml:space="preserve"> </w:t>
      </w:r>
      <w:r>
        <w:t xml:space="preserve">guidance were needed to ensure the correct and efficient application of the test in cases of online</w:t>
      </w:r>
      <w:r>
        <w:t xml:space="preserve"> </w:t>
      </w:r>
      <w:r>
        <w:t xml:space="preserve">distribution. The disagreeing stakeholders were public authorities, business associations and</w:t>
      </w:r>
      <w:r>
        <w:t xml:space="preserve"> </w:t>
      </w:r>
      <w:r>
        <w:t xml:space="preserve">organisations, whereas all consumer organisations voiced no opinion.</w:t>
      </w:r>
      <w:r>
        <w:t xml:space="preserve"> </w:t>
      </w:r>
      <w:r>
        <w:t xml:space="preserve">Reviewing the framework for investor categorisation</w:t>
      </w:r>
      <w:r>
        <w:t xml:space="preserve"> </w:t>
      </w:r>
      <w:r>
        <w:t xml:space="preserve">A strong majority (92 out of 137, or 67%), composed of a majority of public authorities, business</w:t>
      </w:r>
      <w:r>
        <w:t xml:space="preserve"> </w:t>
      </w:r>
      <w:r>
        <w:t xml:space="preserve">organisations and associations, found that adjusting the existing definition of professional investors</w:t>
      </w:r>
      <w:r>
        <w:t xml:space="preserve"> </w:t>
      </w:r>
      <w:r>
        <w:t xml:space="preserve">on request would be the most appropriate approach for ensuring more appropriate client</w:t>
      </w:r>
      <w:r>
        <w:t xml:space="preserve"> </w:t>
      </w:r>
      <w:r>
        <w:t xml:space="preserve">categorisation. The introduction of an additional (semi-professional) client category received less</w:t>
      </w:r>
      <w:r>
        <w:t xml:space="preserve"> </w:t>
      </w:r>
      <w:r>
        <w:t xml:space="preserve">support (51 out of 139, or 37%) while the “no changes”/other measures option gathered support</w:t>
      </w:r>
      <w:r>
        <w:t xml:space="preserve"> </w:t>
      </w:r>
      <w:r>
        <w:t xml:space="preserve">from an even smaller group (26 out of 130, 20%). All stakeholder groups presented a majority</w:t>
      </w:r>
      <w:r>
        <w:t xml:space="preserve"> </w:t>
      </w:r>
      <w:r>
        <w:t xml:space="preserve">which disagreed with the latter two options, except consumer organisations which were evenly split</w:t>
      </w:r>
      <w:r>
        <w:t xml:space="preserve"> </w:t>
      </w:r>
      <w:r>
        <w:t xml:space="preserve">among “yes”, “no” and “no opinion”. A significant majority of respondents indicated that changes</w:t>
      </w:r>
      <w:r>
        <w:t xml:space="preserve"> </w:t>
      </w:r>
      <w:r>
        <w:t xml:space="preserve">were necessary to the criteria measuring frequency of transactions over the last four quarters (95</w:t>
      </w:r>
      <w:r>
        <w:t xml:space="preserve"> </w:t>
      </w:r>
      <w:r>
        <w:t xml:space="preserve">out of 124, 77%, overwhelmingly from public authorities, business associations and organisations,</w:t>
      </w:r>
      <w:r>
        <w:t xml:space="preserve"> </w:t>
      </w:r>
      <w:r>
        <w:t xml:space="preserve">with consumer organisations disagreeing), the existing wealth criteria (78 out of 126, 62%, mainly</w:t>
      </w:r>
      <w:r>
        <w:t xml:space="preserve"> </w:t>
      </w:r>
      <w:r>
        <w:t xml:space="preserve">from business associations) and the criterion measuring a clients’ experience (88 out of 124, or</w:t>
      </w:r>
      <w:r>
        <w:t xml:space="preserve"> </w:t>
      </w:r>
      <w:r>
        <w:t xml:space="preserve">71%, constituting a majority from all stakeholder groups). A majority of respondents (70 out of</w:t>
      </w:r>
      <w:r>
        <w:t xml:space="preserve"> </w:t>
      </w:r>
      <w:r>
        <w:t xml:space="preserve">123, or 57%), mainly from business associations and organisations, also supported the introduction</w:t>
      </w:r>
      <w:r>
        <w:t xml:space="preserve"> </w:t>
      </w:r>
      <w:r>
        <w:t xml:space="preserve">of an additional fourth criterion. Regarding the criteria for companies to be classified as</w:t>
      </w:r>
      <w:r>
        <w:t xml:space="preserve"> </w:t>
      </w:r>
      <w:r>
        <w:t xml:space="preserve">professional investors, around half 49% (56 out of 114) expressed support, with most business</w:t>
      </w:r>
      <w:r>
        <w:t xml:space="preserve"> </w:t>
      </w:r>
      <w:r>
        <w:t xml:space="preserve">associations in agreement. 34 respondents (30%), including most business organisations, expressed</w:t>
      </w:r>
      <w:r>
        <w:t xml:space="preserve"> </w:t>
      </w:r>
      <w:r>
        <w:t xml:space="preserve">no view, whereas 26 respondents (23%), including a majority of consumer organisations and public</w:t>
      </w:r>
      <w:r>
        <w:t xml:space="preserve"> </w:t>
      </w:r>
      <w:r>
        <w:t xml:space="preserve">authorities, did not support the introduction.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Inducements and quality of advice</w:t>
      </w:r>
      <w:r>
        <w:br/>
      </w:r>
      <w:r>
        <w:t xml:space="preserve">When considering options aimed at protecting retail investors against receiving biased advice due</w:t>
      </w:r>
      <w:r>
        <w:t xml:space="preserve"> </w:t>
      </w:r>
      <w:r>
        <w:t xml:space="preserve">to potential conflict of interests, including regulating inducements, the option of ensuring</w:t>
      </w:r>
      <w:r>
        <w:t xml:space="preserve"> </w:t>
      </w:r>
      <w:r>
        <w:t xml:space="preserve">transparency had the largest support (100 out of 126, or 79%), particularly from business and</w:t>
      </w:r>
      <w:r>
        <w:t xml:space="preserve"> </w:t>
      </w:r>
      <w:r>
        <w:t xml:space="preserve">company representatives of insurance, banking and investment management, as well as 10 public</w:t>
      </w:r>
      <w:r>
        <w:t xml:space="preserve"> </w:t>
      </w:r>
      <w:r>
        <w:t xml:space="preserve">authorities, half of the consumer organisations, and NGOs. Only 9 respondents or 7%, including 1</w:t>
      </w:r>
      <w:r>
        <w:t xml:space="preserve"> </w:t>
      </w:r>
      <w:r>
        <w:t xml:space="preserve">consumer organisation, considered that transparency had little impact on consumer behaviour.</w:t>
      </w:r>
      <w:r>
        <w:br/>
      </w:r>
      <w:r>
        <w:t xml:space="preserve">A strong majority of 93 respondents out of 128, or 73%, in particular business/company</w:t>
      </w:r>
      <w:r>
        <w:t xml:space="preserve"> </w:t>
      </w:r>
      <w:r>
        <w:t xml:space="preserve">representatives from banking, insurance and investment management as well as 8 public</w:t>
      </w:r>
      <w:r>
        <w:t xml:space="preserve"> </w:t>
      </w:r>
      <w:r>
        <w:t xml:space="preserve">authorities, considered that a ban on all forms of inducements for all retail investment products</w:t>
      </w:r>
      <w:r>
        <w:t xml:space="preserve"> </w:t>
      </w:r>
      <w:r>
        <w:t xml:space="preserve">would not be effective. Among those opposing the ban, in total 20 or 17%, concerns were expressed</w:t>
      </w:r>
      <w:r>
        <w:t xml:space="preserve"> </w:t>
      </w:r>
      <w:r>
        <w:t xml:space="preserve">inter alia about the quality and availability of advice. Consumer organisations, NGOs and 2 public</w:t>
      </w:r>
      <w:r>
        <w:t xml:space="preserve"> </w:t>
      </w:r>
      <w:r>
        <w:t xml:space="preserve">authorities were instead in favour of a ban. Among those in favour of banning inducements, it was</w:t>
      </w:r>
      <w:r>
        <w:t xml:space="preserve"> </w:t>
      </w:r>
      <w:r>
        <w:t xml:space="preserve">suggested that it might result in distributors proposing a wider range of cost-efficient and less</w:t>
      </w:r>
      <w:r>
        <w:t xml:space="preserve"> </w:t>
      </w:r>
      <w:r>
        <w:t xml:space="preserve">complex products, pointing also to the experience of the Netherlands. A majority of respondents,</w:t>
      </w:r>
      <w:r>
        <w:t xml:space="preserve"> </w:t>
      </w:r>
      <w:r>
        <w:t xml:space="preserve">(74 out of 119, 62%) in particular business/company representatives of banking, insurance and</w:t>
      </w:r>
      <w:r>
        <w:t xml:space="preserve"> </w:t>
      </w:r>
      <w:r>
        <w:t xml:space="preserve">investment management, as well as 6 public authorities and 1 consumer organisation, found that</w:t>
      </w:r>
      <w:r>
        <w:t xml:space="preserve"> </w:t>
      </w:r>
      <w:r>
        <w:t xml:space="preserve">the current rules on advice and inducements under MiFID ensured sufficient protection against</w:t>
      </w:r>
      <w:r>
        <w:t xml:space="preserve"> </w:t>
      </w:r>
      <w:r>
        <w:t xml:space="preserve">poor advice due to potential conflicts of interest. Among the 23 (19%) who disagreed were 3 out</w:t>
      </w:r>
      <w:r>
        <w:t xml:space="preserve"> </w:t>
      </w:r>
      <w:r>
        <w:t xml:space="preserve">of 4 consumer organisations, 2 public authorities and NGOs, while the remaining 19% voiced no</w:t>
      </w:r>
      <w:r>
        <w:t xml:space="preserve"> </w:t>
      </w:r>
      <w:r>
        <w:t xml:space="preserve">opinion. The views in relation to IDD and payments of inducements to providers of online</w:t>
      </w:r>
      <w:r>
        <w:t xml:space="preserve"> </w:t>
      </w:r>
      <w:r>
        <w:t xml:space="preserve">platforms/comparison websites were less clear-cut. 31 respondents out of 114 (or 27%) including</w:t>
      </w:r>
      <w:r>
        <w:t xml:space="preserve"> </w:t>
      </w:r>
      <w:r>
        <w:t xml:space="preserve">3 out of 4 consumer organisations, NGOs, 3 public authorities and representatives of mainly</w:t>
      </w:r>
      <w:r>
        <w:t xml:space="preserve"> </w:t>
      </w:r>
      <w:r>
        <w:t xml:space="preserve">investment management, found that the current rules did not ensure sufficient protection. The 49</w:t>
      </w:r>
      <w:r>
        <w:t xml:space="preserve"> </w:t>
      </w:r>
      <w:r>
        <w:t xml:space="preserve">respondents, or 43% that instead agreed that IDD provided sufficient protection included 4 public</w:t>
      </w:r>
      <w:r>
        <w:t xml:space="preserve"> </w:t>
      </w:r>
      <w:r>
        <w:t xml:space="preserve">authorities and a majority of representatives from the insurance and banking sectors. The remaining</w:t>
      </w:r>
      <w:r>
        <w:t xml:space="preserve"> </w:t>
      </w:r>
      <w:r>
        <w:t xml:space="preserve">30% expressed no preference.</w:t>
      </w:r>
      <w:r>
        <w:br/>
      </w:r>
      <w:r>
        <w:t xml:space="preserve">Out of the 114 who answered, a majority of 67 (or 59%) of respondents (among which 3 consumer</w:t>
      </w:r>
      <w:r>
        <w:t xml:space="preserve"> </w:t>
      </w:r>
      <w:r>
        <w:t xml:space="preserve">organisations, 9 public authorities, NGOs and representatives of all sectors participating in the</w:t>
      </w:r>
      <w:r>
        <w:t xml:space="preserve"> </w:t>
      </w:r>
      <w:r>
        <w:t xml:space="preserve">consultation) were in favour of aligning rules related to the payment of inducements across MiFID</w:t>
      </w:r>
      <w:r>
        <w:t xml:space="preserve"> </w:t>
      </w:r>
      <w:r>
        <w:t xml:space="preserve">and IDD. Views were instead split (depending on the sector to which the respondent belonged)</w:t>
      </w:r>
      <w:r>
        <w:t xml:space="preserve"> </w:t>
      </w:r>
      <w:r>
        <w:t xml:space="preserve">over whether IDD should be aligned to MiFID rules or vice versa. 53 respondents out of 128 (41%),</w:t>
      </w:r>
      <w:r>
        <w:t xml:space="preserve"> </w:t>
      </w:r>
      <w:r>
        <w:t xml:space="preserve">mainly businesses and company representatives from the banking and investment management</w:t>
      </w:r>
      <w:r>
        <w:t xml:space="preserve"> </w:t>
      </w:r>
      <w:r>
        <w:t xml:space="preserve">services as well as 4 public authorities, disagreed that legislative changes were needed to address</w:t>
      </w:r>
      <w:r>
        <w:t xml:space="preserve"> </w:t>
      </w:r>
      <w:r>
        <w:t xml:space="preserve">conflicts of interest, receipt of inducements and/or best execution issues surrounding the</w:t>
      </w:r>
      <w:r>
        <w:t xml:space="preserve"> </w:t>
      </w:r>
      <w:r>
        <w:t xml:space="preserve">compensation of brokers based on payment for order flows from third parties. A third (44, 34%)</w:t>
      </w:r>
      <w:r>
        <w:t xml:space="preserve"> </w:t>
      </w:r>
      <w:r>
        <w:t xml:space="preserve">however took the opposite view and supported the need for legislative change. They included 3 out</w:t>
      </w:r>
      <w:r>
        <w:t xml:space="preserve"> </w:t>
      </w:r>
      <w:r>
        <w:t xml:space="preserve">of 4 consumer organisations, 8 public authorities, NGOs as well as representatives of mainly</w:t>
      </w:r>
      <w:r>
        <w:t xml:space="preserve"> </w:t>
      </w:r>
      <w:r>
        <w:t xml:space="preserve">market infrastructure, in addition to banking, investment management and insurance. The</w:t>
      </w:r>
      <w:r>
        <w:t xml:space="preserve"> </w:t>
      </w:r>
      <w:r>
        <w:t xml:space="preserve">remaining 25% voiced no opinion.</w:t>
      </w:r>
      <w:r>
        <w:br/>
      </w:r>
      <w:r>
        <w:t xml:space="preserve">On the question whether there was merit in developing a voluntary pan-EU label for financial</w:t>
      </w:r>
      <w:r>
        <w:t xml:space="preserve"> </w:t>
      </w:r>
      <w:r>
        <w:t xml:space="preserve">advisors to promote high-level common standards across the EU, the views were split (52 out of</w:t>
      </w:r>
      <w:r>
        <w:t xml:space="preserve"> </w:t>
      </w:r>
      <w:r>
        <w:t xml:space="preserve">121, or 43% of respondents disagreeing, 47, or 39% of respondents seeing such merit, and the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remaining 22, or 18% sharing no opinion)218. A majority of respondents (61 out of 115, or 53%)</w:t>
      </w:r>
      <w:r>
        <w:t xml:space="preserve"> </w:t>
      </w:r>
      <w:r>
        <w:t xml:space="preserve">were of the view that robo-advisors were regulated in a manner sufficient to protect retail</w:t>
      </w:r>
      <w:r>
        <w:t xml:space="preserve"> </w:t>
      </w:r>
      <w:r>
        <w:t xml:space="preserve">investors219. A majority of respondents (66 out of 114, or 58%) also suggested that the use of robo-</w:t>
      </w:r>
      <w:r>
        <w:t xml:space="preserve"> </w:t>
      </w:r>
      <w:r>
        <w:t xml:space="preserve">advisors remained limited in the EU because customers placed greater trust in human advice220.</w:t>
      </w:r>
      <w:r>
        <w:br/>
      </w:r>
      <w:r>
        <w:t xml:space="preserve">Addressing the complexity of products</w:t>
      </w:r>
      <w:r>
        <w:br/>
      </w:r>
      <w:r>
        <w:t xml:space="preserve">Among the 130 that replied to the question, half (65 out of 130, or 50%), namely consumer</w:t>
      </w:r>
      <w:r>
        <w:t xml:space="preserve"> </w:t>
      </w:r>
      <w:r>
        <w:t xml:space="preserve">organisations and NGOs, 6 public authorities and company/business representatives of banking,</w:t>
      </w:r>
      <w:r>
        <w:t xml:space="preserve"> </w:t>
      </w:r>
      <w:r>
        <w:t xml:space="preserve">investment management and market infrastructure, considered that further measures should be</w:t>
      </w:r>
      <w:r>
        <w:t xml:space="preserve"> </w:t>
      </w:r>
      <w:r>
        <w:t xml:space="preserve">taken at EU level to facilitate access of retail investors to simpler investment products, whereas a</w:t>
      </w:r>
      <w:r>
        <w:t xml:space="preserve"> </w:t>
      </w:r>
      <w:r>
        <w:t xml:space="preserve">smaller group (52, 40%, including 4 public authorities and company/business representatives of</w:t>
      </w:r>
      <w:r>
        <w:t xml:space="preserve"> </w:t>
      </w:r>
      <w:r>
        <w:t xml:space="preserve">insurance, banking and investment management) disagreed. A majority of respondents were</w:t>
      </w:r>
      <w:r>
        <w:t xml:space="preserve"> </w:t>
      </w:r>
      <w:r>
        <w:t xml:space="preserve">opposed to: (a) measures to reinforce or adapt execution of orders rules to better suit digital and</w:t>
      </w:r>
      <w:r>
        <w:t xml:space="preserve"> </w:t>
      </w:r>
      <w:r>
        <w:t xml:space="preserve">online purchases of complex products; (b) measures to make the rules which prohibit excess</w:t>
      </w:r>
      <w:r>
        <w:t xml:space="preserve"> </w:t>
      </w:r>
      <w:r>
        <w:t xml:space="preserve">complexity of products that are sold to retail investors more explicit; (c) the development of a new</w:t>
      </w:r>
      <w:r>
        <w:t xml:space="preserve"> </w:t>
      </w:r>
      <w:r>
        <w:t xml:space="preserve">label for simple products; (d) developing further rules to define and regulate simple products; and</w:t>
      </w:r>
      <w:r>
        <w:t xml:space="preserve"> </w:t>
      </w:r>
      <w:r>
        <w:t xml:space="preserve">(e) measures to tighten the rules restricting the sale of very complex products to certain categories</w:t>
      </w:r>
      <w:r>
        <w:t xml:space="preserve"> </w:t>
      </w:r>
      <w:r>
        <w:t xml:space="preserve">of investors. Consumer organisations and NGOs however generally supported such measures.</w:t>
      </w:r>
      <w:r>
        <w:br/>
      </w:r>
      <w:r>
        <w:t xml:space="preserve">Redress</w:t>
      </w:r>
      <w:r>
        <w:br/>
      </w:r>
      <w:r>
        <w:t xml:space="preserve">A significant majority of respondents (78 out of 113, or 69%), including all consumer</w:t>
      </w:r>
      <w:r>
        <w:t xml:space="preserve"> </w:t>
      </w:r>
      <w:r>
        <w:t xml:space="preserve">organisations, NGOs, and public authorities, as well as a majority of business associations and</w:t>
      </w:r>
      <w:r>
        <w:t xml:space="preserve"> </w:t>
      </w:r>
      <w:r>
        <w:t xml:space="preserve">organisations, considered that it was somewhat or very important that retail investors had access to</w:t>
      </w:r>
      <w:r>
        <w:t xml:space="preserve"> </w:t>
      </w:r>
      <w:r>
        <w:t xml:space="preserve">rapid and effective redress, in particular when investing in another Member State. Most respondents</w:t>
      </w:r>
      <w:r>
        <w:t xml:space="preserve"> </w:t>
      </w:r>
      <w:r>
        <w:t xml:space="preserve">(71 out of 106, 67%) were of the view that the MiFID II requirement for investment firms to publish</w:t>
      </w:r>
      <w:r>
        <w:t xml:space="preserve"> </w:t>
      </w:r>
      <w:r>
        <w:t xml:space="preserve">the details of their complaint handling process was sufficient to ensure efficient and timely</w:t>
      </w:r>
      <w:r>
        <w:t xml:space="preserve"> </w:t>
      </w:r>
      <w:r>
        <w:t xml:space="preserve">treatment of client complaints. This view was particularly strong among public authorities, business</w:t>
      </w:r>
      <w:r>
        <w:t xml:space="preserve"> </w:t>
      </w:r>
      <w:r>
        <w:t xml:space="preserve">and company representatives, while the views of consumer organisations and NGOs were split.</w:t>
      </w:r>
      <w:r>
        <w:t xml:space="preserve"> </w:t>
      </w:r>
      <w:r>
        <w:t xml:space="preserve">Most respondents (54 out of 101, or 53%), mainly business associations and organisations, were of</w:t>
      </w:r>
      <w:r>
        <w:t xml:space="preserve"> </w:t>
      </w:r>
      <w:r>
        <w:t xml:space="preserve">the view that retail investors knew where to turn in case they needed to obtain redress through an</w:t>
      </w:r>
      <w:r>
        <w:t xml:space="preserve"> </w:t>
      </w:r>
      <w:r>
        <w:t xml:space="preserve">out-of-court procedure, a view which was not shared by some consumer organisations, NGOs, and</w:t>
      </w:r>
      <w:r>
        <w:t xml:space="preserve"> </w:t>
      </w:r>
      <w:r>
        <w:t xml:space="preserve">public authorities. Most respondents (65 out of 106, 61%), constituting a majority in all stakeholder</w:t>
      </w:r>
      <w:r>
        <w:t xml:space="preserve"> </w:t>
      </w:r>
      <w:r>
        <w:t xml:space="preserve">groups except consumer organisations and NGOs (which expressed split views), also considered</w:t>
      </w:r>
      <w:r>
        <w:t xml:space="preserve"> </w:t>
      </w:r>
      <w:r>
        <w:t xml:space="preserve">existing out-of-court procedures to be (somewhat or very) effective at addressing consumer</w:t>
      </w:r>
      <w:r>
        <w:t xml:space="preserve"> </w:t>
      </w:r>
      <w:r>
        <w:t xml:space="preserve">complaints related to retail investments/insurance-based investments. Consumer organisations,</w:t>
      </w:r>
      <w:r>
        <w:t xml:space="preserve"> </w:t>
      </w:r>
      <w:r>
        <w:t xml:space="preserve">NGOs and some other public authorities expressed however a number of concerns. A group of 46</w:t>
      </w:r>
      <w:r>
        <w:t xml:space="preserve"> </w:t>
      </w:r>
      <w:r>
        <w:t xml:space="preserve">respondents out of 50 (92%) were of the view that further efforts might be needed to improve</w:t>
      </w:r>
      <w:r>
        <w:t xml:space="preserve"> </w:t>
      </w:r>
      <w:r>
        <w:t xml:space="preserve">redress in a cross-border context, while 27 respondents (54%) shared the view that such efforts</w:t>
      </w:r>
    </w:p>
    <w:p>
      <w:pPr>
        <w:pStyle w:val="BodyText"/>
      </w:pPr>
      <w:r>
        <w:t xml:space="preserve">218 Those who saw merit in the initiative included half of the consumer organisations (2), 3 public authorities, NGOs</w:t>
      </w:r>
      <w:r>
        <w:t xml:space="preserve"> </w:t>
      </w:r>
      <w:r>
        <w:t xml:space="preserve">as well as representatives from mainly investment management, but also banking and insurance. Among those who</w:t>
      </w:r>
      <w:r>
        <w:t xml:space="preserve"> </w:t>
      </w:r>
      <w:r>
        <w:t xml:space="preserve">disagreed, instead, there were 6 public authorities, and representatives from banking, insurance and investment</w:t>
      </w:r>
      <w:r>
        <w:t xml:space="preserve"> </w:t>
      </w:r>
      <w:r>
        <w:t xml:space="preserve">management.</w:t>
      </w:r>
      <w:r>
        <w:t xml:space="preserve"> </w:t>
      </w:r>
      <w:r>
        <w:t xml:space="preserve">219 These included 6 public authorities, 1 consumer organisation and representatives of banking, investment</w:t>
      </w:r>
      <w:r>
        <w:t xml:space="preserve"> </w:t>
      </w:r>
      <w:r>
        <w:t xml:space="preserve">management and insurance.</w:t>
      </w:r>
      <w:r>
        <w:t xml:space="preserve"> </w:t>
      </w:r>
      <w:r>
        <w:t xml:space="preserve">220 These included half of consumer organisations (2), NGOs, representatives of banking, investment management</w:t>
      </w:r>
      <w:r>
        <w:t xml:space="preserve"> </w:t>
      </w:r>
      <w:r>
        <w:t xml:space="preserve">and insurance as well as 4 public authorities.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might be needed domestically.221 A sizable minority (49 out of 106, or 46%), mostly consisting of</w:t>
      </w:r>
      <w:r>
        <w:t xml:space="preserve"> </w:t>
      </w:r>
      <w:r>
        <w:t xml:space="preserve">business associations and organisations, considered consumer redress in retail investment products</w:t>
      </w:r>
      <w:r>
        <w:t xml:space="preserve"> </w:t>
      </w:r>
      <w:r>
        <w:t xml:space="preserve">somewhat or very accessible to vulnerable consumers, while a smaller group of 18 respondents</w:t>
      </w:r>
      <w:r>
        <w:t xml:space="preserve"> </w:t>
      </w:r>
      <w:r>
        <w:t xml:space="preserve">(17%) found that redress was rather not accessible or not accessible at all. 53 (50%) respondents,</w:t>
      </w:r>
      <w:r>
        <w:t xml:space="preserve"> </w:t>
      </w:r>
      <w:r>
        <w:t xml:space="preserve">including majorities of consumer organisations and public authorities, were either neutral or voiced</w:t>
      </w:r>
      <w:r>
        <w:t xml:space="preserve"> </w:t>
      </w:r>
      <w:r>
        <w:t xml:space="preserve">no opinion.</w:t>
      </w:r>
      <w:r>
        <w:t xml:space="preserve"> </w:t>
      </w:r>
      <w:r>
        <w:t xml:space="preserve">Product intervention powers</w:t>
      </w:r>
      <w:r>
        <w:br/>
      </w:r>
      <w:r>
        <w:t xml:space="preserve">A majority of respondents (71 out of 112, or 63%) indicated that the ESAs and/or NCAs were</w:t>
      </w:r>
      <w:r>
        <w:t xml:space="preserve"> </w:t>
      </w:r>
      <w:r>
        <w:t xml:space="preserve">making sufficiently effective use of their existing product intervention powers. A clear split was</w:t>
      </w:r>
      <w:r>
        <w:t xml:space="preserve"> </w:t>
      </w:r>
      <w:r>
        <w:t xml:space="preserve">noted between a first group comprising business/company representatives and public authorities,</w:t>
      </w:r>
      <w:r>
        <w:t xml:space="preserve"> </w:t>
      </w:r>
      <w:r>
        <w:t xml:space="preserve">and a second group made of consumer organisations and NGOs. The latter group was indeed of the</w:t>
      </w:r>
      <w:r>
        <w:t xml:space="preserve"> </w:t>
      </w:r>
      <w:r>
        <w:t xml:space="preserve">view that ESAs/NCAs did not use their powers effectively. Views were also split as to whether</w:t>
      </w:r>
      <w:r>
        <w:t xml:space="preserve"> </w:t>
      </w:r>
      <w:r>
        <w:t xml:space="preserve">further convergence of NCA powers was needed (42 out of 108, or 39% in favour, 36, or 33%</w:t>
      </w:r>
      <w:r>
        <w:t xml:space="preserve"> </w:t>
      </w:r>
      <w:r>
        <w:t xml:space="preserve">against, and 30, or 28% voicing no opinion). On the side of industry, a larger group of respondents</w:t>
      </w:r>
      <w:r>
        <w:t xml:space="preserve"> </w:t>
      </w:r>
      <w:r>
        <w:t xml:space="preserve">saw no need for further convergence, whereas a majority of public authorities, consumer</w:t>
      </w:r>
      <w:r>
        <w:t xml:space="preserve"> </w:t>
      </w:r>
      <w:r>
        <w:t xml:space="preserve">organisations, and NGOs saw a need for further convergence. A majority of respondents (60 out of</w:t>
      </w:r>
      <w:r>
        <w:t xml:space="preserve"> </w:t>
      </w:r>
      <w:r>
        <w:t xml:space="preserve">113, or 53%) saw no need to reinforce the product intervention powers of the ESAs. This view was</w:t>
      </w:r>
      <w:r>
        <w:t xml:space="preserve"> </w:t>
      </w:r>
      <w:r>
        <w:t xml:space="preserve">particularly shared by business associations and company/business organisations, with many</w:t>
      </w:r>
      <w:r>
        <w:t xml:space="preserve"> </w:t>
      </w:r>
      <w:r>
        <w:t xml:space="preserve">respondents arguing that the current framework and powers of the ESAs were sufficient. However,</w:t>
      </w:r>
      <w:r>
        <w:t xml:space="preserve"> </w:t>
      </w:r>
      <w:r>
        <w:t xml:space="preserve">a majority of public authorities considered that it would be necessary to reinforce the product</w:t>
      </w:r>
      <w:r>
        <w:t xml:space="preserve"> </w:t>
      </w:r>
      <w:r>
        <w:t xml:space="preserve">intervention powers of the ESAs, with some arguing that ESA product intervention powers should</w:t>
      </w:r>
      <w:r>
        <w:t xml:space="preserve"> </w:t>
      </w:r>
      <w:r>
        <w:t xml:space="preserve">be made permanent, or alternatively, have a longer duration. All consumer organisations (3, 100%)</w:t>
      </w:r>
      <w:r>
        <w:t xml:space="preserve"> </w:t>
      </w:r>
      <w:r>
        <w:t xml:space="preserve">and most NGOs (4, 80%) were by a large majority in favour of strengthening the product</w:t>
      </w:r>
      <w:r>
        <w:t xml:space="preserve"> </w:t>
      </w:r>
      <w:r>
        <w:t xml:space="preserve">intervention powers of the ESAs.</w:t>
      </w:r>
      <w:r>
        <w:t xml:space="preserve"> </w:t>
      </w:r>
      <w:r>
        <w:t xml:space="preserve">Sustainable investing</w:t>
      </w:r>
      <w:r>
        <w:br/>
      </w:r>
      <w:r>
        <w:t xml:space="preserve">A majority of respondents (44 out of 61, or 72%), constituting the majority of business</w:t>
      </w:r>
      <w:r>
        <w:t xml:space="preserve"> </w:t>
      </w:r>
      <w:r>
        <w:t xml:space="preserve">organisations and associations, indicated that financial returns were the most important element</w:t>
      </w:r>
      <w:r>
        <w:t xml:space="preserve"> </w:t>
      </w:r>
      <w:r>
        <w:t xml:space="preserve">when investing, followed by investments that contributed positively to the environment and society</w:t>
      </w:r>
      <w:r>
        <w:t xml:space="preserve"> </w:t>
      </w:r>
      <w:r>
        <w:t xml:space="preserve">(10 out of 41, or 24%). The views of NGOs and consumer organisations on the ranking of priorities</w:t>
      </w:r>
      <w:r>
        <w:t xml:space="preserve"> </w:t>
      </w:r>
      <w:r>
        <w:t xml:space="preserve">were split, with a majority indicating that the financial returns were least important. The majority</w:t>
      </w:r>
      <w:r>
        <w:t xml:space="preserve"> </w:t>
      </w:r>
      <w:r>
        <w:t xml:space="preserve">of respondents (56 out of 104, or 54%), including all consumer organisations and a majority of</w:t>
      </w:r>
      <w:r>
        <w:t xml:space="preserve"> </w:t>
      </w:r>
      <w:r>
        <w:t xml:space="preserve">NGOs and public authorities, considered that the fear of greenwashing represents a very or</w:t>
      </w:r>
      <w:r>
        <w:t xml:space="preserve"> </w:t>
      </w:r>
      <w:r>
        <w:t xml:space="preserve">somewhat important factor preventing more sustainable investment. The ‘lack of an EU label on</w:t>
      </w:r>
      <w:r>
        <w:t xml:space="preserve"> </w:t>
      </w:r>
      <w:r>
        <w:t xml:space="preserve">sustainability related information’ (50 out of 106, 47%) and ‘poor financial advice on sustainable</w:t>
      </w:r>
      <w:r>
        <w:t xml:space="preserve"> </w:t>
      </w:r>
      <w:r>
        <w:t xml:space="preserve">investment opportunities’ (48 out of 105, or 46%) were also considered important factors by almost</w:t>
      </w:r>
      <w:r>
        <w:t xml:space="preserve"> </w:t>
      </w:r>
      <w:r>
        <w:t xml:space="preserve">half of the respondents, including a majority of consumer organisations and NGOs. Half of</w:t>
      </w:r>
      <w:r>
        <w:t xml:space="preserve"> </w:t>
      </w:r>
      <w:r>
        <w:t xml:space="preserve">respondents (59 out of 118, or 50%) considered that ‘detailed guidance for financial advisers would</w:t>
      </w:r>
      <w:r>
        <w:t xml:space="preserve"> </w:t>
      </w:r>
      <w:r>
        <w:t xml:space="preserve">be useful to ensure simple, adequate and sufficiently granular implementation of sustainable</w:t>
      </w:r>
      <w:r>
        <w:t xml:space="preserve"> </w:t>
      </w:r>
      <w:r>
        <w:t xml:space="preserve">investment measures’, while 42 respondents (36%), mainly business organisations and</w:t>
      </w:r>
      <w:r>
        <w:t xml:space="preserve"> </w:t>
      </w:r>
      <w:r>
        <w:t xml:space="preserve">associations, did not. There was clear support from NGOs, consumer organisations, public</w:t>
      </w:r>
      <w:r>
        <w:t xml:space="preserve"> </w:t>
      </w:r>
      <w:r>
        <w:t xml:space="preserve">authorities, and trade unions for the former view, also shared by most citizens. A slightly larger</w:t>
      </w:r>
      <w:r>
        <w:t xml:space="preserve"> </w:t>
      </w:r>
      <w:r>
        <w:t xml:space="preserve">group (45 out of 115, 39%), composed largely of business associations and organisations,</w:t>
      </w:r>
    </w:p>
    <w:p>
      <w:pPr>
        <w:pStyle w:val="BodyText"/>
      </w:pPr>
      <w:r>
        <w:t xml:space="preserve">221 23 respondents, or 46%, selected noted that further efforts are required in both domestic and cross border</w:t>
      </w:r>
      <w:r>
        <w:t xml:space="preserve"> </w:t>
      </w:r>
      <w:r>
        <w:t xml:space="preserve">contexts, resulting in a total number of responses being higher than the number of respondents.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considered that the reinforcement of the current research framework to ensure systematic</w:t>
      </w:r>
      <w:r>
        <w:t xml:space="preserve"> </w:t>
      </w:r>
      <w:r>
        <w:t xml:space="preserve">consideration of ESG was not needed, as opposed to a smaller group (40, 35%), composed largely</w:t>
      </w:r>
      <w:r>
        <w:t xml:space="preserve"> </w:t>
      </w:r>
      <w:r>
        <w:t xml:space="preserve">of consumer organisations, NGOs and public authorities, which considered it needed.</w:t>
      </w:r>
      <w:r>
        <w:t xml:space="preserve"> </w:t>
      </w:r>
      <w:r>
        <w:t xml:space="preserve">Other issues</w:t>
      </w:r>
      <w:r>
        <w:br/>
      </w:r>
      <w:r>
        <w:t xml:space="preserve">A number of comments were provided on topics not covered by other chapters of the consultation</w:t>
      </w:r>
      <w:r>
        <w:t xml:space="preserve"> </w:t>
      </w:r>
      <w:r>
        <w:t xml:space="preserve">with relevance to retail investments, including how new regulation may impact the level of direct</w:t>
      </w:r>
      <w:r>
        <w:t xml:space="preserve"> </w:t>
      </w:r>
      <w:r>
        <w:t xml:space="preserve">participation of retail investors in capital markets, the interconnectedness of retail investment and</w:t>
      </w:r>
      <w:r>
        <w:t xml:space="preserve"> </w:t>
      </w:r>
      <w:r>
        <w:t xml:space="preserve">wholesale financial markets, the increase of market data fees, improving participation of retail</w:t>
      </w:r>
      <w:r>
        <w:t xml:space="preserve"> </w:t>
      </w:r>
      <w:r>
        <w:t xml:space="preserve">investors in corporate governance matters, various issues pertaining to sustainability, different</w:t>
      </w:r>
      <w:r>
        <w:t xml:space="preserve"> </w:t>
      </w:r>
      <w:r>
        <w:t xml:space="preserve">aspects pertaining to supervision, in particular when services are provided on a cross-border basis,</w:t>
      </w:r>
      <w:r>
        <w:t xml:space="preserve"> </w:t>
      </w:r>
      <w:r>
        <w:t xml:space="preserve">the prevention of fraud, and taxation issues.</w:t>
      </w:r>
    </w:p>
    <w:p>
      <w:pPr>
        <w:pStyle w:val="Compact"/>
        <w:numPr>
          <w:ilvl w:val="0"/>
          <w:numId w:val="1013"/>
        </w:numPr>
      </w:pPr>
      <w:r>
        <w:t xml:space="preserve">Targeted consultation on options to enhance the suitability and appropriateness</w:t>
      </w:r>
      <w:r>
        <w:t xml:space="preserve"> </w:t>
      </w:r>
      <w:r>
        <w:t xml:space="preserve">assessments</w:t>
      </w:r>
      <w:r>
        <w:t xml:space="preserve"> </w:t>
      </w:r>
      <w:r>
        <w:t xml:space="preserve">On 21 February 2022, the Commission also launched a targeted public consultation on options to</w:t>
      </w:r>
      <w:r>
        <w:t xml:space="preserve"> </w:t>
      </w:r>
      <w:r>
        <w:t xml:space="preserve">enhance the suitability and appropriateness assessments. The deadline to respond was 21 March</w:t>
      </w:r>
    </w:p>
    <w:p>
      <w:pPr>
        <w:pStyle w:val="Compact"/>
        <w:numPr>
          <w:ilvl w:val="0"/>
          <w:numId w:val="1013"/>
        </w:numPr>
      </w:pPr>
      <w:r>
        <w:t xml:space="preserve">The consultation looked into the feasibility of a new retail investor-centric approach to the</w:t>
      </w:r>
      <w:r>
        <w:t xml:space="preserve"> </w:t>
      </w:r>
      <w:r>
        <w:t xml:space="preserve">MiFID II and IDD suitability and appropriateness tests. Such a proposal was the result of</w:t>
      </w:r>
      <w:r>
        <w:t xml:space="preserve"> </w:t>
      </w:r>
      <w:r>
        <w:t xml:space="preserve">stakeholders’ suggestions received in the Retail Investment Strategy public consultation, regarding</w:t>
      </w:r>
      <w:r>
        <w:t xml:space="preserve"> </w:t>
      </w:r>
      <w:r>
        <w:t xml:space="preserve">the possibility to simplify, improve, automate, and standardise the way investor profiles are</w:t>
      </w:r>
      <w:r>
        <w:t xml:space="preserve"> </w:t>
      </w:r>
      <w:r>
        <w:t xml:space="preserve">currently assessed. Views were sought on the options proposed to enhance the client assessment</w:t>
      </w:r>
      <w:r>
        <w:t xml:space="preserve"> </w:t>
      </w:r>
      <w:r>
        <w:t xml:space="preserve">regime and introduce a personalized asset allocation strategy.</w:t>
      </w:r>
      <w:r>
        <w:br/>
      </w:r>
      <w:r>
        <w:t xml:space="preserve">Overview of respondents</w:t>
      </w:r>
      <w:r>
        <w:t xml:space="preserve"> </w:t>
      </w:r>
      <w:r>
        <w:t xml:space="preserve">In total, 69 respondents participated to this public consultation. The largest group of respondents</w:t>
      </w:r>
      <w:r>
        <w:t xml:space="preserve"> </w:t>
      </w:r>
      <w:r>
        <w:t xml:space="preserve">came from business associations (36) and company/business organisations (21), representing</w:t>
      </w:r>
      <w:r>
        <w:t xml:space="preserve"> </w:t>
      </w:r>
      <w:r>
        <w:t xml:space="preserve">together 82% of all respondents. There were also 5 public authorities (7%), 1 consumer</w:t>
      </w:r>
      <w:r>
        <w:t xml:space="preserve"> </w:t>
      </w:r>
      <w:r>
        <w:t xml:space="preserve">organisation (1%), 1 NGO, 1 trade union, 1 EU citizen, and 2 others (3%) who participated in the</w:t>
      </w:r>
      <w:r>
        <w:t xml:space="preserve"> </w:t>
      </w:r>
      <w:r>
        <w:t xml:space="preserve">consultation.</w:t>
      </w:r>
      <w:r>
        <w:br/>
      </w:r>
      <w:r>
        <w:t xml:space="preserve">The largest group of respondents came from the investment services industry (27, 39%), followed</w:t>
      </w:r>
      <w:r>
        <w:t xml:space="preserve"> </w:t>
      </w:r>
      <w:r>
        <w:t xml:space="preserve">by the insurance industry (16 or 23%). Other respondents came from a group which indicated</w:t>
      </w:r>
      <w:r>
        <w:t xml:space="preserve"> </w:t>
      </w:r>
      <w:r>
        <w:t xml:space="preserve">“other” (16 or 23%), as well as from investment management (15, 22%), new technologies (6, 9%),</w:t>
      </w:r>
      <w:r>
        <w:t xml:space="preserve"> </w:t>
      </w:r>
      <w:r>
        <w:t xml:space="preserve">pension provision (4, 6%), market infrastructure operation (1, 1%) and social entrepreneurship (1,</w:t>
      </w:r>
      <w:r>
        <w:t xml:space="preserve"> </w:t>
      </w:r>
      <w:r>
        <w:t xml:space="preserve">1%). The respondents that indicated “not applicable” were only 2 (4%)222.</w:t>
      </w:r>
      <w:r>
        <w:br/>
      </w:r>
      <w:r>
        <w:t xml:space="preserve">The majority of respondents came from the EU (98%, 68 respondents) with one response from</w:t>
      </w:r>
      <w:r>
        <w:t xml:space="preserve"> </w:t>
      </w:r>
      <w:r>
        <w:t xml:space="preserve">outside of the EU (United States, 1%). The highest number of respondents came from Belgium</w:t>
      </w:r>
      <w:r>
        <w:t xml:space="preserve"> </w:t>
      </w:r>
      <w:r>
        <w:t xml:space="preserve">(22%, 15 respondents), followed by Italy (16%, 11 respondents) and France (13%, 9 respondents).</w:t>
      </w:r>
      <w:r>
        <w:t xml:space="preserve"> </w:t>
      </w:r>
      <w:r>
        <w:t xml:space="preserve">The above-average response rate from Belgium can be explained by the high number of EU-level</w:t>
      </w:r>
      <w:r>
        <w:t xml:space="preserve"> </w:t>
      </w:r>
      <w:r>
        <w:t xml:space="preserve">organizations and associations who have their seat in Brussels.</w:t>
      </w:r>
      <w:r>
        <w:br/>
      </w:r>
      <w:r>
        <w:t xml:space="preserve">An enhanced client assessment regime – General</w:t>
      </w:r>
      <w:r>
        <w:t xml:space="preserve"> </w:t>
      </w:r>
      <w:r>
        <w:t xml:space="preserve">Most business associations and organisations considered that the current suitability and</w:t>
      </w:r>
      <w:r>
        <w:t xml:space="preserve"> </w:t>
      </w:r>
      <w:r>
        <w:t xml:space="preserve">appropriateness assessments were well-designed and did not require extensive changes, and hence</w:t>
      </w:r>
    </w:p>
    <w:p>
      <w:pPr>
        <w:pStyle w:val="FirstParagraph"/>
      </w:pPr>
      <w:r>
        <w:t xml:space="preserve">222 Respondents were able to select multiple sectors, therefore resulting in higher total number of responses when</w:t>
      </w:r>
      <w:r>
        <w:t xml:space="preserve"> </w:t>
      </w:r>
      <w:r>
        <w:t xml:space="preserve">compared to the total number of respondents.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were not in favour of the idea of a standardised retail investor assessment regime. Conversely, only</w:t>
      </w:r>
      <w:r>
        <w:t xml:space="preserve"> </w:t>
      </w:r>
      <w:r>
        <w:t xml:space="preserve">2 citizens, 1 NGO, and 1 trade union were in favour, while public authorities were split. A principal</w:t>
      </w:r>
      <w:r>
        <w:t xml:space="preserve"> </w:t>
      </w:r>
      <w:r>
        <w:t xml:space="preserve">argument of the supporters of a more client-centric approach was that putting consumer interests</w:t>
      </w:r>
      <w:r>
        <w:t xml:space="preserve"> </w:t>
      </w:r>
      <w:r>
        <w:t xml:space="preserve">at the centre would spur more competition. Some expressed support for a “retail investor passport”</w:t>
      </w:r>
      <w:r>
        <w:t xml:space="preserve"> </w:t>
      </w:r>
      <w:r>
        <w:t xml:space="preserve">which would allow a retail client to easily switch between or using multiple brokers/financial</w:t>
      </w:r>
      <w:r>
        <w:t xml:space="preserve"> </w:t>
      </w:r>
      <w:r>
        <w:t xml:space="preserve">intermediaries. Others noted that a standardised retail investor regime could reduce discretion and</w:t>
      </w:r>
      <w:r>
        <w:t xml:space="preserve"> </w:t>
      </w:r>
      <w:r>
        <w:t xml:space="preserve">improve harmonisation in the application of the assessment process, further enabling national and</w:t>
      </w:r>
      <w:r>
        <w:t xml:space="preserve"> </w:t>
      </w:r>
      <w:r>
        <w:t xml:space="preserve">EU authorities to better supervise these processes and allowing individual investors to enforce their</w:t>
      </w:r>
      <w:r>
        <w:t xml:space="preserve"> </w:t>
      </w:r>
      <w:r>
        <w:t xml:space="preserve">rights, thus making it easier to compare recommendations and assess “value for money”. On the</w:t>
      </w:r>
      <w:r>
        <w:t xml:space="preserve"> </w:t>
      </w:r>
      <w:r>
        <w:t xml:space="preserve">NCAs side, several considered that an in-depth analysis of the weakness of the current regimes was</w:t>
      </w:r>
      <w:r>
        <w:t xml:space="preserve"> </w:t>
      </w:r>
      <w:r>
        <w:t xml:space="preserve">needed as a preliminary step, fearing that a new regime could bring additional burdens on</w:t>
      </w:r>
      <w:r>
        <w:t xml:space="preserve"> </w:t>
      </w:r>
      <w:r>
        <w:t xml:space="preserve">investment firms and a probable deathblow to existing execution-only distribution channels.</w:t>
      </w:r>
      <w:r>
        <w:t xml:space="preserve"> </w:t>
      </w:r>
      <w:r>
        <w:t xml:space="preserve">The majority of respondents were of the opinion that a Personal Investment Plan (“PIP”) would not</w:t>
      </w:r>
      <w:r>
        <w:t xml:space="preserve"> </w:t>
      </w:r>
      <w:r>
        <w:t xml:space="preserve">bring specific benefits to retail investors and financial intermediaries, while a sizeable minority</w:t>
      </w:r>
      <w:r>
        <w:t xml:space="preserve"> </w:t>
      </w:r>
      <w:r>
        <w:t xml:space="preserve">expressed a positive view about the PIP’s potential. Most respondents believed that there would be</w:t>
      </w:r>
      <w:r>
        <w:t xml:space="preserve"> </w:t>
      </w:r>
      <w:r>
        <w:t xml:space="preserve">certain drawbacks associated with the introduction of the PIP regime, noting large implementation</w:t>
      </w:r>
      <w:r>
        <w:t xml:space="preserve"> </w:t>
      </w:r>
      <w:r>
        <w:t xml:space="preserve">costs requiring significant and complex adaptations of IT systems and internal processes. A few</w:t>
      </w:r>
      <w:r>
        <w:t xml:space="preserve"> </w:t>
      </w:r>
      <w:r>
        <w:t xml:space="preserve">respondents noted that standardisation of the onboarding process would reduce the margin for</w:t>
      </w:r>
      <w:r>
        <w:t xml:space="preserve"> </w:t>
      </w:r>
      <w:r>
        <w:t xml:space="preserve">financial intermediaries to use innovative machine learning tools and behavioural finance methods.</w:t>
      </w:r>
      <w:r>
        <w:t xml:space="preserve"> </w:t>
      </w:r>
      <w:r>
        <w:t xml:space="preserve">They added that such standardisation would also reduce or remove the incentive for intermediaries</w:t>
      </w:r>
      <w:r>
        <w:t xml:space="preserve"> </w:t>
      </w:r>
      <w:r>
        <w:t xml:space="preserve">to compete on improving the quality of assessment processes. Other respondents stressed that</w:t>
      </w:r>
      <w:r>
        <w:t xml:space="preserve"> </w:t>
      </w:r>
      <w:r>
        <w:t xml:space="preserve">standardisation of the PIP questionnaires at EU level would be difficult given the variance in</w:t>
      </w:r>
      <w:r>
        <w:t xml:space="preserve"> </w:t>
      </w:r>
      <w:r>
        <w:t xml:space="preserve">cultures and environments, as well as the bespoke nature of insurance-based investment products</w:t>
      </w:r>
      <w:r>
        <w:t xml:space="preserve"> </w:t>
      </w:r>
      <w:r>
        <w:t xml:space="preserve">and execution-only services. On the latter, several respondents found that requesting a suitability</w:t>
      </w:r>
      <w:r>
        <w:t xml:space="preserve"> </w:t>
      </w:r>
      <w:r>
        <w:t xml:space="preserve">assessment in such cases would contradict the basic approach of financial instrument transactions</w:t>
      </w:r>
      <w:r>
        <w:t xml:space="preserve"> </w:t>
      </w:r>
      <w:r>
        <w:t xml:space="preserve">without advice. The different nature of investment services was viewed as justifying a different</w:t>
      </w:r>
      <w:r>
        <w:t xml:space="preserve"> </w:t>
      </w:r>
      <w:r>
        <w:t xml:space="preserve">degree of information to be obtained and assessed, and consequently the appropriateness and</w:t>
      </w:r>
      <w:r>
        <w:t xml:space="preserve"> </w:t>
      </w:r>
      <w:r>
        <w:t xml:space="preserve">suitability assessments should remain separate. Regarding the concept of a personal asset allocation</w:t>
      </w:r>
      <w:r>
        <w:t xml:space="preserve"> </w:t>
      </w:r>
      <w:r>
        <w:t xml:space="preserve">strategy (“PAAS”) in general, several respondents noted that investment intermediaries would be</w:t>
      </w:r>
      <w:r>
        <w:t xml:space="preserve"> </w:t>
      </w:r>
      <w:r>
        <w:t xml:space="preserve">biased towards products that are part of their offering. Therefore, these strategies may differ</w:t>
      </w:r>
      <w:r>
        <w:t xml:space="preserve"> </w:t>
      </w:r>
      <w:r>
        <w:t xml:space="preserve">significantly from one intermediary to another. Some respondents highlighted that clients tend to</w:t>
      </w:r>
      <w:r>
        <w:t xml:space="preserve"> </w:t>
      </w:r>
      <w:r>
        <w:t xml:space="preserve">be secretive about their financial situation, and that for a successful implementation of the asset</w:t>
      </w:r>
      <w:r>
        <w:t xml:space="preserve"> </w:t>
      </w:r>
      <w:r>
        <w:t xml:space="preserve">allocation approach, it would have to be guaranteed that the client is transparent about their overall</w:t>
      </w:r>
      <w:r>
        <w:t xml:space="preserve"> </w:t>
      </w:r>
      <w:r>
        <w:t xml:space="preserve">financial situation.</w:t>
      </w:r>
      <w:r>
        <w:br/>
      </w:r>
      <w:r>
        <w:t xml:space="preserve">Amongst the minority who supported the more client-centric approach, one business association</w:t>
      </w:r>
      <w:r>
        <w:t xml:space="preserve"> </w:t>
      </w:r>
      <w:r>
        <w:t xml:space="preserve">indicated that this initiative could be game-changing when coupled with the upcoming Open</w:t>
      </w:r>
      <w:r>
        <w:t xml:space="preserve"> </w:t>
      </w:r>
      <w:r>
        <w:t xml:space="preserve">Finance strategy, as it would spur more competition, put consumers’ wishes and interests at the</w:t>
      </w:r>
      <w:r>
        <w:t xml:space="preserve"> </w:t>
      </w:r>
      <w:r>
        <w:t xml:space="preserve">centre, let clients be the true owners of their personal data, encourage digitalisation, and ultimately</w:t>
      </w:r>
      <w:r>
        <w:t xml:space="preserve"> </w:t>
      </w:r>
      <w:r>
        <w:t xml:space="preserve">empower retail investors to participate more in capital markets. A majority of the respondents were</w:t>
      </w:r>
      <w:r>
        <w:t xml:space="preserve"> </w:t>
      </w:r>
      <w:r>
        <w:t xml:space="preserve">however not in favour of giving retail investors the ability to transfer the results of their assessment</w:t>
      </w:r>
      <w:r>
        <w:t xml:space="preserve"> </w:t>
      </w:r>
      <w:r>
        <w:t xml:space="preserve">together with their PAAS to brokers/financial intermediaries of their choosing, on the grounds of</w:t>
      </w:r>
      <w:r>
        <w:t xml:space="preserve"> </w:t>
      </w:r>
      <w:r>
        <w:t xml:space="preserve">them being confidential know-how. Other respondents stated that the transferability and use of the</w:t>
      </w:r>
      <w:r>
        <w:t xml:space="preserve"> </w:t>
      </w:r>
      <w:r>
        <w:t xml:space="preserve">assessment and PAAS may create liability risks for the intermediary providing the investment</w:t>
      </w:r>
      <w:r>
        <w:t xml:space="preserve"> </w:t>
      </w:r>
      <w:r>
        <w:t xml:space="preserve">advice. Several respondents believed that this portability could lead to standardisation and</w:t>
      </w:r>
      <w:r>
        <w:t xml:space="preserve"> </w:t>
      </w:r>
      <w:r>
        <w:t xml:space="preserve">ultimately to an impoverishment of the product ranges, as well as a general deterioration of the</w:t>
      </w:r>
      <w:r>
        <w:t xml:space="preserve"> </w:t>
      </w:r>
      <w:r>
        <w:t xml:space="preserve">quality of the investment advice given to the client. Regarding the key components of a</w:t>
      </w:r>
      <w:r>
        <w:t xml:space="preserve"> </w:t>
      </w:r>
      <w:r>
        <w:t xml:space="preserve">standardised PIP and the main investment objectives and constraints to be addressed by a PIP,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respondents expressed some support to the different suggested elements, with little support for the</w:t>
      </w:r>
      <w:r>
        <w:t xml:space="preserve"> </w:t>
      </w:r>
      <w:r>
        <w:t xml:space="preserve">elements related to the duties and responsibility of the adviser drawing up the PIP and for all rules</w:t>
      </w:r>
      <w:r>
        <w:t xml:space="preserve"> </w:t>
      </w:r>
      <w:r>
        <w:t xml:space="preserve">and guidelines surrounding the drawing-up and review of the PIP. Elements regarding the client’s</w:t>
      </w:r>
      <w:r>
        <w:t xml:space="preserve"> </w:t>
      </w:r>
      <w:r>
        <w:t xml:space="preserve">tax situation got little support as well. Respondents mostly agreed that the tax situation must not</w:t>
      </w:r>
      <w:r>
        <w:t xml:space="preserve"> </w:t>
      </w:r>
      <w:r>
        <w:t xml:space="preserve">be included in any appropriate / suitability assessment, because of its complexity.</w:t>
      </w:r>
      <w:r>
        <w:br/>
      </w:r>
      <w:r>
        <w:t xml:space="preserve">On the electronic storage and accessibility of the suitability assessment and the asset allocation</w:t>
      </w:r>
      <w:r>
        <w:t xml:space="preserve"> </w:t>
      </w:r>
      <w:r>
        <w:t xml:space="preserve">strategy by all financial intermediaries (subject to client consent), opinions were evenly split. Many</w:t>
      </w:r>
      <w:r>
        <w:t xml:space="preserve"> </w:t>
      </w:r>
      <w:r>
        <w:t xml:space="preserve">respondents expressed concerns about the risk of data profiling and client manipulation as well as</w:t>
      </w:r>
      <w:r>
        <w:t xml:space="preserve"> </w:t>
      </w:r>
      <w:r>
        <w:t xml:space="preserve">liability and remuneration issues. Few responses were recorded about cost estimates for the PIP,</w:t>
      </w:r>
      <w:r>
        <w:t xml:space="preserve"> </w:t>
      </w:r>
      <w:r>
        <w:t xml:space="preserve">with the values provided being varied and of little apparent use. In providing for the breakdown of</w:t>
      </w:r>
      <w:r>
        <w:t xml:space="preserve"> </w:t>
      </w:r>
      <w:r>
        <w:t xml:space="preserve">costs, most warned of significant costs that would arise if firms were to implement a new regime,</w:t>
      </w:r>
      <w:r>
        <w:t xml:space="preserve"> </w:t>
      </w:r>
      <w:r>
        <w:t xml:space="preserve">including related to IT, internal processes, adjustment of policies, products, contracts, product</w:t>
      </w:r>
      <w:r>
        <w:t xml:space="preserve"> </w:t>
      </w:r>
      <w:r>
        <w:t xml:space="preserve">manufacturing and distribution, training of staff/HR, and updates to client profiles. A similar</w:t>
      </w:r>
      <w:r>
        <w:t xml:space="preserve"> </w:t>
      </w:r>
      <w:r>
        <w:t xml:space="preserve">sentiment among respondents was seen with regard to cost savings. Most respondents felt that</w:t>
      </w:r>
      <w:r>
        <w:t xml:space="preserve"> </w:t>
      </w:r>
      <w:r>
        <w:t xml:space="preserve">savings are dependent on the details of the new regime, the set-up costs which should not be</w:t>
      </w:r>
      <w:r>
        <w:t xml:space="preserve"> </w:t>
      </w:r>
      <w:r>
        <w:t xml:space="preserve">underestimated, and the additional costs to a bank’s current suitability and appropriateness</w:t>
      </w:r>
      <w:r>
        <w:t xml:space="preserve"> </w:t>
      </w:r>
      <w:r>
        <w:t xml:space="preserve">framework.</w:t>
      </w:r>
      <w:r>
        <w:t xml:space="preserve"> </w:t>
      </w:r>
      <w:r>
        <w:t xml:space="preserve">A personalised asset allocation strategy (PAAS)</w:t>
      </w:r>
      <w:r>
        <w:t xml:space="preserve"> </w:t>
      </w:r>
      <w:r>
        <w:t xml:space="preserve">A significant majority of respondents were not supportive of the idea of standardised investor</w:t>
      </w:r>
      <w:r>
        <w:t xml:space="preserve"> </w:t>
      </w:r>
      <w:r>
        <w:t xml:space="preserve">profiles, with some noting that there is currently no standardisation across firms, Member States,</w:t>
      </w:r>
      <w:r>
        <w:t xml:space="preserve"> </w:t>
      </w:r>
      <w:r>
        <w:t xml:space="preserve">and the industry in general on how investors’ profiles are classified. Some said that investment</w:t>
      </w:r>
      <w:r>
        <w:t xml:space="preserve"> </w:t>
      </w:r>
      <w:r>
        <w:t xml:space="preserve">service providers already have their own classification system based on the current legislation, their</w:t>
      </w:r>
      <w:r>
        <w:t xml:space="preserve"> </w:t>
      </w:r>
      <w:r>
        <w:t xml:space="preserve">own products, research, and investment strategies. Others added that the use of a personalised asset</w:t>
      </w:r>
      <w:r>
        <w:t xml:space="preserve"> </w:t>
      </w:r>
      <w:r>
        <w:t xml:space="preserve">allocation strategy would not be coherent with standardised investor profiling, and that</w:t>
      </w:r>
      <w:r>
        <w:t xml:space="preserve"> </w:t>
      </w:r>
      <w:r>
        <w:t xml:space="preserve">harmonising risk profiles may hinder competition and reduce choices for the retail client. However,</w:t>
      </w:r>
      <w:r>
        <w:t xml:space="preserve"> </w:t>
      </w:r>
      <w:r>
        <w:t xml:space="preserve">some respondents did contend that standardisation could, for some investors under certain</w:t>
      </w:r>
      <w:r>
        <w:t xml:space="preserve"> </w:t>
      </w:r>
      <w:r>
        <w:t xml:space="preserve">circumstances, provide a meaningful simplification.</w:t>
      </w:r>
      <w:r>
        <w:t xml:space="preserve"> </w:t>
      </w:r>
      <w:r>
        <w:t xml:space="preserve">Regarding value-for-money when considering asset classes, a few respondents highlighted that</w:t>
      </w:r>
      <w:r>
        <w:t xml:space="preserve"> </w:t>
      </w:r>
      <w:r>
        <w:t xml:space="preserve">value-for-money criteria are already applied at the level of product governance processes. Some</w:t>
      </w:r>
      <w:r>
        <w:t xml:space="preserve"> </w:t>
      </w:r>
      <w:r>
        <w:t xml:space="preserve">respondents noted that each advisor should assess what products constitute best value in light of</w:t>
      </w:r>
      <w:r>
        <w:t xml:space="preserve"> </w:t>
      </w:r>
      <w:r>
        <w:t xml:space="preserve">the investor’s risk appetite. Several respondents remarked that value-for-money screening can</w:t>
      </w:r>
      <w:r>
        <w:t xml:space="preserve"> </w:t>
      </w:r>
      <w:r>
        <w:t xml:space="preserve">effectively be performed only when selecting an individual financial instrument within an asset</w:t>
      </w:r>
      <w:r>
        <w:t xml:space="preserve"> </w:t>
      </w:r>
      <w:r>
        <w:t xml:space="preserve">class, since the earlier stage involving the establishment of the PAAS is too high-level to comprise</w:t>
      </w:r>
      <w:r>
        <w:t xml:space="preserve"> </w:t>
      </w:r>
      <w:r>
        <w:t xml:space="preserve">these criteria. Various respondents stated that a financial intermediary other than the one that drew</w:t>
      </w:r>
      <w:r>
        <w:t xml:space="preserve"> </w:t>
      </w:r>
      <w:r>
        <w:t xml:space="preserve">up the client assessment should be able to propose a different asset allocation strategy (other than</w:t>
      </w:r>
      <w:r>
        <w:t xml:space="preserve"> </w:t>
      </w:r>
      <w:r>
        <w:t xml:space="preserve">the one originally established), given that the investment environment, the investor’s financial</w:t>
      </w:r>
      <w:r>
        <w:t xml:space="preserve"> </w:t>
      </w:r>
      <w:r>
        <w:t xml:space="preserve">position as well as their risk appetite are subject to change over time. For this reason, a plan cannot</w:t>
      </w:r>
      <w:r>
        <w:t xml:space="preserve"> </w:t>
      </w:r>
      <w:r>
        <w:t xml:space="preserve">be based on elements which cannot be standardised. Some respondents stated that investors should</w:t>
      </w:r>
      <w:r>
        <w:t xml:space="preserve"> </w:t>
      </w:r>
      <w:r>
        <w:t xml:space="preserve">be given the choice as to whose views they trust and what advice they choose to follow, rather than</w:t>
      </w:r>
      <w:r>
        <w:t xml:space="preserve"> </w:t>
      </w:r>
      <w:r>
        <w:t xml:space="preserve">be stuck with a mandatory asset allocation. Other respondents claimed that in the interest of</w:t>
      </w:r>
      <w:r>
        <w:t xml:space="preserve"> </w:t>
      </w:r>
      <w:r>
        <w:t xml:space="preserve">liability, each ISP should be left with the possibility of adapting the PAAS.</w:t>
      </w:r>
      <w:r>
        <w:br/>
      </w:r>
      <w:r>
        <w:t xml:space="preserve">In terms of additional comments, several respondents expressed the need for more time to</w:t>
      </w:r>
      <w:r>
        <w:t xml:space="preserve"> </w:t>
      </w:r>
      <w:r>
        <w:t xml:space="preserve">deliberate for the issues in consideration. Various respondents stated that because the IDD and</w:t>
      </w:r>
      <w:r>
        <w:t xml:space="preserve"> </w:t>
      </w:r>
      <w:r>
        <w:t xml:space="preserve">MiFID II have only relatively recently been established, more data needs to be gathered on the</w:t>
      </w:r>
      <w:r>
        <w:t xml:space="preserve"> </w:t>
      </w:r>
      <w:r>
        <w:t xml:space="preserve">issues that the proposal aims to address. Another point reiterated by respondents was the fear of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creating a free-riding system: if the asset allocation strategy was due to be performed without</w:t>
      </w:r>
      <w:r>
        <w:t xml:space="preserve"> </w:t>
      </w:r>
      <w:r>
        <w:t xml:space="preserve">charging, there could be free-riding from other intermediaries</w:t>
      </w:r>
      <w:r>
        <w:t xml:space="preserve"> </w:t>
      </w:r>
      <w:r>
        <w:t xml:space="preserve">2.</w:t>
      </w:r>
      <w:r>
        <w:t xml:space="preserve"> </w:t>
      </w:r>
      <w:r>
        <w:t xml:space="preserve">3. Outreach to stakeholders</w:t>
      </w:r>
      <w:r>
        <w:t xml:space="preserve"> </w:t>
      </w:r>
      <w:r>
        <w:t xml:space="preserve">Stakeholder outreach on suitability and appropriateness tests</w:t>
      </w:r>
      <w:r>
        <w:t xml:space="preserve"> </w:t>
      </w:r>
      <w:r>
        <w:t xml:space="preserve">The Commission organised and held several rounds of stakeholder outreach, both bilateral and</w:t>
      </w:r>
      <w:r>
        <w:t xml:space="preserve"> </w:t>
      </w:r>
      <w:r>
        <w:t xml:space="preserve">multilateral, building on the feedback obtained from the responses to the above-mentioned</w:t>
      </w:r>
      <w:r>
        <w:t xml:space="preserve"> </w:t>
      </w:r>
      <w:r>
        <w:t xml:space="preserve">consultations on the retail investor strategy and the suitability and appropriateness assessment. The</w:t>
      </w:r>
      <w:r>
        <w:t xml:space="preserve"> </w:t>
      </w:r>
      <w:r>
        <w:t xml:space="preserve">objective of the outreach was to collect targeted data on the possible costs and benefits of option</w:t>
      </w:r>
      <w:r>
        <w:t xml:space="preserve"> </w:t>
      </w:r>
      <w:r>
        <w:t xml:space="preserve">relating to Value for Money as well as the PIP to inform the preparation of the impact assessment.</w:t>
      </w:r>
      <w:r>
        <w:t xml:space="preserve"> </w:t>
      </w:r>
      <w:r>
        <w:t xml:space="preserve">Summary of outreach to NCAs</w:t>
      </w:r>
      <w:r>
        <w:t xml:space="preserve"> </w:t>
      </w:r>
      <w:r>
        <w:t xml:space="preserve">The Commission held bilateral calls with six NCAs between 24 and 28 September 2022. NCAs</w:t>
      </w:r>
      <w:r>
        <w:t xml:space="preserve"> </w:t>
      </w:r>
      <w:r>
        <w:t xml:space="preserve">generally did not note any major issue with the current framework, reporting very limited (or even</w:t>
      </w:r>
      <w:r>
        <w:t xml:space="preserve"> </w:t>
      </w:r>
      <w:r>
        <w:t xml:space="preserve">inexistent) client complaints to investment firms, although with some variations across Member</w:t>
      </w:r>
      <w:r>
        <w:t xml:space="preserve"> </w:t>
      </w:r>
      <w:r>
        <w:t xml:space="preserve">States. With respect to the possibility of introducing a list of asset classes and a personalised asset</w:t>
      </w:r>
      <w:r>
        <w:t xml:space="preserve"> </w:t>
      </w:r>
      <w:r>
        <w:t xml:space="preserve">allocation strategy, NCAs generally saw a risk of blurring the line between advised and non-advised</w:t>
      </w:r>
      <w:r>
        <w:t xml:space="preserve"> </w:t>
      </w:r>
      <w:r>
        <w:t xml:space="preserve">services. More specifically, 2 NCAs noted that the definition of asset classes should be granular</w:t>
      </w:r>
      <w:r>
        <w:t xml:space="preserve"> </w:t>
      </w:r>
      <w:r>
        <w:t xml:space="preserve">enough in order to be useful, while another remarked the need to carefully consider the algorithm</w:t>
      </w:r>
      <w:r>
        <w:t xml:space="preserve"> </w:t>
      </w:r>
      <w:r>
        <w:t xml:space="preserve">used. Moreover, NCAs did not see the overall necessity to further standardise the suitability</w:t>
      </w:r>
      <w:r>
        <w:t xml:space="preserve"> </w:t>
      </w:r>
      <w:r>
        <w:t xml:space="preserve">assessment, noting the acceptability of existing industry standards, however 2 NCAs encouraged</w:t>
      </w:r>
      <w:r>
        <w:t xml:space="preserve"> </w:t>
      </w:r>
      <w:r>
        <w:t xml:space="preserve">further simplification of the assessment for retail investors. Finally, 4 NCAs considered that the</w:t>
      </w:r>
      <w:r>
        <w:t xml:space="preserve"> </w:t>
      </w:r>
      <w:r>
        <w:t xml:space="preserve">appropriateness test should be reinforced with questions on the client’s financial situation, ability</w:t>
      </w:r>
      <w:r>
        <w:t xml:space="preserve"> </w:t>
      </w:r>
      <w:r>
        <w:t xml:space="preserve">to bear losses, and possibly risk appetite.</w:t>
      </w:r>
      <w:r>
        <w:t xml:space="preserve"> </w:t>
      </w:r>
      <w:r>
        <w:t xml:space="preserve">Summary of outreach with the industry and consumer associations</w:t>
      </w:r>
      <w:r>
        <w:t xml:space="preserve"> </w:t>
      </w:r>
      <w:r>
        <w:t xml:space="preserve">Workshop with the industry</w:t>
      </w:r>
      <w:r>
        <w:t xml:space="preserve"> </w:t>
      </w:r>
      <w:r>
        <w:t xml:space="preserve">The Commission held a workshop with industry stakeholders on 28 September 2022. The general</w:t>
      </w:r>
      <w:r>
        <w:t xml:space="preserve"> </w:t>
      </w:r>
      <w:r>
        <w:t xml:space="preserve">sentiment expressed by participants was that the current suitability and appropriateness assessment</w:t>
      </w:r>
      <w:r>
        <w:t xml:space="preserve"> </w:t>
      </w:r>
      <w:r>
        <w:t xml:space="preserve">regime worked well, and adjustments were therefore seen as costly. Many participants were against</w:t>
      </w:r>
      <w:r>
        <w:t xml:space="preserve"> </w:t>
      </w:r>
      <w:r>
        <w:t xml:space="preserve">having the same assessment for advised and non-advised (execution-only) services, with a large</w:t>
      </w:r>
      <w:r>
        <w:t xml:space="preserve"> </w:t>
      </w:r>
      <w:r>
        <w:t xml:space="preserve">majority also against the standardisation of some elements of the suitability assessment across</w:t>
      </w:r>
      <w:r>
        <w:t xml:space="preserve"> </w:t>
      </w:r>
      <w:r>
        <w:t xml:space="preserve">financial intermediaries. Amongst the participants offering execution-only services, a majority</w:t>
      </w:r>
      <w:r>
        <w:t xml:space="preserve"> </w:t>
      </w:r>
      <w:r>
        <w:t xml:space="preserve">(82%) was against switching from the appropriateness assessment to a suitability assessment.</w:t>
      </w:r>
      <w:r>
        <w:t xml:space="preserve"> </w:t>
      </w:r>
      <w:r>
        <w:t xml:space="preserve">Finally, only 38% of participants noted that they already identified particular asset classes suitable</w:t>
      </w:r>
      <w:r>
        <w:t xml:space="preserve"> </w:t>
      </w:r>
      <w:r>
        <w:t xml:space="preserve">to their client as a result of the existing suitability assessment, whereas the remaining 62% did not.</w:t>
      </w:r>
      <w:r>
        <w:t xml:space="preserve"> </w:t>
      </w:r>
      <w:r>
        <w:t xml:space="preserve">Workshop with consumer associations</w:t>
      </w:r>
      <w:r>
        <w:t xml:space="preserve"> </w:t>
      </w:r>
      <w:r>
        <w:t xml:space="preserve">The Commission held a workshop on 28 September 2022 with two consumer associations. The</w:t>
      </w:r>
      <w:r>
        <w:t xml:space="preserve"> </w:t>
      </w:r>
      <w:r>
        <w:t xml:space="preserve">general sentiment was that the most effective remedy to shortcomings in the retail framework</w:t>
      </w:r>
      <w:r>
        <w:t xml:space="preserve"> </w:t>
      </w:r>
      <w:r>
        <w:t xml:space="preserve">would be a ban on inducements, and that any other measures (including the PIP) would fall short</w:t>
      </w:r>
      <w:r>
        <w:t xml:space="preserve"> </w:t>
      </w:r>
      <w:r>
        <w:t xml:space="preserve">of making substantial improvements. The standardisation of certain elements of the suitability</w:t>
      </w:r>
      <w:r>
        <w:t xml:space="preserve"> </w:t>
      </w:r>
      <w:r>
        <w:t xml:space="preserve">assessment was also seen as unlikely to bring additional benefits. Moreover, participants noted</w:t>
      </w:r>
      <w:r>
        <w:t xml:space="preserve"> </w:t>
      </w:r>
      <w:r>
        <w:t xml:space="preserve">differences regarding the level of mis-selling across Member States, underlining that the detriment</w:t>
      </w:r>
      <w:r>
        <w:t xml:space="preserve"> </w:t>
      </w:r>
      <w:r>
        <w:t xml:space="preserve">it caused to retail investors was estimated to exceed that caused by gamification. Finally, Value for</w:t>
      </w:r>
      <w:r>
        <w:t xml:space="preserve"> </w:t>
      </w:r>
      <w:r>
        <w:t xml:space="preserve">Money was considered a more important topic, with the associations recommending that the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Commission explored how Value for Money could be linked to the suitability assessment instead</w:t>
      </w:r>
      <w:r>
        <w:t xml:space="preserve"> </w:t>
      </w:r>
      <w:r>
        <w:t xml:space="preserve">of being confined to product governance.</w:t>
      </w:r>
      <w:r>
        <w:t xml:space="preserve"> </w:t>
      </w:r>
      <w:r>
        <w:t xml:space="preserve">Stakeholder outreach on Value for Money</w:t>
      </w:r>
      <w:r>
        <w:t xml:space="preserve"> </w:t>
      </w:r>
      <w:r>
        <w:t xml:space="preserve">During the first half of September 2022, the Commission held several discussions with a total of 8</w:t>
      </w:r>
      <w:r>
        <w:t xml:space="preserve"> </w:t>
      </w:r>
      <w:r>
        <w:t xml:space="preserve">stakeholder organisations on the issue of Value for Money, based around a discussion note and an</w:t>
      </w:r>
      <w:r>
        <w:t xml:space="preserve"> </w:t>
      </w:r>
      <w:r>
        <w:t xml:space="preserve">accompanying short questionnaire. The Commission worked in close coordination with both</w:t>
      </w:r>
      <w:r>
        <w:t xml:space="preserve"> </w:t>
      </w:r>
      <w:r>
        <w:t xml:space="preserve">ESMA and EIOPA, who have already conducted significant work in this field. The discussions</w:t>
      </w:r>
      <w:r>
        <w:t xml:space="preserve"> </w:t>
      </w:r>
      <w:r>
        <w:t xml:space="preserve">took place via dedicated meetings and were complemented by written follow-up of participants’.</w:t>
      </w:r>
      <w:r>
        <w:t xml:space="preserve"> </w:t>
      </w:r>
      <w:r>
        <w:t xml:space="preserve">The latter included 3 consumer organisations as well as representatives from the banking,</w:t>
      </w:r>
      <w:r>
        <w:t xml:space="preserve"> </w:t>
      </w:r>
      <w:r>
        <w:t xml:space="preserve">insurance, financial intermediaries and investment management industries.</w:t>
      </w:r>
      <w:r>
        <w:t xml:space="preserve"> </w:t>
      </w:r>
      <w:r>
        <w:t xml:space="preserve">Consumer organisations broadly welcomed the idea of a strengthened Value for Money approach</w:t>
      </w:r>
      <w:r>
        <w:t xml:space="preserve"> </w:t>
      </w:r>
      <w:r>
        <w:t xml:space="preserve">as part of the strategy, while industry representatives had more mixed reactions as to whether, and</w:t>
      </w:r>
      <w:r>
        <w:t xml:space="preserve"> </w:t>
      </w:r>
      <w:r>
        <w:t xml:space="preserve">to what extent, the cost effectiveness of investment products was an issue.</w:t>
      </w:r>
      <w:r>
        <w:t xml:space="preserve"> </w:t>
      </w:r>
      <w:r>
        <w:t xml:space="preserve">Consumer organisations set out clear ideas as to how a Value for Money approach could be framed</w:t>
      </w:r>
      <w:r>
        <w:t xml:space="preserve"> </w:t>
      </w:r>
      <w:r>
        <w:t xml:space="preserve">in legislation. Industry representatives were generally more sceptical, and pointed to a number of</w:t>
      </w:r>
      <w:r>
        <w:t xml:space="preserve"> </w:t>
      </w:r>
      <w:r>
        <w:t xml:space="preserve">practical difficulties, in particular relating to how to capture the concept of value across a broad</w:t>
      </w:r>
      <w:r>
        <w:t xml:space="preserve"> </w:t>
      </w:r>
      <w:r>
        <w:t xml:space="preserve">range of very different products.</w:t>
      </w:r>
      <w:r>
        <w:t xml:space="preserve"> </w:t>
      </w:r>
      <w:r>
        <w:t xml:space="preserve">Consumer organisations suggested having concrete and granular rules, such as the development of</w:t>
      </w:r>
      <w:r>
        <w:t xml:space="preserve"> </w:t>
      </w:r>
      <w:r>
        <w:t xml:space="preserve">benchmarks against which the Value for Money prospect of proposed products might be compared.</w:t>
      </w:r>
      <w:r>
        <w:t xml:space="preserve"> </w:t>
      </w:r>
      <w:r>
        <w:t xml:space="preserve">Industry representative, on the other hand, were rather favouring high-level principles only. Views</w:t>
      </w:r>
      <w:r>
        <w:t xml:space="preserve"> </w:t>
      </w:r>
      <w:r>
        <w:t xml:space="preserve">also differed as to whether the assessment of Value for Money should be made at the product</w:t>
      </w:r>
      <w:r>
        <w:t xml:space="preserve"> </w:t>
      </w:r>
      <w:r>
        <w:t xml:space="preserve">governance or advice stage, or both.</w:t>
      </w:r>
      <w:r>
        <w:t xml:space="preserve"> </w:t>
      </w:r>
      <w:r>
        <w:t xml:space="preserve">With respect to whether new rules should apply across the full range of retail investment products</w:t>
      </w:r>
      <w:r>
        <w:t xml:space="preserve"> </w:t>
      </w:r>
      <w:r>
        <w:t xml:space="preserve">or be restricted to products where problems had been identified, diverging opinions were expressed</w:t>
      </w:r>
      <w:r>
        <w:t xml:space="preserve"> </w:t>
      </w:r>
      <w:r>
        <w:t xml:space="preserve">between keeping the approach broad and straightforward versus having a narrow and targeted</w:t>
      </w:r>
      <w:r>
        <w:t xml:space="preserve"> </w:t>
      </w:r>
      <w:r>
        <w:t xml:space="preserve">approach.</w:t>
      </w:r>
      <w:r>
        <w:t xml:space="preserve"> </w:t>
      </w:r>
      <w:r>
        <w:t xml:space="preserve">3.</w:t>
      </w:r>
      <w:r>
        <w:t xml:space="preserve"> </w:t>
      </w:r>
      <w:r>
        <w:t xml:space="preserve">4. Call for evidence</w:t>
      </w:r>
      <w:r>
        <w:t xml:space="preserve"> </w:t>
      </w:r>
      <w:r>
        <w:t xml:space="preserve">A call for evidence was opened between 3 May 2022 and 31 May 2022223 to request feedback from</w:t>
      </w:r>
      <w:r>
        <w:t xml:space="preserve"> </w:t>
      </w:r>
      <w:r>
        <w:t xml:space="preserve">stakeholders on the retail investment strategy. Stakeholders were asked to provide views on the</w:t>
      </w:r>
      <w:r>
        <w:t xml:space="preserve"> </w:t>
      </w:r>
      <w:r>
        <w:t xml:space="preserve">Commission’s understanding of the problem and possible solutions, as well as provide relevant</w:t>
      </w:r>
      <w:r>
        <w:t xml:space="preserve"> </w:t>
      </w:r>
      <w:r>
        <w:t xml:space="preserve">information, including on the possible impacts of the different options. 43 respondents replied to</w:t>
      </w:r>
      <w:r>
        <w:t xml:space="preserve"> </w:t>
      </w:r>
      <w:r>
        <w:t xml:space="preserve">the call for evidence and presented their views. Out of those 43 respondents, 30224 had also replied</w:t>
      </w:r>
      <w:r>
        <w:t xml:space="preserve"> </w:t>
      </w:r>
      <w:r>
        <w:t xml:space="preserve">to the public consultation with their views remaining broadly the same as outlined in the paragraphs</w:t>
      </w:r>
      <w:r>
        <w:t xml:space="preserve"> </w:t>
      </w:r>
      <w:r>
        <w:t xml:space="preserve">above.</w:t>
      </w:r>
      <w:r>
        <w:t xml:space="preserve"> </w:t>
      </w:r>
      <w:r>
        <w:t xml:space="preserve">The views of the 13 other respondents can be summarised as follows:</w:t>
      </w:r>
      <w:r>
        <w:br/>
      </w:r>
      <w:r>
        <w:t xml:space="preserve">1.</w:t>
      </w:r>
      <w:r>
        <w:t xml:space="preserve"> </w:t>
      </w:r>
      <w:r>
        <w:t xml:space="preserve">The five EU citizens who responded raised concerns about low returns, fraud, the lack of</w:t>
      </w:r>
      <w:r>
        <w:t xml:space="preserve"> </w:t>
      </w:r>
      <w:r>
        <w:t xml:space="preserve">clear and correct disclosures provided during the advice process (especially on costs) as</w:t>
      </w:r>
      <w:r>
        <w:t xml:space="preserve"> </w:t>
      </w:r>
      <w:r>
        <w:t xml:space="preserve">well as on the differences in disclosure rules.</w:t>
      </w:r>
    </w:p>
    <w:p>
      <w:pPr>
        <w:pStyle w:val="BodyText"/>
      </w:pPr>
      <w:r>
        <w:t xml:space="preserve">223 Retail investment – new package of measures to increase consumer participation in capital markets (europa.eu)</w:t>
      </w:r>
      <w:r>
        <w:t xml:space="preserve"> </w:t>
      </w:r>
      <w:r>
        <w:t xml:space="preserve">224 The respondents that had already replied to the public consultation represented: 6 company/business</w:t>
      </w:r>
      <w:r>
        <w:t xml:space="preserve"> </w:t>
      </w:r>
      <w:r>
        <w:t xml:space="preserve">organisation, 18 business association, 1 non-governmental organisation (NGO), 1 trade union, 1 consumer</w:t>
      </w:r>
      <w:r>
        <w:t xml:space="preserve"> </w:t>
      </w:r>
      <w:r>
        <w:t xml:space="preserve">organisation.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2.</w:t>
      </w:r>
      <w:r>
        <w:t xml:space="preserve"> </w:t>
      </w:r>
      <w:r>
        <w:t xml:space="preserve">Two financial institutions raised the issue of investor categorisation and recommended the</w:t>
      </w:r>
      <w:r>
        <w:t xml:space="preserve"> </w:t>
      </w:r>
      <w:r>
        <w:t xml:space="preserve">inclusion of a semi-professional category in EU legislation. Two firms stated their support</w:t>
      </w:r>
      <w:r>
        <w:t xml:space="preserve"> </w:t>
      </w:r>
      <w:r>
        <w:t xml:space="preserve">for strong financial literacy.</w:t>
      </w:r>
      <w:r>
        <w:br/>
      </w:r>
      <w:r>
        <w:t xml:space="preserve">3.</w:t>
      </w:r>
      <w:r>
        <w:t xml:space="preserve"> </w:t>
      </w:r>
      <w:r>
        <w:t xml:space="preserve">Two representatives of the insurance industry were in favour of relying on existing rules,</w:t>
      </w:r>
      <w:r>
        <w:t xml:space="preserve"> </w:t>
      </w:r>
      <w:r>
        <w:t xml:space="preserve">pointing at recent application of EU legislation for the sector, highlighting the particularities</w:t>
      </w:r>
      <w:r>
        <w:t xml:space="preserve"> </w:t>
      </w:r>
      <w:r>
        <w:t xml:space="preserve">of the insurance industry and the need to properly represent insurance-specific information</w:t>
      </w:r>
      <w:r>
        <w:t xml:space="preserve"> </w:t>
      </w:r>
      <w:r>
        <w:t xml:space="preserve">in the key information documents. A representative of the banking and insurance sectors</w:t>
      </w:r>
      <w:r>
        <w:t xml:space="preserve"> </w:t>
      </w:r>
      <w:r>
        <w:t xml:space="preserve">remarked the need to simplify disclosures, reassess investor categorisation and avoid radical</w:t>
      </w:r>
      <w:r>
        <w:t xml:space="preserve"> </w:t>
      </w:r>
      <w:r>
        <w:t xml:space="preserve">changes that could not fit the characteristics of national markets.</w:t>
      </w:r>
      <w:r>
        <w:br/>
      </w:r>
      <w:r>
        <w:t xml:space="preserve">4.</w:t>
      </w:r>
      <w:r>
        <w:t xml:space="preserve"> </w:t>
      </w:r>
      <w:r>
        <w:t xml:space="preserve">A consumer organisation pointed to the complexity of disclosure information, including on</w:t>
      </w:r>
      <w:r>
        <w:t xml:space="preserve"> </w:t>
      </w:r>
      <w:r>
        <w:t xml:space="preserve">costs, conflicts of interests and sustainability. It also highlighted the need to make the</w:t>
      </w:r>
      <w:r>
        <w:t xml:space="preserve"> </w:t>
      </w:r>
      <w:r>
        <w:t xml:space="preserve">suitability and appropriateness assessments more consumer-focused, increase consumer</w:t>
      </w:r>
      <w:r>
        <w:t xml:space="preserve"> </w:t>
      </w:r>
      <w:r>
        <w:t xml:space="preserve">protection in the digital environment and the need to address complexity of products offered</w:t>
      </w:r>
      <w:r>
        <w:t xml:space="preserve"> </w:t>
      </w:r>
      <w:r>
        <w:t xml:space="preserve">to retail investors.</w:t>
      </w:r>
      <w:r>
        <w:br/>
      </w:r>
      <w:r>
        <w:t xml:space="preserve">Contribution from the Financial Services User Group (FSUG)</w:t>
      </w:r>
      <w:r>
        <w:br/>
      </w:r>
      <w:r>
        <w:t xml:space="preserve">As described in the Call for evidence, the consultation strategy included a thematic discussion with a</w:t>
      </w:r>
      <w:r>
        <w:t xml:space="preserve"> </w:t>
      </w:r>
      <w:r>
        <w:t xml:space="preserve">written contribution from the FSUG which was published on 17 November 2022225. In its position</w:t>
      </w:r>
      <w:r>
        <w:t xml:space="preserve"> </w:t>
      </w:r>
      <w:r>
        <w:t xml:space="preserve">paper, the FSUG reviewed the relevant retail issues to be addressed as listed in the Commission’s April</w:t>
      </w:r>
      <w:r>
        <w:t xml:space="preserve"> </w:t>
      </w:r>
      <w:r>
        <w:t xml:space="preserve">2021 roadmap and consultation, assessing whether and how the Retail investment strategy is expected</w:t>
      </w:r>
      <w:r>
        <w:t xml:space="preserve"> </w:t>
      </w:r>
      <w:r>
        <w:t xml:space="preserve">to address the topic and what could be done to further improve the initiative.</w:t>
      </w:r>
      <w:r>
        <w:br/>
      </w:r>
      <w:r>
        <w:t xml:space="preserve">4.</w:t>
      </w:r>
      <w:r>
        <w:t xml:space="preserve"> </w:t>
      </w:r>
      <w:r>
        <w:t xml:space="preserve">5. ESA recommendations</w:t>
      </w:r>
      <w:r>
        <w:t xml:space="preserve"> </w:t>
      </w:r>
      <w:r>
        <w:t xml:space="preserve">A call for advice was issued by the Commission on 27 July 2021 and addressed to: (i) both ESMA</w:t>
      </w:r>
      <w:r>
        <w:t xml:space="preserve"> </w:t>
      </w:r>
      <w:r>
        <w:t xml:space="preserve">and EIOPA to provide technical advice on a number of specific areas in the field of retail investor</w:t>
      </w:r>
      <w:r>
        <w:t xml:space="preserve"> </w:t>
      </w:r>
      <w:r>
        <w:t xml:space="preserve">protection; and (ii) the Joint Committee of the ESAs regarding the PRIIPs Regulation. The deadline</w:t>
      </w:r>
      <w:r>
        <w:t xml:space="preserve"> </w:t>
      </w:r>
      <w:r>
        <w:t xml:space="preserve">for ESAs to deliver their technical advice was 30 April 2022.</w:t>
      </w:r>
      <w:r>
        <w:t xml:space="preserve"> </w:t>
      </w:r>
      <w:r>
        <w:t xml:space="preserve">Summary of ESMA’s recommendations</w:t>
      </w:r>
      <w:r>
        <w:t xml:space="preserve"> </w:t>
      </w:r>
      <w:r>
        <w:t xml:space="preserve">The recommendations received from ESMA related to areas concerning disclosures (both digital</w:t>
      </w:r>
      <w:r>
        <w:t xml:space="preserve"> </w:t>
      </w:r>
      <w:r>
        <w:t xml:space="preserve">and non-digital), and the treatment of digital tools and channels in the existing investor protection</w:t>
      </w:r>
      <w:r>
        <w:t xml:space="preserve"> </w:t>
      </w:r>
      <w:r>
        <w:t xml:space="preserve">framework. Among other things, ESMA recommended to develop a standard EU format for the</w:t>
      </w:r>
      <w:r>
        <w:t xml:space="preserve"> </w:t>
      </w:r>
      <w:r>
        <w:t xml:space="preserve">disclosure of costs and charges and identify amongst regulatory disclosure a short subset of “vital</w:t>
      </w:r>
      <w:r>
        <w:t xml:space="preserve"> </w:t>
      </w:r>
      <w:r>
        <w:t xml:space="preserve">information” that should be prominently disclosed in all marketing communications to clients. The</w:t>
      </w:r>
      <w:r>
        <w:t xml:space="preserve"> </w:t>
      </w:r>
      <w:r>
        <w:t xml:space="preserve">inclusion of a definition of marketing communications to capture (online) advertising and messages</w:t>
      </w:r>
      <w:r>
        <w:t xml:space="preserve"> </w:t>
      </w:r>
      <w:r>
        <w:t xml:space="preserve">on social media (including via the use of influencers or other third parties engaging clients) was</w:t>
      </w:r>
      <w:r>
        <w:t xml:space="preserve"> </w:t>
      </w:r>
      <w:r>
        <w:t xml:space="preserve">also recommended, as was the need to clarify the powers of NCAs to intervene in a timely manner</w:t>
      </w:r>
      <w:r>
        <w:t xml:space="preserve"> </w:t>
      </w:r>
      <w:r>
        <w:t xml:space="preserve">in the case of misleading marketing practices and impose the use of risk warnings for specific</w:t>
      </w:r>
      <w:r>
        <w:t xml:space="preserve"> </w:t>
      </w:r>
      <w:r>
        <w:t xml:space="preserve">complex and risky financial instruments. In that context ESMA recommended to include in MIFID</w:t>
      </w:r>
      <w:r>
        <w:t xml:space="preserve"> </w:t>
      </w:r>
      <w:r>
        <w:t xml:space="preserve">II an explicit mandate to ESMA to develop guidelines on the topic of marketing communications</w:t>
      </w:r>
      <w:r>
        <w:t xml:space="preserve"> </w:t>
      </w:r>
      <w:r>
        <w:t xml:space="preserve">and more generally on the use of digital techniques and tools by firms. ESMA also recommended</w:t>
      </w:r>
      <w:r>
        <w:t xml:space="preserve"> </w:t>
      </w:r>
      <w:r>
        <w:t xml:space="preserve">the Commission to complement its legislative proposal on the review of MiFIR through</w:t>
      </w:r>
      <w:r>
        <w:t xml:space="preserve"> </w:t>
      </w:r>
      <w:r>
        <w:t xml:space="preserve">amendments of MiFID II so as to prohibit the receipt of payments for order flow from third parties</w:t>
      </w:r>
      <w:r>
        <w:br/>
      </w:r>
      <w:r>
        <w:t xml:space="preserve">based on investor protection concerns. Lastly on the topic of open finance, ESMA recommended</w:t>
      </w:r>
      <w:r>
        <w:t xml:space="preserve"> </w:t>
      </w:r>
      <w:r>
        <w:t xml:space="preserve">to the Commission to consider specific potential risks and benefits when developing any legislative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Summary of EIOPA’s recommendations</w:t>
      </w:r>
    </w:p>
    <w:p>
      <w:pPr>
        <w:pStyle w:val="BodyText"/>
      </w:pPr>
      <w:r>
        <w:t xml:space="preserve">225 FSUG opinions 2022 (europa.eu)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EIOPA’s recommendations also related to digital disclosures and the treatment of digital tools and</w:t>
      </w:r>
      <w:r>
        <w:t xml:space="preserve"> </w:t>
      </w:r>
      <w:r>
        <w:t xml:space="preserve">channels in the existing investor protection framework, however also extended to the issue of</w:t>
      </w:r>
      <w:r>
        <w:t xml:space="preserve"> </w:t>
      </w:r>
      <w:r>
        <w:t xml:space="preserve">damaging conflicts of interest in the sales process and product complexity in the retail investment</w:t>
      </w:r>
      <w:r>
        <w:t xml:space="preserve"> </w:t>
      </w:r>
      <w:r>
        <w:t xml:space="preserve">product market. In particular, EIOPA recommended a shift to simpler disclosures which use digital</w:t>
      </w:r>
      <w:r>
        <w:t xml:space="preserve"> </w:t>
      </w:r>
      <w:r>
        <w:t xml:space="preserve">layering and interactive elements. EIOPA further suggested to address inconsistencies between</w:t>
      </w:r>
      <w:r>
        <w:t xml:space="preserve"> </w:t>
      </w:r>
      <w:r>
        <w:t xml:space="preserve">existing disclosure requirements, specifically between Solvency II and the IDD. To enhance</w:t>
      </w:r>
      <w:r>
        <w:t xml:space="preserve"> </w:t>
      </w:r>
      <w:r>
        <w:t xml:space="preserve">existing period disclosures at EU level, EIOPA recommended the idea of developing an annual</w:t>
      </w:r>
      <w:r>
        <w:t xml:space="preserve"> </w:t>
      </w:r>
      <w:r>
        <w:t xml:space="preserve">statement, similar to existing statements in pensions legislation, providing information on paid</w:t>
      </w:r>
      <w:r>
        <w:t xml:space="preserve"> </w:t>
      </w:r>
      <w:r>
        <w:t xml:space="preserve">premiums, past performance, current value of savings and adjusted individualised projections.</w:t>
      </w:r>
      <w:r>
        <w:t xml:space="preserve"> </w:t>
      </w:r>
      <w:r>
        <w:t xml:space="preserve">Regarding conflicts of interest, EIOPA suggested improvements to existing rules on inducements</w:t>
      </w:r>
      <w:r>
        <w:t xml:space="preserve"> </w:t>
      </w:r>
      <w:r>
        <w:t xml:space="preserve">through a combination of several solutions, ranging from further transparency to an inducement</w:t>
      </w:r>
      <w:r>
        <w:t xml:space="preserve"> </w:t>
      </w:r>
      <w:r>
        <w:t xml:space="preserve">ban. In particular, EIOPA recommended enhancing existing rules on product design, oversight and</w:t>
      </w:r>
      <w:r>
        <w:t xml:space="preserve"> </w:t>
      </w:r>
      <w:r>
        <w:t xml:space="preserve">governance to address value for money, undue costs and risks of misunderstanding of the main</w:t>
      </w:r>
      <w:r>
        <w:t xml:space="preserve"> </w:t>
      </w:r>
      <w:r>
        <w:t xml:space="preserve">features, costs and risks of the product. EIOPA also suggested the promotion of an affordable and</w:t>
      </w:r>
      <w:r>
        <w:t xml:space="preserve"> </w:t>
      </w:r>
      <w:r>
        <w:t xml:space="preserve">efficient sales process by improving the suitability and appropriateness tests. Finally, regarding</w:t>
      </w:r>
      <w:r>
        <w:t xml:space="preserve"> </w:t>
      </w:r>
      <w:r>
        <w:t xml:space="preserve">product complexity, EIOPA recommended the re-evaluation of the concept of complexity in the</w:t>
      </w:r>
      <w:r>
        <w:t xml:space="preserve"> </w:t>
      </w:r>
      <w:r>
        <w:t xml:space="preserve">IDD and the PRIIPs Regulation.</w:t>
      </w:r>
      <w:r>
        <w:br/>
      </w:r>
      <w:r>
        <w:t xml:space="preserve">Summary of recommendations of the Joint Committee of the ESAs on PRIIPs</w:t>
      </w:r>
      <w:r>
        <w:t xml:space="preserve"> </w:t>
      </w:r>
      <w:r>
        <w:t xml:space="preserve">The recommendations of the Joint Committee of the ESAs on PRIIPs focused on making KIDs</w:t>
      </w:r>
      <w:r>
        <w:t xml:space="preserve"> </w:t>
      </w:r>
      <w:r>
        <w:t xml:space="preserve">more consumer friendly. The ESAs recommended targeted changes to the PRIIPs Regulation as</w:t>
      </w:r>
      <w:r>
        <w:t xml:space="preserve"> </w:t>
      </w:r>
      <w:r>
        <w:t xml:space="preserve">part of a review of the PRIIPs framework. In particular, the Joint Committee recommended the</w:t>
      </w:r>
      <w:r>
        <w:t xml:space="preserve"> </w:t>
      </w:r>
      <w:r>
        <w:t xml:space="preserve">following amendments:</w:t>
      </w:r>
      <w:r>
        <w:br/>
      </w:r>
      <w:r>
        <w:t xml:space="preserve">1.</w:t>
      </w:r>
      <w:r>
        <w:t xml:space="preserve"> </w:t>
      </w:r>
      <w:r>
        <w:t xml:space="preserve">Improving the presentation of the KID on digital media and providing more flexibility for</w:t>
      </w:r>
      <w:r>
        <w:t xml:space="preserve"> </w:t>
      </w:r>
      <w:r>
        <w:t xml:space="preserve">their digital presentation;</w:t>
      </w:r>
      <w:r>
        <w:t xml:space="preserve"> </w:t>
      </w:r>
      <w:r>
        <w:t xml:space="preserve">2.</w:t>
      </w:r>
      <w:r>
        <w:t xml:space="preserve"> </w:t>
      </w:r>
      <w:r>
        <w:t xml:space="preserve">More visible presentation of ESG information in the KID through a separate section;</w:t>
      </w:r>
      <w:r>
        <w:t xml:space="preserve"> </w:t>
      </w:r>
      <w:r>
        <w:t xml:space="preserve">3.</w:t>
      </w:r>
      <w:r>
        <w:t xml:space="preserve"> </w:t>
      </w:r>
      <w:r>
        <w:t xml:space="preserve">Providing more specific cost information for insurance multi-option products;</w:t>
      </w:r>
      <w:r>
        <w:t xml:space="preserve"> </w:t>
      </w:r>
      <w:r>
        <w:t xml:space="preserve">4.</w:t>
      </w:r>
      <w:r>
        <w:t xml:space="preserve"> </w:t>
      </w:r>
      <w:r>
        <w:t xml:space="preserve">Incorporating more flexibility into the KID, including by allowing different types of</w:t>
      </w:r>
      <w:r>
        <w:t xml:space="preserve"> </w:t>
      </w:r>
      <w:r>
        <w:t xml:space="preserve">performance information depending on the product type;</w:t>
      </w:r>
      <w:r>
        <w:br/>
      </w:r>
      <w:r>
        <w:t xml:space="preserve">5.</w:t>
      </w:r>
      <w:r>
        <w:t xml:space="preserve"> </w:t>
      </w:r>
      <w:r>
        <w:t xml:space="preserve">Making KIDs more tailored to specific product types; and</w:t>
      </w:r>
      <w:r>
        <w:t xml:space="preserve"> </w:t>
      </w:r>
      <w:r>
        <w:t xml:space="preserve">6.</w:t>
      </w:r>
      <w:r>
        <w:t xml:space="preserve"> </w:t>
      </w:r>
      <w:r>
        <w:t xml:space="preserve">Clarifying and tweaking the product scope of the PRIIPs Regulation by making it clear that</w:t>
      </w:r>
      <w:r>
        <w:t xml:space="preserve"> </w:t>
      </w:r>
      <w:r>
        <w:t xml:space="preserve">certain corporate bonds are excluded.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objective of this section is to set out the practical implications for the main stakeholders stemming from</w:t>
      </w:r>
      <w:r>
        <w:t xml:space="preserve"> </w:t>
      </w:r>
      <w:r>
        <w:t xml:space="preserve">the preferred options under this initiative. Those implications are assessed in more detail in the following</w:t>
      </w:r>
      <w:r>
        <w:t xml:space="preserve"> </w:t>
      </w:r>
      <w:r>
        <w:t xml:space="preserve">tables, however in summary:</w:t>
      </w:r>
      <w:r>
        <w:t xml:space="preserve"> </w:t>
      </w:r>
      <w:r>
        <w:t xml:space="preserve">1.</w:t>
      </w:r>
      <w:r>
        <w:t xml:space="preserve"> </w:t>
      </w:r>
      <w:r>
        <w:t xml:space="preserve">Manufacturers of investment and insurance-based investment products would be required</w:t>
      </w:r>
      <w:r>
        <w:t xml:space="preserve"> </w:t>
      </w:r>
      <w:r>
        <w:t xml:space="preserve">to:</w:t>
      </w:r>
      <w:r>
        <w:br/>
      </w:r>
      <w:r>
        <w:t xml:space="preserve"> update the PRIIPs KIDs to new formats;</w:t>
      </w:r>
      <w:r>
        <w:br/>
      </w:r>
      <w:r>
        <w:t xml:space="preserve"> adapt marketing communications to the new rules</w:t>
      </w:r>
      <w:r>
        <w:t xml:space="preserve"> </w:t>
      </w:r>
      <w:r>
        <w:t xml:space="preserve"> provide an annual statement of cost and performance under IDD and use an EU template</w:t>
      </w:r>
      <w:r>
        <w:t xml:space="preserve"> </w:t>
      </w:r>
      <w:r>
        <w:t xml:space="preserve">for the disclosure of costs</w:t>
      </w:r>
      <w:r>
        <w:t xml:space="preserve"> </w:t>
      </w:r>
      <w:r>
        <w:t xml:space="preserve"> adapt to the ban on inducements</w:t>
      </w:r>
      <w:r>
        <w:t xml:space="preserve"> </w:t>
      </w:r>
      <w:r>
        <w:t xml:space="preserve"> assess value for money on the basis of criteria and benchmarks.</w:t>
      </w:r>
      <w:r>
        <w:br/>
      </w:r>
      <w:r>
        <w:t xml:space="preserve">2.</w:t>
      </w:r>
      <w:r>
        <w:t xml:space="preserve"> </w:t>
      </w:r>
      <w:r>
        <w:t xml:space="preserve">Distributors of investment and insurance-based investment products would be required to:</w:t>
      </w:r>
      <w:r>
        <w:br/>
      </w:r>
      <w:r>
        <w:t xml:space="preserve"> adapt business models to the ban on inducements,</w:t>
      </w:r>
      <w:r>
        <w:br/>
      </w:r>
      <w:r>
        <w:t xml:space="preserve"> adapt suitability and appropriateness assessments to new rules;</w:t>
      </w:r>
      <w:r>
        <w:br/>
      </w:r>
      <w:r>
        <w:t xml:space="preserve"> provide an annual statement of cost and performance under MiFID and use an EU</w:t>
      </w:r>
      <w:r>
        <w:t xml:space="preserve"> </w:t>
      </w:r>
      <w:r>
        <w:t xml:space="preserve">template for the disclosure of costs</w:t>
      </w:r>
      <w:r>
        <w:t xml:space="preserve"> </w:t>
      </w:r>
      <w:r>
        <w:t xml:space="preserve"> adapt marketing communications to new rules;</w:t>
      </w:r>
      <w:r>
        <w:br/>
      </w:r>
      <w:r>
        <w:t xml:space="preserve"> assess value for money on the basis of information received from product</w:t>
      </w:r>
      <w:r>
        <w:t xml:space="preserve"> </w:t>
      </w:r>
      <w:r>
        <w:t xml:space="preserve">manufacturers, criteria and benchmarks and including distribution costs.</w:t>
      </w:r>
      <w:r>
        <w:t xml:space="preserve"> </w:t>
      </w:r>
      <w:r>
        <w:t xml:space="preserve">3.</w:t>
      </w:r>
      <w:r>
        <w:t xml:space="preserve"> </w:t>
      </w:r>
      <w:r>
        <w:t xml:space="preserve">National Competent Authorities would be required to:</w:t>
      </w:r>
      <w:r>
        <w:t xml:space="preserve"> </w:t>
      </w:r>
      <w:r>
        <w:t xml:space="preserve"> supervise the extended scope of marketing communications and new rules on</w:t>
      </w:r>
      <w:r>
        <w:t xml:space="preserve"> </w:t>
      </w:r>
      <w:r>
        <w:t xml:space="preserve">disclosures;</w:t>
      </w:r>
      <w:r>
        <w:br/>
      </w:r>
      <w:r>
        <w:t xml:space="preserve"> check compliance on the ban on inducements in line with more straightforward rules;</w:t>
      </w:r>
      <w:r>
        <w:t xml:space="preserve"> </w:t>
      </w:r>
      <w:r>
        <w:t xml:space="preserve"> check compliance with strengthened value for money rules.</w:t>
      </w:r>
      <w:r>
        <w:br/>
      </w:r>
      <w:r>
        <w:t xml:space="preserve">4.</w:t>
      </w:r>
      <w:r>
        <w:t xml:space="preserve"> </w:t>
      </w:r>
      <w:r>
        <w:t xml:space="preserve">European Supervisory Authorities would be required to:</w:t>
      </w:r>
      <w:r>
        <w:t xml:space="preserve"> </w:t>
      </w:r>
      <w:r>
        <w:t xml:space="preserve"> develop more specific rules at level 2 for a range of measures stemming from the</w:t>
      </w:r>
      <w:r>
        <w:t xml:space="preserve"> </w:t>
      </w:r>
      <w:r>
        <w:t xml:space="preserve">strategy:</w:t>
      </w:r>
      <w:r>
        <w:br/>
      </w:r>
      <w:r>
        <w:t xml:space="preserve"> develop criteria and benchmarks in the context of Value for Money.</w:t>
      </w:r>
    </w:p>
    <w:p>
      <w:pPr>
        <w:pStyle w:val="Compact"/>
        <w:numPr>
          <w:ilvl w:val="0"/>
          <w:numId w:val="1014"/>
        </w:numPr>
      </w:pPr>
      <w:r>
        <w:t xml:space="preserve">SUMMARY OF COSTS AND BENEFITS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Improved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financial advice: reduction</w:t>
      </w:r>
      <w:r>
        <w:t xml:space="preserve"> </w:t>
      </w:r>
      <w:r>
        <w:t xml:space="preserve">of bias in financial advice</w:t>
      </w:r>
      <w:r>
        <w:t xml:space="preserve"> </w:t>
      </w:r>
      <w:r>
        <w:t xml:space="preserve">for</w:t>
      </w:r>
      <w:r>
        <w:t xml:space="preserve"> </w:t>
      </w:r>
      <w:r>
        <w:t xml:space="preserve">investments,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</w:t>
      </w:r>
      <w:r>
        <w:t xml:space="preserve"> </w:t>
      </w:r>
      <w:r>
        <w:t xml:space="preserve">of</w:t>
      </w:r>
      <w:r>
        <w:t xml:space="preserve"> </w:t>
      </w:r>
      <w:r>
        <w:t xml:space="preserve">interests</w:t>
      </w:r>
      <w:r>
        <w:t xml:space="preserve"> </w:t>
      </w:r>
      <w:r>
        <w:t xml:space="preserve">between intermediaries and</w:t>
      </w:r>
      <w:r>
        <w:t xml:space="preserve"> </w:t>
      </w:r>
      <w:r>
        <w:t xml:space="preserve">investors and improved</w:t>
      </w:r>
      <w:r>
        <w:t xml:space="preserve"> </w:t>
      </w:r>
      <w:r>
        <w:t xml:space="preserve">advisor standards.</w:t>
      </w:r>
      <w:r>
        <w:br/>
      </w:r>
      <w:r>
        <w:t xml:space="preserve">(main beneficiaries: retail</w:t>
      </w:r>
      <w:r>
        <w:t xml:space="preserve"> </w:t>
      </w:r>
      <w:r>
        <w:t xml:space="preserve">investors)</w:t>
      </w:r>
      <w:r>
        <w:t xml:space="preserve"> </w:t>
      </w:r>
      <w:r>
        <w:t xml:space="preserve">This benefit is expected to be</w:t>
      </w:r>
      <w:r>
        <w:t xml:space="preserve"> </w:t>
      </w:r>
      <w:r>
        <w:t xml:space="preserve">significant, given the prominent</w:t>
      </w:r>
      <w:r>
        <w:t xml:space="preserve"> </w:t>
      </w:r>
      <w:r>
        <w:t xml:space="preserve">role of financial advisors in the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 and major role of</w:t>
      </w:r>
      <w:r>
        <w:t xml:space="preserve"> </w:t>
      </w:r>
      <w:r>
        <w:t xml:space="preserve">inducements as a factor leading</w:t>
      </w:r>
      <w:r>
        <w:t xml:space="preserve"> </w:t>
      </w:r>
      <w:r>
        <w:t xml:space="preserve">to bias in the provision of</w:t>
      </w:r>
      <w:r>
        <w:t xml:space="preserve"> </w:t>
      </w:r>
      <w:r>
        <w:t xml:space="preserve">investment services.</w:t>
      </w:r>
      <w:r>
        <w:t xml:space="preserve"> </w:t>
      </w:r>
      <w:r>
        <w:t xml:space="preserve">An accurate estimation of 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inducements</w:t>
      </w:r>
      <w:r>
        <w:t xml:space="preserve"> </w:t>
      </w:r>
      <w:r>
        <w:t xml:space="preserve">is</w:t>
      </w:r>
      <w:r>
        <w:t xml:space="preserve"> </w:t>
      </w:r>
      <w:r>
        <w:t xml:space="preserve">difficult to establish, due to</w:t>
      </w:r>
      <w:r>
        <w:t xml:space="preserve"> </w:t>
      </w:r>
      <w:r>
        <w:t xml:space="preserve">strong</w:t>
      </w:r>
      <w:r>
        <w:t xml:space="preserve"> </w:t>
      </w:r>
      <w:r>
        <w:t xml:space="preserve">data</w:t>
      </w:r>
      <w:r>
        <w:t xml:space="preserve"> </w:t>
      </w:r>
      <w:r>
        <w:t xml:space="preserve">limitations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The ban on inducements would impact the ties between</w:t>
      </w:r>
      <w:r>
        <w:t xml:space="preserve"> </w:t>
      </w:r>
      <w:r>
        <w:t xml:space="preserve">investment product providers and distributors that exist as a</w:t>
      </w:r>
      <w:r>
        <w:t xml:space="preserve"> </w:t>
      </w:r>
      <w:r>
        <w:t xml:space="preserve">result of commission payments. If financial intermediaries</w:t>
      </w:r>
      <w:r>
        <w:t xml:space="preserve"> </w:t>
      </w:r>
      <w:r>
        <w:t xml:space="preserve">(advisors) were paid by their client rather than through</w:t>
      </w:r>
      <w:r>
        <w:t xml:space="preserve"> </w:t>
      </w:r>
      <w:r>
        <w:t xml:space="preserve">commissions, the interests of intermediaries and clients</w:t>
      </w:r>
      <w:r>
        <w:t xml:space="preserve"> </w:t>
      </w:r>
      <w:r>
        <w:t xml:space="preserve">would be better aligned and there would be a stronger</w:t>
      </w:r>
      <w:r>
        <w:t xml:space="preserve"> </w:t>
      </w:r>
      <w:r>
        <w:t xml:space="preserve">incentive to recommend and offer products based on their</w:t>
      </w:r>
      <w:r>
        <w:t xml:space="preserve"> </w:t>
      </w:r>
      <w:r>
        <w:t xml:space="preserve">benefits for the client, rather than based on the relative size</w:t>
      </w:r>
      <w:r>
        <w:t xml:space="preserve"> </w:t>
      </w:r>
      <w:r>
        <w:t xml:space="preserve">of commission income from different products. Overall, a</w:t>
      </w:r>
      <w:r>
        <w:t xml:space="preserve"> </w:t>
      </w:r>
      <w:r>
        <w:t xml:space="preserve">shift towards independent financial advice (including through</w:t>
      </w:r>
      <w:r>
        <w:t xml:space="preserve"> </w:t>
      </w:r>
      <w:r>
        <w:t xml:space="preserve">portfolio management) and execution-only is expected, as</w:t>
      </w:r>
      <w:r>
        <w:t xml:space="preserve"> </w:t>
      </w:r>
      <w:r>
        <w:t xml:space="preserve">discussed and evidenced in section 6.2 and Annex 7, as well</w:t>
      </w:r>
      <w:r>
        <w:t xml:space="preserve"> </w:t>
      </w:r>
      <w:r>
        <w:t xml:space="preserve">as consumers being offered cheaper and simpler retail.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inducements in total product</w:t>
      </w:r>
      <w:r>
        <w:t xml:space="preserve"> </w:t>
      </w:r>
      <w:r>
        <w:t xml:space="preserve">costs and the exact number of</w:t>
      </w:r>
      <w:r>
        <w:t xml:space="preserve"> </w:t>
      </w:r>
      <w:r>
        <w:t xml:space="preserve">products in the market that carry</w:t>
      </w:r>
      <w:r>
        <w:t xml:space="preserve"> </w:t>
      </w:r>
      <w:r>
        <w:t xml:space="preserve">inducements.</w:t>
      </w:r>
      <w:r>
        <w:br/>
      </w:r>
      <w:r>
        <w:t xml:space="preserve">By way of illustration and on the</w:t>
      </w:r>
      <w:r>
        <w:t xml:space="preserve"> </w:t>
      </w:r>
      <w:r>
        <w:t xml:space="preserve">basis of a series of assumptions</w:t>
      </w:r>
      <w:r>
        <w:t xml:space="preserve"> </w:t>
      </w:r>
      <w:r>
        <w:t xml:space="preserve">(presented in Annex 7C), the</w:t>
      </w:r>
      <w:r>
        <w:t xml:space="preserve"> </w:t>
      </w:r>
      <w:r>
        <w:t xml:space="preserve">total annual cost of inducements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market</w:t>
      </w:r>
      <w:r>
        <w:t xml:space="preserve"> </w:t>
      </w:r>
      <w:r>
        <w:t xml:space="preserve">segment</w:t>
      </w:r>
      <w:r>
        <w:t xml:space="preserve"> </w:t>
      </w:r>
      <w:r>
        <w:t xml:space="preserve">(actively managed UCITS funds</w:t>
      </w:r>
      <w:r>
        <w:t xml:space="preserve"> </w:t>
      </w:r>
      <w:r>
        <w:t xml:space="preserve">which are directly held by retail</w:t>
      </w:r>
      <w:r>
        <w:t xml:space="preserve"> </w:t>
      </w:r>
      <w:r>
        <w:t xml:space="preserve">investors),</w:t>
      </w:r>
      <w:r>
        <w:t xml:space="preserve"> </w:t>
      </w:r>
      <w:r>
        <w:t xml:space="preserve">is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represent EUR 5.13 billion</w:t>
      </w:r>
      <w:r>
        <w:t xml:space="preserve"> </w:t>
      </w:r>
      <w:r>
        <w:t xml:space="preserve">(2019), EUR 5.25 billion (2020)</w:t>
      </w:r>
      <w:r>
        <w:t xml:space="preserve"> </w:t>
      </w:r>
      <w:r>
        <w:t xml:space="preserve">and EUR 6.1 billion (2021). For</w:t>
      </w:r>
      <w:r>
        <w:t xml:space="preserve"> </w:t>
      </w:r>
      <w:r>
        <w:t xml:space="preserve">previous years the calculations</w:t>
      </w:r>
      <w:r>
        <w:t xml:space="preserve"> </w:t>
      </w:r>
      <w:r>
        <w:t xml:space="preserve">would be in a similar order of</w:t>
      </w:r>
      <w:r>
        <w:t xml:space="preserve"> </w:t>
      </w:r>
      <w:r>
        <w:t xml:space="preserve">magnitude.</w:t>
      </w:r>
      <w:r>
        <w:t xml:space="preserve"> </w:t>
      </w:r>
      <w:r>
        <w:t xml:space="preserve">investment products. The quality of advice would also be</w:t>
      </w:r>
      <w:r>
        <w:t xml:space="preserve"> </w:t>
      </w:r>
      <w:r>
        <w:t xml:space="preserve">strengthened due to better alignment of rules on advisors’</w:t>
      </w:r>
      <w:r>
        <w:t xml:space="preserve"> </w:t>
      </w:r>
      <w:r>
        <w:t xml:space="preserve">knowledge and competence.</w:t>
      </w:r>
    </w:p>
    <w:p>
      <w:pPr>
        <w:pStyle w:val="BodyText"/>
      </w:pPr>
      <w:r>
        <w:t xml:space="preserve">Greater transparency on</w:t>
      </w:r>
      <w:r>
        <w:t xml:space="preserve"> </w:t>
      </w:r>
      <w:r>
        <w:t xml:space="preserve">costs, performance and the</w:t>
      </w:r>
      <w:r>
        <w:t xml:space="preserve"> </w:t>
      </w:r>
      <w:r>
        <w:t xml:space="preserve">ESG profile of investment</w:t>
      </w:r>
      <w:r>
        <w:t xml:space="preserve"> </w:t>
      </w:r>
      <w:r>
        <w:t xml:space="preserve">products</w:t>
      </w:r>
      <w:r>
        <w:t xml:space="preserve"> </w:t>
      </w:r>
      <w:r>
        <w:t xml:space="preserve">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investors, potentially also</w:t>
      </w:r>
      <w:r>
        <w:t xml:space="preserve"> </w:t>
      </w:r>
      <w:r>
        <w:t xml:space="preserve">investment products which</w:t>
      </w:r>
      <w:r>
        <w:t xml:space="preserve"> </w:t>
      </w:r>
      <w:r>
        <w:t xml:space="preserve">are cheaper or have better</w:t>
      </w:r>
      <w:r>
        <w:t xml:space="preserve"> </w:t>
      </w:r>
      <w:r>
        <w:t xml:space="preserve">ESG characteristics)</w:t>
      </w:r>
      <w:r>
        <w:t xml:space="preserve"> </w:t>
      </w:r>
      <w:r>
        <w:t xml:space="preserve">Unquantifiable benefit</w:t>
      </w:r>
      <w:r>
        <w:t xml:space="preserve"> </w:t>
      </w:r>
      <w:r>
        <w:t xml:space="preserve">The annual cost and performance statement under MiFID and</w:t>
      </w:r>
      <w:r>
        <w:t xml:space="preserve"> </w:t>
      </w:r>
      <w:r>
        <w:t xml:space="preserve">IDD and the EU template on costs, would improve</w:t>
      </w:r>
      <w:r>
        <w:t xml:space="preserve"> </w:t>
      </w:r>
      <w:r>
        <w:t xml:space="preserve">transparency on costs and performance, enabling all retail</w:t>
      </w:r>
      <w:r>
        <w:t xml:space="preserve"> </w:t>
      </w:r>
      <w:r>
        <w:t xml:space="preserve">investors to better consider the impact of all the costs on their</w:t>
      </w:r>
      <w:r>
        <w:t xml:space="preserve"> </w:t>
      </w:r>
      <w:r>
        <w:t xml:space="preserve">investment decisions and to better monitor the net</w:t>
      </w:r>
      <w:r>
        <w:t xml:space="preserve"> </w:t>
      </w:r>
      <w:r>
        <w:t xml:space="preserve">performance of their financial products. Changes to PRIIPs</w:t>
      </w:r>
      <w:r>
        <w:t xml:space="preserve"> </w:t>
      </w:r>
      <w:r>
        <w:t xml:space="preserve">KIDs would give greater visibility to key information about</w:t>
      </w:r>
      <w:r>
        <w:t xml:space="preserve"> </w:t>
      </w:r>
      <w:r>
        <w:t xml:space="preserve">the products in scope including on their costs and ESG profile.</w:t>
      </w:r>
      <w:r>
        <w:t xml:space="preserve"> </w:t>
      </w:r>
      <w:r>
        <w:t xml:space="preserve">Indirectly, both measures could contribute to a consumer shift</w:t>
      </w:r>
      <w:r>
        <w:t xml:space="preserve"> </w:t>
      </w:r>
      <w:r>
        <w:t xml:space="preserve">towards cheaper and more sustainable investment products.</w:t>
      </w:r>
      <w:r>
        <w:t xml:space="preserve"> </w:t>
      </w:r>
      <w:r>
        <w:t xml:space="preserve">Better understanding of</w:t>
      </w:r>
      <w:r>
        <w:t xml:space="preserve"> </w:t>
      </w:r>
      <w:r>
        <w:t xml:space="preserve">investment products 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investors)</w:t>
      </w:r>
      <w:r>
        <w:t xml:space="preserve"> </w:t>
      </w:r>
      <w:r>
        <w:t xml:space="preserve">Unquantifiable benefit</w:t>
      </w:r>
      <w:r>
        <w:t xml:space="preserve"> </w:t>
      </w:r>
      <w:r>
        <w:t xml:space="preserve">Improving the presentation of PRIIPs KIDs would make it</w:t>
      </w:r>
      <w:r>
        <w:t xml:space="preserve"> </w:t>
      </w:r>
      <w:r>
        <w:t xml:space="preserve">easier for retail investors to understand key characteristics of</w:t>
      </w:r>
      <w:r>
        <w:t xml:space="preserve"> </w:t>
      </w:r>
      <w:r>
        <w:t xml:space="preserve">the investment product they are considering. Including vital</w:t>
      </w:r>
      <w:r>
        <w:t xml:space="preserve"> </w:t>
      </w:r>
      <w:r>
        <w:t xml:space="preserve">information in marketing communications would provide</w:t>
      </w:r>
      <w:r>
        <w:t xml:space="preserve"> </w:t>
      </w:r>
      <w:r>
        <w:t xml:space="preserve">important context to marketing messages and would thus also</w:t>
      </w:r>
      <w:r>
        <w:t xml:space="preserve"> </w:t>
      </w:r>
      <w:r>
        <w:t xml:space="preserve">contribute to better understanding of key elements of</w:t>
      </w:r>
      <w:r>
        <w:t xml:space="preserve"> </w:t>
      </w:r>
      <w:r>
        <w:t xml:space="preserve">investment products. The annual cost and performance</w:t>
      </w:r>
      <w:r>
        <w:t xml:space="preserve"> </w:t>
      </w:r>
      <w:r>
        <w:t xml:space="preserve">statement would provide retail clients in one single document</w:t>
      </w:r>
      <w:r>
        <w:t xml:space="preserve"> </w:t>
      </w:r>
      <w:r>
        <w:t xml:space="preserve">with an overview of the performance of their portfolio,</w:t>
      </w:r>
      <w:r>
        <w:t xml:space="preserve"> </w:t>
      </w:r>
      <w:r>
        <w:t xml:space="preserve">together with the total or detailed amount (upon request) of all</w:t>
      </w:r>
      <w:r>
        <w:t xml:space="preserve"> </w:t>
      </w:r>
      <w:r>
        <w:t xml:space="preserve">the costs borne and payments received. This would facilitate</w:t>
      </w:r>
      <w:r>
        <w:t xml:space="preserve"> </w:t>
      </w:r>
      <w:r>
        <w:t xml:space="preserve">the comprehension of the cost impact on the performance. The</w:t>
      </w:r>
      <w:r>
        <w:t xml:space="preserve"> </w:t>
      </w:r>
      <w:r>
        <w:t xml:space="preserve">use of EU templates for costs reports, whether on an ex-ante</w:t>
      </w:r>
      <w:r>
        <w:t xml:space="preserve"> </w:t>
      </w:r>
      <w:r>
        <w:t xml:space="preserve">or ex-post basis, would also facilitate comparison and favour</w:t>
      </w:r>
      <w:r>
        <w:t xml:space="preserve"> </w:t>
      </w:r>
      <w:r>
        <w:t xml:space="preserve">more competition.</w:t>
      </w:r>
      <w:r>
        <w:br/>
      </w:r>
      <w:r>
        <w:t xml:space="preserve">Reduced risk of misleading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investors)</w:t>
      </w:r>
      <w:r>
        <w:t xml:space="preserve"> </w:t>
      </w:r>
      <w:r>
        <w:t xml:space="preserve">No estimate available</w:t>
      </w:r>
      <w:r>
        <w:t xml:space="preserve"> </w:t>
      </w:r>
      <w:r>
        <w:t xml:space="preserve">Inclusion of vital information in marketing communications</w:t>
      </w:r>
      <w:r>
        <w:t xml:space="preserve"> </w:t>
      </w:r>
      <w:r>
        <w:t xml:space="preserve">would ensure that crucial information to help retail investors</w:t>
      </w:r>
      <w:r>
        <w:t xml:space="preserve"> </w:t>
      </w:r>
      <w:r>
        <w:t xml:space="preserve">understand the product are always mentioned and presented in</w:t>
      </w:r>
      <w:r>
        <w:t xml:space="preserve"> </w:t>
      </w:r>
      <w:r>
        <w:t xml:space="preserve">a prominent and balanced way. Changes to the PRIIPs KIDs</w:t>
      </w:r>
      <w:r>
        <w:t xml:space="preserve"> </w:t>
      </w:r>
      <w:r>
        <w:t xml:space="preserve">would also (indirectly) make this document more attractive</w:t>
      </w:r>
      <w:r>
        <w:t xml:space="preserve"> </w:t>
      </w:r>
      <w:r>
        <w:t xml:space="preserve">and help retail investors to pay more attention to it relative to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communications.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communications (including advertisement and associated</w:t>
      </w:r>
      <w:r>
        <w:t xml:space="preserve"> </w:t>
      </w:r>
      <w:r>
        <w:t xml:space="preserve">persuasive techniques), whether made directly or indirectly by</w:t>
      </w:r>
      <w:r>
        <w:t xml:space="preserve"> </w:t>
      </w:r>
      <w:r>
        <w:t xml:space="preserve">a firm (e.g. through social media), clearly appear as such and</w:t>
      </w:r>
      <w:r>
        <w:t xml:space="preserve"> </w:t>
      </w:r>
      <w:r>
        <w:t xml:space="preserve">are bound by all rules on marketing communications, would</w:t>
      </w:r>
      <w:r>
        <w:t xml:space="preserve"> </w:t>
      </w:r>
      <w:r>
        <w:t xml:space="preserve">avoid misleading communication and would help to avoid</w:t>
      </w:r>
      <w:r>
        <w:t xml:space="preserve"> </w:t>
      </w:r>
      <w:r>
        <w:t xml:space="preserve">misinformation of retail investors.</w:t>
      </w:r>
      <w:r>
        <w:br/>
      </w:r>
      <w:r>
        <w:t xml:space="preserve">Removal of products which</w:t>
      </w:r>
      <w:r>
        <w:t xml:space="preserve"> </w:t>
      </w:r>
      <w:r>
        <w:t xml:space="preserve">do not deliver or deliver</w:t>
      </w:r>
      <w:r>
        <w:t xml:space="preserve"> </w:t>
      </w:r>
      <w:r>
        <w:t xml:space="preserve">poor value for money due</w:t>
      </w:r>
      <w:r>
        <w:t xml:space="preserve"> </w:t>
      </w:r>
      <w:r>
        <w:t xml:space="preserve">Level of benefits is difficult to</w:t>
      </w:r>
      <w:r>
        <w:t xml:space="preserve"> </w:t>
      </w:r>
      <w:r>
        <w:t xml:space="preserve">quantify as it depends on many</w:t>
      </w:r>
      <w:r>
        <w:t xml:space="preserve"> </w:t>
      </w:r>
      <w:r>
        <w:t xml:space="preserve">Enhancing VfM within product governance rules, which in</w:t>
      </w:r>
      <w:r>
        <w:t xml:space="preserve"> </w:t>
      </w:r>
      <w:r>
        <w:t xml:space="preserve">practice means adjusting the cost of products to their quality</w:t>
      </w:r>
      <w:r>
        <w:t xml:space="preserve"> </w:t>
      </w:r>
      <w:r>
        <w:t xml:space="preserve">(expected returns, level of risk and value added by additional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to</w:t>
      </w:r>
      <w:r>
        <w:t xml:space="preserve"> </w:t>
      </w:r>
      <w:r>
        <w:t xml:space="preserve">undue</w:t>
      </w:r>
      <w:r>
        <w:t xml:space="preserve"> </w:t>
      </w:r>
      <w:r>
        <w:t xml:space="preserve">costs</w:t>
      </w:r>
      <w:r>
        <w:t xml:space="preserve"> </w:t>
      </w:r>
      <w:r>
        <w:t xml:space="preserve">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investors,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or</w:t>
      </w:r>
      <w:r>
        <w:t xml:space="preserve"> </w:t>
      </w:r>
      <w:r>
        <w:t xml:space="preserve">distributors with more cost-</w:t>
      </w:r>
      <w:r>
        <w:t xml:space="preserve"> </w:t>
      </w:r>
      <w:r>
        <w:t xml:space="preserve">competitive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</w:t>
      </w:r>
      <w:r>
        <w:t xml:space="preserve"> </w:t>
      </w:r>
      <w:r>
        <w:t xml:space="preserve">/</w:t>
      </w:r>
      <w:r>
        <w:t xml:space="preserve"> </w:t>
      </w:r>
      <w:r>
        <w:t xml:space="preserve">distribution</w:t>
      </w:r>
      <w:r>
        <w:t xml:space="preserve"> </w:t>
      </w:r>
      <w:r>
        <w:t xml:space="preserve">systems)</w:t>
      </w:r>
      <w:r>
        <w:t xml:space="preserve"> </w:t>
      </w:r>
      <w:r>
        <w:t xml:space="preserve">factors: invested amount, asset</w:t>
      </w:r>
      <w:r>
        <w:t xml:space="preserve"> </w:t>
      </w:r>
      <w:r>
        <w:t xml:space="preserve">class, performance, etc.</w:t>
      </w:r>
      <w:r>
        <w:br/>
      </w:r>
      <w:r>
        <w:t xml:space="preserve">products features, like biometric risk coverage) would bring</w:t>
      </w:r>
      <w:r>
        <w:t xml:space="preserve"> </w:t>
      </w:r>
      <w:r>
        <w:t xml:space="preserve">benefits to investors, as high costs undermine expected</w:t>
      </w:r>
      <w:r>
        <w:t xml:space="preserve"> </w:t>
      </w:r>
      <w:r>
        <w:t xml:space="preserve">returns.</w:t>
      </w:r>
    </w:p>
    <w:p>
      <w:pPr>
        <w:pStyle w:val="BodyText"/>
      </w:pPr>
      <w:r>
        <w:t xml:space="preserve">Broader access to financial</w:t>
      </w:r>
      <w:r>
        <w:t xml:space="preserve"> </w:t>
      </w:r>
      <w:r>
        <w:t xml:space="preserve">instruments</w:t>
      </w:r>
      <w:r>
        <w:t xml:space="preserve"> </w:t>
      </w:r>
      <w:r>
        <w:t xml:space="preserve">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more</w:t>
      </w:r>
      <w:r>
        <w:t xml:space="preserve"> </w:t>
      </w:r>
      <w:r>
        <w:t xml:space="preserve">experienced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investors,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manufacturers)</w:t>
      </w:r>
    </w:p>
    <w:p>
      <w:pPr>
        <w:pStyle w:val="BodyText"/>
      </w:pPr>
      <w:r>
        <w:t xml:space="preserve">Unquantifiable benefit</w:t>
      </w:r>
      <w:r>
        <w:t xml:space="preserve"> </w:t>
      </w:r>
      <w:r>
        <w:t xml:space="preserve">Easing restrictions for certain retail investors to qualify as</w:t>
      </w:r>
      <w:r>
        <w:t xml:space="preserve"> </w:t>
      </w:r>
      <w:r>
        <w:t xml:space="preserve">professional investors: allowing better differentiation between</w:t>
      </w:r>
      <w:r>
        <w:t xml:space="preserve"> </w:t>
      </w:r>
      <w:r>
        <w:t xml:space="preserve">the diverging needs of individuals would help reduce</w:t>
      </w:r>
      <w:r>
        <w:t xml:space="preserve"> </w:t>
      </w:r>
      <w:r>
        <w:t xml:space="preserve">unnecessary information disclosure to those clients who do not</w:t>
      </w:r>
      <w:r>
        <w:t xml:space="preserve"> </w:t>
      </w:r>
      <w:r>
        <w:t xml:space="preserve">need it for their investment decisions, leading to cost savings</w:t>
      </w:r>
      <w:r>
        <w:t xml:space="preserve"> </w:t>
      </w:r>
      <w:r>
        <w:t xml:space="preserve">for those financial operators as well as allow broader access</w:t>
      </w:r>
      <w:r>
        <w:t xml:space="preserve"> </w:t>
      </w:r>
      <w:r>
        <w:t xml:space="preserve">for those clients to financial instruments.</w:t>
      </w:r>
      <w:r>
        <w:t xml:space="preserve"> </w:t>
      </w:r>
      <w:r>
        <w:t xml:space="preserve">Investors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exposed to more products</w:t>
      </w:r>
      <w:r>
        <w:t xml:space="preserve"> </w:t>
      </w:r>
      <w:r>
        <w:t xml:space="preserve">which would be better</w:t>
      </w:r>
      <w:r>
        <w:t xml:space="preserve"> </w:t>
      </w:r>
      <w:r>
        <w:t xml:space="preserve">matched to their needs,</w:t>
      </w:r>
      <w:r>
        <w:t xml:space="preserve"> </w:t>
      </w:r>
      <w:r>
        <w:t xml:space="preserve">preferences and investment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Unquantifiable benefit</w:t>
      </w:r>
      <w:r>
        <w:t xml:space="preserve"> </w:t>
      </w:r>
      <w:r>
        <w:t xml:space="preserve">Retail investors would benefit from better quality of service</w:t>
      </w:r>
      <w:r>
        <w:t xml:space="preserve"> </w:t>
      </w:r>
      <w:r>
        <w:t xml:space="preserve">leading to more appropriate investment decisions where firms</w:t>
      </w:r>
      <w:r>
        <w:t xml:space="preserve"> </w:t>
      </w:r>
      <w:r>
        <w:t xml:space="preserve">(i) take sufficient time to conduct suitability and</w:t>
      </w:r>
      <w:r>
        <w:t xml:space="preserve"> </w:t>
      </w:r>
      <w:r>
        <w:t xml:space="preserve">appropriateness assessments, ensuring more accurate client</w:t>
      </w:r>
      <w:r>
        <w:t xml:space="preserve"> </w:t>
      </w:r>
      <w:r>
        <w:t xml:space="preserve">profiling, (ii) consider in their screening and assessment for</w:t>
      </w:r>
      <w:r>
        <w:t xml:space="preserve"> </w:t>
      </w:r>
      <w:r>
        <w:t xml:space="preserve">advised services, more client-specific information , with</w:t>
      </w:r>
      <w:r>
        <w:t xml:space="preserve"> </w:t>
      </w:r>
      <w:r>
        <w:t xml:space="preserve">certain key elements made mandatory and standardised, and</w:t>
      </w:r>
      <w:r>
        <w:t xml:space="preserve"> </w:t>
      </w:r>
      <w:r>
        <w:t xml:space="preserve">(iii) include in their screening and assessment for non-advised</w:t>
      </w:r>
      <w:r>
        <w:t xml:space="preserve"> </w:t>
      </w:r>
      <w:r>
        <w:t xml:space="preserve">services, the financial capacity and ability to bear losses of</w:t>
      </w:r>
      <w:r>
        <w:t xml:space="preserve"> </w:t>
      </w:r>
      <w:r>
        <w:t xml:space="preserve">their retail clients.</w:t>
      </w:r>
      <w:r>
        <w:t xml:space="preserve"> </w:t>
      </w:r>
      <w:r>
        <w:t xml:space="preserve">In an advice setting - facilitate, for retail clients, comparability</w:t>
      </w:r>
      <w:r>
        <w:t xml:space="preserve"> </w:t>
      </w:r>
      <w:r>
        <w:t xml:space="preserve">between</w:t>
      </w:r>
      <w:r>
        <w:t xml:space="preserve"> </w:t>
      </w:r>
      <w:r>
        <w:t xml:space="preserve">assessments</w:t>
      </w:r>
      <w:r>
        <w:t xml:space="preserve"> </w:t>
      </w:r>
      <w:r>
        <w:t xml:space="preserve">and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when</w:t>
      </w:r>
      <w:r>
        <w:t xml:space="preserve"> </w:t>
      </w:r>
      <w:r>
        <w:t xml:space="preserve">approaching different firms. Also, the considerations of the</w:t>
      </w:r>
      <w:r>
        <w:t xml:space="preserve"> </w:t>
      </w:r>
      <w:r>
        <w:t xml:space="preserve">existing client portfolio and the need for portfolio</w:t>
      </w:r>
      <w:r>
        <w:t xml:space="preserve"> </w:t>
      </w:r>
      <w:r>
        <w:t xml:space="preserve">diversification would improve the overall diversification of the</w:t>
      </w:r>
      <w:r>
        <w:t xml:space="preserve"> </w:t>
      </w:r>
      <w:r>
        <w:t xml:space="preserve">client’s investments and limit potential losses.</w:t>
      </w:r>
      <w:r>
        <w:br/>
      </w:r>
      <w:r>
        <w:t xml:space="preserve">In a non-advisory environment, clients would benefit from</w:t>
      </w:r>
      <w:r>
        <w:t xml:space="preserve"> </w:t>
      </w:r>
      <w:r>
        <w:t xml:space="preserve">stronger warnings, allowing them to avoid potentially</w:t>
      </w:r>
      <w:r>
        <w:t xml:space="preserve"> </w:t>
      </w:r>
      <w:r>
        <w:t xml:space="preserve">detrimental investment decisions that would have been taken</w:t>
      </w:r>
      <w:r>
        <w:t xml:space="preserve"> </w:t>
      </w:r>
      <w:r>
        <w:t xml:space="preserve">in disregard of their financial capacity and ability to bear</w:t>
      </w:r>
      <w:r>
        <w:t xml:space="preserve"> </w:t>
      </w:r>
      <w:r>
        <w:t xml:space="preserve">losses</w:t>
      </w:r>
      <w:r>
        <w:t xml:space="preserve"> </w:t>
      </w:r>
      <w:r>
        <w:t xml:space="preserve">Enhancements to retail</w:t>
      </w:r>
      <w:r>
        <w:t xml:space="preserve"> </w:t>
      </w:r>
      <w:r>
        <w:t xml:space="preserve">investor protection through</w:t>
      </w:r>
      <w:r>
        <w:t xml:space="preserve"> </w:t>
      </w:r>
      <w:r>
        <w:t xml:space="preserve">stronger</w:t>
      </w:r>
      <w:r>
        <w:t xml:space="preserve"> </w:t>
      </w:r>
      <w:r>
        <w:t xml:space="preserve">NCA</w:t>
      </w:r>
      <w:r>
        <w:t xml:space="preserve"> </w:t>
      </w:r>
      <w:r>
        <w:t xml:space="preserve">powers,</w:t>
      </w:r>
      <w:r>
        <w:br/>
      </w:r>
      <w:r>
        <w:t xml:space="preserve">more effective cross border</w:t>
      </w:r>
      <w:r>
        <w:t xml:space="preserve"> </w:t>
      </w:r>
      <w:r>
        <w:t xml:space="preserve">supervision and improved</w:t>
      </w:r>
      <w:r>
        <w:t xml:space="preserve"> </w:t>
      </w:r>
      <w:r>
        <w:t xml:space="preserve">complaints</w:t>
      </w:r>
      <w:r>
        <w:t xml:space="preserve"> </w:t>
      </w:r>
      <w:r>
        <w:t xml:space="preserve">mechanisms</w:t>
      </w:r>
      <w:r>
        <w:t xml:space="preserve"> </w:t>
      </w:r>
      <w:r>
        <w:t xml:space="preserve">(main beneficiaries: retail</w:t>
      </w:r>
      <w:r>
        <w:t xml:space="preserve"> </w:t>
      </w:r>
      <w:r>
        <w:t xml:space="preserve">investors,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Unquantifiable benefits</w:t>
      </w:r>
      <w:r>
        <w:t xml:space="preserve"> </w:t>
      </w:r>
      <w:r>
        <w:t xml:space="preserve">NCAs would be better equipped to more rapidly detect and</w:t>
      </w:r>
      <w:r>
        <w:t xml:space="preserve"> </w:t>
      </w:r>
      <w:r>
        <w:t xml:space="preserve">address problems and misleading marketing communications,</w:t>
      </w:r>
      <w:r>
        <w:t xml:space="preserve"> </w:t>
      </w:r>
      <w:r>
        <w:t xml:space="preserve">reducing the amount lost by investors to frauds, scams and</w:t>
      </w:r>
      <w:r>
        <w:t xml:space="preserve"> </w:t>
      </w:r>
      <w:r>
        <w:t xml:space="preserve">unsuitable investments.</w:t>
      </w:r>
      <w:r>
        <w:br/>
      </w:r>
      <w:r>
        <w:t xml:space="preserve">The process and cooperation between home and host NCAs</w:t>
      </w:r>
      <w:r>
        <w:t xml:space="preserve"> </w:t>
      </w:r>
      <w:r>
        <w:t xml:space="preserve">would become more efficient. Supervision of cross-border</w:t>
      </w:r>
      <w:r>
        <w:t xml:space="preserve"> </w:t>
      </w:r>
      <w:r>
        <w:t xml:space="preserve">activities would be enhanced by enabling NCAs to work</w:t>
      </w:r>
      <w:r>
        <w:t xml:space="preserve"> </w:t>
      </w:r>
      <w:r>
        <w:t xml:space="preserve">together and benefit from sharing of supervisory expertise,</w:t>
      </w:r>
      <w:r>
        <w:t xml:space="preserve"> </w:t>
      </w:r>
      <w:r>
        <w:t xml:space="preserve">while at the same time preventing jurisdiction shopping.</w:t>
      </w:r>
      <w:r>
        <w:t xml:space="preserve"> </w:t>
      </w:r>
      <w:r>
        <w:t xml:space="preserve">Retail investors would benefit from clear information and</w:t>
      </w:r>
      <w:r>
        <w:t xml:space="preserve"> </w:t>
      </w:r>
      <w:r>
        <w:t xml:space="preserve">instructions and adequate access to communication channels</w:t>
      </w:r>
      <w:r>
        <w:t xml:space="preserve"> </w:t>
      </w:r>
      <w:r>
        <w:t xml:space="preserve">and complaints mechanisms.</w:t>
      </w:r>
      <w:r>
        <w:br/>
      </w:r>
      <w:r>
        <w:t xml:space="preserve">Indirect benefits</w:t>
      </w:r>
      <w:r>
        <w:t xml:space="preserve"> </w:t>
      </w:r>
      <w:r>
        <w:t xml:space="preserve">Strengthened</w:t>
      </w:r>
      <w:r>
        <w:t xml:space="preserve"> </w:t>
      </w:r>
      <w:r>
        <w:t xml:space="preserve">market</w:t>
      </w:r>
      <w:r>
        <w:t xml:space="preserve"> </w:t>
      </w:r>
      <w:r>
        <w:t xml:space="preserve">oversight</w:t>
      </w:r>
      <w:r>
        <w:t xml:space="preserve"> </w:t>
      </w:r>
      <w:r>
        <w:t xml:space="preserve">(main</w:t>
      </w:r>
      <w:r>
        <w:t xml:space="preserve"> </w:t>
      </w:r>
      <w:r>
        <w:t xml:space="preserve">beneficiaries: supervisors,</w:t>
      </w:r>
      <w:r>
        <w:t xml:space="preserve"> </w:t>
      </w:r>
      <w:r>
        <w:t xml:space="preserve">retail investors, broader</w:t>
      </w:r>
      <w:r>
        <w:t xml:space="preserve"> </w:t>
      </w:r>
      <w:r>
        <w:t xml:space="preserve">society)</w:t>
      </w:r>
      <w:r>
        <w:t xml:space="preserve"> </w:t>
      </w:r>
      <w:r>
        <w:t xml:space="preserve">No estimate available</w:t>
      </w:r>
      <w:r>
        <w:t xml:space="preserve"> </w:t>
      </w:r>
      <w:r>
        <w:t xml:space="preserve">Some of the measures, notably providing clarity on the scope</w:t>
      </w:r>
      <w:r>
        <w:t xml:space="preserve"> </w:t>
      </w:r>
      <w:r>
        <w:t xml:space="preserve">of the definition of marketing communications as well as the</w:t>
      </w:r>
      <w:r>
        <w:t xml:space="preserve"> </w:t>
      </w:r>
      <w:r>
        <w:t xml:space="preserve">introduction of an EU template for costs, the annual cost and</w:t>
      </w:r>
      <w:r>
        <w:t xml:space="preserve"> </w:t>
      </w:r>
      <w:r>
        <w:t xml:space="preserve">performance statement and the development and use of</w:t>
      </w:r>
      <w:r>
        <w:t xml:space="preserve"> </w:t>
      </w:r>
      <w:r>
        <w:t xml:space="preserve">benchmarks for assessing value for money, will make it easier</w:t>
      </w:r>
      <w:r>
        <w:t xml:space="preserve"> </w:t>
      </w:r>
      <w:r>
        <w:t xml:space="preserve">for supervisors to fulfil their supervisory mandates. Due to the</w:t>
      </w:r>
      <w:r>
        <w:t xml:space="preserve"> </w:t>
      </w:r>
      <w:r>
        <w:t xml:space="preserve">ban on inducements, supervisors will no longer have to check</w:t>
      </w:r>
      <w:r>
        <w:t xml:space="preserve"> </w:t>
      </w:r>
      <w:r>
        <w:t xml:space="preserve">quality enhancement and detriment tests.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Cheaper and better quality</w:t>
      </w:r>
      <w:r>
        <w:t xml:space="preserve"> </w:t>
      </w:r>
      <w:r>
        <w:t xml:space="preserve">investment products for</w:t>
      </w:r>
      <w:r>
        <w:t xml:space="preserve"> </w:t>
      </w:r>
      <w:r>
        <w:t xml:space="preserve">retail</w:t>
      </w:r>
      <w:r>
        <w:t xml:space="preserve"> </w:t>
      </w:r>
      <w:r>
        <w:t xml:space="preserve">clients,</w:t>
      </w:r>
      <w:r>
        <w:t xml:space="preserve"> </w:t>
      </w:r>
      <w:r>
        <w:t xml:space="preserve">more</w:t>
      </w:r>
      <w:r>
        <w:t xml:space="preserve"> </w:t>
      </w:r>
      <w:r>
        <w:t xml:space="preserve">competition and innovation</w:t>
      </w:r>
      <w:r>
        <w:t xml:space="preserve"> </w:t>
      </w:r>
      <w:r>
        <w:t xml:space="preserve">(main beneficiaries: retail</w:t>
      </w:r>
      <w:r>
        <w:t xml:space="preserve"> </w:t>
      </w:r>
      <w:r>
        <w:t xml:space="preserve">investors, broader society)</w:t>
      </w:r>
      <w:r>
        <w:t xml:space="preserve"> </w:t>
      </w:r>
      <w:r>
        <w:t xml:space="preserve">The size of the impact of Value</w:t>
      </w:r>
      <w:r>
        <w:t xml:space="preserve"> </w:t>
      </w:r>
      <w:r>
        <w:t xml:space="preserve">for Money and other measures</w:t>
      </w:r>
      <w:r>
        <w:t xml:space="preserve"> </w:t>
      </w:r>
      <w:r>
        <w:t xml:space="preserve">has been quantified through</w:t>
      </w:r>
      <w:r>
        <w:t xml:space="preserve"> </w:t>
      </w:r>
      <w:r>
        <w:t xml:space="preserve">convergence</w:t>
      </w:r>
      <w:r>
        <w:t xml:space="preserve"> </w:t>
      </w:r>
      <w:r>
        <w:t xml:space="preserve">scenarios,</w:t>
      </w:r>
      <w:r>
        <w:t xml:space="preserve"> </w:t>
      </w:r>
      <w:r>
        <w:t xml:space="preserve">suggesting monetary benefits</w:t>
      </w:r>
      <w:r>
        <w:t xml:space="preserve"> </w:t>
      </w:r>
      <w:r>
        <w:t xml:space="preserve">estimated in the range of EUR</w:t>
      </w:r>
      <w:r>
        <w:t xml:space="preserve"> </w:t>
      </w:r>
      <w:r>
        <w:t xml:space="preserve">4.4 billion to up to EUR 22</w:t>
      </w:r>
      <w:r>
        <w:t xml:space="preserve"> </w:t>
      </w:r>
      <w:r>
        <w:t xml:space="preserve">billion,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of convergence</w:t>
      </w:r>
      <w:r>
        <w:t xml:space="preserve"> </w:t>
      </w:r>
      <w:r>
        <w:t xml:space="preserve">pressure (13.8 billion for fund</w:t>
      </w:r>
      <w:r>
        <w:t xml:space="preserve"> </w:t>
      </w:r>
      <w:r>
        <w:t xml:space="preserve">products,</w:t>
      </w:r>
      <w:r>
        <w:t xml:space="preserve"> </w:t>
      </w:r>
      <w:r>
        <w:t xml:space="preserve">8.4</w:t>
      </w:r>
      <w:r>
        <w:t xml:space="preserve"> </w:t>
      </w:r>
      <w:r>
        <w:t xml:space="preserve">billion</w:t>
      </w:r>
      <w:r>
        <w:t xml:space="preserve"> </w:t>
      </w:r>
      <w:r>
        <w:t xml:space="preserve">for</w:t>
      </w:r>
      <w:r>
        <w:t xml:space="preserve"> </w:t>
      </w:r>
      <w:r>
        <w:t xml:space="preserve">insurance products)226.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ban</w:t>
      </w:r>
      <w:r>
        <w:t xml:space="preserve"> </w:t>
      </w:r>
      <w:r>
        <w:t xml:space="preserve">on</w:t>
      </w:r>
      <w:r>
        <w:t xml:space="preserve"> </w:t>
      </w:r>
      <w:r>
        <w:t xml:space="preserve">inducements is expected to lead</w:t>
      </w:r>
      <w:r>
        <w:t xml:space="preserve"> </w:t>
      </w:r>
      <w:r>
        <w:t xml:space="preserve">to a significant cost reduction,</w:t>
      </w:r>
      <w:r>
        <w:t xml:space="preserve"> </w:t>
      </w:r>
      <w:r>
        <w:t xml:space="preserve">as the UK and NL markets,</w:t>
      </w:r>
      <w:r>
        <w:t xml:space="preserve"> </w:t>
      </w:r>
      <w:r>
        <w:t xml:space="preserve">where</w:t>
      </w:r>
      <w:r>
        <w:t xml:space="preserve"> </w:t>
      </w:r>
      <w:r>
        <w:t xml:space="preserve">bans</w:t>
      </w:r>
      <w:r>
        <w:t xml:space="preserve"> </w:t>
      </w:r>
      <w:r>
        <w:t xml:space="preserve">were</w:t>
      </w:r>
      <w:r>
        <w:t xml:space="preserve"> </w:t>
      </w:r>
      <w:r>
        <w:t xml:space="preserve">first</w:t>
      </w:r>
      <w:r>
        <w:t xml:space="preserve"> </w:t>
      </w:r>
      <w:r>
        <w:t xml:space="preserve">introduced,</w:t>
      </w:r>
      <w:r>
        <w:t xml:space="preserve"> </w:t>
      </w:r>
      <w:r>
        <w:t xml:space="preserve">demonstrate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lower</w:t>
      </w:r>
      <w:r>
        <w:t xml:space="preserve"> </w:t>
      </w:r>
      <w:r>
        <w:t xml:space="preserve">(management) fees for retail</w:t>
      </w:r>
      <w:r>
        <w:t xml:space="preserve"> </w:t>
      </w:r>
      <w:r>
        <w:t xml:space="preserve">investment products227.</w:t>
      </w:r>
      <w:r>
        <w:br/>
      </w:r>
      <w:r>
        <w:t xml:space="preserve">Taking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the</w:t>
      </w:r>
      <w:r>
        <w:t xml:space="preserve"> </w:t>
      </w:r>
      <w:r>
        <w:t xml:space="preserve">dynamic effects of a ban, which</w:t>
      </w:r>
      <w:r>
        <w:t xml:space="preserve"> </w:t>
      </w:r>
      <w:r>
        <w:t xml:space="preserve">would imply that a certain</w:t>
      </w:r>
      <w:r>
        <w:t xml:space="preserve"> </w:t>
      </w:r>
      <w:r>
        <w:t xml:space="preserve">percentage of retail investors</w:t>
      </w:r>
      <w:r>
        <w:t xml:space="preserve"> </w:t>
      </w:r>
      <w:r>
        <w:t xml:space="preserve">would</w:t>
      </w:r>
      <w:r>
        <w:t xml:space="preserve"> </w:t>
      </w:r>
      <w:r>
        <w:t xml:space="preserve">switch</w:t>
      </w:r>
      <w:r>
        <w:t xml:space="preserve"> </w:t>
      </w:r>
      <w:r>
        <w:t xml:space="preserve">to</w:t>
      </w:r>
      <w:r>
        <w:t xml:space="preserve"> </w:t>
      </w:r>
      <w:r>
        <w:t xml:space="preserve">cheaper</w:t>
      </w:r>
      <w:r>
        <w:t xml:space="preserve"> </w:t>
      </w:r>
      <w:r>
        <w:t xml:space="preserve">products (as experiences in the</w:t>
      </w:r>
      <w:r>
        <w:t xml:space="preserve"> </w:t>
      </w:r>
      <w:r>
        <w:t xml:space="preserve">NL and the UK have shown),</w:t>
      </w:r>
      <w:r>
        <w:br/>
      </w:r>
      <w:r>
        <w:t xml:space="preserve">these effects would be even</w:t>
      </w:r>
      <w:r>
        <w:t xml:space="preserve"> </w:t>
      </w:r>
      <w:r>
        <w:t xml:space="preserve">higher. Assuming that 5% of</w:t>
      </w:r>
      <w:r>
        <w:t xml:space="preserve"> </w:t>
      </w:r>
      <w:r>
        <w:t xml:space="preserve">investments in the EU would</w:t>
      </w:r>
      <w:r>
        <w:t xml:space="preserve"> </w:t>
      </w:r>
      <w:r>
        <w:t xml:space="preserve">shift to low-cost investment</w:t>
      </w:r>
      <w:r>
        <w:t xml:space="preserve"> </w:t>
      </w:r>
      <w:r>
        <w:t xml:space="preserve">products (such as ETFs), this</w:t>
      </w:r>
      <w:r>
        <w:t xml:space="preserve"> </w:t>
      </w:r>
      <w:r>
        <w:t xml:space="preserve">could</w:t>
      </w:r>
      <w:r>
        <w:t xml:space="preserve"> </w:t>
      </w:r>
      <w:r>
        <w:t xml:space="preserve">generate</w:t>
      </w:r>
      <w:r>
        <w:t xml:space="preserve"> </w:t>
      </w:r>
      <w:r>
        <w:t xml:space="preserve">further</w:t>
      </w:r>
      <w:r>
        <w:t xml:space="preserve"> </w:t>
      </w:r>
      <w:r>
        <w:t xml:space="preserve">aggregated cost savings of EUR</w:t>
      </w:r>
      <w:r>
        <w:t xml:space="preserve"> </w:t>
      </w:r>
      <w:r>
        <w:t xml:space="preserve">0.5 billion (2019), EUR 0.6</w:t>
      </w:r>
      <w:r>
        <w:t xml:space="preserve"> </w:t>
      </w:r>
      <w:r>
        <w:t xml:space="preserve">billion (2020) and EUR 0.8</w:t>
      </w:r>
      <w:r>
        <w:t xml:space="preserve"> </w:t>
      </w:r>
      <w:r>
        <w:t xml:space="preserve">billion</w:t>
      </w:r>
      <w:r>
        <w:t xml:space="preserve"> </w:t>
      </w:r>
      <w:r>
        <w:t xml:space="preserve">(2021).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illustration of the value of</w:t>
      </w:r>
      <w:r>
        <w:t xml:space="preserve"> </w:t>
      </w:r>
      <w:r>
        <w:t xml:space="preserve">inducements is limited to only</w:t>
      </w:r>
      <w:r>
        <w:t xml:space="preserve"> </w:t>
      </w:r>
      <w:r>
        <w:t xml:space="preserve">one market segment and could</w:t>
      </w:r>
      <w:r>
        <w:t xml:space="preserve"> </w:t>
      </w:r>
      <w:r>
        <w:t xml:space="preserve">therefore be considered as a</w:t>
      </w:r>
      <w:r>
        <w:t xml:space="preserve"> </w:t>
      </w:r>
      <w:r>
        <w:t xml:space="preserve">significant underestimation of</w:t>
      </w:r>
      <w:r>
        <w:t xml:space="preserve"> </w:t>
      </w:r>
      <w:r>
        <w:t xml:space="preserve">the overall impact.</w:t>
      </w:r>
      <w:r>
        <w:t xml:space="preserve"> </w:t>
      </w:r>
      <w:r>
        <w:t xml:space="preserve">Multiple measures included in the preferred option would</w:t>
      </w:r>
      <w:r>
        <w:t xml:space="preserve"> </w:t>
      </w:r>
      <w:r>
        <w:t xml:space="preserve">indirectly contribute to making investment products more</w:t>
      </w:r>
      <w:r>
        <w:t xml:space="preserve"> </w:t>
      </w:r>
      <w:r>
        <w:t xml:space="preserve">affordable for retail investors, fostering competition and</w:t>
      </w:r>
      <w:r>
        <w:t xml:space="preserve"> </w:t>
      </w:r>
      <w:r>
        <w:t xml:space="preserve">innovation in the market.</w:t>
      </w:r>
    </w:p>
    <w:p>
      <w:pPr>
        <w:pStyle w:val="BodyText"/>
      </w:pPr>
      <w:r>
        <w:t xml:space="preserve">The ban on inducements would contribute to a reduction in</w:t>
      </w:r>
      <w:r>
        <w:t xml:space="preserve"> </w:t>
      </w:r>
      <w:r>
        <w:t xml:space="preserve">costs paid by retail investors and increase in quality of services</w:t>
      </w:r>
      <w:r>
        <w:t xml:space="preserve"> </w:t>
      </w:r>
      <w:r>
        <w:t xml:space="preserve">and products distributed to them: i) by aligning incentives and</w:t>
      </w:r>
      <w:r>
        <w:t xml:space="preserve"> </w:t>
      </w:r>
      <w:r>
        <w:t xml:space="preserve">making financial advisors much more likely to recommend</w:t>
      </w:r>
      <w:r>
        <w:t xml:space="preserve"> </w:t>
      </w:r>
      <w:r>
        <w:t xml:space="preserve">more cost-efficient and higher quality products, and ii) by</w:t>
      </w:r>
      <w:r>
        <w:t xml:space="preserve"> </w:t>
      </w:r>
      <w:r>
        <w:t xml:space="preserve">encouraging more competition in investment product</w:t>
      </w:r>
      <w:r>
        <w:t xml:space="preserve"> </w:t>
      </w:r>
      <w:r>
        <w:t xml:space="preserve">distribution (also across the EU single market).</w:t>
      </w:r>
    </w:p>
    <w:p>
      <w:pPr>
        <w:pStyle w:val="BodyText"/>
      </w:pPr>
      <w:r>
        <w:t xml:space="preserve">Strengthening</w:t>
      </w:r>
      <w:r>
        <w:t xml:space="preserve"> </w:t>
      </w:r>
      <w:r>
        <w:t xml:space="preserve">product</w:t>
      </w:r>
      <w:r>
        <w:t xml:space="preserve"> </w:t>
      </w:r>
      <w:r>
        <w:t xml:space="preserve">governance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 and distributors (Value for Money) would help</w:t>
      </w:r>
      <w:r>
        <w:t xml:space="preserve"> </w:t>
      </w:r>
      <w:r>
        <w:t xml:space="preserve">eliminate from the market those products that are likely to</w:t>
      </w:r>
      <w:r>
        <w:t xml:space="preserve"> </w:t>
      </w:r>
      <w:r>
        <w:t xml:space="preserve">present investors with poor value for money (both directly as</w:t>
      </w:r>
      <w:r>
        <w:t xml:space="preserve"> </w:t>
      </w:r>
      <w:r>
        <w:t xml:space="preserve">captured above and indirectly, by fostering more comparison</w:t>
      </w:r>
      <w:r>
        <w:t xml:space="preserve"> </w:t>
      </w:r>
      <w:r>
        <w:t xml:space="preserve">of products and thus stronger competition), while shifting the</w:t>
      </w:r>
      <w:r>
        <w:t xml:space="preserve"> </w:t>
      </w:r>
      <w:r>
        <w:t xml:space="preserve">overall product mix towards cheaper (and likely more simple</w:t>
      </w:r>
      <w:r>
        <w:t xml:space="preserve"> </w:t>
      </w:r>
      <w:r>
        <w:t xml:space="preserve">and higher quality) investment products.</w:t>
      </w:r>
    </w:p>
    <w:p>
      <w:pPr>
        <w:pStyle w:val="BodyText"/>
      </w:pPr>
      <w:r>
        <w:t xml:space="preserve">Other measures, such as ex-post statements on costs and</w:t>
      </w:r>
      <w:r>
        <w:t xml:space="preserve"> </w:t>
      </w:r>
      <w:r>
        <w:t xml:space="preserve">performance could also contribute to a reduction in costs as</w:t>
      </w:r>
      <w:r>
        <w:t xml:space="preserve"> </w:t>
      </w:r>
      <w:r>
        <w:t xml:space="preserve">they would improve client awareness about the ongoing cost</w:t>
      </w:r>
      <w:r>
        <w:t xml:space="preserve"> </w:t>
      </w:r>
      <w:r>
        <w:t xml:space="preserve">and performance of products.</w:t>
      </w:r>
      <w:r>
        <w:t xml:space="preserve"> </w:t>
      </w:r>
      <w:r>
        <w:t xml:space="preserve">Digital shift in financial</w:t>
      </w:r>
      <w:r>
        <w:t xml:space="preserve"> </w:t>
      </w:r>
      <w:r>
        <w:t xml:space="preserve">product distribution 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investors,</w:t>
      </w:r>
      <w:r>
        <w:t xml:space="preserve"> </w:t>
      </w:r>
      <w:r>
        <w:t xml:space="preserve">innovative</w:t>
      </w:r>
      <w:r>
        <w:t xml:space="preserve"> </w:t>
      </w:r>
      <w:r>
        <w:t xml:space="preserve">players in the financial</w:t>
      </w:r>
      <w:r>
        <w:t xml:space="preserve"> </w:t>
      </w:r>
      <w:r>
        <w:t xml:space="preserve">sector, and broader society)</w:t>
      </w:r>
      <w:r>
        <w:t xml:space="preserve"> </w:t>
      </w:r>
      <w:r>
        <w:t xml:space="preserve">Unquantifiable benefit</w:t>
      </w:r>
      <w:r>
        <w:t xml:space="preserve"> </w:t>
      </w:r>
      <w:r>
        <w:t xml:space="preserve">The ban on inducements in particular might accelerate an</w:t>
      </w:r>
      <w:r>
        <w:t xml:space="preserve"> </w:t>
      </w:r>
      <w:r>
        <w:t xml:space="preserve">already ongoing trend towards digitalisation and increased</w:t>
      </w:r>
      <w:r>
        <w:t xml:space="preserve"> </w:t>
      </w:r>
      <w:r>
        <w:t xml:space="preserve">innovation of the value chain, in particular at the distribution</w:t>
      </w:r>
      <w:r>
        <w:t xml:space="preserve"> </w:t>
      </w:r>
      <w:r>
        <w:t xml:space="preserve">level.</w:t>
      </w:r>
      <w:r>
        <w:t xml:space="preserve"> </w:t>
      </w:r>
      <w:r>
        <w:t xml:space="preserve">Improved financial literacy</w:t>
      </w:r>
      <w:r>
        <w:t xml:space="preserve"> </w:t>
      </w:r>
      <w:r>
        <w:t xml:space="preserve">(main beneficiaries: retail</w:t>
      </w:r>
      <w:r>
        <w:t xml:space="preserve"> </w:t>
      </w:r>
      <w:r>
        <w:t xml:space="preserve">investors, broader society)</w:t>
      </w:r>
      <w:r>
        <w:t xml:space="preserve"> </w:t>
      </w:r>
      <w:r>
        <w:t xml:space="preserve">Unquantifiable benefit</w:t>
      </w:r>
      <w:r>
        <w:t xml:space="preserve"> </w:t>
      </w:r>
      <w:r>
        <w:t xml:space="preserve">By supporting and supplementing the work of EU Member</w:t>
      </w:r>
      <w:r>
        <w:t xml:space="preserve"> </w:t>
      </w:r>
      <w:r>
        <w:t xml:space="preserve">States in promoting financial literacy, financial literacy levels</w:t>
      </w:r>
      <w:r>
        <w:t xml:space="preserve"> </w:t>
      </w:r>
      <w:r>
        <w:t xml:space="preserve">would increase. As established in the main body of this report,</w:t>
      </w:r>
      <w:r>
        <w:t xml:space="preserve"> </w:t>
      </w:r>
      <w:r>
        <w:t xml:space="preserve">this would have further positive consequences for retail</w:t>
      </w:r>
    </w:p>
    <w:p>
      <w:pPr>
        <w:pStyle w:val="BodyText"/>
      </w:pPr>
      <w:r>
        <w:t xml:space="preserve">226 The results for insurance products are strongly influenced by observations for 2 Member States, for which the data</w:t>
      </w:r>
      <w:r>
        <w:t xml:space="preserve"> </w:t>
      </w:r>
      <w:r>
        <w:t xml:space="preserve">used is based on few observations.</w:t>
      </w:r>
      <w:r>
        <w:t xml:space="preserve"> </w:t>
      </w:r>
      <w:r>
        <w:t xml:space="preserve">227 Meanwhile service fees increased to a certain amount, depending on provider and services offered.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investors. i.e. enabling them to better understand investment</w:t>
      </w:r>
      <w:r>
        <w:t xml:space="preserve"> </w:t>
      </w:r>
      <w:r>
        <w:t xml:space="preserve">products.</w:t>
      </w:r>
      <w:r>
        <w:br/>
      </w:r>
      <w:r>
        <w:t xml:space="preserve">Possible increase in retail</w:t>
      </w:r>
      <w:r>
        <w:t xml:space="preserve"> </w:t>
      </w:r>
      <w:r>
        <w:t xml:space="preserve">investment</w:t>
      </w:r>
      <w:r>
        <w:t xml:space="preserve"> </w:t>
      </w:r>
      <w:r>
        <w:t xml:space="preserve">participation</w:t>
      </w:r>
      <w:r>
        <w:t xml:space="preserve"> </w:t>
      </w:r>
      <w:r>
        <w:t xml:space="preserve">(main beneficiaries: retail</w:t>
      </w:r>
      <w:r>
        <w:t xml:space="preserve"> </w:t>
      </w:r>
      <w:r>
        <w:t xml:space="preserve">investors, financial sector,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companies</w:t>
      </w:r>
      <w:r>
        <w:t xml:space="preserve"> </w:t>
      </w:r>
      <w:r>
        <w:t xml:space="preserve">and broader society)</w:t>
      </w:r>
      <w:r>
        <w:t xml:space="preserve"> </w:t>
      </w:r>
      <w:r>
        <w:t xml:space="preserve">Unquantifiable benefit</w:t>
      </w:r>
      <w:r>
        <w:t xml:space="preserve"> </w:t>
      </w:r>
      <w:r>
        <w:t xml:space="preserve">A combination of the benefits mentioned above (better</w:t>
      </w:r>
      <w:r>
        <w:t xml:space="preserve"> </w:t>
      </w:r>
      <w:r>
        <w:t xml:space="preserve">understanding of products, lower risk of being misled, aligning</w:t>
      </w:r>
      <w:r>
        <w:t xml:space="preserve"> </w:t>
      </w:r>
      <w:r>
        <w:t xml:space="preserve">incentives, cheaper products, strengthened supervisory</w:t>
      </w:r>
      <w:r>
        <w:t xml:space="preserve"> </w:t>
      </w:r>
      <w:r>
        <w:t xml:space="preserve">enforcement, better quality advice) resulting from the different</w:t>
      </w:r>
      <w:r>
        <w:t xml:space="preserve"> </w:t>
      </w:r>
      <w:r>
        <w:t xml:space="preserve">measures in this initiative would likely over time lead to</w:t>
      </w:r>
      <w:r>
        <w:t xml:space="preserve"> </w:t>
      </w:r>
      <w:r>
        <w:t xml:space="preserve">increased trust levels among retail investors and through this,</w:t>
      </w:r>
      <w:r>
        <w:t xml:space="preserve"> </w:t>
      </w:r>
      <w:r>
        <w:t xml:space="preserve">potentially their greater participation in the market for</w:t>
      </w:r>
      <w:r>
        <w:t xml:space="preserve"> </w:t>
      </w:r>
      <w:r>
        <w:t xml:space="preserve">investment products. This benefit could thus also be reflected</w:t>
      </w:r>
      <w:r>
        <w:t xml:space="preserve"> </w:t>
      </w:r>
      <w:r>
        <w:t xml:space="preserve">in greater business volumes for asset managers and other</w:t>
      </w:r>
      <w:r>
        <w:t xml:space="preserve"> </w:t>
      </w:r>
      <w:r>
        <w:t xml:space="preserve">providers of retail investment products in the long run228 and</w:t>
      </w:r>
      <w:r>
        <w:t xml:space="preserve"> </w:t>
      </w:r>
      <w:r>
        <w:t xml:space="preserve">to some extent in potentially more funding for companies.</w:t>
      </w:r>
      <w:r>
        <w:br/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accumulation of capital for</w:t>
      </w:r>
      <w:r>
        <w:t xml:space="preserve"> </w:t>
      </w:r>
      <w:r>
        <w:t xml:space="preserve">retirement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objectives</w:t>
      </w:r>
      <w:r>
        <w:t xml:space="preserve"> </w:t>
      </w:r>
      <w:r>
        <w:t xml:space="preserve">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investors/households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 state budgets)</w:t>
      </w:r>
      <w:r>
        <w:t xml:space="preserve"> </w:t>
      </w:r>
      <w:r>
        <w:t xml:space="preserve">This benefit would be very</w:t>
      </w:r>
      <w:r>
        <w:t xml:space="preserve"> </w:t>
      </w:r>
      <w:r>
        <w:t xml:space="preserve">difficult to quantify, as it</w:t>
      </w:r>
      <w:r>
        <w:t xml:space="preserve"> </w:t>
      </w:r>
      <w:r>
        <w:t xml:space="preserve">depends strongly on the size of</w:t>
      </w:r>
      <w:r>
        <w:t xml:space="preserve"> </w:t>
      </w:r>
      <w:r>
        <w:t xml:space="preserve">the expected shift towards</w:t>
      </w:r>
      <w:r>
        <w:t xml:space="preserve"> </w:t>
      </w:r>
      <w:r>
        <w:t xml:space="preserve">cheaper products. Given the</w:t>
      </w:r>
      <w:r>
        <w:t xml:space="preserve"> </w:t>
      </w:r>
      <w:r>
        <w:t xml:space="preserve">underlying compound interest</w:t>
      </w:r>
      <w:r>
        <w:t xml:space="preserve"> </w:t>
      </w:r>
      <w:r>
        <w:t xml:space="preserve">mathematics,</w:t>
      </w:r>
      <w:r>
        <w:t xml:space="preserve"> </w:t>
      </w:r>
      <w:r>
        <w:t xml:space="preserve">even</w:t>
      </w:r>
      <w:r>
        <w:t xml:space="preserve"> </w:t>
      </w:r>
      <w:r>
        <w:t xml:space="preserve">small</w:t>
      </w:r>
      <w:r>
        <w:t xml:space="preserve"> </w:t>
      </w:r>
      <w:r>
        <w:t xml:space="preserve">savings on annual costs could</w:t>
      </w:r>
      <w:r>
        <w:t xml:space="preserve"> </w:t>
      </w:r>
      <w:r>
        <w:t xml:space="preserve">translate into a large long-term</w:t>
      </w:r>
      <w:r>
        <w:t xml:space="preserve"> </w:t>
      </w:r>
      <w:r>
        <w:t xml:space="preserve">benefits for retail investors.</w:t>
      </w:r>
      <w:r>
        <w:br/>
      </w:r>
      <w:r>
        <w:t xml:space="preserve">Reduced costs of retail investment products discussed above</w:t>
      </w:r>
      <w:r>
        <w:t xml:space="preserve"> </w:t>
      </w:r>
      <w:r>
        <w:t xml:space="preserve">would improve after-fee performance, allowing invested</w:t>
      </w:r>
      <w:r>
        <w:t xml:space="preserve"> </w:t>
      </w:r>
      <w:r>
        <w:t xml:space="preserve">capital to accumulate at a higher rate. Improved financial</w:t>
      </w:r>
      <w:r>
        <w:t xml:space="preserve"> </w:t>
      </w:r>
      <w:r>
        <w:t xml:space="preserve">literacy levels could also stimulate wider retail investor</w:t>
      </w:r>
      <w:r>
        <w:t xml:space="preserve"> </w:t>
      </w:r>
      <w:r>
        <w:t xml:space="preserve">participation in capital markets, leading to more people being</w:t>
      </w:r>
      <w:r>
        <w:t xml:space="preserve"> </w:t>
      </w:r>
      <w:r>
        <w:t xml:space="preserve">able to accumulate more capital for their retirement and other</w:t>
      </w:r>
      <w:r>
        <w:t xml:space="preserve"> </w:t>
      </w:r>
      <w:r>
        <w:t xml:space="preserve">life objectives.</w:t>
      </w:r>
    </w:p>
    <w:p>
      <w:pPr>
        <w:pStyle w:val="BodyText"/>
      </w:pPr>
      <w:r>
        <w:t xml:space="preserve">Administrative cost savings related to the ‘one in, one out’ approach*</w:t>
      </w:r>
      <w:r>
        <w:t xml:space="preserve"> </w:t>
      </w:r>
      <w:r>
        <w:t xml:space="preserve">Saving</w:t>
      </w:r>
      <w:r>
        <w:t xml:space="preserve"> </w:t>
      </w:r>
      <w:r>
        <w:t xml:space="preserve">on</w:t>
      </w:r>
      <w:r>
        <w:t xml:space="preserve"> </w:t>
      </w:r>
      <w:r>
        <w:t xml:space="preserve">existing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inducements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disclosures</w:t>
      </w:r>
      <w:r>
        <w:t xml:space="preserve"> </w:t>
      </w:r>
      <w:r>
        <w:t xml:space="preserve">and</w:t>
      </w:r>
      <w:r>
        <w:t xml:space="preserve"> </w:t>
      </w:r>
      <w:r>
        <w:t xml:space="preserve">quality</w:t>
      </w:r>
      <w:r>
        <w:t xml:space="preserve"> </w:t>
      </w:r>
      <w:r>
        <w:t xml:space="preserve">enhancement</w:t>
      </w:r>
      <w:r>
        <w:t xml:space="preserve"> </w:t>
      </w:r>
      <w:r>
        <w:t xml:space="preserve">/</w:t>
      </w:r>
      <w:r>
        <w:t xml:space="preserve"> </w:t>
      </w:r>
      <w:r>
        <w:t xml:space="preserve">no</w:t>
      </w:r>
      <w:r>
        <w:t xml:space="preserve"> </w:t>
      </w:r>
      <w:r>
        <w:t xml:space="preserve">detriment</w:t>
      </w:r>
      <w:r>
        <w:t xml:space="preserve"> </w:t>
      </w:r>
      <w:r>
        <w:t xml:space="preserve">test</w:t>
      </w:r>
      <w:r>
        <w:t xml:space="preserve"> </w:t>
      </w:r>
      <w:r>
        <w:t xml:space="preserve">(main</w:t>
      </w:r>
      <w:r>
        <w:t xml:space="preserve"> </w:t>
      </w:r>
      <w:r>
        <w:t xml:space="preserve">beneficiaries:</w:t>
      </w:r>
      <w:r>
        <w:t xml:space="preserve"> </w:t>
      </w:r>
      <w:r>
        <w:t xml:space="preserve">financial</w:t>
      </w:r>
      <w:r>
        <w:t xml:space="preserve"> </w:t>
      </w:r>
      <w:r>
        <w:t xml:space="preserve">sector)</w:t>
      </w:r>
      <w:r>
        <w:t xml:space="preserve"> </w:t>
      </w:r>
      <w:r>
        <w:t xml:space="preserve">No estimate available 229</w:t>
      </w:r>
    </w:p>
    <w:p>
      <w:pPr>
        <w:pStyle w:val="BodyText"/>
      </w:pPr>
      <w:r>
        <w:t xml:space="preserve">Where inducements are applied, this currently has to be</w:t>
      </w:r>
      <w:r>
        <w:t xml:space="preserve"> </w:t>
      </w:r>
      <w:r>
        <w:t xml:space="preserve">appropriately disclosed. Firms also need to comply with other</w:t>
      </w:r>
      <w:r>
        <w:t xml:space="preserve"> </w:t>
      </w:r>
      <w:r>
        <w:t xml:space="preserve">regulatory requirements for the payment of inducements (e.g. </w:t>
      </w:r>
      <w:r>
        <w:t xml:space="preserve"> </w:t>
      </w:r>
      <w:r>
        <w:t xml:space="preserve">ensuring that inducements satisfy the quality enhancement</w:t>
      </w:r>
      <w:r>
        <w:t xml:space="preserve"> </w:t>
      </w:r>
      <w:r>
        <w:t xml:space="preserve">(under MiFID) and no-detriment (under IDD) tests). A ban on</w:t>
      </w:r>
      <w:r>
        <w:t xml:space="preserve"> </w:t>
      </w:r>
      <w:r>
        <w:t xml:space="preserve">inducements implies such requirements would no longer</w:t>
      </w:r>
      <w:r>
        <w:t xml:space="preserve"> </w:t>
      </w:r>
      <w:r>
        <w:t xml:space="preserve">apply, and savings on related administrative burdens.</w:t>
      </w:r>
      <w:r>
        <w:br/>
      </w:r>
      <w:r>
        <w:t xml:space="preserve">Investor</w:t>
      </w:r>
      <w:r>
        <w:t xml:space="preserve"> </w:t>
      </w:r>
      <w:r>
        <w:t xml:space="preserve">categorisation</w:t>
      </w:r>
      <w:r>
        <w:t xml:space="preserve"> </w:t>
      </w:r>
      <w:r>
        <w:t xml:space="preserve">(main beneficiaries: retail</w:t>
      </w:r>
      <w:r>
        <w:t xml:space="preserve"> </w:t>
      </w:r>
      <w:r>
        <w:t xml:space="preserve">investors, financial sector)</w:t>
      </w:r>
      <w:r>
        <w:br/>
      </w:r>
      <w:r>
        <w:t xml:space="preserve">Benefit expected, but rather</w:t>
      </w:r>
      <w:r>
        <w:t xml:space="preserve"> </w:t>
      </w:r>
      <w:r>
        <w:t xml:space="preserve">small and difficult to quantify</w:t>
      </w:r>
      <w:r>
        <w:t xml:space="preserve"> </w:t>
      </w:r>
      <w:r>
        <w:t xml:space="preserve">Existing criteria for professional clients on request would be</w:t>
      </w:r>
      <w:r>
        <w:t xml:space="preserve"> </w:t>
      </w:r>
      <w:r>
        <w:t xml:space="preserve">adapted to accommodate those investors with appropriate</w:t>
      </w:r>
      <w:r>
        <w:t xml:space="preserve"> </w:t>
      </w:r>
      <w:r>
        <w:t xml:space="preserve">knowledge, experience and ability to bear losses, who should</w:t>
      </w:r>
      <w:r>
        <w:t xml:space="preserve"> </w:t>
      </w:r>
      <w:r>
        <w:t xml:space="preserve">hence be able to benefit from regulatory alleviations offered to</w:t>
      </w:r>
      <w:r>
        <w:t xml:space="preserve"> </w:t>
      </w:r>
      <w:r>
        <w:t xml:space="preserve">professional investors, reducing information overload for this</w:t>
      </w:r>
      <w:r>
        <w:t xml:space="preserve"> </w:t>
      </w:r>
      <w:r>
        <w:t xml:space="preserve">new investor category. This also implies that after checking</w:t>
      </w:r>
      <w:r>
        <w:t xml:space="preserve"> </w:t>
      </w:r>
      <w:r>
        <w:t xml:space="preserve">who belongs in this category, product manufacturers and</w:t>
      </w:r>
      <w:r>
        <w:t xml:space="preserve"> </w:t>
      </w:r>
      <w:r>
        <w:t xml:space="preserve">distributors would be able to save resources dedicated to</w:t>
      </w:r>
      <w:r>
        <w:t xml:space="preserve"> </w:t>
      </w:r>
      <w:r>
        <w:t xml:space="preserve">assessing clients’ needs and objectives and providing</w:t>
      </w:r>
      <w:r>
        <w:t xml:space="preserve"> </w:t>
      </w:r>
      <w:r>
        <w:t xml:space="preserve">information to them.</w:t>
      </w:r>
    </w:p>
    <w:p>
      <w:pPr>
        <w:pStyle w:val="Compact"/>
        <w:numPr>
          <w:ilvl w:val="0"/>
          <w:numId w:val="101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Consumers</w:t>
      </w:r>
      <w:r>
        <w:t xml:space="preserve"> </w:t>
      </w:r>
      <w:r>
        <w:t xml:space="preserve">(retail</w:t>
      </w:r>
      <w:r>
        <w:t xml:space="preserve"> </w:t>
      </w:r>
      <w:r>
        <w:t xml:space="preserve">investors)</w:t>
      </w:r>
      <w:r>
        <w:t xml:space="preserve"> </w:t>
      </w:r>
      <w:r>
        <w:t xml:space="preserve">Businesses (financial product providers and</w:t>
      </w:r>
      <w:r>
        <w:t xml:space="preserve"> </w:t>
      </w:r>
      <w:r>
        <w:t xml:space="preserve">financial advisors)</w:t>
      </w:r>
      <w:r>
        <w:t xml:space="preserve"> </w:t>
      </w:r>
      <w:r>
        <w:t xml:space="preserve">Supervisory authorities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 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228 In the short run, a decline might be seen, in particularly in the advised segment of the market.</w:t>
      </w:r>
      <w:r>
        <w:t xml:space="preserve"> </w:t>
      </w:r>
      <w:r>
        <w:t xml:space="preserve">229 In addition to the actual saving compared to the baseline, there is a potentially substantial saving compared to</w:t>
      </w:r>
      <w:r>
        <w:t xml:space="preserve"> </w:t>
      </w:r>
      <w:r>
        <w:t xml:space="preserve">the alternative option considered in this impact assessment, which would require strengthening disclosures on</w:t>
      </w:r>
      <w:r>
        <w:t xml:space="preserve"> </w:t>
      </w:r>
      <w:r>
        <w:t xml:space="preserve">inducements in order to safeguard interests of retail investors. (As regards quantification, it is not possible to</w:t>
      </w:r>
      <w:r>
        <w:t xml:space="preserve"> </w:t>
      </w:r>
      <w:r>
        <w:t xml:space="preserve">determine approximate magnitude of the saving, as the evidence gathered points to potential non-compliance with</w:t>
      </w:r>
      <w:r>
        <w:t xml:space="preserve"> </w:t>
      </w:r>
      <w:r>
        <w:t xml:space="preserve">the existing requirements, which would likely make any estimations unreliable).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Disclosures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communic-</w:t>
      </w:r>
      <w:r>
        <w:t xml:space="preserve"> </w:t>
      </w:r>
      <w:r>
        <w:t xml:space="preserve">ations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</w:t>
      </w:r>
      <w:r>
        <w:t xml:space="preserve"> </w:t>
      </w:r>
      <w:r>
        <w:t xml:space="preserve">ive costs230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adapting/updating</w:t>
      </w:r>
      <w:r>
        <w:t xml:space="preserve"> </w:t>
      </w:r>
      <w:r>
        <w:t xml:space="preserve">existing (automat-ed)</w:t>
      </w:r>
      <w:r>
        <w:t xml:space="preserve"> </w:t>
      </w:r>
      <w:r>
        <w:t xml:space="preserve">systems to provide an</w:t>
      </w:r>
      <w:r>
        <w:t xml:space="preserve"> </w:t>
      </w:r>
      <w:r>
        <w:t xml:space="preserve">annual statement on</w:t>
      </w:r>
      <w:r>
        <w:t xml:space="preserve"> </w:t>
      </w:r>
      <w:r>
        <w:t xml:space="preserve">cost and performance,</w:t>
      </w:r>
      <w:r>
        <w:t xml:space="preserve"> </w:t>
      </w:r>
      <w:r>
        <w:t xml:space="preserve">under</w:t>
      </w:r>
      <w:r>
        <w:t xml:space="preserve"> </w:t>
      </w:r>
      <w:r>
        <w:t xml:space="preserve">MiFID</w:t>
      </w:r>
      <w:r>
        <w:t xml:space="preserve"> </w:t>
      </w:r>
      <w:r>
        <w:t xml:space="preserve">and</w:t>
      </w:r>
      <w:r>
        <w:t xml:space="preserve"> </w:t>
      </w:r>
      <w:r>
        <w:t xml:space="preserve">IDD, the total EU-</w:t>
      </w:r>
      <w:r>
        <w:t xml:space="preserve"> </w:t>
      </w:r>
      <w:r>
        <w:t xml:space="preserve">wide cost could be</w:t>
      </w:r>
      <w:r>
        <w:t xml:space="preserve"> </w:t>
      </w:r>
      <w:r>
        <w:t xml:space="preserve">estimated in a range</w:t>
      </w:r>
      <w:r>
        <w:t xml:space="preserve"> </w:t>
      </w:r>
      <w:r>
        <w:t xml:space="preserve">of EUR €19 – 67.5</w:t>
      </w:r>
      <w:r>
        <w:t xml:space="preserve"> </w:t>
      </w:r>
      <w:r>
        <w:t xml:space="preserve">million231.</w:t>
      </w:r>
    </w:p>
    <w:p>
      <w:pPr>
        <w:pStyle w:val="BodyText"/>
      </w:pPr>
      <w:r>
        <w:t xml:space="preserve">The costs for adapting</w:t>
      </w:r>
      <w:r>
        <w:t xml:space="preserve"> </w:t>
      </w:r>
      <w:r>
        <w:t xml:space="preserve">existing (automated)</w:t>
      </w:r>
      <w:r>
        <w:t xml:space="preserve"> </w:t>
      </w:r>
      <w:r>
        <w:t xml:space="preserve">tools to incorporate</w:t>
      </w:r>
      <w:r>
        <w:t xml:space="preserve"> </w:t>
      </w:r>
      <w:r>
        <w:t xml:space="preserve">the EU template on</w:t>
      </w:r>
      <w:r>
        <w:t xml:space="preserve"> </w:t>
      </w:r>
      <w:r>
        <w:t xml:space="preserve">cost disclosures under</w:t>
      </w:r>
      <w:r>
        <w:t xml:space="preserve"> </w:t>
      </w:r>
      <w:r>
        <w:t xml:space="preserve">MiFID and IDD and</w:t>
      </w:r>
      <w:r>
        <w:t xml:space="preserve"> </w:t>
      </w:r>
      <w:r>
        <w:t xml:space="preserve">adjust</w:t>
      </w:r>
      <w:r>
        <w:t xml:space="preserve"> </w:t>
      </w:r>
      <w:r>
        <w:t xml:space="preserve">internal</w:t>
      </w:r>
      <w:r>
        <w:t xml:space="preserve"> </w:t>
      </w:r>
      <w:r>
        <w:t xml:space="preserve">policies,</w:t>
      </w:r>
      <w:r>
        <w:t xml:space="preserve"> </w:t>
      </w:r>
      <w:r>
        <w:t xml:space="preserve">would</w:t>
      </w:r>
      <w:r>
        <w:t xml:space="preserve"> </w:t>
      </w:r>
      <w:r>
        <w:t xml:space="preserve">depend on how the</w:t>
      </w:r>
      <w:r>
        <w:t xml:space="preserve"> </w:t>
      </w:r>
      <w:r>
        <w:t xml:space="preserve">format is developed.</w:t>
      </w:r>
      <w:r>
        <w:t xml:space="preserve"> </w:t>
      </w:r>
      <w:r>
        <w:t xml:space="preserve">This will be assessed</w:t>
      </w:r>
      <w:r>
        <w:t xml:space="preserve"> </w:t>
      </w:r>
      <w:r>
        <w:t xml:space="preserve">while developing the</w:t>
      </w:r>
      <w:r>
        <w:t xml:space="preserve"> </w:t>
      </w:r>
      <w:r>
        <w:t xml:space="preserve">relevant level 2 acts.</w:t>
      </w:r>
    </w:p>
    <w:p>
      <w:pPr>
        <w:pStyle w:val="BodyText"/>
      </w:pPr>
      <w:r>
        <w:t xml:space="preserve">Update</w:t>
      </w:r>
      <w:r>
        <w:t xml:space="preserve"> </w:t>
      </w:r>
      <w:r>
        <w:t xml:space="preserve">of</w:t>
      </w:r>
      <w:r>
        <w:t xml:space="preserve"> </w:t>
      </w:r>
      <w:r>
        <w:t xml:space="preserve">PRIIPs</w:t>
      </w:r>
      <w:r>
        <w:t xml:space="preserve"> </w:t>
      </w:r>
      <w:r>
        <w:t xml:space="preserve">KIDs to comply with</w:t>
      </w:r>
      <w:r>
        <w:t xml:space="preserve"> </w:t>
      </w:r>
      <w:r>
        <w:t xml:space="preserve">the new rules: very</w:t>
      </w:r>
      <w:r>
        <w:t xml:space="preserve"> </w:t>
      </w:r>
      <w:r>
        <w:t xml:space="preserve">limited cost.</w:t>
      </w:r>
    </w:p>
    <w:p>
      <w:pPr>
        <w:pStyle w:val="BodyText"/>
      </w:pPr>
      <w:r>
        <w:t xml:space="preserve">Adapting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</w:t>
      </w:r>
      <w:r>
        <w:t xml:space="preserve"> </w:t>
      </w:r>
      <w:r>
        <w:t xml:space="preserve">templates</w:t>
      </w:r>
      <w:r>
        <w:t xml:space="preserve"> </w:t>
      </w:r>
      <w:r>
        <w:t xml:space="preserve">and</w:t>
      </w:r>
      <w:r>
        <w:t xml:space="preserve"> </w:t>
      </w:r>
      <w:r>
        <w:t xml:space="preserve">internal 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on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communication:</w:t>
      </w:r>
      <w:r>
        <w:t xml:space="preserve"> </w:t>
      </w:r>
      <w:r>
        <w:t xml:space="preserve">likely</w:t>
      </w:r>
      <w:r>
        <w:t xml:space="preserve"> </w:t>
      </w:r>
      <w:r>
        <w:t xml:space="preserve">limited</w:t>
      </w:r>
      <w:r>
        <w:t xml:space="preserve"> </w:t>
      </w:r>
      <w:r>
        <w:t xml:space="preserve">cost, but difficult</w:t>
      </w:r>
      <w:r>
        <w:t xml:space="preserve"> </w:t>
      </w:r>
      <w:r>
        <w:t xml:space="preserve">to quantify.</w:t>
      </w:r>
      <w:r>
        <w:br/>
      </w:r>
      <w:r>
        <w:t xml:space="preserve">Investment firms will</w:t>
      </w:r>
      <w:r>
        <w:t xml:space="preserve"> </w:t>
      </w:r>
      <w:r>
        <w:t xml:space="preserve">incur new ongoing costs</w:t>
      </w:r>
      <w:r>
        <w:t xml:space="preserve"> </w:t>
      </w:r>
      <w:r>
        <w:t xml:space="preserve">in relation to the annual</w:t>
      </w:r>
      <w:r>
        <w:t xml:space="preserve"> </w:t>
      </w:r>
      <w:r>
        <w:t xml:space="preserve">statement on costs and</w:t>
      </w:r>
      <w:r>
        <w:t xml:space="preserve"> </w:t>
      </w:r>
      <w:r>
        <w:t xml:space="preserve">performance for clients</w:t>
      </w:r>
      <w:r>
        <w:t xml:space="preserve"> </w:t>
      </w:r>
      <w:r>
        <w:t xml:space="preserve">who currently do not</w:t>
      </w:r>
      <w:r>
        <w:t xml:space="preserve"> </w:t>
      </w:r>
      <w:r>
        <w:t xml:space="preserve">receive</w:t>
      </w:r>
      <w:r>
        <w:t xml:space="preserve"> </w:t>
      </w:r>
      <w:r>
        <w:t xml:space="preserve">annual</w:t>
      </w:r>
      <w:r>
        <w:t xml:space="preserve"> </w:t>
      </w:r>
      <w:r>
        <w:t xml:space="preserve">information on costs</w:t>
      </w:r>
      <w:r>
        <w:t xml:space="preserve"> </w:t>
      </w:r>
      <w:r>
        <w:t xml:space="preserve">(e.g. clients with whom</w:t>
      </w:r>
      <w:r>
        <w:t xml:space="preserve"> </w:t>
      </w:r>
      <w:r>
        <w:t xml:space="preserve">the</w:t>
      </w:r>
      <w:r>
        <w:t xml:space="preserve"> </w:t>
      </w:r>
      <w:r>
        <w:t xml:space="preserve">firm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considered to have “an</w:t>
      </w:r>
      <w:r>
        <w:t xml:space="preserve"> </w:t>
      </w:r>
      <w:r>
        <w:t xml:space="preserve">ongoing relationship”).</w:t>
      </w:r>
      <w:r>
        <w:t xml:space="preserve"> </w:t>
      </w:r>
      <w:r>
        <w:t xml:space="preserve">The estimate of these</w:t>
      </w:r>
      <w:r>
        <w:t xml:space="preserve"> </w:t>
      </w:r>
      <w:r>
        <w:t xml:space="preserve">costs is EUR 5 per</w:t>
      </w:r>
      <w:r>
        <w:t xml:space="preserve"> </w:t>
      </w:r>
      <w:r>
        <w:t xml:space="preserve">client/per year232. It was</w:t>
      </w:r>
      <w:r>
        <w:t xml:space="preserve"> </w:t>
      </w:r>
      <w:r>
        <w:t xml:space="preserve">not possible to quantify</w:t>
      </w:r>
      <w:r>
        <w:t xml:space="preserve"> </w:t>
      </w:r>
      <w:r>
        <w:t xml:space="preserve">the number of “new”</w:t>
      </w:r>
      <w:r>
        <w:t xml:space="preserve"> </w:t>
      </w:r>
      <w:r>
        <w:t xml:space="preserve">clients that would be</w:t>
      </w:r>
      <w:r>
        <w:t xml:space="preserve"> </w:t>
      </w:r>
      <w:r>
        <w:t xml:space="preserve">covered by this233.</w:t>
      </w:r>
    </w:p>
    <w:p>
      <w:pPr>
        <w:pStyle w:val="BodyText"/>
      </w:pPr>
      <w:r>
        <w:t xml:space="preserve">Negligible</w:t>
      </w:r>
      <w:r>
        <w:t xml:space="preserve"> </w:t>
      </w:r>
      <w:r>
        <w:t xml:space="preserve">for</w:t>
      </w:r>
      <w:r>
        <w:t xml:space="preserve"> </w:t>
      </w:r>
      <w:r>
        <w:t xml:space="preserve">PRIIPs234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communications.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230 Although these costs relate to the substantive requirements of the proposal which are necessary for the fulfilment of</w:t>
      </w:r>
      <w:r>
        <w:t xml:space="preserve"> </w:t>
      </w:r>
      <w:r>
        <w:t xml:space="preserve">the objective of informing retail investors, they are categorised as administrative costs for “one in, one out” purposes.</w:t>
      </w:r>
      <w:r>
        <w:br/>
      </w:r>
      <w:r>
        <w:t xml:space="preserve">231 It should be noted that it was not possible to estimate the number of new clients under MiFID who at present do</w:t>
      </w:r>
      <w:r>
        <w:t xml:space="preserve"> </w:t>
      </w:r>
      <w:r>
        <w:t xml:space="preserve">not receive annual information on costs, nor was it possible to gather data on the number of clients under portfolio</w:t>
      </w:r>
      <w:r>
        <w:t xml:space="preserve"> </w:t>
      </w:r>
      <w:r>
        <w:t xml:space="preserve">management who already receive information on costs and performance, to be able to deduct these costs from the</w:t>
      </w:r>
      <w:r>
        <w:t xml:space="preserve"> </w:t>
      </w:r>
      <w:r>
        <w:t xml:space="preserve">estimated one-off costs (see Annex 4).</w:t>
      </w:r>
      <w:r>
        <w:br/>
      </w:r>
      <w:r>
        <w:t xml:space="preserve">232 Based on the Retail investment study (page 217).</w:t>
      </w:r>
      <w:r>
        <w:t xml:space="preserve"> </w:t>
      </w:r>
      <w:r>
        <w:t xml:space="preserve">233 Considering the divergent interpretation and practices of the investment firms and Member States on the</w:t>
      </w:r>
      <w:r>
        <w:t xml:space="preserve"> </w:t>
      </w:r>
      <w:r>
        <w:t xml:space="preserve">qualification of “ongoing relationship” in the context of costs disclosure, it is not possible to estimate the number of</w:t>
      </w:r>
      <w:r>
        <w:t xml:space="preserve"> </w:t>
      </w:r>
      <w:r>
        <w:t xml:space="preserve">new clients under MiFID who at present do not receive annual information on costs (see Annex 4).</w:t>
      </w:r>
      <w:r>
        <w:t xml:space="preserve"> </w:t>
      </w:r>
      <w:r>
        <w:t xml:space="preserve">234 Sustainability information in KIDs will also be updated, but this will be done based on information already</w:t>
      </w:r>
      <w:r>
        <w:t xml:space="preserve"> </w:t>
      </w:r>
      <w:r>
        <w:t xml:space="preserve">collected and disclosed under the SFDR. This is not expected to change the frequency of updates. With regard to the</w:t>
      </w:r>
      <w:r>
        <w:t xml:space="preserve"> </w:t>
      </w:r>
      <w:r>
        <w:t xml:space="preserve">annual cost and performance statement under MiFID and IDD, no significant additional costs in cases where clients</w:t>
      </w:r>
      <w:r>
        <w:t xml:space="preserve"> </w:t>
      </w:r>
      <w:r>
        <w:t xml:space="preserve">already receive annual information.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</w:t>
      </w:r>
      <w:r>
        <w:t xml:space="preserve"> </w:t>
      </w:r>
      <w:r>
        <w:t xml:space="preserve">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 obligation to</w:t>
      </w:r>
      <w:r>
        <w:t xml:space="preserve"> </w:t>
      </w:r>
      <w:r>
        <w:t xml:space="preserve">include</w:t>
      </w:r>
      <w:r>
        <w:t xml:space="preserve"> </w:t>
      </w:r>
      <w:r>
        <w:t xml:space="preserve">vital</w:t>
      </w:r>
      <w:r>
        <w:t xml:space="preserve"> </w:t>
      </w:r>
      <w:r>
        <w:t xml:space="preserve">information</w:t>
      </w:r>
      <w:r>
        <w:t xml:space="preserve"> </w:t>
      </w:r>
      <w:r>
        <w:t xml:space="preserve">in</w:t>
      </w:r>
      <w:r>
        <w:t xml:space="preserve"> </w:t>
      </w:r>
      <w:r>
        <w:t xml:space="preserve">marketing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providing annual</w:t>
      </w:r>
      <w:r>
        <w:t xml:space="preserve"> </w:t>
      </w:r>
      <w:r>
        <w:t xml:space="preserve">statements:</w:t>
      </w:r>
      <w:r>
        <w:t xml:space="preserve"> </w:t>
      </w:r>
      <w:r>
        <w:t xml:space="preserve">low</w:t>
      </w:r>
      <w:r>
        <w:t xml:space="preserve"> </w:t>
      </w:r>
      <w:r>
        <w:t xml:space="preserve">cost implications</w:t>
      </w:r>
      <w:r>
        <w:t xml:space="preserve"> </w:t>
      </w:r>
      <w:r>
        <w:t xml:space="preserve">expected.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t xml:space="preserve"> </w:t>
      </w:r>
      <w:r>
        <w:t xml:space="preserve">cost pass-</w:t>
      </w:r>
      <w:r>
        <w:t xml:space="preserve"> </w:t>
      </w:r>
      <w:r>
        <w:t xml:space="preserve">through to</w:t>
      </w:r>
      <w:r>
        <w:t xml:space="preserve"> </w:t>
      </w:r>
      <w:r>
        <w:t xml:space="preserve">clients:</w:t>
      </w:r>
      <w:r>
        <w:t xml:space="preserve"> </w:t>
      </w:r>
      <w:r>
        <w:t xml:space="preserve">likely</w:t>
      </w:r>
      <w:r>
        <w:t xml:space="preserve"> </w:t>
      </w:r>
      <w:r>
        <w:t xml:space="preserve">limited by</w:t>
      </w:r>
      <w:r>
        <w:t xml:space="preserve"> </w:t>
      </w:r>
      <w:r>
        <w:t xml:space="preserve">the small</w:t>
      </w:r>
      <w:r>
        <w:t xml:space="preserve"> </w:t>
      </w:r>
      <w:r>
        <w:t xml:space="preserve">size of the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br/>
      </w:r>
      <w:r>
        <w:t xml:space="preserve">Possible costs related</w:t>
      </w:r>
      <w:r>
        <w:t xml:space="preserve"> </w:t>
      </w:r>
      <w:r>
        <w:t xml:space="preserve">to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features</w:t>
      </w:r>
      <w:r>
        <w:t xml:space="preserve"> </w:t>
      </w:r>
      <w:r>
        <w:t xml:space="preserve">in</w:t>
      </w:r>
      <w:r>
        <w:t xml:space="preserve"> </w:t>
      </w:r>
      <w:r>
        <w:t xml:space="preserve">KIDs (voluntary, but</w:t>
      </w:r>
      <w:r>
        <w:t xml:space="preserve"> </w:t>
      </w:r>
      <w:r>
        <w:t xml:space="preserve">companies may face</w:t>
      </w:r>
      <w:r>
        <w:t xml:space="preserve"> </w:t>
      </w:r>
      <w:r>
        <w:t xml:space="preserve">competitive pressure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more</w:t>
      </w:r>
      <w:r>
        <w:t xml:space="preserve"> </w:t>
      </w:r>
      <w:r>
        <w:t xml:space="preserve">appealing KIDs)</w:t>
      </w:r>
      <w:r>
        <w:t xml:space="preserve"> </w:t>
      </w:r>
      <w:r>
        <w:t xml:space="preserve">None</w:t>
      </w:r>
      <w:r>
        <w:t xml:space="preserve"> </w:t>
      </w:r>
      <w:r>
        <w:t xml:space="preserve">Acquisition</w:t>
      </w:r>
      <w:r>
        <w:t xml:space="preserve"> </w:t>
      </w:r>
      <w:r>
        <w:t xml:space="preserve">or develop-</w:t>
      </w:r>
      <w:r>
        <w:t xml:space="preserve"> </w:t>
      </w:r>
      <w:r>
        <w:t xml:space="preserve">ment</w:t>
      </w:r>
      <w:r>
        <w:t xml:space="preserve"> </w:t>
      </w:r>
      <w:r>
        <w:t xml:space="preserve">of</w:t>
      </w:r>
      <w:r>
        <w:t xml:space="preserve"> </w:t>
      </w:r>
      <w:r>
        <w:t xml:space="preserve">supervisory</w:t>
      </w:r>
      <w:r>
        <w:t xml:space="preserve"> </w:t>
      </w:r>
      <w:r>
        <w:t xml:space="preserve">tools</w:t>
      </w:r>
      <w:r>
        <w:t xml:space="preserve"> </w:t>
      </w:r>
      <w:r>
        <w:t xml:space="preserve">and</w:t>
      </w:r>
      <w:r>
        <w:t xml:space="preserve"> </w:t>
      </w:r>
      <w:r>
        <w:t xml:space="preserve">training for</w:t>
      </w:r>
      <w:r>
        <w:t xml:space="preserve"> </w:t>
      </w:r>
      <w:r>
        <w:t xml:space="preserve">staff</w:t>
      </w:r>
      <w:r>
        <w:t xml:space="preserve"> </w:t>
      </w:r>
      <w:r>
        <w:t xml:space="preserve">to</w:t>
      </w:r>
      <w:r>
        <w:t xml:space="preserve"> </w:t>
      </w:r>
      <w:r>
        <w:t xml:space="preserve">control the</w:t>
      </w:r>
      <w:r>
        <w:t xml:space="preserve"> </w:t>
      </w:r>
      <w:r>
        <w:t xml:space="preserve">extended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communic-</w:t>
      </w:r>
      <w:r>
        <w:t xml:space="preserve"> </w:t>
      </w:r>
      <w:r>
        <w:t xml:space="preserve">ations</w:t>
      </w:r>
      <w:r>
        <w:t xml:space="preserve"> </w:t>
      </w:r>
      <w:r>
        <w:t xml:space="preserve">(NCAs).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measures:</w:t>
      </w:r>
      <w:r>
        <w:t xml:space="preserve"> </w:t>
      </w:r>
      <w:r>
        <w:t xml:space="preserve">slightly</w:t>
      </w:r>
      <w:r>
        <w:t xml:space="preserve"> </w:t>
      </w:r>
      <w:r>
        <w:t xml:space="preserve">adapting</w:t>
      </w:r>
      <w:r>
        <w:t xml:space="preserve"> </w:t>
      </w:r>
      <w:r>
        <w:t xml:space="preserve">supervision</w:t>
      </w:r>
      <w:r>
        <w:t xml:space="preserve"> </w:t>
      </w:r>
      <w:r>
        <w:t xml:space="preserve">to the new</w:t>
      </w:r>
      <w:r>
        <w:br/>
      </w:r>
      <w:r>
        <w:t xml:space="preserve">approach</w:t>
      </w:r>
      <w:r>
        <w:t xml:space="preserve"> </w:t>
      </w:r>
      <w:r>
        <w:t xml:space="preserve">Further costs to</w:t>
      </w:r>
      <w:r>
        <w:t xml:space="preserve"> </w:t>
      </w:r>
      <w:r>
        <w:t xml:space="preserve">supervise a larger</w:t>
      </w:r>
      <w:r>
        <w:t xml:space="preserve"> </w:t>
      </w:r>
      <w:r>
        <w:t xml:space="preserve">range of marketing</w:t>
      </w:r>
      <w:r>
        <w:t xml:space="preserve"> </w:t>
      </w:r>
      <w:r>
        <w:t xml:space="preserve">techniques under</w:t>
      </w:r>
      <w:r>
        <w:t xml:space="preserve"> </w:t>
      </w: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definition. This is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quantify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would depend on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identified</w:t>
      </w:r>
      <w:r>
        <w:t xml:space="preserve"> </w:t>
      </w:r>
      <w:r>
        <w:t xml:space="preserve">issues</w:t>
      </w:r>
      <w:r>
        <w:t xml:space="preserve"> </w:t>
      </w:r>
      <w:r>
        <w:t xml:space="preserve">and intensity of</w:t>
      </w:r>
      <w:r>
        <w:t xml:space="preserve"> </w:t>
      </w:r>
      <w:r>
        <w:t xml:space="preserve">supervision</w:t>
      </w:r>
      <w:r>
        <w:t xml:space="preserve"> </w:t>
      </w:r>
      <w:r>
        <w:t xml:space="preserve">selected by NCAs.</w:t>
      </w:r>
    </w:p>
    <w:p>
      <w:pPr>
        <w:pStyle w:val="BodyText"/>
      </w:pPr>
      <w:r>
        <w:t xml:space="preserve">Disclosures:</w:t>
      </w:r>
      <w:r>
        <w:t xml:space="preserve"> </w:t>
      </w:r>
      <w:r>
        <w:t xml:space="preserve">negligible</w:t>
      </w:r>
      <w:r>
        <w:t xml:space="preserve"> </w:t>
      </w:r>
      <w:r>
        <w:t xml:space="preserve">supervisory</w:t>
      </w:r>
      <w:r>
        <w:t xml:space="preserve"> </w:t>
      </w:r>
      <w:r>
        <w:t xml:space="preserve">cost</w:t>
      </w:r>
      <w:r>
        <w:t xml:space="preserve"> </w:t>
      </w:r>
      <w:r>
        <w:t xml:space="preserve">impact235</w:t>
      </w:r>
      <w:r>
        <w:t xml:space="preserve"> </w:t>
      </w:r>
      <w:r>
        <w:t xml:space="preserve">Inducement</w:t>
      </w:r>
      <w:r>
        <w:t xml:space="preserve"> </w:t>
      </w:r>
      <w:r>
        <w:t xml:space="preserve">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Change in business</w:t>
      </w:r>
      <w:r>
        <w:t xml:space="preserve"> </w:t>
      </w:r>
      <w:r>
        <w:t xml:space="preserve">models</w:t>
      </w:r>
      <w:r>
        <w:t xml:space="preserve"> </w:t>
      </w:r>
      <w:r>
        <w:t xml:space="preserve">of</w:t>
      </w:r>
      <w:r>
        <w:t xml:space="preserve"> </w:t>
      </w:r>
      <w:r>
        <w:t xml:space="preserve">distributors236</w:t>
      </w:r>
      <w:r>
        <w:br/>
      </w:r>
      <w:r>
        <w:t xml:space="preserve">(including changing</w:t>
      </w:r>
      <w:r>
        <w:t xml:space="preserve"> </w:t>
      </w:r>
      <w:r>
        <w:t xml:space="preserve">contracts, new billing</w:t>
      </w:r>
      <w:r>
        <w:t xml:space="preserve"> </w:t>
      </w:r>
      <w:r>
        <w:t xml:space="preserve">systems): not possible</w:t>
      </w:r>
      <w:r>
        <w:t xml:space="preserve"> </w:t>
      </w:r>
      <w:r>
        <w:t xml:space="preserve">to quantify but large</w:t>
      </w:r>
      <w:r>
        <w:t xml:space="preserve"> </w:t>
      </w:r>
      <w:r>
        <w:t xml:space="preserve">impact expected.</w:t>
      </w:r>
      <w:r>
        <w:t xml:space="preserve"> </w:t>
      </w:r>
      <w:r>
        <w:t xml:space="preserve">An extrapolation of</w:t>
      </w:r>
      <w:r>
        <w:t xml:space="preserve"> </w:t>
      </w:r>
      <w:r>
        <w:t xml:space="preserve">the expected costs has</w:t>
      </w:r>
      <w:r>
        <w:t xml:space="preserve"> </w:t>
      </w:r>
      <w:r>
        <w:t xml:space="preserve">been provided on the</w:t>
      </w:r>
      <w:r>
        <w:t xml:space="preserve"> </w:t>
      </w:r>
      <w:r>
        <w:t xml:space="preserve">basis of cost estimates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performed in the NL</w:t>
      </w:r>
      <w:r>
        <w:t xml:space="preserve"> </w:t>
      </w:r>
      <w:r>
        <w:t xml:space="preserve">and UK at the time of</w:t>
      </w:r>
      <w:r>
        <w:t xml:space="preserve"> </w:t>
      </w:r>
      <w:r>
        <w:t xml:space="preserve">introduction of the</w:t>
      </w:r>
      <w:r>
        <w:t xml:space="preserve"> </w:t>
      </w:r>
      <w:r>
        <w:t xml:space="preserve">bans on inducement.</w:t>
      </w:r>
      <w:r>
        <w:t xml:space="preserve"> </w:t>
      </w:r>
      <w:r>
        <w:t xml:space="preserve">These illustrations are</w:t>
      </w:r>
      <w:r>
        <w:t xml:space="preserve"> </w:t>
      </w:r>
      <w:r>
        <w:t xml:space="preserve">based on a series of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</w:t>
      </w:r>
      <w:r>
        <w:t xml:space="preserve"> </w:t>
      </w:r>
      <w:r>
        <w:t xml:space="preserve">caveats as presented</w:t>
      </w:r>
      <w:r>
        <w:t xml:space="preserve"> </w:t>
      </w:r>
      <w:r>
        <w:t xml:space="preserve">in Annex 7C. On the</w:t>
      </w:r>
      <w:r>
        <w:t xml:space="preserve"> </w:t>
      </w:r>
      <w:r>
        <w:t xml:space="preserve">basis</w:t>
      </w:r>
      <w:r>
        <w:t xml:space="preserve"> </w:t>
      </w:r>
      <w:r>
        <w:t xml:space="preserve">the</w:t>
      </w:r>
      <w:r>
        <w:t xml:space="preserve"> </w:t>
      </w:r>
      <w:r>
        <w:t xml:space="preserve">NL</w:t>
      </w:r>
      <w:r>
        <w:t xml:space="preserve"> </w:t>
      </w:r>
      <w: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t xml:space="preserve">lower</w:t>
      </w:r>
      <w:r>
        <w:t xml:space="preserve"> </w:t>
      </w:r>
      <w:r>
        <w:t xml:space="preserve">ongoing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compared to the</w:t>
      </w:r>
      <w:r>
        <w:t xml:space="preserve"> </w:t>
      </w:r>
      <w:r>
        <w:t xml:space="preserve">baseline scenario.</w:t>
      </w:r>
      <w:r>
        <w:br/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235 For PRIIPs KIDs, the scope of supervision does not change significantly (very limited number of datapoints would</w:t>
      </w:r>
      <w:r>
        <w:t xml:space="preserve"> </w:t>
      </w:r>
      <w:r>
        <w:t xml:space="preserve">be added, which are disclosed on websites and other documents under existing legislative frameworks). Similarly,</w:t>
      </w:r>
      <w:r>
        <w:t xml:space="preserve"> </w:t>
      </w:r>
      <w:r>
        <w:t xml:space="preserve">for the annual statement on costs and performance, there is already supervision in place and the number of</w:t>
      </w:r>
      <w:r>
        <w:t xml:space="preserve"> </w:t>
      </w:r>
      <w:r>
        <w:t xml:space="preserve">datapoints will only increase moderately. Where more work would result, this would likely be tackled through slight</w:t>
      </w:r>
      <w:r>
        <w:t xml:space="preserve"> </w:t>
      </w:r>
      <w:r>
        <w:t xml:space="preserve">reprioritisation rather than budget increase.</w:t>
      </w:r>
      <w:r>
        <w:br/>
      </w:r>
      <w:r>
        <w:t xml:space="preserve">236 e.g. more roboadvice solutions, chatbox functions or application of other digital distribution and marketing tools.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estimates, the one-off</w:t>
      </w:r>
      <w:r>
        <w:t xml:space="preserve"> </w:t>
      </w:r>
      <w:r>
        <w:t xml:space="preserve">costs for investment</w:t>
      </w:r>
      <w:r>
        <w:t xml:space="preserve"> </w:t>
      </w:r>
      <w:r>
        <w:t xml:space="preserve">firms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managers in the EU</w:t>
      </w:r>
      <w:r>
        <w:t xml:space="preserve"> </w:t>
      </w:r>
      <w:r>
        <w:t xml:space="preserve">would be in the range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58-69</w:t>
      </w:r>
      <w:r>
        <w:t xml:space="preserve"> </w:t>
      </w:r>
      <w:r>
        <w:t xml:space="preserve">million237.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UK</w:t>
      </w:r>
      <w:r>
        <w:t xml:space="preserve"> </w:t>
      </w:r>
      <w:r>
        <w:t xml:space="preserve">estimates, the one-off</w:t>
      </w:r>
      <w:r>
        <w:t xml:space="preserve"> </w:t>
      </w:r>
      <w:r>
        <w:t xml:space="preserve">costs for the sector</w:t>
      </w:r>
      <w:r>
        <w:t xml:space="preserve"> </w:t>
      </w:r>
      <w:r>
        <w:t xml:space="preserve">could amount to a</w:t>
      </w:r>
      <w:r>
        <w:t xml:space="preserve"> </w:t>
      </w:r>
      <w:r>
        <w:t xml:space="preserve">range between EUR</w:t>
      </w:r>
      <w:r>
        <w:t xml:space="preserve"> </w:t>
      </w:r>
      <w:r>
        <w:t xml:space="preserve">13.91</w:t>
      </w:r>
      <w:r>
        <w:t xml:space="preserve"> </w:t>
      </w:r>
      <w:r>
        <w:t xml:space="preserve">and</w:t>
      </w:r>
      <w:r>
        <w:t xml:space="preserve"> </w:t>
      </w:r>
      <w:r>
        <w:t xml:space="preserve">15.03</w:t>
      </w:r>
      <w:r>
        <w:t xml:space="preserve"> </w:t>
      </w:r>
      <w:r>
        <w:t xml:space="preserve">billion. The impact on</w:t>
      </w:r>
      <w:r>
        <w:t xml:space="preserve"> </w:t>
      </w:r>
      <w:r>
        <w:t xml:space="preserve">different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is</w:t>
      </w:r>
      <w:r>
        <w:t xml:space="preserve"> </w:t>
      </w:r>
      <w:r>
        <w:t xml:space="preserve">presented in Annex</w:t>
      </w:r>
      <w:r>
        <w:t xml:space="preserve"> </w:t>
      </w:r>
      <w:r>
        <w:t xml:space="preserve">7C.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</w:t>
      </w:r>
      <w:r>
        <w:t xml:space="preserve"> </w:t>
      </w:r>
      <w:r>
        <w:t xml:space="preserve">ive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None238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</w:t>
      </w:r>
      <w:r>
        <w:t xml:space="preserve"> </w:t>
      </w:r>
      <w:r>
        <w:t xml:space="preserve">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enforcement of the</w:t>
      </w:r>
      <w:r>
        <w:t xml:space="preserve"> </w:t>
      </w:r>
      <w:r>
        <w:t xml:space="preserve">ban (NCAs).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upfront</w:t>
      </w:r>
      <w:r>
        <w:t xml:space="preserve"> </w:t>
      </w:r>
      <w:r>
        <w:t xml:space="preserve">for</w:t>
      </w:r>
      <w:r>
        <w:t xml:space="preserve"> </w:t>
      </w:r>
      <w:r>
        <w:t xml:space="preserve">investmen</w:t>
      </w:r>
      <w:r>
        <w:t xml:space="preserve"> </w:t>
      </w:r>
      <w:r>
        <w:t xml:space="preserve">t 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financial</w:t>
      </w:r>
      <w:r>
        <w:t xml:space="preserve"> </w:t>
      </w:r>
      <w:r>
        <w:t xml:space="preserve">advice, as</w:t>
      </w:r>
      <w:r>
        <w:t xml:space="preserve"> </w:t>
      </w:r>
      <w:r>
        <w:t xml:space="preserve">these</w:t>
      </w:r>
      <w:r>
        <w:t xml:space="preserve"> </w:t>
      </w:r>
      <w:r>
        <w:t xml:space="preserve">costs</w:t>
      </w:r>
      <w:r>
        <w:t xml:space="preserve"> </w:t>
      </w:r>
      <w:r>
        <w:t xml:space="preserve">would no</w:t>
      </w:r>
      <w:r>
        <w:t xml:space="preserve"> </w:t>
      </w:r>
      <w:r>
        <w:t xml:space="preserve">longer be</w:t>
      </w:r>
      <w:r>
        <w:t xml:space="preserve"> </w:t>
      </w:r>
      <w:r>
        <w:t xml:space="preserve">incorporat</w:t>
      </w:r>
      <w:r>
        <w:t xml:space="preserve"> </w:t>
      </w:r>
      <w:r>
        <w:t xml:space="preserve">ed in the</w:t>
      </w:r>
      <w:r>
        <w:t xml:space="preserve"> </w:t>
      </w:r>
      <w:r>
        <w:t xml:space="preserve">overall</w:t>
      </w:r>
      <w:r>
        <w:t xml:space="preserve"> </w:t>
      </w:r>
      <w:r>
        <w:t xml:space="preserve">fees. The</w:t>
      </w:r>
      <w:r>
        <w:t xml:space="preserve"> </w:t>
      </w:r>
      <w:r>
        <w:t xml:space="preserve">upfront</w:t>
      </w:r>
      <w:r>
        <w:t xml:space="preserve"> </w:t>
      </w:r>
      <w:r>
        <w:t xml:space="preserve">payment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investmen</w:t>
      </w:r>
      <w:r>
        <w:t xml:space="preserve"> </w:t>
      </w:r>
      <w:r>
        <w:t xml:space="preserve">t service is</w:t>
      </w:r>
      <w:r>
        <w:t xml:space="preserve"> </w:t>
      </w:r>
      <w:r>
        <w:t xml:space="preserve">however</w:t>
      </w:r>
      <w:r>
        <w:t xml:space="preserve"> </w:t>
      </w:r>
      <w:r>
        <w:t xml:space="preserve">not</w:t>
      </w:r>
      <w:r>
        <w:t xml:space="preserve"> </w:t>
      </w:r>
      <w:r>
        <w:t xml:space="preserve">expected</w:t>
      </w:r>
      <w:r>
        <w:t xml:space="preserve"> </w:t>
      </w:r>
      <w:r>
        <w:t xml:space="preserve">to lead to</w:t>
      </w:r>
      <w:r>
        <w:t xml:space="preserve"> </w:t>
      </w:r>
      <w:r>
        <w:t xml:space="preserve">a</w:t>
      </w:r>
      <w:r>
        <w:t xml:space="preserve"> </w:t>
      </w:r>
      <w:r>
        <w:t xml:space="preserve">cost</w:t>
      </w:r>
      <w:r>
        <w:t xml:space="preserve"> </w:t>
      </w:r>
      <w:r>
        <w:t xml:space="preserve">increase</w:t>
      </w:r>
      <w:r>
        <w:t xml:space="preserve"> </w:t>
      </w:r>
      <w:r>
        <w:t xml:space="preserve">for 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Migration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asset</w:t>
      </w:r>
      <w:r>
        <w:t xml:space="preserve"> </w:t>
      </w:r>
      <w:r>
        <w:t xml:space="preserve">holdings</w:t>
      </w:r>
      <w:r>
        <w:t xml:space="preserve"> </w:t>
      </w:r>
      <w:r>
        <w:t xml:space="preserve">into</w:t>
      </w:r>
      <w:r>
        <w:t xml:space="preserve"> </w:t>
      </w:r>
      <w:r>
        <w:t xml:space="preserve">inducement-free share</w:t>
      </w:r>
      <w:r>
        <w:t xml:space="preserve"> </w:t>
      </w:r>
      <w:r>
        <w:t xml:space="preserve">classes</w:t>
      </w:r>
      <w:r>
        <w:t xml:space="preserve"> </w:t>
      </w:r>
      <w:r>
        <w:t xml:space="preserve">The changes to</w:t>
      </w:r>
      <w:r>
        <w:t xml:space="preserve"> </w:t>
      </w:r>
      <w:r>
        <w:t xml:space="preserve">existing</w:t>
      </w:r>
      <w:r>
        <w:t xml:space="preserve"> </w:t>
      </w:r>
      <w:r>
        <w:t xml:space="preserve">market</w:t>
      </w:r>
      <w:r>
        <w:t xml:space="preserve"> </w:t>
      </w:r>
      <w:r>
        <w:t xml:space="preserve">structures</w:t>
      </w:r>
      <w:r>
        <w:t xml:space="preserve"> </w:t>
      </w:r>
      <w:r>
        <w:t xml:space="preserve">and</w:t>
      </w:r>
      <w:r>
        <w:t xml:space="preserve"> </w:t>
      </w:r>
      <w:r>
        <w:t xml:space="preserve">business/</w:t>
      </w:r>
      <w:r>
        <w:t xml:space="preserve"> </w:t>
      </w:r>
      <w:r>
        <w:t xml:space="preserve">distribution</w:t>
      </w:r>
      <w:r>
        <w:t xml:space="preserve"> </w:t>
      </w:r>
      <w:r>
        <w:t xml:space="preserve">models, may affect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revenue base 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institutions. Apart</w:t>
      </w:r>
      <w:r>
        <w:t xml:space="preserve"> </w:t>
      </w:r>
      <w:r>
        <w:t xml:space="preserve">from changes in</w:t>
      </w:r>
      <w:r>
        <w:t xml:space="preserve"> </w:t>
      </w:r>
      <w:r>
        <w:t xml:space="preserve">the cost structure, a</w:t>
      </w:r>
      <w:r>
        <w:t xml:space="preserve"> </w:t>
      </w:r>
      <w:r>
        <w:t xml:space="preserve">ban</w:t>
      </w:r>
      <w:r>
        <w:t xml:space="preserve"> </w:t>
      </w:r>
      <w:r>
        <w:t xml:space="preserve">on</w:t>
      </w:r>
      <w:r>
        <w:t xml:space="preserve"> </w:t>
      </w:r>
      <w:r>
        <w:t xml:space="preserve">inducements may</w:t>
      </w:r>
      <w:r>
        <w:t xml:space="preserve"> </w:t>
      </w:r>
      <w:r>
        <w:t xml:space="preserve">imply a loss of</w:t>
      </w:r>
      <w:r>
        <w:t xml:space="preserve"> </w:t>
      </w:r>
      <w:r>
        <w:t xml:space="preserve">revenues, but may</w:t>
      </w:r>
      <w:r>
        <w:t xml:space="preserve"> </w:t>
      </w:r>
      <w:r>
        <w:t xml:space="preserve">also</w:t>
      </w:r>
      <w:r>
        <w:t xml:space="preserve"> </w:t>
      </w:r>
      <w:r>
        <w:t xml:space="preserve">create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institutions.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impact</w:t>
      </w:r>
      <w:r>
        <w:t xml:space="preserve"> </w:t>
      </w:r>
      <w:r>
        <w:t xml:space="preserve">would depend on</w:t>
      </w:r>
      <w:r>
        <w:t xml:space="preserve"> </w:t>
      </w:r>
      <w:r>
        <w:t xml:space="preserve">existing</w:t>
      </w:r>
      <w:r>
        <w:t xml:space="preserve"> </w:t>
      </w:r>
      <w:r>
        <w:t xml:space="preserve">business</w:t>
      </w:r>
      <w:r>
        <w:t xml:space="preserve"> </w:t>
      </w:r>
      <w:r>
        <w:t xml:space="preserve">models,</w:t>
      </w:r>
      <w:r>
        <w:t xml:space="preserve"> </w:t>
      </w:r>
      <w:r>
        <w:t xml:space="preserve">the</w:t>
      </w:r>
      <w:r>
        <w:t xml:space="preserve"> </w:t>
      </w:r>
      <w:r>
        <w:t xml:space="preserve">choices</w:t>
      </w:r>
      <w:r>
        <w:t xml:space="preserve"> </w:t>
      </w:r>
      <w:r>
        <w:t xml:space="preserve">that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 would</w:t>
      </w:r>
      <w:r>
        <w:t xml:space="preserve"> </w:t>
      </w:r>
      <w:r>
        <w:t xml:space="preserve">make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transition to a new</w:t>
      </w:r>
      <w:r>
        <w:t xml:space="preserve"> </w:t>
      </w:r>
      <w:r>
        <w:t xml:space="preserve">fee model and the</w:t>
      </w:r>
      <w:r>
        <w:t xml:space="preserve"> </w:t>
      </w:r>
      <w:r>
        <w:t xml:space="preserve">duration of any</w:t>
      </w:r>
      <w:r>
        <w:t xml:space="preserve"> </w:t>
      </w:r>
      <w:r>
        <w:t xml:space="preserve">transitional period.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237 On the basis of the NL estimates it was not possible to perform an extrapolation for other types of affected</w:t>
      </w:r>
      <w:r>
        <w:t xml:space="preserve"> </w:t>
      </w:r>
      <w:r>
        <w:t xml:space="preserve">stakeholders (such as insurance undertakings).</w:t>
      </w:r>
      <w:r>
        <w:br/>
      </w:r>
      <w:r>
        <w:t xml:space="preserve">238 Only sanctions in case of non-compliance to ensure the ban is adequately enforced.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(see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benefits).</w:t>
      </w:r>
      <w:r>
        <w:br/>
      </w:r>
      <w:r>
        <w:t xml:space="preserve">Value for</w:t>
      </w:r>
      <w:r>
        <w:t xml:space="preserve"> </w:t>
      </w:r>
      <w:r>
        <w:t xml:space="preserve">money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existing</w:t>
      </w:r>
      <w:r>
        <w:t xml:space="preserve"> </w:t>
      </w:r>
      <w:r>
        <w:t xml:space="preserve">internal</w:t>
      </w:r>
      <w:r>
        <w:t xml:space="preserve"> </w:t>
      </w:r>
      <w:r>
        <w:t xml:space="preserve">processes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systems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VfM of investment</w:t>
      </w:r>
      <w:r>
        <w:t xml:space="preserve"> </w:t>
      </w:r>
      <w:r>
        <w:t xml:space="preserve">products</w:t>
      </w:r>
      <w:r>
        <w:t xml:space="preserve"> </w:t>
      </w:r>
      <w:r>
        <w:t xml:space="preserve">against</w:t>
      </w:r>
      <w:r>
        <w:t xml:space="preserve"> </w:t>
      </w:r>
      <w:r>
        <w:t xml:space="preserve">bench-marks</w:t>
      </w:r>
      <w:r>
        <w:t xml:space="preserve"> </w:t>
      </w:r>
      <w:r>
        <w:t xml:space="preserve">Loss of business from</w:t>
      </w:r>
      <w:r>
        <w:t xml:space="preserve"> </w:t>
      </w:r>
      <w:r>
        <w:t xml:space="preserve">products that do not</w:t>
      </w:r>
      <w:r>
        <w:t xml:space="preserve"> </w:t>
      </w:r>
      <w:r>
        <w:t xml:space="preserve">offer retail investors</w:t>
      </w:r>
      <w:r>
        <w:t xml:space="preserve"> </w:t>
      </w:r>
      <w:r>
        <w:t xml:space="preserve">good value for money</w:t>
      </w:r>
      <w:r>
        <w:t xml:space="preserve"> </w:t>
      </w:r>
      <w:r>
        <w:t xml:space="preserve">and possible pressure</w:t>
      </w:r>
      <w:r>
        <w:t xml:space="preserve"> </w:t>
      </w:r>
      <w:r>
        <w:t xml:space="preserve">on margins (both for</w:t>
      </w:r>
      <w:r>
        <w:t xml:space="preserve"> </w:t>
      </w:r>
      <w:r>
        <w:t xml:space="preserve">product 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distributors):</w:t>
      </w:r>
      <w:r>
        <w:t xml:space="preserve"> </w:t>
      </w:r>
      <w:r>
        <w:t xml:space="preserve">potentially sizeable, but</w:t>
      </w:r>
      <w:r>
        <w:t xml:space="preserve"> </w:t>
      </w:r>
      <w:r>
        <w:t xml:space="preserve">not possible to estimate.</w:t>
      </w:r>
      <w:r>
        <w:t xml:space="preserve"> </w:t>
      </w:r>
      <w:r>
        <w:t xml:space="preserve">In the long run, may be</w:t>
      </w:r>
      <w:r>
        <w:t xml:space="preserve"> </w:t>
      </w:r>
      <w:r>
        <w:t xml:space="preserve">mitigated (partially or</w:t>
      </w:r>
      <w:r>
        <w:t xml:space="preserve"> </w:t>
      </w:r>
      <w:r>
        <w:t xml:space="preserve">fully) by growth in the</w:t>
      </w:r>
      <w:r>
        <w:t xml:space="preserve"> </w:t>
      </w:r>
      <w:r>
        <w:t xml:space="preserve">retail</w:t>
      </w:r>
      <w:r>
        <w:t xml:space="preserve"> </w:t>
      </w:r>
      <w:r>
        <w:t xml:space="preserve">investment</w:t>
      </w:r>
      <w:r>
        <w:t xml:space="preserve"> </w:t>
      </w:r>
      <w:r>
        <w:t xml:space="preserve">market 239.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</w:t>
      </w:r>
      <w:r>
        <w:t xml:space="preserve"> </w:t>
      </w:r>
      <w:r>
        <w:t xml:space="preserve">tive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Moderate increase in</w:t>
      </w:r>
      <w:r>
        <w:t xml:space="preserve"> </w:t>
      </w:r>
      <w:r>
        <w:t xml:space="preserve">supervisory reporting</w:t>
      </w:r>
      <w:r>
        <w:t xml:space="preserve"> </w:t>
      </w:r>
      <w:r>
        <w:t xml:space="preserve">costs from updating</w:t>
      </w:r>
      <w:r>
        <w:t xml:space="preserve"> </w:t>
      </w:r>
      <w:r>
        <w:t xml:space="preserve">already</w:t>
      </w:r>
      <w:r>
        <w:t xml:space="preserve"> </w:t>
      </w:r>
      <w:r>
        <w:t xml:space="preserve">existing</w:t>
      </w:r>
      <w:r>
        <w:t xml:space="preserve"> </w:t>
      </w:r>
      <w:r>
        <w:t xml:space="preserve">structures (estimated</w:t>
      </w:r>
      <w:r>
        <w:t xml:space="preserve"> </w:t>
      </w:r>
      <w:r>
        <w:t xml:space="preserve">around €60 million</w:t>
      </w:r>
      <w:r>
        <w:t xml:space="preserve"> </w:t>
      </w:r>
      <w:r>
        <w:t xml:space="preserve">(range</w:t>
      </w:r>
      <w:r>
        <w:t xml:space="preserve"> </w:t>
      </w:r>
      <w:r>
        <w:t xml:space="preserve">€13-252</w:t>
      </w:r>
      <w:r>
        <w:t xml:space="preserve"> </w:t>
      </w:r>
      <w:r>
        <w:t xml:space="preserve">million)</w:t>
      </w:r>
      <w:r>
        <w:t xml:space="preserve"> </w:t>
      </w:r>
      <w:r>
        <w:t xml:space="preserve">Ongoing</w:t>
      </w:r>
      <w:r>
        <w:t xml:space="preserve"> </w:t>
      </w:r>
      <w:r>
        <w:t xml:space="preserve">supervisory</w:t>
      </w:r>
      <w:r>
        <w:t xml:space="preserve"> </w:t>
      </w:r>
      <w:r>
        <w:t xml:space="preserve">reporting</w:t>
      </w:r>
      <w:r>
        <w:t xml:space="preserve"> </w:t>
      </w:r>
      <w:r>
        <w:t xml:space="preserve">costs</w:t>
      </w:r>
      <w:r>
        <w:t xml:space="preserve"> </w:t>
      </w:r>
      <w:r>
        <w:t xml:space="preserve">estimated to be minor</w:t>
      </w:r>
      <w:r>
        <w:t xml:space="preserve"> </w:t>
      </w:r>
      <w:r>
        <w:t xml:space="preserve">€2.3-22.6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 across the EU.</w:t>
      </w:r>
      <w:r>
        <w:t xml:space="preserve"> </w:t>
      </w:r>
      <w:r>
        <w:t xml:space="preserve">These costs would be</w:t>
      </w:r>
      <w:r>
        <w:t xml:space="preserve"> </w:t>
      </w:r>
      <w:r>
        <w:t xml:space="preserve">further assessed and</w:t>
      </w:r>
      <w:r>
        <w:t xml:space="preserve"> </w:t>
      </w:r>
      <w:r>
        <w:t xml:space="preserve">refined by the ESAs</w:t>
      </w:r>
      <w:r>
        <w:t xml:space="preserve"> </w:t>
      </w:r>
      <w:r>
        <w:t xml:space="preserve">when preparing their</w:t>
      </w:r>
      <w:r>
        <w:t xml:space="preserve"> </w:t>
      </w:r>
      <w:r>
        <w:t xml:space="preserve">technical advice on the</w:t>
      </w:r>
      <w:r>
        <w:t xml:space="preserve"> </w:t>
      </w:r>
      <w:r>
        <w:t xml:space="preserve">more detailed rules to</w:t>
      </w:r>
      <w:r>
        <w:t xml:space="preserve"> </w:t>
      </w:r>
      <w:r>
        <w:t xml:space="preserve">be</w:t>
      </w:r>
      <w:r>
        <w:t xml:space="preserve"> </w:t>
      </w:r>
      <w:r>
        <w:t xml:space="preserve">adopted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at L2.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VfM</w:t>
      </w:r>
      <w:r>
        <w:t xml:space="preserve"> </w:t>
      </w:r>
      <w:r>
        <w:t xml:space="preserve">at</w:t>
      </w:r>
      <w:r>
        <w:t xml:space="preserve"> </w:t>
      </w:r>
      <w:r>
        <w:t xml:space="preserve">distribution</w:t>
      </w:r>
      <w:r>
        <w:t xml:space="preserve"> </w:t>
      </w:r>
      <w:r>
        <w:t xml:space="preserve">level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reliably estimated.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Fees to cover the cost of</w:t>
      </w:r>
      <w:r>
        <w:t xml:space="preserve"> </w:t>
      </w:r>
      <w:r>
        <w:t xml:space="preserve">supervision</w:t>
      </w:r>
      <w:r>
        <w:t xml:space="preserve"> </w:t>
      </w:r>
      <w:r>
        <w:t xml:space="preserve">may</w:t>
      </w:r>
      <w:r>
        <w:t xml:space="preserve"> </w:t>
      </w:r>
      <w:r>
        <w:t xml:space="preserve">increase, depending on</w:t>
      </w:r>
      <w:r>
        <w:t xml:space="preserve"> </w:t>
      </w:r>
      <w:r>
        <w:t xml:space="preserve">national systems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</w:t>
      </w:r>
      <w:r>
        <w:t xml:space="preserve"> </w:t>
      </w:r>
      <w:r>
        <w:t xml:space="preserve">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</w:t>
      </w:r>
      <w:r>
        <w:t xml:space="preserve"> </w:t>
      </w:r>
      <w:r>
        <w:t xml:space="preserve">of</w:t>
      </w:r>
      <w:r>
        <w:t xml:space="preserve"> </w:t>
      </w:r>
      <w:r>
        <w:t xml:space="preserve">super-</w:t>
      </w:r>
      <w:r>
        <w:t xml:space="preserve"> </w:t>
      </w:r>
      <w:r>
        <w:t xml:space="preserve">vision by the</w:t>
      </w:r>
      <w:r>
        <w:t xml:space="preserve"> </w:t>
      </w:r>
      <w:r>
        <w:t xml:space="preserve">NCAs,</w:t>
      </w:r>
      <w:r>
        <w:t xml:space="preserve"> </w:t>
      </w:r>
      <w:r>
        <w:t xml:space="preserve">including</w:t>
      </w:r>
      <w:r>
        <w:t xml:space="preserve"> </w:t>
      </w:r>
      <w:r>
        <w:t xml:space="preserve">possible</w:t>
      </w:r>
      <w:r>
        <w:t xml:space="preserve"> </w:t>
      </w:r>
      <w:r>
        <w:t xml:space="preserve">changes to IT</w:t>
      </w:r>
      <w:r>
        <w:t xml:space="preserve"> </w:t>
      </w:r>
      <w:r>
        <w:t xml:space="preserve">systems</w:t>
      </w:r>
      <w:r>
        <w:t xml:space="preserve"> </w:t>
      </w:r>
      <w:r>
        <w:t xml:space="preserve">or</w:t>
      </w:r>
      <w:r>
        <w:t xml:space="preserve"> </w:t>
      </w:r>
      <w:r>
        <w:t xml:space="preserve">reporting</w:t>
      </w:r>
      <w:r>
        <w:t xml:space="preserve"> </w:t>
      </w:r>
      <w:r>
        <w:t xml:space="preserve">channels.</w:t>
      </w:r>
      <w:r>
        <w:br/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value for money</w:t>
      </w:r>
      <w:r>
        <w:t xml:space="preserve"> </w:t>
      </w:r>
      <w:r>
        <w:t xml:space="preserve">rules240 (NCAs and</w:t>
      </w:r>
      <w:r>
        <w:t xml:space="preserve"> </w:t>
      </w:r>
      <w:r>
        <w:t xml:space="preserve">ESAs)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VfM</w:t>
      </w:r>
      <w:r>
        <w:t xml:space="preserve"> </w:t>
      </w:r>
      <w:r>
        <w:t xml:space="preserve">benchmarks</w:t>
      </w:r>
      <w:r>
        <w:t xml:space="preserve"> </w:t>
      </w:r>
      <w:r>
        <w:t xml:space="preserve">(ESMA,</w:t>
      </w:r>
      <w:r>
        <w:t xml:space="preserve"> </w:t>
      </w:r>
      <w:r>
        <w:t xml:space="preserve">EIOPA).</w:t>
      </w:r>
      <w:r>
        <w:t xml:space="preserve"> </w:t>
      </w:r>
      <w:r>
        <w:t xml:space="preserve">Final</w:t>
      </w:r>
      <w:r>
        <w:t xml:space="preserve"> </w:t>
      </w:r>
      <w:r>
        <w:t xml:space="preserve">effect</w:t>
      </w:r>
      <w:r>
        <w:t xml:space="preserve"> </w:t>
      </w:r>
      <w:r>
        <w:t xml:space="preserve">not</w:t>
      </w:r>
      <w:r>
        <w:t xml:space="preserve"> </w:t>
      </w:r>
      <w:r>
        <w:t xml:space="preserve">clear as there would</w:t>
      </w:r>
      <w:r>
        <w:t xml:space="preserve"> </w:t>
      </w:r>
      <w:r>
        <w:t xml:space="preserve">be</w:t>
      </w:r>
      <w:r>
        <w:t xml:space="preserve"> </w:t>
      </w:r>
      <w:r>
        <w:t xml:space="preserve">savings</w:t>
      </w:r>
      <w:r>
        <w:t xml:space="preserve"> </w:t>
      </w:r>
      <w:r>
        <w:t xml:space="preserve">on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product rules that</w:t>
      </w:r>
      <w:r>
        <w:t xml:space="preserve"> </w:t>
      </w:r>
      <w:r>
        <w:t xml:space="preserve">could offset</w:t>
      </w:r>
      <w:r>
        <w:t xml:space="preserve"> </w:t>
      </w:r>
      <w:r>
        <w:t xml:space="preserve">this</w:t>
      </w:r>
      <w:r>
        <w:t xml:space="preserve"> </w:t>
      </w:r>
      <w:r>
        <w:t xml:space="preserve">increase in costs241.</w:t>
      </w:r>
    </w:p>
    <w:p>
      <w:pPr>
        <w:pStyle w:val="BodyText"/>
      </w:pPr>
      <w:r>
        <w:t xml:space="preserve">239 Making costs more effective may attract more investors to capital market increasing the scale of retail</w:t>
      </w:r>
      <w:r>
        <w:t xml:space="preserve"> </w:t>
      </w:r>
      <w:r>
        <w:t xml:space="preserve">participation, thus also profits for financial intermediaries.</w:t>
      </w:r>
      <w:r>
        <w:br/>
      </w:r>
      <w:r>
        <w:t xml:space="preserve">240 Additional costs for NCAs to receive the relevant information from product manufacturers and pass it on to the</w:t>
      </w:r>
      <w:r>
        <w:t xml:space="preserve"> </w:t>
      </w:r>
      <w:r>
        <w:t xml:space="preserve">ESAs are expected to be limited.</w:t>
      </w:r>
      <w:r>
        <w:br/>
      </w:r>
      <w:r>
        <w:t xml:space="preserve">241 Under the current framework, despite efforts by the ESAs to coordinate, some NCAs have expressed concerns</w:t>
      </w:r>
      <w:r>
        <w:t xml:space="preserve"> </w:t>
      </w:r>
      <w:r>
        <w:t xml:space="preserve">that the rules are difficult to enforce.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Dependin</w:t>
      </w:r>
      <w:r>
        <w:t xml:space="preserve"> </w:t>
      </w:r>
      <w:r>
        <w:t xml:space="preserve">g on the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industry,</w:t>
      </w:r>
      <w:r>
        <w:t xml:space="preserve"> </w:t>
      </w:r>
      <w:r>
        <w:t xml:space="preserve">there may</w:t>
      </w:r>
      <w:r>
        <w:t xml:space="preserve"> </w:t>
      </w:r>
      <w:r>
        <w:t xml:space="preserve">be a cost</w:t>
      </w:r>
      <w:r>
        <w:t xml:space="preserve"> </w:t>
      </w:r>
      <w:r>
        <w:t xml:space="preserve">pass-</w:t>
      </w:r>
      <w:r>
        <w:t xml:space="preserve"> </w:t>
      </w:r>
      <w:r>
        <w:t xml:space="preserve">through to</w:t>
      </w:r>
      <w:r>
        <w:t xml:space="preserve"> </w:t>
      </w:r>
      <w:r>
        <w:t xml:space="preserve">clients.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Flanking Measures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(retail</w:t>
      </w:r>
      <w:r>
        <w:t xml:space="preserve"> </w:t>
      </w:r>
      <w:r>
        <w:t xml:space="preserve">investors)</w:t>
      </w:r>
      <w:r>
        <w:t xml:space="preserve"> </w:t>
      </w:r>
      <w:r>
        <w:t xml:space="preserve">Businesses (financial product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advisors)</w:t>
      </w:r>
      <w:r>
        <w:t xml:space="preserve"> </w:t>
      </w:r>
      <w:r>
        <w:t xml:space="preserve">Supervisory authorities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Client</w:t>
      </w:r>
      <w:r>
        <w:t xml:space="preserve"> </w:t>
      </w:r>
      <w:r>
        <w:t xml:space="preserve">categ-</w:t>
      </w:r>
      <w:r>
        <w:t xml:space="preserve"> </w:t>
      </w:r>
      <w:r>
        <w:t xml:space="preserve">orisation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Marginal:</w:t>
      </w:r>
      <w:r>
        <w:br/>
      </w:r>
      <w:r>
        <w:t xml:space="preserve">related to one-</w:t>
      </w:r>
      <w:r>
        <w:t xml:space="preserve"> </w:t>
      </w:r>
      <w:r>
        <w:t xml:space="preserve">time</w:t>
      </w:r>
      <w:r>
        <w:t xml:space="preserve"> </w:t>
      </w:r>
      <w:r>
        <w:t xml:space="preserve">re-</w:t>
      </w:r>
      <w:r>
        <w:t xml:space="preserve"> </w:t>
      </w:r>
      <w:r>
        <w:t xml:space="preserve">classification of</w:t>
      </w:r>
      <w:r>
        <w:t xml:space="preserve"> </w:t>
      </w:r>
      <w:r>
        <w:t xml:space="preserve">some clients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 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Enhance</w:t>
      </w:r>
      <w:r>
        <w:t xml:space="preserve"> </w:t>
      </w:r>
      <w:r>
        <w:t xml:space="preserve">d</w:t>
      </w:r>
      <w:r>
        <w:t xml:space="preserve"> </w:t>
      </w:r>
      <w:r>
        <w:t xml:space="preserve">suitabilit</w:t>
      </w:r>
      <w:r>
        <w:t xml:space="preserve"> </w:t>
      </w:r>
      <w:r>
        <w:t xml:space="preserve">y</w:t>
      </w:r>
      <w:r>
        <w:t xml:space="preserve"> </w:t>
      </w:r>
      <w:r>
        <w:t xml:space="preserve">and</w:t>
      </w:r>
      <w:r>
        <w:t xml:space="preserve"> </w:t>
      </w:r>
      <w:r>
        <w:t xml:space="preserve">appropria</w:t>
      </w:r>
      <w:r>
        <w:t xml:space="preserve"> </w:t>
      </w:r>
      <w:r>
        <w:t xml:space="preserve">teness</w:t>
      </w:r>
      <w:r>
        <w:t xml:space="preserve"> </w:t>
      </w:r>
      <w:r>
        <w:t xml:space="preserve">assess-</w:t>
      </w:r>
      <w:r>
        <w:t xml:space="preserve"> </w:t>
      </w:r>
      <w:r>
        <w:t xml:space="preserve">ments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Retail</w:t>
      </w:r>
      <w:r>
        <w:t xml:space="preserve"> </w:t>
      </w:r>
      <w:r>
        <w:t xml:space="preserve">clients</w:t>
      </w:r>
      <w:r>
        <w:t xml:space="preserve"> </w:t>
      </w:r>
      <w:r>
        <w:t xml:space="preserve">would</w:t>
      </w:r>
      <w:r>
        <w:t xml:space="preserve"> </w:t>
      </w:r>
      <w:r>
        <w:t xml:space="preserve">spend more</w:t>
      </w:r>
      <w:r>
        <w:t xml:space="preserve"> </w:t>
      </w:r>
      <w:r>
        <w:t xml:space="preserve">time filling</w:t>
      </w:r>
      <w:r>
        <w:t xml:space="preserve"> </w:t>
      </w:r>
      <w:r>
        <w:t xml:space="preserve">out</w:t>
      </w:r>
      <w:r>
        <w:t xml:space="preserve"> </w:t>
      </w:r>
      <w:r>
        <w:t xml:space="preserve">suitability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ness</w:t>
      </w:r>
      <w:r>
        <w:t xml:space="preserve"> </w:t>
      </w:r>
      <w:r>
        <w:t xml:space="preserve">assessments</w:t>
      </w:r>
      <w:r>
        <w:t xml:space="preserve"> </w:t>
      </w:r>
      <w:r>
        <w:t xml:space="preserve">.</w:t>
      </w:r>
      <w:r>
        <w:t xml:space="preserve"> </w:t>
      </w:r>
      <w:r>
        <w:t xml:space="preserve">Adjust-</w:t>
      </w:r>
      <w:r>
        <w:t xml:space="preserve"> </w:t>
      </w:r>
      <w:r>
        <w:t xml:space="preserve">ments to</w:t>
      </w:r>
      <w:r>
        <w:t xml:space="preserve"> </w:t>
      </w:r>
      <w:r>
        <w:t xml:space="preserve">IT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training of</w:t>
      </w:r>
      <w:r>
        <w:t xml:space="preserve"> </w:t>
      </w:r>
      <w:r>
        <w:t xml:space="preserve">financial</w:t>
      </w:r>
      <w:r>
        <w:t xml:space="preserve"> </w:t>
      </w:r>
      <w:r>
        <w:t xml:space="preserve">advisors:</w:t>
      </w:r>
      <w:r>
        <w:t xml:space="preserve"> </w:t>
      </w:r>
      <w:r>
        <w:t xml:space="preserve">estimated</w:t>
      </w:r>
      <w:r>
        <w:t xml:space="preserve"> </w:t>
      </w:r>
      <w:r>
        <w:t xml:space="preserve">approxim</w:t>
      </w:r>
      <w:r>
        <w:t xml:space="preserve"> </w:t>
      </w:r>
      <w:r>
        <w:t xml:space="preserve">ately</w:t>
      </w:r>
      <w:r>
        <w:t xml:space="preserve"> </w:t>
      </w:r>
      <w:r>
        <w:t xml:space="preserve">in</w:t>
      </w:r>
      <w:r>
        <w:t xml:space="preserve"> </w:t>
      </w:r>
      <w:r>
        <w:t xml:space="preserve">the range</w:t>
      </w:r>
      <w:r>
        <w:t xml:space="preserve"> </w:t>
      </w:r>
      <w:r>
        <w:t xml:space="preserve">of €12.5-</w:t>
      </w:r>
      <w:r>
        <w:t xml:space="preserve"> </w:t>
      </w:r>
      <w:r>
        <w:t xml:space="preserve">48.5</w:t>
      </w:r>
      <w:r>
        <w:t xml:space="preserve"> </w:t>
      </w:r>
      <w:r>
        <w:t xml:space="preserve">million.242</w:t>
      </w:r>
      <w:r>
        <w:t xml:space="preserve"> </w:t>
      </w:r>
      <w:r>
        <w:t xml:space="preserve">More time</w:t>
      </w:r>
      <w:r>
        <w:t xml:space="preserve"> </w:t>
      </w:r>
      <w:r>
        <w:t xml:space="preserve">dedi-</w:t>
      </w:r>
      <w:r>
        <w:t xml:space="preserve"> </w:t>
      </w:r>
      <w:r>
        <w:t xml:space="preserve">cated</w:t>
      </w:r>
      <w:r>
        <w:t xml:space="preserve"> </w:t>
      </w:r>
      <w:r>
        <w:t xml:space="preserve">to</w:t>
      </w:r>
      <w:r>
        <w:t xml:space="preserve"> </w:t>
      </w:r>
      <w:r>
        <w:t xml:space="preserve">suitability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</w:t>
      </w:r>
      <w:r>
        <w:t xml:space="preserve"> </w:t>
      </w:r>
      <w:r>
        <w:t xml:space="preserve">eness</w:t>
      </w:r>
      <w:r>
        <w:t xml:space="preserve"> </w:t>
      </w:r>
      <w:r>
        <w:t xml:space="preserve">assessme</w:t>
      </w:r>
      <w:r>
        <w:t xml:space="preserve"> </w:t>
      </w:r>
      <w:r>
        <w:t xml:space="preserve">nts</w:t>
      </w:r>
      <w:r>
        <w:t xml:space="preserve"> </w:t>
      </w:r>
      <w:r>
        <w:t xml:space="preserve">for</w:t>
      </w:r>
      <w:r>
        <w:t xml:space="preserve"> </w:t>
      </w:r>
      <w:r>
        <w:t xml:space="preserve">exist-ing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clients:</w:t>
      </w:r>
      <w:r>
        <w:t xml:space="preserve"> </w:t>
      </w:r>
      <w:r>
        <w:t xml:space="preserve">estimated</w:t>
      </w:r>
      <w:r>
        <w:t xml:space="preserve"> </w:t>
      </w:r>
      <w:r>
        <w:t xml:space="preserve">approxim</w:t>
      </w:r>
      <w:r>
        <w:t xml:space="preserve"> </w:t>
      </w:r>
      <w:r>
        <w:t xml:space="preserve">ately</w:t>
      </w:r>
      <w:r>
        <w:t xml:space="preserve"> </w:t>
      </w:r>
      <w:r>
        <w:t xml:space="preserve">in</w:t>
      </w:r>
      <w:r>
        <w:t xml:space="preserve"> </w:t>
      </w:r>
      <w:r>
        <w:t xml:space="preserve">the range</w:t>
      </w:r>
      <w:r>
        <w:t xml:space="preserve"> </w:t>
      </w:r>
      <w:r>
        <w:t xml:space="preserve">of</w:t>
      </w:r>
      <w:r>
        <w:t xml:space="preserve"> </w:t>
      </w:r>
      <w:r>
        <w:t xml:space="preserve">€7.1-</w:t>
      </w:r>
      <w:r>
        <w:t xml:space="preserve"> </w:t>
      </w:r>
      <w:r>
        <w:t xml:space="preserve">19.1</w:t>
      </w:r>
      <w:r>
        <w:t xml:space="preserve"> </w:t>
      </w:r>
      <w:r>
        <w:t xml:space="preserve">million.243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242 For breakdown of this figure and estimation details including key assumptions, refer to Annex 8.</w:t>
      </w:r>
      <w:r>
        <w:t xml:space="preserve"> </w:t>
      </w:r>
      <w:r>
        <w:t xml:space="preserve">243 For breakdown of this figure and estimation details including key assumptions, refer to Annex 8. This is mostly driven</w:t>
      </w:r>
      <w:r>
        <w:t xml:space="preserve"> </w:t>
      </w:r>
      <w:r>
        <w:t xml:space="preserve">by the enhancement of the suitability assessment.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 Non</w:t>
      </w:r>
      <w:r>
        <w:t xml:space="preserve"> </w:t>
      </w:r>
      <w:r>
        <w:t xml:space="preserve">e</w:t>
      </w:r>
      <w:r>
        <w:t xml:space="preserve"> </w:t>
      </w:r>
      <w:r>
        <w:t xml:space="preserve">Possible</w:t>
      </w:r>
      <w:r>
        <w:t xml:space="preserve"> </w:t>
      </w:r>
      <w:r>
        <w:t xml:space="preserve">cost</w:t>
      </w:r>
      <w:r>
        <w:t xml:space="preserve"> </w:t>
      </w:r>
      <w:r>
        <w:t xml:space="preserve">pass-</w:t>
      </w:r>
      <w:r>
        <w:t xml:space="preserve"> </w:t>
      </w:r>
      <w:r>
        <w:t xml:space="preserve">through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sector.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</w:t>
      </w:r>
      <w:r>
        <w:t xml:space="preserve"> </w:t>
      </w:r>
      <w:r>
        <w:t xml:space="preserve">e costs</w:t>
      </w:r>
      <w:r>
        <w:t xml:space="preserve"> </w:t>
      </w:r>
      <w:r>
        <w:t xml:space="preserve">to adapt</w:t>
      </w:r>
      <w:r>
        <w:t xml:space="preserve"> </w:t>
      </w:r>
      <w:r>
        <w:t xml:space="preserve">IT</w:t>
      </w:r>
      <w:r>
        <w:t xml:space="preserve"> </w:t>
      </w:r>
      <w:r>
        <w:t xml:space="preserve">system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/verify</w:t>
      </w:r>
      <w:r>
        <w:t xml:space="preserve"> </w:t>
      </w:r>
      <w:r>
        <w:t xml:space="preserve">digitali</w:t>
      </w:r>
      <w:r>
        <w:t xml:space="preserve"> </w:t>
      </w:r>
      <w:r>
        <w:t xml:space="preserve">sed</w:t>
      </w:r>
      <w:r>
        <w:t xml:space="preserve"> </w:t>
      </w:r>
      <w:r>
        <w:t xml:space="preserve">inform</w:t>
      </w:r>
      <w:r>
        <w:t xml:space="preserve"> </w:t>
      </w:r>
      <w:r>
        <w:t xml:space="preserve">ation.</w:t>
      </w:r>
      <w:r>
        <w:t xml:space="preserve"> </w:t>
      </w:r>
      <w:r>
        <w:t xml:space="preserve">More data fields</w:t>
      </w:r>
      <w:r>
        <w:t xml:space="preserve"> </w:t>
      </w:r>
      <w:r>
        <w:t xml:space="preserve">to assess in case</w:t>
      </w:r>
      <w:r>
        <w:t xml:space="preserve"> </w:t>
      </w:r>
      <w:r>
        <w:t xml:space="preserve">of a complaint,</w:t>
      </w:r>
      <w:r>
        <w:t xml:space="preserve"> </w:t>
      </w:r>
      <w:r>
        <w:t xml:space="preserve">but possibly more</w:t>
      </w:r>
      <w:r>
        <w:t xml:space="preserve"> </w:t>
      </w:r>
      <w:r>
        <w:t xml:space="preserve">simple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standartisation:</w:t>
      </w:r>
      <w:r>
        <w:t xml:space="preserve"> </w:t>
      </w:r>
      <w:r>
        <w:t xml:space="preserve">overall</w:t>
      </w:r>
      <w:r>
        <w:t xml:space="preserve"> </w:t>
      </w:r>
      <w:r>
        <w:t xml:space="preserve">cost</w:t>
      </w:r>
      <w:r>
        <w:t xml:space="preserve"> </w:t>
      </w:r>
      <w:r>
        <w:t xml:space="preserve">impact</w:t>
      </w:r>
      <w:r>
        <w:t xml:space="preserve"> </w:t>
      </w:r>
      <w:r>
        <w:t xml:space="preserve">likely</w:t>
      </w:r>
      <w:r>
        <w:t xml:space="preserve"> </w:t>
      </w:r>
      <w:r>
        <w:t xml:space="preserve">negligible</w:t>
      </w:r>
    </w:p>
    <w:p>
      <w:pPr>
        <w:pStyle w:val="BodyText"/>
      </w:pPr>
      <w:r>
        <w:t xml:space="preserve">Supervisory</w:t>
      </w:r>
      <w:r>
        <w:br/>
      </w:r>
      <w:r>
        <w:t xml:space="preserve">enforcement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to</w:t>
      </w:r>
      <w:r>
        <w:t xml:space="preserve"> </w:t>
      </w:r>
      <w:r>
        <w:t xml:space="preserve">rules on com-</w:t>
      </w:r>
      <w:r>
        <w:t xml:space="preserve"> </w:t>
      </w:r>
      <w:r>
        <w:t xml:space="preserve">plaints handling</w:t>
      </w:r>
      <w:r>
        <w:t xml:space="preserve"> </w:t>
      </w:r>
      <w:r>
        <w:t xml:space="preserve">Running</w:t>
      </w:r>
      <w:r>
        <w:t xml:space="preserve"> </w:t>
      </w:r>
      <w:r>
        <w:t xml:space="preserve">reinforced</w:t>
      </w:r>
      <w:r>
        <w:t xml:space="preserve"> </w:t>
      </w:r>
      <w:r>
        <w:t xml:space="preserve">complaints</w:t>
      </w:r>
      <w:r>
        <w:t xml:space="preserve"> </w:t>
      </w:r>
      <w:r>
        <w:t xml:space="preserve">process</w:t>
      </w:r>
      <w:r>
        <w:t xml:space="preserve"> </w:t>
      </w:r>
      <w:r>
        <w:t xml:space="preserve">(not</w:t>
      </w:r>
      <w:r>
        <w:t xml:space="preserve"> </w:t>
      </w:r>
      <w:r>
        <w:t xml:space="preserve">quantified)</w:t>
      </w:r>
      <w:r>
        <w:t xml:space="preserve"> </w:t>
      </w:r>
      <w:r>
        <w:t xml:space="preserve">Setting up a</w:t>
      </w:r>
      <w:r>
        <w:t xml:space="preserve"> </w:t>
      </w:r>
      <w:r>
        <w:t xml:space="preserve">centralis-ed</w:t>
      </w:r>
      <w:r>
        <w:t xml:space="preserve"> </w:t>
      </w:r>
      <w:r>
        <w:t xml:space="preserve">tool</w:t>
      </w:r>
      <w:r>
        <w:t xml:space="preserve"> </w:t>
      </w:r>
      <w:r>
        <w:t xml:space="preserve">for</w:t>
      </w:r>
      <w:r>
        <w:t xml:space="preserve"> </w:t>
      </w:r>
      <w:r>
        <w:t xml:space="preserve">reporting</w:t>
      </w:r>
      <w:r>
        <w:t xml:space="preserve"> </w:t>
      </w:r>
      <w:r>
        <w:t xml:space="preserve">potential</w:t>
      </w:r>
      <w:r>
        <w:t xml:space="preserve"> </w:t>
      </w:r>
      <w:r>
        <w:t xml:space="preserve">scams</w:t>
      </w:r>
      <w:r>
        <w:br/>
      </w:r>
      <w:r>
        <w:t xml:space="preserve">and updating</w:t>
      </w:r>
      <w:r>
        <w:t xml:space="preserve"> </w:t>
      </w:r>
      <w:r>
        <w:t xml:space="preserve">reporting</w:t>
      </w:r>
      <w:r>
        <w:t xml:space="preserve"> </w:t>
      </w:r>
      <w:r>
        <w:t xml:space="preserve">tool for data</w:t>
      </w:r>
      <w:r>
        <w:t xml:space="preserve"> </w:t>
      </w:r>
      <w:r>
        <w:t xml:space="preserve">on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activity</w:t>
      </w:r>
      <w:r>
        <w:t xml:space="preserve"> </w:t>
      </w:r>
      <w:r>
        <w:t xml:space="preserve">would imply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ESAs</w:t>
      </w:r>
      <w:r>
        <w:t xml:space="preserve"> </w:t>
      </w:r>
      <w:r>
        <w:t xml:space="preserve">(not</w:t>
      </w:r>
      <w:r>
        <w:t xml:space="preserve"> </w:t>
      </w:r>
      <w:r>
        <w:t xml:space="preserve">quantified)</w:t>
      </w:r>
      <w:r>
        <w:t xml:space="preserve"> </w:t>
      </w:r>
      <w:r>
        <w:t xml:space="preserve">Maintenance costs for</w:t>
      </w:r>
      <w:r>
        <w:t xml:space="preserve"> </w:t>
      </w:r>
      <w:r>
        <w:t xml:space="preserve">the</w:t>
      </w:r>
      <w:r>
        <w:t xml:space="preserve"> </w:t>
      </w:r>
      <w:r>
        <w:t xml:space="preserve">centralised</w:t>
      </w:r>
      <w:r>
        <w:t xml:space="preserve"> </w:t>
      </w:r>
      <w:r>
        <w:t xml:space="preserve">reporting tool and for</w:t>
      </w:r>
      <w:r>
        <w:t xml:space="preserve"> </w:t>
      </w:r>
      <w:r>
        <w:t xml:space="preserve">the tool for reported</w:t>
      </w:r>
      <w:r>
        <w:t xml:space="preserve"> </w:t>
      </w:r>
      <w:r>
        <w:t xml:space="preserve">data on cross-border</w:t>
      </w:r>
      <w:r>
        <w:t xml:space="preserve"> </w:t>
      </w:r>
      <w:r>
        <w:t xml:space="preserve">activity.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of</w:t>
      </w:r>
      <w:r>
        <w:t xml:space="preserve"> </w:t>
      </w:r>
      <w:r>
        <w:t xml:space="preserve">documents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risk</w:t>
      </w:r>
      <w:r>
        <w:t xml:space="preserve"> </w:t>
      </w:r>
      <w:r>
        <w:t xml:space="preserve">warnings</w:t>
      </w:r>
      <w:r>
        <w:br/>
      </w:r>
      <w:r>
        <w:t xml:space="preserve">(negligible)</w:t>
      </w:r>
      <w:r>
        <w:t xml:space="preserve"> </w:t>
      </w:r>
      <w:r>
        <w:t xml:space="preserve">Ongoing costs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reporting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activities</w:t>
      </w:r>
      <w:r>
        <w:t xml:space="preserve"> </w:t>
      </w:r>
      <w:r>
        <w:t xml:space="preserve">(not</w:t>
      </w:r>
      <w:r>
        <w:t xml:space="preserve"> </w:t>
      </w:r>
      <w:r>
        <w:t xml:space="preserve">quantified)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Establishing</w:t>
      </w:r>
      <w:r>
        <w:t xml:space="preserve"> </w:t>
      </w:r>
      <w:r>
        <w:t xml:space="preserve">processes for</w:t>
      </w:r>
      <w:r>
        <w:t xml:space="preserve"> </w:t>
      </w:r>
      <w:r>
        <w:t xml:space="preserve">increased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</w:t>
      </w:r>
      <w:r>
        <w:t xml:space="preserve"> </w:t>
      </w:r>
      <w:r>
        <w:t xml:space="preserve">between</w:t>
      </w:r>
      <w:r>
        <w:t xml:space="preserve"> </w:t>
      </w:r>
      <w:r>
        <w:t xml:space="preserve">NCAs</w:t>
      </w:r>
      <w:r>
        <w:t xml:space="preserve"> </w:t>
      </w:r>
      <w:r>
        <w:t xml:space="preserve">and</w:t>
      </w:r>
      <w:r>
        <w:t xml:space="preserve"> </w:t>
      </w:r>
      <w:r>
        <w:t xml:space="preserve">ESAs.</w:t>
      </w:r>
      <w:r>
        <w:br/>
      </w:r>
      <w:r>
        <w:t xml:space="preserve">Increased enforcement</w:t>
      </w:r>
      <w:r>
        <w:t xml:space="preserve"> </w:t>
      </w:r>
      <w:r>
        <w:t xml:space="preserve">in some Member States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information exchange</w:t>
      </w:r>
      <w:r>
        <w:t xml:space="preserve"> </w:t>
      </w:r>
      <w:r>
        <w:t xml:space="preserve">between</w:t>
      </w:r>
      <w:r>
        <w:t xml:space="preserve"> </w:t>
      </w:r>
      <w:r>
        <w:t xml:space="preserve">NCAs</w:t>
      </w:r>
      <w:r>
        <w:t xml:space="preserve"> </w:t>
      </w:r>
      <w:r>
        <w:t xml:space="preserve">and</w:t>
      </w:r>
      <w:r>
        <w:t xml:space="preserve"> </w:t>
      </w:r>
      <w:r>
        <w:t xml:space="preserve">ESAs:</w:t>
      </w:r>
    </w:p>
    <w:p>
      <w:pPr>
        <w:pStyle w:val="BodyText"/>
      </w:pPr>
      <w:r>
        <w:t xml:space="preserve">Indirect costs 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Some of the</w:t>
      </w:r>
      <w:r>
        <w:t xml:space="preserve"> </w:t>
      </w:r>
      <w:r>
        <w:t xml:space="preserve">increased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for the</w:t>
      </w:r>
      <w:r>
        <w:t xml:space="preserve"> </w:t>
      </w:r>
      <w:r>
        <w:t xml:space="preserve">ESAs</w:t>
      </w:r>
      <w:r>
        <w:t xml:space="preserve"> </w:t>
      </w:r>
      <w:r>
        <w:t xml:space="preserve">and</w:t>
      </w:r>
      <w:r>
        <w:t xml:space="preserve"> </w:t>
      </w:r>
      <w:r>
        <w:t xml:space="preserve">None</w:t>
      </w:r>
      <w:r>
        <w:t xml:space="preserve"> </w:t>
      </w:r>
      <w:r>
        <w:t xml:space="preserve">NCAs</w:t>
      </w:r>
      <w:r>
        <w:t xml:space="preserve"> </w:t>
      </w:r>
      <w:r>
        <w:t xml:space="preserve">may</w:t>
      </w:r>
      <w:r>
        <w:t xml:space="preserve"> </w:t>
      </w:r>
      <w:r>
        <w:t xml:space="preserve">face</w:t>
      </w:r>
      <w:r>
        <w:t xml:space="preserve"> </w:t>
      </w:r>
      <w:r>
        <w:t xml:space="preserve">further</w:t>
      </w:r>
      <w:r>
        <w:t xml:space="preserve"> </w:t>
      </w:r>
      <w:r>
        <w:t xml:space="preserve">costs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increased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(new) powers.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NCAs may be</w:t>
      </w:r>
      <w:r>
        <w:t xml:space="preserve"> </w:t>
      </w:r>
      <w:r>
        <w:t xml:space="preserve">reflected</w:t>
      </w:r>
      <w:r>
        <w:t xml:space="preserve"> </w:t>
      </w:r>
      <w:r>
        <w:t xml:space="preserve">in</w:t>
      </w:r>
      <w:r>
        <w:t xml:space="preserve"> </w:t>
      </w:r>
      <w:r>
        <w:t xml:space="preserve">higher</w:t>
      </w:r>
      <w:r>
        <w:t xml:space="preserve"> </w:t>
      </w:r>
      <w:r>
        <w:t xml:space="preserve">supervisory</w:t>
      </w:r>
      <w:r>
        <w:t xml:space="preserve"> </w:t>
      </w:r>
      <w:r>
        <w:t xml:space="preserve">fees.</w:t>
      </w:r>
      <w:r>
        <w:t xml:space="preserve"> </w:t>
      </w:r>
      <w:r>
        <w:t xml:space="preserve">Qualificatio</w:t>
      </w:r>
      <w:r>
        <w:t xml:space="preserve"> </w:t>
      </w:r>
      <w:r>
        <w:t xml:space="preserve">n of advisors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Advisors</w:t>
      </w:r>
      <w:r>
        <w:t xml:space="preserve"> </w:t>
      </w:r>
      <w:r>
        <w:t xml:space="preserve">and</w:t>
      </w:r>
      <w:r>
        <w:t xml:space="preserve"> </w:t>
      </w:r>
      <w:r>
        <w:t xml:space="preserve">their firms may</w:t>
      </w:r>
      <w:r>
        <w:t xml:space="preserve"> </w:t>
      </w:r>
      <w:r>
        <w:t xml:space="preserve">incur additional</w:t>
      </w:r>
      <w:r>
        <w:t xml:space="preserve"> </w:t>
      </w:r>
      <w:r>
        <w:t xml:space="preserve">costs to meet</w:t>
      </w:r>
      <w:r>
        <w:t xml:space="preserve"> </w:t>
      </w:r>
      <w:r>
        <w:t xml:space="preserve">higher</w:t>
      </w:r>
      <w:r>
        <w:t xml:space="preserve"> </w:t>
      </w:r>
      <w:r>
        <w:t xml:space="preserve">professional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Some</w:t>
      </w:r>
      <w:r>
        <w:br/>
      </w:r>
      <w:r>
        <w:t xml:space="preserve">investment</w:t>
      </w:r>
      <w:r>
        <w:t xml:space="preserve"> </w:t>
      </w:r>
      <w:r>
        <w:t xml:space="preserve">firms</w:t>
      </w:r>
      <w:r>
        <w:t xml:space="preserve"> </w:t>
      </w:r>
      <w:r>
        <w:t xml:space="preserve">and</w:t>
      </w:r>
      <w:r>
        <w:t xml:space="preserve"> </w:t>
      </w:r>
      <w:r>
        <w:t xml:space="preserve">insurance</w:t>
      </w:r>
      <w:r>
        <w:t xml:space="preserve"> </w:t>
      </w:r>
      <w:r>
        <w:t xml:space="preserve">distributors</w:t>
      </w:r>
      <w:r>
        <w:t xml:space="preserve"> </w:t>
      </w:r>
      <w:r>
        <w:t xml:space="preserve">would incur</w:t>
      </w:r>
      <w:r>
        <w:t xml:space="preserve"> </w:t>
      </w:r>
      <w:r>
        <w:t xml:space="preserve">higher costs</w:t>
      </w:r>
      <w:r>
        <w:t xml:space="preserve"> </w:t>
      </w:r>
      <w:r>
        <w:t xml:space="preserve">of</w:t>
      </w:r>
      <w:r>
        <w:t xml:space="preserve"> </w:t>
      </w:r>
      <w:r>
        <w:t xml:space="preserve">continuous</w:t>
      </w:r>
      <w:r>
        <w:t xml:space="preserve"> </w:t>
      </w:r>
      <w:r>
        <w:t xml:space="preserve">training and</w:t>
      </w:r>
      <w:r>
        <w:t xml:space="preserve"> </w:t>
      </w:r>
      <w:r>
        <w:t xml:space="preserve">associated</w:t>
      </w:r>
      <w:r>
        <w:t xml:space="preserve"> </w:t>
      </w:r>
      <w:r>
        <w:t xml:space="preserve">processes,</w:t>
      </w:r>
      <w:r>
        <w:t xml:space="preserve"> </w:t>
      </w:r>
      <w:r>
        <w:t xml:space="preserve">depending</w:t>
      </w:r>
      <w:r>
        <w:t xml:space="preserve"> </w:t>
      </w:r>
      <w:r>
        <w:t xml:space="preserve">on the level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standards.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</w:t>
      </w:r>
      <w:r>
        <w:t xml:space="preserve"> </w:t>
      </w:r>
      <w:r>
        <w:t xml:space="preserve">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 Non</w:t>
      </w:r>
      <w:r>
        <w:t xml:space="preserve"> </w:t>
      </w:r>
      <w:r>
        <w:t xml:space="preserve">e</w:t>
      </w:r>
      <w:r>
        <w:t xml:space="preserve"> </w:t>
      </w:r>
      <w:r>
        <w:t xml:space="preserve">Possible</w:t>
      </w:r>
      <w:r>
        <w:t xml:space="preserve"> </w:t>
      </w:r>
      <w:r>
        <w:t xml:space="preserve">increase in</w:t>
      </w:r>
      <w:r>
        <w:t xml:space="preserve"> </w:t>
      </w:r>
      <w:r>
        <w:t xml:space="preserve">fees</w:t>
      </w:r>
      <w:r>
        <w:t xml:space="preserve"> </w:t>
      </w:r>
      <w:r>
        <w:t xml:space="preserve">charged to</w:t>
      </w:r>
      <w:r>
        <w:t xml:space="preserve"> </w:t>
      </w:r>
      <w:r>
        <w:t xml:space="preserve">customers,</w:t>
      </w:r>
      <w:r>
        <w:t xml:space="preserve"> </w:t>
      </w:r>
      <w:r>
        <w:t xml:space="preserve">correspond</w:t>
      </w:r>
      <w:r>
        <w:t xml:space="preserve"> </w:t>
      </w:r>
      <w:r>
        <w:t xml:space="preserve">-ing to an</w:t>
      </w:r>
      <w:r>
        <w:t xml:space="preserve"> </w:t>
      </w:r>
      <w:r>
        <w:t xml:space="preserve">increased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services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t xml:space="preserve"> </w:t>
      </w:r>
      <w:r>
        <w:t xml:space="preserve">costs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supervisor</w:t>
      </w:r>
      <w:r>
        <w:t xml:space="preserve"> </w:t>
      </w:r>
      <w:r>
        <w:t xml:space="preserve">y practices</w:t>
      </w:r>
      <w:r>
        <w:t xml:space="preserve"> </w:t>
      </w:r>
      <w:r>
        <w:t xml:space="preserve">None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Inducements:</w:t>
      </w:r>
      <w:r>
        <w:t xml:space="preserve"> </w:t>
      </w:r>
      <w:r>
        <w:t xml:space="preserve">large</w:t>
      </w:r>
      <w:r>
        <w:t xml:space="preserve"> </w:t>
      </w:r>
      <w:r>
        <w:t xml:space="preserve">market</w:t>
      </w:r>
      <w:r>
        <w:t xml:space="preserve"> </w:t>
      </w:r>
      <w:r>
        <w:t xml:space="preserve">adjustment</w:t>
      </w:r>
      <w:r>
        <w:t xml:space="preserve"> </w:t>
      </w:r>
      <w:r>
        <w:t xml:space="preserve">impact; 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quantified</w:t>
      </w:r>
    </w:p>
    <w:p>
      <w:pPr>
        <w:pStyle w:val="BodyText"/>
      </w:pP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Money:</w:t>
      </w:r>
      <w:r>
        <w:t xml:space="preserve"> </w:t>
      </w:r>
      <w:r>
        <w:t xml:space="preserve">adaptation</w:t>
      </w:r>
      <w:r>
        <w:t xml:space="preserve"> </w:t>
      </w:r>
      <w:r>
        <w:t xml:space="preserve">to</w:t>
      </w:r>
      <w:r>
        <w:t xml:space="preserve"> </w:t>
      </w:r>
      <w:r>
        <w:t xml:space="preserve">revised</w:t>
      </w:r>
      <w:r>
        <w:t xml:space="preserve"> </w:t>
      </w:r>
      <w:r>
        <w:t xml:space="preserve">product</w:t>
      </w:r>
      <w:r>
        <w:t xml:space="preserve"> </w:t>
      </w:r>
      <w:r>
        <w:t xml:space="preserve">governance</w:t>
      </w:r>
      <w:r>
        <w:t xml:space="preserve"> </w:t>
      </w:r>
      <w:r>
        <w:t xml:space="preserve">rules and use</w:t>
      </w:r>
      <w:r>
        <w:t xml:space="preserve"> </w:t>
      </w:r>
      <w:r>
        <w:t xml:space="preserve">of</w:t>
      </w:r>
      <w:r>
        <w:t xml:space="preserve"> </w:t>
      </w:r>
      <w:r>
        <w:t xml:space="preserve">benchmarks;</w:t>
      </w:r>
      <w:r>
        <w:t xml:space="preserve"> </w:t>
      </w:r>
      <w:r>
        <w:t xml:space="preserve">not possible to</w:t>
      </w:r>
      <w:r>
        <w:t xml:space="preserve"> </w:t>
      </w:r>
      <w:r>
        <w:t xml:space="preserve">quantify</w:t>
      </w:r>
    </w:p>
    <w:p>
      <w:pPr>
        <w:pStyle w:val="BodyText"/>
      </w:pPr>
      <w:r>
        <w:t xml:space="preserve">Value for</w:t>
      </w:r>
      <w:r>
        <w:t xml:space="preserve"> </w:t>
      </w:r>
      <w:r>
        <w:t xml:space="preserve">money: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revenues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that do not</w:t>
      </w:r>
      <w:r>
        <w:t xml:space="preserve"> </w:t>
      </w:r>
      <w:r>
        <w:t xml:space="preserve">offer good</w:t>
      </w:r>
      <w:r>
        <w:t xml:space="preserve"> </w:t>
      </w:r>
      <w:r>
        <w:t xml:space="preserve">VfM,</w:t>
      </w:r>
      <w:r>
        <w:t xml:space="preserve"> </w:t>
      </w:r>
      <w:r>
        <w:t xml:space="preserve">but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 reliably</w:t>
      </w:r>
      <w:r>
        <w:t xml:space="preserve"> </w:t>
      </w:r>
      <w:r>
        <w:t xml:space="preserve">quantified.</w:t>
      </w:r>
      <w:r>
        <w:t xml:space="preserve"> </w:t>
      </w:r>
      <w:r>
        <w:t xml:space="preserve">244</w:t>
      </w:r>
    </w:p>
    <w:p>
      <w:pPr>
        <w:pStyle w:val="BodyText"/>
      </w:pPr>
      <w:r>
        <w:t xml:space="preserve">Flanking</w:t>
      </w:r>
      <w:r>
        <w:t xml:space="preserve"> </w:t>
      </w:r>
      <w:r>
        <w:t xml:space="preserve">measures:</w:t>
      </w:r>
      <w:r>
        <w:t xml:space="preserve"> </w:t>
      </w:r>
      <w:r>
        <w:t xml:space="preserve">reinforced</w:t>
      </w:r>
    </w:p>
    <w:p>
      <w:pPr>
        <w:pStyle w:val="BodyText"/>
      </w:pPr>
      <w:r>
        <w:t xml:space="preserve">244 Over time, this is expected to be (partially) mitigated by growing retail investment participation and greater use of</w:t>
      </w:r>
      <w:r>
        <w:t xml:space="preserve"> </w:t>
      </w:r>
      <w:r>
        <w:t xml:space="preserve">payment-based financial advice and alternative distribution models such as roboadvice.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Flanking</w:t>
      </w:r>
      <w:r>
        <w:t xml:space="preserve"> </w:t>
      </w:r>
      <w:r>
        <w:t xml:space="preserve">measures:</w:t>
      </w:r>
      <w:r>
        <w:t xml:space="preserve"> </w:t>
      </w:r>
      <w:r>
        <w:t xml:space="preserve">adjustment to</w:t>
      </w:r>
      <w:r>
        <w:t xml:space="preserve"> </w:t>
      </w:r>
      <w:r>
        <w:t xml:space="preserve">rules on</w:t>
      </w:r>
      <w:r>
        <w:br/>
      </w:r>
      <w:r>
        <w:t xml:space="preserve">complaints</w:t>
      </w:r>
      <w:r>
        <w:t xml:space="preserve"> </w:t>
      </w:r>
      <w:r>
        <w:t xml:space="preserve">handling</w:t>
      </w:r>
      <w:r>
        <w:t xml:space="preserve"> </w:t>
      </w:r>
      <w:r>
        <w:t xml:space="preserve">and</w:t>
      </w:r>
      <w:r>
        <w:t xml:space="preserve"> </w:t>
      </w:r>
      <w:r>
        <w:t xml:space="preserve">to meet higher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advisors;</w:t>
      </w:r>
      <w:r>
        <w:t xml:space="preserve"> </w:t>
      </w:r>
      <w:r>
        <w:t xml:space="preserve">one-time</w:t>
      </w:r>
      <w:r>
        <w:t xml:space="preserve"> </w:t>
      </w:r>
      <w:r>
        <w:t xml:space="preserve">reclassificatio</w:t>
      </w:r>
      <w:r>
        <w:t xml:space="preserve"> </w:t>
      </w:r>
      <w:r>
        <w:t xml:space="preserve">n of clients:</w:t>
      </w:r>
      <w:r>
        <w:t xml:space="preserve"> </w:t>
      </w:r>
      <w:r>
        <w:t xml:space="preserve">could not be</w:t>
      </w:r>
      <w:r>
        <w:t xml:space="preserve"> </w:t>
      </w:r>
      <w:r>
        <w:t xml:space="preserve">quantified but</w:t>
      </w:r>
      <w:r>
        <w:t xml:space="preserve"> </w:t>
      </w:r>
      <w:r>
        <w:t xml:space="preserve">expected to be</w:t>
      </w:r>
      <w:r>
        <w:t xml:space="preserve"> </w:t>
      </w:r>
      <w:r>
        <w:t xml:space="preserve">rather low</w:t>
      </w:r>
      <w:r>
        <w:t xml:space="preserve"> </w:t>
      </w:r>
      <w:r>
        <w:t xml:space="preserve">complaints</w:t>
      </w:r>
      <w:r>
        <w:t xml:space="preserve"> </w:t>
      </w:r>
      <w:r>
        <w:t xml:space="preserve">process and</w:t>
      </w:r>
      <w:r>
        <w:t xml:space="preserve"> </w:t>
      </w:r>
      <w:r>
        <w:t xml:space="preserve">additional</w:t>
      </w:r>
      <w:r>
        <w:t xml:space="preserve"> </w:t>
      </w:r>
      <w:r>
        <w:t xml:space="preserve">training for</w:t>
      </w:r>
      <w:r>
        <w:t xml:space="preserve"> </w:t>
      </w:r>
      <w:r>
        <w:t xml:space="preserve">financial</w:t>
      </w:r>
      <w:r>
        <w:t xml:space="preserve"> </w:t>
      </w:r>
      <w:r>
        <w:t xml:space="preserve">advisors</w:t>
      </w:r>
      <w:r>
        <w:t xml:space="preserve"> </w:t>
      </w:r>
      <w:r>
        <w:t xml:space="preserve">(could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quantified)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Inducements</w:t>
      </w:r>
      <w:r>
        <w:t xml:space="preserve"> </w:t>
      </w:r>
      <w:r>
        <w:t xml:space="preserve">:</w:t>
      </w:r>
      <w:r>
        <w:t xml:space="preserve"> </w:t>
      </w:r>
      <w:r>
        <w:t xml:space="preserve">direct</w:t>
      </w:r>
      <w:r>
        <w:t xml:space="preserve"> </w:t>
      </w:r>
      <w:r>
        <w:t xml:space="preserve">payment for</w:t>
      </w:r>
      <w:r>
        <w:t xml:space="preserve"> </w:t>
      </w:r>
      <w:r>
        <w:t xml:space="preserve">financial</w:t>
      </w:r>
      <w:r>
        <w:t xml:space="preserve"> </w:t>
      </w:r>
      <w:r>
        <w:t xml:space="preserve">advice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or</w:t>
      </w:r>
      <w:r>
        <w:t xml:space="preserve"> </w:t>
      </w:r>
      <w:r>
        <w:t xml:space="preserve">alternative</w:t>
      </w:r>
      <w:r>
        <w:t xml:space="preserve"> </w:t>
      </w:r>
      <w:r>
        <w:t xml:space="preserve">ways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measures:</w:t>
      </w:r>
      <w:r>
        <w:t xml:space="preserve"> </w:t>
      </w:r>
      <w:r>
        <w:t xml:space="preserve">possible pass</w:t>
      </w:r>
      <w:r>
        <w:t xml:space="preserve"> </w:t>
      </w:r>
      <w:r>
        <w:t xml:space="preserve">through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clients</w:t>
      </w:r>
      <w:r>
        <w:t xml:space="preserve"> </w:t>
      </w:r>
      <w:r>
        <w:t xml:space="preserve">(likely</w:t>
      </w:r>
      <w:r>
        <w:t xml:space="preserve"> </w:t>
      </w:r>
      <w:r>
        <w:t xml:space="preserve">limited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expected</w:t>
      </w:r>
      <w:r>
        <w:t xml:space="preserve"> </w:t>
      </w:r>
      <w:r>
        <w:t xml:space="preserve">size of some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the industry)</w:t>
      </w:r>
    </w:p>
    <w:p>
      <w:pPr>
        <w:pStyle w:val="BodyText"/>
      </w:pPr>
      <w:r>
        <w:t xml:space="preserve">Flanking</w:t>
      </w:r>
      <w:r>
        <w:t xml:space="preserve"> </w:t>
      </w:r>
      <w:r>
        <w:t xml:space="preserve">measures:</w:t>
      </w:r>
      <w:r>
        <w:t xml:space="preserve"> </w:t>
      </w:r>
      <w:r>
        <w:t xml:space="preserve">possible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advisory</w:t>
      </w:r>
      <w:r>
        <w:t xml:space="preserve"> </w:t>
      </w:r>
      <w:r>
        <w:t xml:space="preserve">fees charged</w:t>
      </w:r>
      <w:r>
        <w:t xml:space="preserve"> </w:t>
      </w:r>
      <w:r>
        <w:t xml:space="preserve">to customers</w:t>
      </w:r>
      <w:r>
        <w:t xml:space="preserve"> </w:t>
      </w:r>
      <w:r>
        <w:t xml:space="preserve">due to higher</w:t>
      </w:r>
      <w:r>
        <w:t xml:space="preserve"> </w:t>
      </w:r>
      <w:r>
        <w:t xml:space="preserve">qualification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Inducements:</w:t>
      </w:r>
      <w:r>
        <w:t xml:space="preserve"> </w:t>
      </w:r>
      <w:r>
        <w:t xml:space="preserve">enhancing</w:t>
      </w:r>
      <w:r>
        <w:t xml:space="preserve"> </w:t>
      </w:r>
      <w:r>
        <w:t xml:space="preserve">digital and other</w:t>
      </w:r>
      <w:r>
        <w:t xml:space="preserve"> </w:t>
      </w:r>
      <w:r>
        <w:t xml:space="preserve">alternative</w:t>
      </w:r>
      <w:r>
        <w:t xml:space="preserve"> </w:t>
      </w:r>
      <w:r>
        <w:t xml:space="preserve">distribution</w:t>
      </w:r>
      <w:r>
        <w:t xml:space="preserve"> </w:t>
      </w:r>
      <w:r>
        <w:t xml:space="preserve">models</w:t>
      </w:r>
      <w:r>
        <w:t xml:space="preserve"> </w:t>
      </w:r>
      <w:r>
        <w:t xml:space="preserve">(not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quantify; large</w:t>
      </w:r>
      <w:r>
        <w:t xml:space="preserve"> </w:t>
      </w:r>
      <w:r>
        <w:t xml:space="preserve">offsetting</w:t>
      </w:r>
      <w:r>
        <w:t xml:space="preserve"> </w:t>
      </w:r>
      <w:r>
        <w:t xml:space="preserve">factors</w:t>
      </w:r>
      <w:r>
        <w:t xml:space="preserve"> </w:t>
      </w:r>
      <w:r>
        <w:t xml:space="preserve">expected245);</w:t>
      </w:r>
      <w:r>
        <w:t xml:space="preserve"> </w:t>
      </w:r>
      <w:r>
        <w:t xml:space="preserve">migration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asset</w:t>
      </w:r>
      <w:r>
        <w:t xml:space="preserve"> </w:t>
      </w:r>
      <w:r>
        <w:t xml:space="preserve">holdings.</w:t>
      </w:r>
    </w:p>
    <w:p>
      <w:pPr>
        <w:pStyle w:val="BodyText"/>
      </w:pPr>
      <w:r>
        <w:t xml:space="preserve">Disclosures:</w:t>
      </w:r>
      <w:r>
        <w:t xml:space="preserve"> </w:t>
      </w:r>
      <w:r>
        <w:t xml:space="preserve">voluntary costs</w:t>
      </w:r>
      <w:r>
        <w:t xml:space="preserve"> </w:t>
      </w:r>
      <w:r>
        <w:t xml:space="preserve">for application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features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Admin-</w:t>
      </w:r>
      <w:r>
        <w:t xml:space="preserve"> </w:t>
      </w:r>
      <w:r>
        <w:t xml:space="preserve">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Disclosures</w:t>
      </w:r>
      <w:r>
        <w:t xml:space="preserve"> </w:t>
      </w:r>
      <w:r>
        <w:t xml:space="preserve">and marketing</w:t>
      </w:r>
      <w:r>
        <w:t xml:space="preserve"> </w:t>
      </w:r>
      <w:r>
        <w:t xml:space="preserve">communicat-</w:t>
      </w:r>
      <w:r>
        <w:t xml:space="preserve"> </w:t>
      </w:r>
      <w:r>
        <w:t xml:space="preserve">ions:</w:t>
      </w:r>
      <w:r>
        <w:t xml:space="preserve"> </w:t>
      </w:r>
      <w:r>
        <w:t xml:space="preserve">adaptation for</w:t>
      </w:r>
      <w:r>
        <w:t xml:space="preserve"> </w:t>
      </w:r>
      <w:r>
        <w:t xml:space="preserve">annual</w:t>
      </w:r>
      <w:r>
        <w:t xml:space="preserve"> </w:t>
      </w:r>
      <w:r>
        <w:t xml:space="preserve">statement</w:t>
      </w:r>
      <w:r>
        <w:t xml:space="preserve"> </w:t>
      </w:r>
      <w:r>
        <w:t xml:space="preserve">in</w:t>
      </w:r>
      <w:r>
        <w:t xml:space="preserve"> </w:t>
      </w:r>
      <w:r>
        <w:t xml:space="preserve">approximate</w:t>
      </w:r>
      <w:r>
        <w:t xml:space="preserve"> </w:t>
      </w:r>
      <w:r>
        <w:t xml:space="preserve">range of EUR</w:t>
      </w:r>
      <w:r>
        <w:t xml:space="preserve"> </w:t>
      </w:r>
      <w:r>
        <w:t xml:space="preserve">€19</w:t>
      </w:r>
      <w:r>
        <w:t xml:space="preserve"> </w:t>
      </w:r>
      <w:r>
        <w:t xml:space="preserve">–</w:t>
      </w:r>
      <w:r>
        <w:t xml:space="preserve"> </w:t>
      </w:r>
      <w:r>
        <w:t xml:space="preserve">67.5</w:t>
      </w:r>
      <w:r>
        <w:t xml:space="preserve"> </w:t>
      </w:r>
      <w:r>
        <w:t xml:space="preserve">million, some</w:t>
      </w:r>
      <w:r>
        <w:t xml:space="preserve"> </w:t>
      </w:r>
      <w:r>
        <w:t xml:space="preserve">cost impact of</w:t>
      </w:r>
      <w:r>
        <w:t xml:space="preserve"> </w:t>
      </w:r>
      <w:r>
        <w:t xml:space="preserve">adaptation</w:t>
      </w:r>
      <w:r>
        <w:t xml:space="preserve"> </w:t>
      </w:r>
      <w:r>
        <w:t xml:space="preserve">to</w:t>
      </w:r>
      <w:r>
        <w:t xml:space="preserve"> </w:t>
      </w:r>
      <w:r>
        <w:t xml:space="preserve">Disclosures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</w:t>
      </w:r>
      <w:r>
        <w:t xml:space="preserve"> </w:t>
      </w:r>
      <w:r>
        <w:t xml:space="preserve">t-ions:</w:t>
      </w:r>
      <w:r>
        <w:t xml:space="preserve"> </w:t>
      </w:r>
      <w:r>
        <w:t xml:space="preserve">providing</w:t>
      </w:r>
      <w:r>
        <w:t xml:space="preserve"> </w:t>
      </w:r>
      <w:r>
        <w:t xml:space="preserve">annual</w:t>
      </w:r>
      <w:r>
        <w:t xml:space="preserve"> </w:t>
      </w:r>
      <w:r>
        <w:t xml:space="preserve">statement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clients:</w:t>
      </w:r>
      <w:r>
        <w:br/>
      </w:r>
      <w:r>
        <w:t xml:space="preserve">EUR 5 per</w:t>
      </w:r>
      <w:r>
        <w:t xml:space="preserve"> </w:t>
      </w:r>
      <w:r>
        <w:t xml:space="preserve">client/per</w:t>
      </w:r>
      <w:r>
        <w:t xml:space="preserve"> </w:t>
      </w:r>
      <w:r>
        <w:t xml:space="preserve">year (total</w:t>
      </w:r>
    </w:p>
    <w:p>
      <w:pPr>
        <w:pStyle w:val="BodyText"/>
      </w:pPr>
      <w:r>
        <w:t xml:space="preserve">245 Notably the ongoing savings from not having to pay inducements to financial advisors.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EU</w:t>
      </w:r>
      <w:r>
        <w:t xml:space="preserve"> </w:t>
      </w:r>
      <w:r>
        <w:t xml:space="preserve">template</w:t>
      </w:r>
      <w:r>
        <w:t xml:space="preserve"> </w:t>
      </w:r>
      <w:r>
        <w:t xml:space="preserve">on</w:t>
      </w:r>
      <w:r>
        <w:t xml:space="preserve"> </w:t>
      </w:r>
      <w:r>
        <w:t xml:space="preserve">cost</w:t>
      </w:r>
      <w:r>
        <w:t xml:space="preserve"> </w:t>
      </w:r>
      <w:r>
        <w:t xml:space="preserve">disclosures:</w:t>
      </w:r>
      <w:r>
        <w:t xml:space="preserve"> </w:t>
      </w:r>
      <w:r>
        <w:t xml:space="preserve">cost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assessed at L2.</w:t>
      </w:r>
      <w:r>
        <w:t xml:space="preserve"> </w:t>
      </w:r>
      <w:r>
        <w:t xml:space="preserve">Limited</w:t>
      </w:r>
      <w:r>
        <w:t xml:space="preserve"> </w:t>
      </w:r>
      <w:r>
        <w:t xml:space="preserve">cost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</w:t>
      </w:r>
      <w:r>
        <w:t xml:space="preserve"> </w:t>
      </w:r>
      <w:r>
        <w:t xml:space="preserve">n</w:t>
      </w:r>
      <w:r>
        <w:t xml:space="preserve"> </w:t>
      </w:r>
      <w:r>
        <w:t xml:space="preserve">measures</w:t>
      </w:r>
      <w:r>
        <w:t xml:space="preserve"> </w:t>
      </w:r>
      <w:r>
        <w:t xml:space="preserve">(not</w:t>
      </w:r>
      <w:r>
        <w:t xml:space="preserve"> </w:t>
      </w:r>
      <w:r>
        <w:t xml:space="preserve">quantified)246.</w:t>
      </w:r>
    </w:p>
    <w:p>
      <w:pPr>
        <w:pStyle w:val="BodyText"/>
      </w:pP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Money:</w:t>
      </w:r>
      <w:r>
        <w:t xml:space="preserve"> </w:t>
      </w:r>
      <w:r>
        <w:t xml:space="preserve">supervisory</w:t>
      </w:r>
      <w:r>
        <w:t xml:space="preserve"> </w:t>
      </w:r>
      <w:r>
        <w:t xml:space="preserve">reporting costs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between</w:t>
      </w:r>
      <w:r>
        <w:t xml:space="preserve"> </w:t>
      </w:r>
      <w:r>
        <w:t xml:space="preserve">(approximate)</w:t>
      </w:r>
      <w:r>
        <w:t xml:space="preserve"> </w:t>
      </w:r>
      <w:r>
        <w:t xml:space="preserve">EU total €13-</w:t>
      </w:r>
      <w:r>
        <w:t xml:space="preserve"> </w:t>
      </w:r>
      <w:r>
        <w:t xml:space="preserve">€192</w:t>
      </w:r>
      <w:r>
        <w:t xml:space="preserve"> </w:t>
      </w:r>
      <w:r>
        <w:t xml:space="preserve">million</w:t>
      </w:r>
      <w:r>
        <w:t xml:space="preserve"> </w:t>
      </w:r>
      <w:r>
        <w:t xml:space="preserve">(costs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further assessed</w:t>
      </w:r>
      <w:r>
        <w:t xml:space="preserve"> </w:t>
      </w:r>
      <w:r>
        <w:t xml:space="preserve">at L2 by the</w:t>
      </w:r>
      <w:r>
        <w:t xml:space="preserve"> </w:t>
      </w:r>
      <w:r>
        <w:t xml:space="preserve">ESAs247)</w:t>
      </w:r>
    </w:p>
    <w:p>
      <w:pPr>
        <w:pStyle w:val="BodyText"/>
      </w:pPr>
      <w:r>
        <w:t xml:space="preserve">Flanking</w:t>
      </w:r>
      <w:r>
        <w:t xml:space="preserve"> </w:t>
      </w:r>
      <w:r>
        <w:t xml:space="preserve">measures:</w:t>
      </w:r>
      <w:r>
        <w:t xml:space="preserve"> </w:t>
      </w:r>
      <w:r>
        <w:t xml:space="preserve">Adjustment of</w:t>
      </w:r>
      <w:r>
        <w:t xml:space="preserve"> </w:t>
      </w:r>
      <w:r>
        <w:t xml:space="preserve">documents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risk</w:t>
      </w:r>
      <w:r>
        <w:t xml:space="preserve"> </w:t>
      </w:r>
      <w:r>
        <w:t xml:space="preserve">warnings</w:t>
      </w:r>
      <w:r>
        <w:t xml:space="preserve"> </w:t>
      </w:r>
      <w:r>
        <w:t xml:space="preserve">(negligible).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quantified).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 impact</w:t>
      </w:r>
      <w:r>
        <w:t xml:space="preserve"> </w:t>
      </w:r>
      <w:r>
        <w:t xml:space="preserve">for PRIIPs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</w:t>
      </w:r>
      <w:r>
        <w:t xml:space="preserve"> </w:t>
      </w:r>
      <w:r>
        <w:t xml:space="preserve">tions248.</w:t>
      </w:r>
    </w:p>
    <w:p>
      <w:pPr>
        <w:pStyle w:val="BodyText"/>
      </w:pP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Money:</w:t>
      </w:r>
      <w:r>
        <w:t xml:space="preserve"> </w:t>
      </w:r>
      <w:r>
        <w:t xml:space="preserve">supervisory</w:t>
      </w:r>
      <w:r>
        <w:t xml:space="preserve"> </w:t>
      </w:r>
      <w:r>
        <w:t xml:space="preserve">reporting</w:t>
      </w:r>
      <w:r>
        <w:t xml:space="preserve"> </w:t>
      </w:r>
      <w:r>
        <w:t xml:space="preserve">EU total of</w:t>
      </w:r>
      <w:r>
        <w:t xml:space="preserve"> </w:t>
      </w:r>
      <w:r>
        <w:t xml:space="preserve">€2.3-32.2</w:t>
      </w:r>
      <w:r>
        <w:t xml:space="preserve"> </w:t>
      </w:r>
      <w:r>
        <w:t xml:space="preserve">million per</w:t>
      </w:r>
      <w:r>
        <w:t xml:space="preserve"> </w:t>
      </w:r>
      <w:r>
        <w:t xml:space="preserve">annum</w:t>
      </w:r>
      <w:r>
        <w:t xml:space="preserve"> </w:t>
      </w:r>
      <w:r>
        <w:t xml:space="preserve">(costs to be</w:t>
      </w:r>
      <w:r>
        <w:t xml:space="preserve"> </w:t>
      </w:r>
      <w:r>
        <w:t xml:space="preserve">further</w:t>
      </w:r>
      <w:r>
        <w:t xml:space="preserve"> </w:t>
      </w:r>
      <w:r>
        <w:t xml:space="preserve">assessed at</w:t>
      </w:r>
      <w:r>
        <w:t xml:space="preserve"> </w:t>
      </w:r>
      <w:r>
        <w:t xml:space="preserve">L2 by the</w:t>
      </w:r>
      <w:r>
        <w:t xml:space="preserve"> </w:t>
      </w:r>
      <w:r>
        <w:t xml:space="preserve">ESAs)249</w:t>
      </w:r>
    </w:p>
    <w:p>
      <w:pPr>
        <w:pStyle w:val="BodyText"/>
      </w:pPr>
      <w:r>
        <w:t xml:space="preserve">Flanking</w:t>
      </w:r>
      <w:r>
        <w:t xml:space="preserve"> </w:t>
      </w:r>
      <w:r>
        <w:t xml:space="preserve">measures:</w:t>
      </w:r>
      <w:r>
        <w:t xml:space="preserve"> </w:t>
      </w:r>
      <w:r>
        <w:t xml:space="preserve">Ongoing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reporting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activities.</w:t>
      </w:r>
    </w:p>
    <w:p>
      <w:pPr>
        <w:pStyle w:val="Compact"/>
        <w:numPr>
          <w:ilvl w:val="0"/>
          <w:numId w:val="1016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7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–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Indirect impact on target 8.10 “Strengthen the</w:t>
      </w:r>
      <w:r>
        <w:t xml:space="preserve"> </w:t>
      </w:r>
      <w:r>
        <w:t xml:space="preserve">capacity of domestic financial institutions to</w:t>
      </w:r>
      <w:r>
        <w:t xml:space="preserve"> </w:t>
      </w:r>
      <w:r>
        <w:t xml:space="preserve">encourage and expand access to banking,</w:t>
      </w:r>
      <w:r>
        <w:t xml:space="preserve"> </w:t>
      </w:r>
      <w:r>
        <w:t xml:space="preserve">insurance and financial services for all” by</w:t>
      </w:r>
      <w:r>
        <w:t xml:space="preserve"> </w:t>
      </w:r>
      <w:r>
        <w:t xml:space="preserve">encouraging retail investment participation</w:t>
      </w:r>
      <w:r>
        <w:t xml:space="preserve"> </w:t>
      </w:r>
      <w:r>
        <w:t xml:space="preserve">and better investment outcomes for retail</w:t>
      </w:r>
      <w:r>
        <w:t xml:space="preserve"> </w:t>
      </w:r>
      <w:r>
        <w:t xml:space="preserve">investors. Further impact is expected on</w:t>
      </w:r>
      <w:r>
        <w:t xml:space="preserve"> </w:t>
      </w:r>
      <w:r>
        <w:t xml:space="preserve">accumulation of more money to finance</w:t>
      </w:r>
      <w:r>
        <w:t xml:space="preserve"> </w:t>
      </w:r>
      <w:r>
        <w:t xml:space="preserve">retirement and other life needs.</w:t>
      </w:r>
      <w:r>
        <w:br/>
      </w:r>
      <w:r>
        <w:t xml:space="preserve">By shifting the incentives for financial</w:t>
      </w:r>
      <w:r>
        <w:t xml:space="preserve"> </w:t>
      </w:r>
      <w:r>
        <w:t xml:space="preserve">advisors towards the interests of retail</w:t>
      </w:r>
      <w:r>
        <w:t xml:space="preserve"> </w:t>
      </w:r>
      <w:r>
        <w:t xml:space="preserve">investors and addressing informational</w:t>
      </w:r>
      <w:r>
        <w:t xml:space="preserve"> </w:t>
      </w:r>
      <w:r>
        <w:t xml:space="preserve">deficiencies that hinder sound decision-</w:t>
      </w:r>
      <w:r>
        <w:t xml:space="preserve"> </w:t>
      </w:r>
      <w:r>
        <w:t xml:space="preserve">making, this initiative can increase trust and</w:t>
      </w:r>
      <w:r>
        <w:t xml:space="preserve"> </w:t>
      </w:r>
      <w:r>
        <w:t xml:space="preserve">participation of citizens in financial markets</w:t>
      </w:r>
      <w:r>
        <w:t xml:space="preserve"> </w:t>
      </w:r>
      <w:r>
        <w:t xml:space="preserve">through retail investment products. Retail</w:t>
      </w:r>
      <w:r>
        <w:t xml:space="preserve"> </w:t>
      </w:r>
      <w:r>
        <w:t xml:space="preserve">investors would be also more likely offered</w:t>
      </w:r>
      <w:r>
        <w:t xml:space="preserve"> </w:t>
      </w:r>
      <w:r>
        <w:t xml:space="preserve">cheaper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</w:t>
      </w:r>
      <w:r>
        <w:t xml:space="preserve"> </w:t>
      </w:r>
      <w:r>
        <w:t xml:space="preserve">which</w:t>
      </w:r>
      <w:r>
        <w:t xml:space="preserve"> </w:t>
      </w:r>
      <w:r>
        <w:t xml:space="preserve">translates into being able to accumulate</w:t>
      </w:r>
      <w:r>
        <w:t xml:space="preserve"> </w:t>
      </w:r>
      <w:r>
        <w:t xml:space="preserve">more money over time for their life needs.</w:t>
      </w:r>
    </w:p>
    <w:p>
      <w:pPr>
        <w:pStyle w:val="FirstParagraph"/>
      </w:pPr>
      <w:r>
        <w:t xml:space="preserve">246 Although these costs relate to the substantive requirements of the proposal which are necessary for the fulfilment of</w:t>
      </w:r>
      <w:r>
        <w:t xml:space="preserve"> </w:t>
      </w:r>
      <w:r>
        <w:t xml:space="preserve">the objective of informing retail investors, they are categorised as administrative costs for “one in, one out” purposes.</w:t>
      </w:r>
      <w:r>
        <w:br/>
      </w:r>
      <w:r>
        <w:t xml:space="preserve">247 The supervisory reporting costs for Value for Money do not take into account cost reductions from synergies with the</w:t>
      </w:r>
      <w:r>
        <w:t xml:space="preserve"> </w:t>
      </w:r>
      <w:r>
        <w:t xml:space="preserve">supervisory reporting introduced by the AIFMD review.</w:t>
      </w:r>
      <w:r>
        <w:t xml:space="preserve"> </w:t>
      </w:r>
      <w:r>
        <w:t xml:space="preserve">248 Although these costs relate to the substantive requirements of the proposal which are necessary for the fulfilment of</w:t>
      </w:r>
      <w:r>
        <w:t xml:space="preserve"> </w:t>
      </w:r>
      <w:r>
        <w:t xml:space="preserve">the objective of informing retail investors, they are categorised as administrative costs for “one in, one out” purposes.</w:t>
      </w:r>
      <w:r>
        <w:br/>
      </w:r>
      <w:r>
        <w:t xml:space="preserve">249 Additional costs for VfM at distribution level could not be reliably estimated.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Multiple</w:t>
      </w:r>
      <w:r>
        <w:t xml:space="preserve"> </w:t>
      </w:r>
      <w:r>
        <w:t xml:space="preserve">SDGs,</w:t>
      </w:r>
      <w:r>
        <w:t xml:space="preserve"> </w:t>
      </w:r>
      <w:r>
        <w:t xml:space="preserve">notably</w:t>
      </w:r>
      <w:r>
        <w:t xml:space="preserve"> </w:t>
      </w:r>
      <w:r>
        <w:t xml:space="preserve">SDG no. 13 – climate action</w:t>
      </w:r>
      <w:r>
        <w:t xml:space="preserve"> </w:t>
      </w:r>
      <w:r>
        <w:t xml:space="preserve">The inclusion of an ESG dashboard in PRIIPs</w:t>
      </w:r>
      <w:r>
        <w:t xml:space="preserve"> </w:t>
      </w:r>
      <w:r>
        <w:t xml:space="preserve">KIDs would increase the visibility of</w:t>
      </w:r>
      <w:r>
        <w:t xml:space="preserve"> </w:t>
      </w:r>
      <w:r>
        <w:t xml:space="preserve">environmental and social factors towards</w:t>
      </w:r>
      <w:r>
        <w:t xml:space="preserve"> </w:t>
      </w:r>
      <w:r>
        <w:t xml:space="preserve">retail investors, indirectly contributing to</w:t>
      </w:r>
      <w:r>
        <w:t xml:space="preserve"> </w:t>
      </w:r>
      <w:r>
        <w:t xml:space="preserve">greater emphasis on these factors in the</w:t>
      </w:r>
      <w:r>
        <w:t xml:space="preserve"> </w:t>
      </w:r>
      <w:r>
        <w:t xml:space="preserve">financial markets</w:t>
      </w:r>
      <w:r>
        <w:t xml:space="preserve"> </w:t>
      </w:r>
      <w:r>
        <w:t xml:space="preserve">More visible presentation of information on</w:t>
      </w:r>
      <w:r>
        <w:t xml:space="preserve"> </w:t>
      </w:r>
      <w:r>
        <w:t xml:space="preserve">the sustainability profile of investment</w:t>
      </w:r>
      <w:r>
        <w:t xml:space="preserve"> </w:t>
      </w:r>
      <w:r>
        <w:t xml:space="preserve">products would contribute to greater use of</w:t>
      </w:r>
      <w:r>
        <w:t xml:space="preserve"> </w:t>
      </w:r>
      <w:r>
        <w:t xml:space="preserve">such information when selecting products</w:t>
      </w:r>
      <w:r>
        <w:t xml:space="preserve"> </w:t>
      </w:r>
      <w:r>
        <w:t xml:space="preserve">and could produce a behavioural nudge</w:t>
      </w:r>
      <w:r>
        <w:t xml:space="preserve"> </w:t>
      </w:r>
      <w:r>
        <w:t xml:space="preserve">towards more sustainable products. The</w:t>
      </w:r>
      <w:r>
        <w:t xml:space="preserve"> </w:t>
      </w:r>
      <w:r>
        <w:t xml:space="preserve">impact would link more with SDG no. 13 as</w:t>
      </w:r>
      <w:r>
        <w:t xml:space="preserve"> </w:t>
      </w:r>
      <w:r>
        <w:t xml:space="preserve">existing sustainability metrics focus more</w:t>
      </w:r>
      <w:r>
        <w:t xml:space="preserve"> </w:t>
      </w:r>
      <w:r>
        <w:t xml:space="preserve">on climate impacts.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ANNEX 4: DISCLOSURES AND MARKETING COMMUNICATIONS</w:t>
      </w:r>
      <w:r>
        <w:t xml:space="preserve"> </w:t>
      </w:r>
      <w:r>
        <w:t xml:space="preserve">This Annex presents in more detail the measures proposed under Options 2 and 3 of the impact assessment</w:t>
      </w:r>
      <w:r>
        <w:t xml:space="preserve"> </w:t>
      </w:r>
      <w:r>
        <w:t xml:space="preserve">in the area of disclosures and marketing communications, as well as a number of technical measures.</w:t>
      </w:r>
    </w:p>
    <w:p>
      <w:pPr>
        <w:pStyle w:val="BodyText"/>
      </w:pPr>
      <w:r>
        <w:t xml:space="preserve">Option 2: Targeted changes to disclosure rules to improve their relevance for retail investors</w:t>
      </w:r>
    </w:p>
    <w:p>
      <w:pPr>
        <w:pStyle w:val="BodyText"/>
      </w:pPr>
      <w:r>
        <w:t xml:space="preserve">Measures relating to the PRIIPS Key Information Documents (KIDs)</w:t>
      </w:r>
    </w:p>
    <w:p>
      <w:pPr>
        <w:pStyle w:val="BodyText"/>
      </w:pPr>
      <w:r>
        <w:t xml:space="preserve">This part of the annex further elaborates on the measures suggested with regards to PRIIPs KID under the</w:t>
      </w:r>
      <w:r>
        <w:t xml:space="preserve"> </w:t>
      </w:r>
      <w:r>
        <w:t xml:space="preserve">Option 2 for addressing informational deficiencies.</w:t>
      </w:r>
    </w:p>
    <w:p>
      <w:pPr>
        <w:pStyle w:val="Compact"/>
        <w:numPr>
          <w:ilvl w:val="0"/>
          <w:numId w:val="1018"/>
        </w:numPr>
      </w:pPr>
      <w:r>
        <w:t xml:space="preserve">Digital KIDs and the inclusion of a dashboard summary</w:t>
      </w:r>
    </w:p>
    <w:p>
      <w:pPr>
        <w:pStyle w:val="FirstParagraph"/>
      </w:pPr>
      <w:r>
        <w:t xml:space="preserve">1.1 Problem description</w:t>
      </w:r>
      <w:r>
        <w:t xml:space="preserve"> </w:t>
      </w:r>
      <w:r>
        <w:t xml:space="preserve">The Joint ESA advice on digital finance and the results of the Retail investment study evidenced that</w:t>
      </w:r>
      <w:r>
        <w:t xml:space="preserve"> </w:t>
      </w:r>
      <w:r>
        <w:t xml:space="preserve">disclosures to retail investors, including those in PRIIPs KIDs, are not sufficiently adapted to the digital</w:t>
      </w:r>
      <w:r>
        <w:t xml:space="preserve"> </w:t>
      </w:r>
      <w:r>
        <w:t xml:space="preserve">age. For instance, there are constraints and inconveniences to the use of KIDs on smartphones and for the</w:t>
      </w:r>
      <w:r>
        <w:t xml:space="preserve"> </w:t>
      </w:r>
      <w:r>
        <w:t xml:space="preserve">use of layering250, which could help reduce the information overload, that was also well-documented by the</w:t>
      </w:r>
      <w:r>
        <w:t xml:space="preserve"> </w:t>
      </w:r>
      <w:r>
        <w:t xml:space="preserve">Retail investment study. This deprives retail investors from receiving disclosure information in a more</w:t>
      </w:r>
      <w:r>
        <w:t xml:space="preserve"> </w:t>
      </w:r>
      <w:r>
        <w:t xml:space="preserve">engaging way. The evaluation published in parallel to this impact assessment also confirms that this limits</w:t>
      </w:r>
      <w:r>
        <w:t xml:space="preserve"> </w:t>
      </w:r>
      <w:r>
        <w:t xml:space="preserve">the effectiveness and coherence (notably in contrast with PEPP KID) of the framework on disclosure rules</w:t>
      </w:r>
      <w:r>
        <w:t xml:space="preserve"> </w:t>
      </w:r>
      <w:r>
        <w:t xml:space="preserve">for retail investors.</w:t>
      </w:r>
    </w:p>
    <w:p>
      <w:pPr>
        <w:pStyle w:val="BodyText"/>
      </w:pPr>
      <w:r>
        <w:t xml:space="preserve">Key information documents can be provided to retail investors on paper, using a durable medium</w:t>
      </w:r>
      <w:r>
        <w:t xml:space="preserve"> </w:t>
      </w:r>
      <w:r>
        <w:t xml:space="preserve">or, under certain conditions251, by means of a website. When provided through a website, PRIIPs</w:t>
      </w:r>
      <w:r>
        <w:t xml:space="preserve"> </w:t>
      </w:r>
      <w:r>
        <w:t xml:space="preserve">requires that the client can durably download a KID and consult it for a certain period. The current</w:t>
      </w:r>
      <w:r>
        <w:t xml:space="preserve"> </w:t>
      </w:r>
      <w:r>
        <w:t xml:space="preserve">legal text hence does not prevent digital use of KIDs, including possible layering of information,</w:t>
      </w:r>
      <w:r>
        <w:t xml:space="preserve"> </w:t>
      </w:r>
      <w:r>
        <w:t xml:space="preserve">but it also does not encourage it. While it provides some flexibility for supervisors to specify the</w:t>
      </w:r>
      <w:r>
        <w:t xml:space="preserve"> </w:t>
      </w:r>
      <w:r>
        <w:t xml:space="preserve">details of the presentation of a KID when distributed electronically, it prevents changes to the order</w:t>
      </w:r>
      <w:r>
        <w:t xml:space="preserve"> </w:t>
      </w:r>
      <w:r>
        <w:t xml:space="preserve">of the PRIIPS KIDs sections. Under the current legal framework, this would limit layering to</w:t>
      </w:r>
      <w:r>
        <w:t xml:space="preserve"> </w:t>
      </w:r>
      <w:r>
        <w:t xml:space="preserve">presenting the information in a menu to display the headings and hide/unhide the information,</w:t>
      </w:r>
      <w:r>
        <w:t xml:space="preserve"> </w:t>
      </w:r>
      <w:r>
        <w:t xml:space="preserve">which may not be sufficient. Moreover, KIDs are currently not well adapted to be viewed on</w:t>
      </w:r>
      <w:r>
        <w:t xml:space="preserve"> </w:t>
      </w:r>
      <w:r>
        <w:t xml:space="preserve">different electronic devices (such as smartphones or tablets), which are becoming the dominant</w:t>
      </w:r>
      <w:r>
        <w:t xml:space="preserve"> </w:t>
      </w:r>
      <w:r>
        <w:t xml:space="preserve">way in which especially younger generations of investors access information about their accounts</w:t>
      </w:r>
      <w:r>
        <w:t xml:space="preserve"> </w:t>
      </w:r>
      <w:r>
        <w:t xml:space="preserve">and investment products.</w:t>
      </w:r>
    </w:p>
    <w:p>
      <w:pPr>
        <w:pStyle w:val="BodyText"/>
      </w:pPr>
      <w:r>
        <w:t xml:space="preserve">At the same time, information from PRIIPs KIDs is already set to become easier to be used digitally under</w:t>
      </w:r>
      <w:r>
        <w:t xml:space="preserve"> </w:t>
      </w:r>
      <w:r>
        <w:t xml:space="preserve">the baseline, as the contents of PRIIPs are set to become available through the European Single Access</w:t>
      </w:r>
      <w:r>
        <w:t xml:space="preserve"> </w:t>
      </w:r>
      <w:r>
        <w:t xml:space="preserve">Point (ESAP) in a data extractable format as of 2026, pending the outcome of the negotiations on</w:t>
      </w:r>
    </w:p>
    <w:p>
      <w:pPr>
        <w:pStyle w:val="BodyText"/>
      </w:pPr>
      <w:r>
        <w:t xml:space="preserve">250 Layering is a practice of organizing information into related groupings and then presenting or making available only</w:t>
      </w:r>
      <w:r>
        <w:t xml:space="preserve"> </w:t>
      </w:r>
      <w:r>
        <w:t xml:space="preserve">certain groupings at any one time. In the case of PRIIPs key information documents, this implies breaking down each</w:t>
      </w:r>
      <w:r>
        <w:t xml:space="preserve"> </w:t>
      </w:r>
      <w:r>
        <w:t xml:space="preserve">section of a document into layers in order to allow for a simplified view (first layer) where only several pieces of</w:t>
      </w:r>
      <w:r>
        <w:t xml:space="preserve"> </w:t>
      </w:r>
      <w:r>
        <w:t xml:space="preserve">information are shown, with a possibility to expand the view to see the more details for any section of interest.</w:t>
      </w:r>
      <w:r>
        <w:t xml:space="preserve"> </w:t>
      </w:r>
      <w:r>
        <w:t xml:space="preserve">251 Notably, the regulation requires that the retail investor should be given the possibility to choose between</w:t>
      </w:r>
      <w:r>
        <w:t xml:space="preserve"> </w:t>
      </w:r>
      <w:r>
        <w:t xml:space="preserve">information provided on paper and information by electronic distribution (cf. Paragraph 5(b) and in case of</w:t>
      </w:r>
      <w:r>
        <w:t xml:space="preserve"> </w:t>
      </w:r>
      <w:r>
        <w:t xml:space="preserve">electronic distribution a paper copy should be provided upon request (cf. paragraph 3).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Commission’s proposal252. The targeted changes in PRIIPs discussed in this annex are considered to be</w:t>
      </w:r>
      <w:r>
        <w:t xml:space="preserve"> </w:t>
      </w:r>
      <w:r>
        <w:t xml:space="preserve">coherent and complementary with the inclusion of PRIIPs KIDs in ESAP. While ESAP will improve access</w:t>
      </w:r>
      <w:r>
        <w:t xml:space="preserve"> </w:t>
      </w:r>
      <w:r>
        <w:t xml:space="preserve">to and digital use of information in PRIIPs KIDs by requiring that they are submitted to ESAP in a data</w:t>
      </w:r>
      <w:r>
        <w:t xml:space="preserve"> </w:t>
      </w:r>
      <w:r>
        <w:t xml:space="preserve">extractable format, targeted changes proposed in this impact assessment would make this information more</w:t>
      </w:r>
      <w:r>
        <w:t xml:space="preserve"> </w:t>
      </w:r>
      <w:r>
        <w:t xml:space="preserve">user-friendly for the reader. Easier digital use is unlikely to significantly affect the necessity to read the</w:t>
      </w:r>
      <w:r>
        <w:t xml:space="preserve"> </w:t>
      </w:r>
      <w:r>
        <w:t xml:space="preserve">KID by retail investors and financial advisors, notably when assessing characteristics of a specific</w:t>
      </w:r>
      <w:r>
        <w:t xml:space="preserve"> </w:t>
      </w:r>
      <w:r>
        <w:t xml:space="preserve">investment products. As the KID presents key information about a product in one place and in 3 pages, it</w:t>
      </w:r>
      <w:r>
        <w:t xml:space="preserve"> </w:t>
      </w:r>
      <w:r>
        <w:t xml:space="preserve">is expected to remain a crucial document, hence the need to make the document more user-friendly remains</w:t>
      </w:r>
      <w:r>
        <w:t xml:space="preserve"> </w:t>
      </w:r>
      <w:r>
        <w:t xml:space="preserve">relevant as well.</w:t>
      </w:r>
    </w:p>
    <w:p>
      <w:pPr>
        <w:pStyle w:val="BodyText"/>
      </w:pPr>
      <w:r>
        <w:t xml:space="preserve">1.2 Proposed measures</w:t>
      </w:r>
      <w:r>
        <w:br/>
      </w:r>
      <w:r>
        <w:t xml:space="preserve">Proposed measure A1: Adapting the PRIIPS KIDs to the digital environment and increasing the</w:t>
      </w:r>
      <w:r>
        <w:t xml:space="preserve"> </w:t>
      </w:r>
      <w:r>
        <w:t xml:space="preserve">usability of its information</w:t>
      </w:r>
      <w:r>
        <w:t xml:space="preserve"> </w:t>
      </w:r>
      <w:r>
        <w:t xml:space="preserve">The Advice of the ESA joint committee on PRIIPs pointed to the fact that digitization can facilitate</w:t>
      </w:r>
      <w:r>
        <w:t xml:space="preserve"> </w:t>
      </w:r>
      <w:r>
        <w:t xml:space="preserve">a more consumer-centric approach and provide retail investors with interactive tools, which could</w:t>
      </w:r>
      <w:r>
        <w:t xml:space="preserve"> </w:t>
      </w:r>
      <w:r>
        <w:t xml:space="preserve">make information more engaging and easier to understand. This may help overcome the</w:t>
      </w:r>
      <w:r>
        <w:t xml:space="preserve"> </w:t>
      </w:r>
      <w:r>
        <w:t xml:space="preserve">fear/reticence of retail investors to engage with financial information. This option would</w:t>
      </w:r>
      <w:r>
        <w:t xml:space="preserve"> </w:t>
      </w:r>
      <w:r>
        <w:t xml:space="preserve">implement specific recommendations of the ESAs outlined below:</w:t>
      </w:r>
    </w:p>
    <w:p>
      <w:pPr>
        <w:pStyle w:val="Compact"/>
        <w:numPr>
          <w:ilvl w:val="0"/>
          <w:numId w:val="1019"/>
        </w:numPr>
      </w:pPr>
      <w:r>
        <w:t xml:space="preserve">Allowing the use of layered approach, i.e. interactive web-based formats would allow for</w:t>
      </w:r>
      <w:r>
        <w:t xml:space="preserve"> </w:t>
      </w:r>
      <w:r>
        <w:t xml:space="preserve">the presentation of information in multiple layers, allowing for sequential presentation of</w:t>
      </w:r>
      <w:r>
        <w:t xml:space="preserve"> </w:t>
      </w:r>
      <w:r>
        <w:t xml:space="preserve">product information to investors and minimizing the impression of information overload for</w:t>
      </w:r>
      <w:r>
        <w:t xml:space="preserve"> </w:t>
      </w:r>
      <w:r>
        <w:t xml:space="preserve">retail investors.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Allowing more flexibility in the digital presentation of PRIIPs KIDs and some degree of</w:t>
      </w:r>
      <w:r>
        <w:t xml:space="preserve"> </w:t>
      </w:r>
      <w:r>
        <w:t xml:space="preserve">personalisation or customisation in the 3-page PDF document: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 inclusion of a menu, contents sidebar or similar feature on a webpage, which the reader</w:t>
      </w:r>
      <w:r>
        <w:t xml:space="preserve"> </w:t>
      </w:r>
      <w:r>
        <w:t xml:space="preserve">can use to immediately go to different sections of the disclosure (for example to</w:t>
      </w:r>
      <w:r>
        <w:t xml:space="preserve"> </w:t>
      </w:r>
      <w:r>
        <w:t xml:space="preserve">information on risks, the costs of the product, or how to complain).</w:t>
      </w:r>
    </w:p>
    <w:p>
      <w:pPr>
        <w:pStyle w:val="Compact"/>
        <w:numPr>
          <w:ilvl w:val="0"/>
          <w:numId w:val="1019"/>
        </w:numPr>
      </w:pPr>
      <w:r>
        <w:t xml:space="preserve">Facilitating greater inclusivity by, for example, adding functionality to make information</w:t>
      </w:r>
      <w:r>
        <w:t xml:space="preserve"> </w:t>
      </w:r>
      <w:r>
        <w:t xml:space="preserve">accessible to visually impaired consumers253.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Interactivity: marketing staff should be authorised and enabled to present a personalised</w:t>
      </w:r>
      <w:r>
        <w:t xml:space="preserve"> </w:t>
      </w:r>
      <w:r>
        <w:t xml:space="preserve">KID or to compare different products on the same webpage. This would allow retail</w:t>
      </w:r>
      <w:r>
        <w:t xml:space="preserve"> </w:t>
      </w:r>
      <w:r>
        <w:t xml:space="preserve">investors to personalise the information, such as the holding period or investment amount,</w:t>
      </w:r>
      <w:r>
        <w:t xml:space="preserve"> </w:t>
      </w:r>
      <w:r>
        <w:t xml:space="preserve">as well as choose how the information is presented, for example in a graph or a chart.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They should be able to retrieve the KID and the results of this simulation.</w:t>
      </w:r>
      <w:r>
        <w:t xml:space="preserve"> </w:t>
      </w:r>
      <w:r>
        <w:t xml:space="preserve">ESMA would be mandated to develop more specific rules for layering of information and digital</w:t>
      </w:r>
      <w:r>
        <w:t xml:space="preserve"> </w:t>
      </w:r>
      <w:r>
        <w:t xml:space="preserve">presentation of KIDs (e.g. specifying vital information to appear in the first layer or to ensure that</w:t>
      </w:r>
      <w:r>
        <w:t xml:space="preserve"> </w:t>
      </w:r>
      <w:r>
        <w:t xml:space="preserve">navigation between the layers is straight-forward).</w:t>
      </w:r>
    </w:p>
    <w:p>
      <w:pPr>
        <w:pStyle w:val="FirstParagraph"/>
      </w:pPr>
      <w:r>
        <w:t xml:space="preserve">Proposed measure A2: summary dashboard</w:t>
      </w:r>
    </w:p>
    <w:p>
      <w:pPr>
        <w:pStyle w:val="BodyText"/>
      </w:pPr>
      <w:r>
        <w:t xml:space="preserve">252 Commission Proposal amending certain Regulations as regards the establishment and functioning of the</w:t>
      </w:r>
      <w:r>
        <w:t xml:space="preserve"> </w:t>
      </w:r>
      <w:r>
        <w:t xml:space="preserve">European single access point, COM/2021/725 final.</w:t>
      </w:r>
      <w:r>
        <w:t xml:space="preserve"> </w:t>
      </w:r>
      <w:r>
        <w:t xml:space="preserve">253 This can be achieved through the presentation and format by providing, for example, sufficient contrast</w:t>
      </w:r>
      <w:r>
        <w:t xml:space="preserve"> </w:t>
      </w:r>
      <w:r>
        <w:t xml:space="preserve">between colours, making it possible to enlarge font size and limiting colour in the interface.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This option would add a short summary dashboard in the PRIIPs KID, based on the example of</w:t>
      </w:r>
      <w:r>
        <w:t xml:space="preserve"> </w:t>
      </w:r>
      <w:r>
        <w:t xml:space="preserve">the PEPP KID, where consumer testing has demonstrated that a dashboard may be an effective</w:t>
      </w:r>
      <w:r>
        <w:t xml:space="preserve"> </w:t>
      </w:r>
      <w:r>
        <w:t xml:space="preserve">way to quickly understand key elements in a static format such as a PDF254. While specific contents</w:t>
      </w:r>
      <w:r>
        <w:t xml:space="preserve"> </w:t>
      </w:r>
      <w:r>
        <w:t xml:space="preserve">would be determined at Level 2 PRIIPs to allow for sufficient flexibility, the PRIIPS dashboard</w:t>
      </w:r>
      <w:r>
        <w:t xml:space="preserve"> </w:t>
      </w:r>
      <w:r>
        <w:t xml:space="preserve">would likely include basic elements on the costs, performance, and risks of the product. This</w:t>
      </w:r>
      <w:r>
        <w:t xml:space="preserve"> </w:t>
      </w:r>
      <w:r>
        <w:t xml:space="preserve">dashboard would take some space among the 3-page PRIIPS KID, which may leave less room for</w:t>
      </w:r>
      <w:r>
        <w:t xml:space="preserve"> </w:t>
      </w:r>
      <w:r>
        <w:t xml:space="preserve">other content. As is currently the case, it will be up to the RTS to determine how to distribute the</w:t>
      </w:r>
      <w:r>
        <w:t xml:space="preserve"> </w:t>
      </w:r>
      <w:r>
        <w:t xml:space="preserve">available space among the different types of content required at Level 1 to ensure that the 3-page</w:t>
      </w:r>
      <w:r>
        <w:t xml:space="preserve"> </w:t>
      </w:r>
      <w:r>
        <w:t xml:space="preserve">limit is adhered to.</w:t>
      </w:r>
    </w:p>
    <w:p>
      <w:pPr>
        <w:pStyle w:val="BodyText"/>
      </w:pPr>
      <w:r>
        <w:t xml:space="preserve">1.3 Assessment of the proposed measures</w:t>
      </w:r>
      <w:r>
        <w:t xml:space="preserve"> </w:t>
      </w:r>
      <w:r>
        <w:t xml:space="preserve">Benefits: Improved presentation of the PRIIPs KID by greater use of layering and inclusion of a</w:t>
      </w:r>
      <w:r>
        <w:t xml:space="preserve"> </w:t>
      </w:r>
      <w:r>
        <w:t xml:space="preserve">summary dashboard would make it easier for retail investors to understand key characteristics of</w:t>
      </w:r>
      <w:r>
        <w:t xml:space="preserve"> </w:t>
      </w:r>
      <w:r>
        <w:t xml:space="preserve">the investment product they are considering (e.g. its costs, performance or whether there are</w:t>
      </w:r>
      <w:r>
        <w:t xml:space="preserve"> </w:t>
      </w:r>
      <w:r>
        <w:t xml:space="preserve">guarantees). This would help achieve specific objective 1 ”Improve information provided to</w:t>
      </w:r>
      <w:r>
        <w:t xml:space="preserve"> </w:t>
      </w:r>
      <w:r>
        <w:t xml:space="preserve">investors and their ability to take well-informed investment decisions” by helping retail investors</w:t>
      </w:r>
      <w:r>
        <w:t xml:space="preserve"> </w:t>
      </w:r>
      <w:r>
        <w:t xml:space="preserve">understand investment products. Through this, it would to some extent contribute to facilitating</w:t>
      </w:r>
      <w:r>
        <w:t xml:space="preserve"> </w:t>
      </w:r>
      <w:r>
        <w:t xml:space="preserve">the choice of a product that matches their needs. It would also bring an opportunity for PRIIPs</w:t>
      </w:r>
      <w:r>
        <w:t xml:space="preserve"> </w:t>
      </w:r>
      <w:r>
        <w:t xml:space="preserve">manufacturers to attract retail investors to their products as consumers are more likely to purchase</w:t>
      </w:r>
      <w:r>
        <w:t xml:space="preserve"> </w:t>
      </w:r>
      <w:r>
        <w:t xml:space="preserve">products they understand.</w:t>
      </w:r>
      <w:r>
        <w:br/>
      </w:r>
      <w:r>
        <w:t xml:space="preserve">Costs: This option implies a one-time adjustment of PRIIPs KIDs (and automated tools that the</w:t>
      </w:r>
      <w:r>
        <w:t xml:space="preserve"> </w:t>
      </w:r>
      <w:r>
        <w:t xml:space="preserve">industry typically uses to develop them) to adapt to the new rules.</w:t>
      </w:r>
    </w:p>
    <w:p>
      <w:pPr>
        <w:pStyle w:val="BodyText"/>
      </w:pPr>
      <w:r>
        <w:t xml:space="preserve">Affected groups of stakeholders:</w:t>
      </w:r>
    </w:p>
    <w:p>
      <w:pPr>
        <w:numPr>
          <w:ilvl w:val="0"/>
          <w:numId w:val="1020"/>
        </w:numPr>
      </w:pPr>
      <w:r>
        <w:t xml:space="preserve">Industry: This option would enable PRIIPs manufacturers to make greater use of layering</w:t>
      </w:r>
      <w:r>
        <w:t xml:space="preserve"> </w:t>
      </w:r>
      <w:r>
        <w:t xml:space="preserve">and digital formats in KIDs. This could make disclosure documents and potentially also</w:t>
      </w:r>
      <w:r>
        <w:t xml:space="preserve"> </w:t>
      </w:r>
      <w:r>
        <w:t xml:space="preserve">some of their products, more easily understandable and attractive for consumers. At the</w:t>
      </w:r>
      <w:r>
        <w:t xml:space="preserve"> </w:t>
      </w:r>
      <w:r>
        <w:t xml:space="preserve">same time, while the use of layering would remain voluntary, PRIIPs manufacturers may</w:t>
      </w:r>
      <w:r>
        <w:t xml:space="preserve"> </w:t>
      </w:r>
      <w:r>
        <w:t xml:space="preserve">feel competitive pressure to make use of these new possibilities. This option also implies</w:t>
      </w:r>
      <w:r>
        <w:t xml:space="preserve"> </w:t>
      </w:r>
      <w:r>
        <w:t xml:space="preserve">a slight change in the format of PRIIPs KIDs. Where a new summary dashboard would be</w:t>
      </w:r>
      <w:r>
        <w:t xml:space="preserve"> </w:t>
      </w:r>
      <w:r>
        <w:t xml:space="preserve">added, this would imply a one-time change of KIDs and related costs which are expected</w:t>
      </w:r>
      <w:r>
        <w:t xml:space="preserve"> </w:t>
      </w:r>
      <w:r>
        <w:t xml:space="preserve">to be relatively small (as discussed above) and some prioritisation of textual information</w:t>
      </w:r>
      <w:r>
        <w:t xml:space="preserve"> </w:t>
      </w:r>
      <w:r>
        <w:t xml:space="preserve">to fit in the page limit.</w:t>
      </w:r>
    </w:p>
    <w:p>
      <w:pPr>
        <w:numPr>
          <w:ilvl w:val="0"/>
          <w:numId w:val="1020"/>
        </w:numPr>
      </w:pPr>
      <w:r>
        <w:t xml:space="preserve">Consumers: retail investors would clearly benefit from more user-friendly disclosures as</w:t>
      </w:r>
      <w:r>
        <w:t xml:space="preserve"> </w:t>
      </w:r>
      <w:r>
        <w:t xml:space="preserve">they would be able to more effectively search for information they need to make their</w:t>
      </w:r>
      <w:r>
        <w:t xml:space="preserve"> </w:t>
      </w:r>
      <w:r>
        <w:t xml:space="preserve">decision and read it with more convenience on smartphones and tablets. Especially younger</w:t>
      </w:r>
      <w:r>
        <w:t xml:space="preserve"> </w:t>
      </w:r>
      <w:r>
        <w:t xml:space="preserve">consumers would benefit, as they use smartphones more for this purpose. Clear</w:t>
      </w:r>
      <w:r>
        <w:t xml:space="preserve"> </w:t>
      </w:r>
      <w:r>
        <w:t xml:space="preserve">specifications at Level 2 would prevent potential misrepresentation of information when</w:t>
      </w:r>
      <w:r>
        <w:t xml:space="preserve"> </w:t>
      </w:r>
      <w:r>
        <w:t xml:space="preserve">layering is used.</w:t>
      </w:r>
    </w:p>
    <w:p>
      <w:pPr>
        <w:numPr>
          <w:ilvl w:val="0"/>
          <w:numId w:val="1020"/>
        </w:numPr>
      </w:pPr>
      <w:r>
        <w:t xml:space="preserve">Supervisors: only limited impacts are expected for national supervisory authorities, as they</w:t>
      </w:r>
      <w:r>
        <w:t xml:space="preserve"> </w:t>
      </w:r>
      <w:r>
        <w:t xml:space="preserve">would need to slightly adapt their approach to supervise and enforce rules for digital</w:t>
      </w:r>
      <w:r>
        <w:t xml:space="preserve"> </w:t>
      </w:r>
      <w:r>
        <w:t xml:space="preserve">formats. Supervisors themselves have not voiced any significant concerns in this regard.</w:t>
      </w:r>
      <w:r>
        <w:t xml:space="preserve"> </w:t>
      </w:r>
      <w:r>
        <w:t xml:space="preserve">No significant impact is expected on the resources of ESMA and EIOPA, as their</w:t>
      </w:r>
    </w:p>
    <w:p>
      <w:pPr>
        <w:pStyle w:val="FirstParagraph"/>
      </w:pPr>
      <w:r>
        <w:t xml:space="preserve">254 See: https://www.eiopa.europa.eu/sites/default/files/publications/pepp-consumer_testing_final_report.pdf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involvement and roles under this option can be performed as part of their existing</w:t>
      </w:r>
      <w:r>
        <w:t xml:space="preserve"> </w:t>
      </w:r>
      <w:r>
        <w:t xml:space="preserve">regulatory and supervisory work.</w:t>
      </w:r>
      <w:r>
        <w:br/>
      </w:r>
      <w:r>
        <w:t xml:space="preserve">Stakeholder views: This option has strong support of stakeholders. In response to the Call for</w:t>
      </w:r>
      <w:r>
        <w:t xml:space="preserve"> </w:t>
      </w:r>
      <w:r>
        <w:t xml:space="preserve">Evidence, the majority of stakeholders including consumer associations as well as insurers and</w:t>
      </w:r>
      <w:r>
        <w:t xml:space="preserve"> </w:t>
      </w:r>
      <w:r>
        <w:t xml:space="preserve">asset managers also expressed support for being able to present the KID in a layered format.</w:t>
      </w:r>
      <w:r>
        <w:t xml:space="preserve"> </w:t>
      </w:r>
      <w:r>
        <w:t xml:space="preserve">Overall, these measures are complementary and would both bring additional benefits at little expected cost</w:t>
      </w:r>
      <w:r>
        <w:t xml:space="preserve"> </w:t>
      </w:r>
      <w:r>
        <w:t xml:space="preserve">and would contribute to the objectives of the Retail investment strategy. Hence, based on the assessment</w:t>
      </w:r>
      <w:r>
        <w:t xml:space="preserve"> </w:t>
      </w:r>
      <w:r>
        <w:t xml:space="preserve">above, both measures A1 and A2 have been selected to be part of the preferred option.</w:t>
      </w:r>
      <w:r>
        <w:br/>
      </w:r>
      <w:r>
        <w:t xml:space="preserve">2.</w:t>
      </w:r>
      <w:r>
        <w:br/>
      </w:r>
      <w:r>
        <w:t xml:space="preserve">Presentation of Environmental, social and governance (ESG) information in PRIIPs KIDs</w:t>
      </w:r>
    </w:p>
    <w:p>
      <w:pPr>
        <w:pStyle w:val="BodyText"/>
      </w:pPr>
      <w:r>
        <w:t xml:space="preserve">2.1 Problem description</w:t>
      </w:r>
      <w:r>
        <w:t xml:space="preserve"> </w:t>
      </w:r>
      <w:r>
        <w:t xml:space="preserve">Retail investors have a demonstrable need for information on the sustainability performance of the</w:t>
      </w:r>
      <w:r>
        <w:t xml:space="preserve"> </w:t>
      </w:r>
      <w:r>
        <w:t xml:space="preserve">financial products and the companies in which they invest. Recent EU legislative initiatives such</w:t>
      </w:r>
      <w:r>
        <w:t xml:space="preserve"> </w:t>
      </w:r>
      <w:r>
        <w:t xml:space="preserve">as the SFDR, the CSRD, and the provisions on disclosure in the Taxonomy Regulation seek to</w:t>
      </w:r>
      <w:r>
        <w:t xml:space="preserve"> </w:t>
      </w:r>
      <w:r>
        <w:t xml:space="preserve">provide information that can be useful for investors, including retail investors, to understand</w:t>
      </w:r>
      <w:r>
        <w:t xml:space="preserve"> </w:t>
      </w:r>
      <w:r>
        <w:t xml:space="preserve">relevant sustainability aspects. While much of this data has become or is becoming available</w:t>
      </w:r>
      <w:r>
        <w:t xml:space="preserve"> </w:t>
      </w:r>
      <w:r>
        <w:t xml:space="preserve">through websites and documents, these disclosures may be rather complex for retail investors to</w:t>
      </w:r>
      <w:r>
        <w:t xml:space="preserve"> </w:t>
      </w:r>
      <w:r>
        <w:t xml:space="preserve">navigate and may not be sufficiently visible to them.</w:t>
      </w:r>
    </w:p>
    <w:p>
      <w:pPr>
        <w:pStyle w:val="BodyText"/>
      </w:pPr>
      <w:r>
        <w:t xml:space="preserve">As the PRIIPs KIDs provide key information on financial products, they should also include</w:t>
      </w:r>
      <w:r>
        <w:t xml:space="preserve"> </w:t>
      </w:r>
      <w:r>
        <w:t xml:space="preserve">information about the sustainability profile of investment products. The PRIIPs Regulation already</w:t>
      </w:r>
      <w:r>
        <w:t xml:space="preserve"> </w:t>
      </w:r>
      <w:r>
        <w:t xml:space="preserve">includes a requirement for ESG information to be included in the KID as part of the product’s</w:t>
      </w:r>
      <w:r>
        <w:t xml:space="preserve"> </w:t>
      </w:r>
      <w:r>
        <w:t xml:space="preserve">objectives within the ‘What is this product?’ section (Article 8(3)(c)(ii)), where this is applicable.</w:t>
      </w:r>
    </w:p>
    <w:p>
      <w:pPr>
        <w:pStyle w:val="BodyText"/>
      </w:pPr>
      <w:r>
        <w:t xml:space="preserve">However, despite empowerments in the Regulation that would allow both the Commission and the</w:t>
      </w:r>
      <w:r>
        <w:t xml:space="preserve"> </w:t>
      </w:r>
      <w:r>
        <w:t xml:space="preserve">ESAs to further specify these disclosures, those empowerments were not exercised, partly due to</w:t>
      </w:r>
      <w:r>
        <w:t xml:space="preserve"> </w:t>
      </w:r>
      <w:r>
        <w:t xml:space="preserve">a preference to wait and adapt to the development of other EU legislative initiatives relating to</w:t>
      </w:r>
      <w:r>
        <w:t xml:space="preserve"> </w:t>
      </w:r>
      <w:r>
        <w:t xml:space="preserve">sustainability disclosures. This has included, in particular, the adoption of the SFDR in 2019,</w:t>
      </w:r>
      <w:r>
        <w:t xml:space="preserve"> </w:t>
      </w:r>
      <w:r>
        <w:t xml:space="preserve">followed by the ESAs’ draft RTS, specifying the content and presentation of sustainability-related</w:t>
      </w:r>
      <w:r>
        <w:t xml:space="preserve"> </w:t>
      </w:r>
      <w:r>
        <w:t xml:space="preserve">disclosures in the prospectus of investment funds, in the KIDs of PEPPs, and, for IBIPs as part of</w:t>
      </w:r>
      <w:r>
        <w:t xml:space="preserve"> </w:t>
      </w:r>
      <w:r>
        <w:t xml:space="preserve">pre-contractual disclosures to policy holders under Solvency II.</w:t>
      </w:r>
    </w:p>
    <w:p>
      <w:pPr>
        <w:pStyle w:val="BodyText"/>
      </w:pPr>
      <w:r>
        <w:t xml:space="preserve">In the responses to the ESAs’ call for evidence on PRIIPs in the context of the Joint ESA</w:t>
      </w:r>
      <w:r>
        <w:t xml:space="preserve"> </w:t>
      </w:r>
      <w:r>
        <w:t xml:space="preserve">committee’s advice, several respondents raised the issue of the inclusion of ESG information in</w:t>
      </w:r>
      <w:r>
        <w:t xml:space="preserve"> </w:t>
      </w:r>
      <w:r>
        <w:t xml:space="preserve">the PRIIPs KID. In particular, EFAMA indicated that the current format of the PRIIPs KID does</w:t>
      </w:r>
      <w:r>
        <w:t xml:space="preserve"> </w:t>
      </w:r>
      <w:r>
        <w:t xml:space="preserve">not allow inclusion of information on the ESG profile of investment products in a way that would</w:t>
      </w:r>
      <w:r>
        <w:t xml:space="preserve"> </w:t>
      </w:r>
      <w:r>
        <w:t xml:space="preserve">provide sufficient visibility255. In addition, the evaluation (Annex 11) confirmed that this poses a</w:t>
      </w:r>
      <w:r>
        <w:t xml:space="preserve"> </w:t>
      </w:r>
      <w:r>
        <w:t xml:space="preserve">challenge with regards to relevance of PRIIPs KIDs.</w:t>
      </w:r>
      <w:r>
        <w:br/>
      </w:r>
      <w:r>
        <w:t xml:space="preserve">2.2 Proposed measures</w:t>
      </w:r>
      <w:r>
        <w:br/>
      </w:r>
      <w:r>
        <w:t xml:space="preserve">Proposed measure B: ESG dashboard in PRIIPs KIDs</w:t>
      </w:r>
    </w:p>
    <w:p>
      <w:pPr>
        <w:pStyle w:val="BodyText"/>
      </w:pPr>
      <w:r>
        <w:t xml:space="preserve">255 Excerpt from EFAMA response:</w:t>
      </w:r>
      <w:r>
        <w:t xml:space="preserve"> </w:t>
      </w:r>
      <w:r>
        <w:t xml:space="preserve">“We consider the current nature of the PRIIP KID to be overly prescriptive in each</w:t>
      </w:r>
      <w:r>
        <w:t xml:space="preserve"> </w:t>
      </w:r>
      <w:r>
        <w:t xml:space="preserve">of the elements to be disclosed, making it impossible to insert the (soon to be needed) ESG information into the</w:t>
      </w:r>
      <w:r>
        <w:t xml:space="preserve"> </w:t>
      </w:r>
      <w:r>
        <w:t xml:space="preserve">PRIIP KID (unless it is squeezed together with ‘other information’, such as a link to the past performance), which</w:t>
      </w:r>
      <w:r>
        <w:t xml:space="preserve"> </w:t>
      </w:r>
      <w:r>
        <w:t xml:space="preserve">would be unhelpful in providing such new key information elements to investors.”</w:t>
      </w:r>
      <w:r>
        <w:t xml:space="preserve">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The proposed measure entails adding an ESG dashboard in PRIIPs KIDs, as a dedicated section that would</w:t>
      </w:r>
      <w:r>
        <w:t xml:space="preserve"> </w:t>
      </w:r>
      <w:r>
        <w:t xml:space="preserve">present key ESG information about the product. A dashboard would draw from available data about</w:t>
      </w:r>
      <w:r>
        <w:t xml:space="preserve"> </w:t>
      </w:r>
      <w:r>
        <w:t xml:space="preserve">investment products that are collected under existing sustainable finance disclosures under the SFDR. It</w:t>
      </w:r>
      <w:r>
        <w:t xml:space="preserve"> </w:t>
      </w:r>
      <w:r>
        <w:t xml:space="preserve">would take into consideration relevant developments in the sustainable finance legislative framework. This</w:t>
      </w:r>
      <w:r>
        <w:t xml:space="preserve"> </w:t>
      </w:r>
      <w:r>
        <w:t xml:space="preserve">information could include the environmental and social objectives that are pursued by the product, and</w:t>
      </w:r>
      <w:r>
        <w:t xml:space="preserve"> </w:t>
      </w:r>
      <w:r>
        <w:t xml:space="preserve">relevant KPIs and infographics on the share of the product that is invested into Taxonomy-aligned activities,</w:t>
      </w:r>
      <w:r>
        <w:t xml:space="preserve"> </w:t>
      </w:r>
      <w:r>
        <w:t xml:space="preserve">information on sustainability risks, the principle adverse impacts of the product, and other types of</w:t>
      </w:r>
      <w:r>
        <w:t xml:space="preserve"> </w:t>
      </w:r>
      <w:r>
        <w:t xml:space="preserve">information included in pre-contractual documentation under SFDR.</w:t>
      </w:r>
    </w:p>
    <w:p>
      <w:pPr>
        <w:pStyle w:val="BodyText"/>
      </w:pPr>
      <w:r>
        <w:t xml:space="preserve">Compared to exercising level 2 empowerments, the specification at level 1 would allow:</w:t>
      </w:r>
      <w:r>
        <w:br/>
      </w:r>
      <w:r>
        <w:t xml:space="preserve">1.</w:t>
      </w:r>
      <w:r>
        <w:t xml:space="preserve"> </w:t>
      </w:r>
      <w:r>
        <w:t xml:space="preserve">To present ESG information in a separate section in the KID.</w:t>
      </w:r>
      <w:r>
        <w:br/>
      </w:r>
      <w:r>
        <w:t xml:space="preserve">2.</w:t>
      </w:r>
      <w:r>
        <w:t xml:space="preserve"> </w:t>
      </w:r>
      <w:r>
        <w:t xml:space="preserve">To specify at level 1, details on the type of ESG information that should go into this</w:t>
      </w:r>
      <w:r>
        <w:t xml:space="preserve"> </w:t>
      </w:r>
      <w:r>
        <w:t xml:space="preserve">section/dashboard, thereby increasing legal certainty.</w:t>
      </w:r>
    </w:p>
    <w:p>
      <w:pPr>
        <w:pStyle w:val="BodyText"/>
      </w:pPr>
      <w:r>
        <w:t xml:space="preserve">Discarded option: Exercising the existing empowerments in the PRIIPs Regulation. This option would</w:t>
      </w:r>
      <w:r>
        <w:t xml:space="preserve"> </w:t>
      </w:r>
      <w:r>
        <w:t xml:space="preserve">give further details on how the requirements of Article 8(3)(c)(ii) of the PRIIPs Regulation should be</w:t>
      </w:r>
      <w:r>
        <w:t xml:space="preserve"> </w:t>
      </w:r>
      <w:r>
        <w:t xml:space="preserve">specified, and in particular, in light of the extensive work that has been conducted by the ESAs under the</w:t>
      </w:r>
      <w:r>
        <w:t xml:space="preserve"> </w:t>
      </w:r>
      <w:r>
        <w:t xml:space="preserve">SFDR, which ESG information – and in what format – should be included in the PRIIPs KID, including</w:t>
      </w:r>
      <w:r>
        <w:t xml:space="preserve"> </w:t>
      </w:r>
      <w:r>
        <w:t xml:space="preserve">what is envisaged under SFDR, and/or how the ESG reference included under the SFDR should be</w:t>
      </w:r>
      <w:r>
        <w:t xml:space="preserve"> </w:t>
      </w:r>
      <w:r>
        <w:t xml:space="preserve">referenced in the PRIIPs KID (as suggested by some stakeholders such as EFAMA) and the implications</w:t>
      </w:r>
      <w:r>
        <w:t xml:space="preserve"> </w:t>
      </w:r>
      <w:r>
        <w:t xml:space="preserve">from a consumer perspective.</w:t>
      </w:r>
      <w:r>
        <w:br/>
      </w:r>
      <w:r>
        <w:t xml:space="preserve">However, this option would not allow for the creation of a separate or dedicated section of the PRIIPs KID</w:t>
      </w:r>
      <w:r>
        <w:t xml:space="preserve"> </w:t>
      </w:r>
      <w:r>
        <w:t xml:space="preserve">devoted to ESG information, as the name and order of sections are governed by the level 1 Regulation.</w:t>
      </w:r>
      <w:r>
        <w:t xml:space="preserve"> </w:t>
      </w:r>
      <w:r>
        <w:t xml:space="preserve">Hence, this information would be less visible to investors.</w:t>
      </w:r>
      <w:r>
        <w:t xml:space="preserve"> </w:t>
      </w:r>
      <w:r>
        <w:t xml:space="preserve">2.3 Assessment of the proposed measures</w:t>
      </w:r>
      <w:r>
        <w:t xml:space="preserve"> </w:t>
      </w:r>
      <w:r>
        <w:t xml:space="preserve">Benefits: With an ESG dashboard, the PRIIPs KID would act as a snapshot on ESG information,</w:t>
      </w:r>
      <w:r>
        <w:t xml:space="preserve"> </w:t>
      </w:r>
      <w:r>
        <w:t xml:space="preserve">with a reference to the pre-contractual disclosure documents where the full set of ESG information</w:t>
      </w:r>
      <w:r>
        <w:t xml:space="preserve"> </w:t>
      </w:r>
      <w:r>
        <w:t xml:space="preserve">is available. It would provide easy access to basic ESG information on an investment product in</w:t>
      </w:r>
      <w:r>
        <w:t xml:space="preserve"> </w:t>
      </w:r>
      <w:r>
        <w:t xml:space="preserve">the PRIIPs KID, such as Taxonomy-alignment and ESG objectives, risks, and impacts. This would</w:t>
      </w:r>
      <w:r>
        <w:t xml:space="preserve"> </w:t>
      </w:r>
      <w:r>
        <w:t xml:space="preserve">allow retail investors to easily compare products with respect to ESG elements, avoiding the need</w:t>
      </w:r>
      <w:r>
        <w:t xml:space="preserve"> </w:t>
      </w:r>
      <w:r>
        <w:t xml:space="preserve">to browse through multiple documents to obtain basic product and ESG information.</w:t>
      </w:r>
      <w:r>
        <w:br/>
      </w:r>
      <w:r>
        <w:t xml:space="preserve">Costs:  The ESG dashboard would be devised in such a way as to only reuse information, KPIs,</w:t>
      </w:r>
      <w:r>
        <w:t xml:space="preserve"> </w:t>
      </w:r>
      <w:r>
        <w:t xml:space="preserve">and infographics that are already included in other pre-contractual documents, such as on the share</w:t>
      </w:r>
      <w:r>
        <w:t xml:space="preserve"> </w:t>
      </w:r>
      <w:r>
        <w:t xml:space="preserve">of the product that is invested into Taxonomy-aligned activities. In this way, costs for product</w:t>
      </w:r>
      <w:r>
        <w:t xml:space="preserve"> </w:t>
      </w:r>
      <w:r>
        <w:t xml:space="preserve">manufacturers would be minimal, and the information will already be under supervision through</w:t>
      </w:r>
      <w:r>
        <w:t xml:space="preserve"> </w:t>
      </w:r>
      <w:r>
        <w:t xml:space="preserve">the SFDR.</w:t>
      </w:r>
      <w:r>
        <w:br/>
      </w:r>
      <w:r>
        <w:t xml:space="preserve">Affected groups of stakeholders:</w:t>
      </w:r>
      <w:r>
        <w:br/>
      </w:r>
      <w:r>
        <w:t xml:space="preserve">1. Industry: PRIIPs manufacturers will need to update their KID production processes and ensure</w:t>
      </w:r>
      <w:r>
        <w:t xml:space="preserve"> </w:t>
      </w:r>
      <w:r>
        <w:t xml:space="preserve">that the information from the SFDR product disclosures is included in the ESG dashboard</w:t>
      </w:r>
      <w:r>
        <w:t xml:space="preserve"> </w:t>
      </w:r>
      <w:r>
        <w:t xml:space="preserve">where necessary. When SFDR product disclosures are updated, this will need to be reflected in</w:t>
      </w:r>
      <w:r>
        <w:t xml:space="preserve"> </w:t>
      </w:r>
      <w:r>
        <w:t xml:space="preserve">the PRIIPs KID, but this is not a significant additional burden as there are already requirements</w:t>
      </w:r>
      <w:r>
        <w:t xml:space="preserve"> </w:t>
      </w:r>
      <w:r>
        <w:t xml:space="preserve">to regularly update PRIIPs KIDs and information from SFDR product disclosures is not</w:t>
      </w:r>
      <w:r>
        <w:t xml:space="preserve"> </w:t>
      </w:r>
      <w:r>
        <w:t xml:space="preserve">expected to change with a particularly high frequency.</w:t>
      </w:r>
      <w:r>
        <w:br/>
      </w:r>
      <w:r>
        <w:t xml:space="preserve">2. Consumers: Retail investors would have easy access to ESG information and be able to more</w:t>
      </w:r>
      <w:r>
        <w:t xml:space="preserve"> </w:t>
      </w:r>
      <w:r>
        <w:t xml:space="preserve">easily understand and compare products along this dimension.</w:t>
      </w:r>
      <w:r>
        <w:br/>
      </w:r>
      <w:r>
        <w:t xml:space="preserve">3. Supervisors: No impact expected, as the information will already be under supervision through</w:t>
      </w:r>
      <w:r>
        <w:t xml:space="preserve"> </w:t>
      </w:r>
      <w:r>
        <w:t xml:space="preserve">the SFDR.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Stakeholder views: The inclusion of ESG information in the KID was requested by several</w:t>
      </w:r>
      <w:r>
        <w:t xml:space="preserve"> </w:t>
      </w:r>
      <w:r>
        <w:t xml:space="preserve">environmental NGOs and also by parts of the fund industry. There are no stakeholders that are</w:t>
      </w:r>
      <w:r>
        <w:t xml:space="preserve"> </w:t>
      </w:r>
      <w:r>
        <w:t xml:space="preserve">specifically opposed to the inclusion of such information in the KID, as far as we are aware.</w:t>
      </w:r>
      <w:r>
        <w:br/>
      </w:r>
      <w:r>
        <w:t xml:space="preserve">Based on the assessment above, measure B has been selected to be part of the preferred option.</w:t>
      </w:r>
    </w:p>
    <w:p>
      <w:pPr>
        <w:pStyle w:val="Compact"/>
        <w:numPr>
          <w:ilvl w:val="0"/>
          <w:numId w:val="1021"/>
        </w:numPr>
      </w:pPr>
      <w:r>
        <w:t xml:space="preserve">Transparency of costs of Multi-Option Products (MOPs) in PRIIPs KIDs</w:t>
      </w:r>
    </w:p>
    <w:p>
      <w:pPr>
        <w:pStyle w:val="FirstParagraph"/>
      </w:pPr>
      <w:r>
        <w:t xml:space="preserve">3.1 Problem description</w:t>
      </w:r>
      <w:r>
        <w:t xml:space="preserve"> </w:t>
      </w:r>
      <w:r>
        <w:t xml:space="preserve">One of the most specific technical issues identified as part of the evaluation activities256 has been</w:t>
      </w:r>
      <w:r>
        <w:t xml:space="preserve"> </w:t>
      </w:r>
      <w:r>
        <w:t xml:space="preserve">transparency on costs in the case of KIDs for insurance Multi-Option Products (“MOPs”). MOPs</w:t>
      </w:r>
      <w:r>
        <w:t xml:space="preserve"> </w:t>
      </w:r>
      <w:r>
        <w:t xml:space="preserve">are PRIIPs which consist of a wrapper (insurance contract) and an underlying investment where</w:t>
      </w:r>
      <w:r>
        <w:t xml:space="preserve"> </w:t>
      </w:r>
      <w:r>
        <w:t xml:space="preserve">clients choose between multiple options (up to several hundreds). In some countries, they</w:t>
      </w:r>
      <w:r>
        <w:t xml:space="preserve"> </w:t>
      </w:r>
      <w:r>
        <w:t xml:space="preserve">constitute envelopes that enable retail investors to make investments under advantageous tax</w:t>
      </w:r>
      <w:r>
        <w:t xml:space="preserve"> </w:t>
      </w:r>
      <w:r>
        <w:t xml:space="preserve">conditions. The investment options are usually made up of collective investment products that are</w:t>
      </w:r>
      <w:r>
        <w:t xml:space="preserve"> </w:t>
      </w:r>
      <w:r>
        <w:t xml:space="preserve">themselves packaged (e.g. UCITS funds). Therefore, the retail investor bears the costs of two</w:t>
      </w:r>
      <w:r>
        <w:t xml:space="preserve"> </w:t>
      </w:r>
      <w:r>
        <w:t xml:space="preserve">packages: the first is the insurance product itself (the wrapper), the second is a collective</w:t>
      </w:r>
      <w:r>
        <w:t xml:space="preserve"> </w:t>
      </w:r>
      <w:r>
        <w:t xml:space="preserve">investment vehicle (UCITS or other). This double level of fees makes it difficult to understand the</w:t>
      </w:r>
      <w:r>
        <w:t xml:space="preserve"> </w:t>
      </w:r>
      <w:r>
        <w:t xml:space="preserve">total costs borne by the retail investor.</w:t>
      </w:r>
      <w:r>
        <w:br/>
      </w:r>
      <w:r>
        <w:t xml:space="preserve">The Advice of the ESA joint committee confirms that it is sometimes difficult for investors to</w:t>
      </w:r>
      <w:r>
        <w:t xml:space="preserve"> </w:t>
      </w:r>
      <w:r>
        <w:t xml:space="preserve">identify the total costs related to a particular investment option and that information on the</w:t>
      </w:r>
      <w:r>
        <w:t xml:space="preserve"> </w:t>
      </w:r>
      <w:r>
        <w:t xml:space="preserve">underlying investment option typically does not include the total costs of investing in that option</w:t>
      </w:r>
      <w:r>
        <w:t xml:space="preserve"> </w:t>
      </w:r>
      <w:r>
        <w:t xml:space="preserve">(because the cost of the wrapper is found in a separate document). This hinders retail investors’</w:t>
      </w:r>
      <w:r>
        <w:t xml:space="preserve"> </w:t>
      </w:r>
      <w:r>
        <w:t xml:space="preserve">ability to comprehend costs related to these products and hence reduces the effectiveness of PRIIPs</w:t>
      </w:r>
      <w:r>
        <w:t xml:space="preserve"> </w:t>
      </w:r>
      <w:r>
        <w:t xml:space="preserve">KIDs for this market segment. This also poses a moderate challenge to the internal coherence of</w:t>
      </w:r>
      <w:r>
        <w:t xml:space="preserve"> </w:t>
      </w:r>
      <w:r>
        <w:t xml:space="preserve">the PRIIPs framework, as the level of transparency of costs of different products is not the same.</w:t>
      </w:r>
      <w:r>
        <w:t xml:space="preserve"> </w:t>
      </w:r>
      <w:r>
        <w:t xml:space="preserve">Under the PRIIPs Regulation, MOP manufacturers have two options:</w:t>
      </w:r>
      <w:r>
        <w:br/>
      </w:r>
      <w:r>
        <w:t xml:space="preserve">1.</w:t>
      </w:r>
      <w:r>
        <w:t xml:space="preserve"> </w:t>
      </w:r>
      <w:r>
        <w:t xml:space="preserve">produce as many KIDs as there are investment options. Each KID shall include both the</w:t>
      </w:r>
      <w:r>
        <w:t xml:space="preserve"> </w:t>
      </w:r>
      <w:r>
        <w:t xml:space="preserve">costs of the wrapper and the costs of the chosen investment options;</w:t>
      </w:r>
      <w:r>
        <w:t xml:space="preserve"> </w:t>
      </w:r>
      <w:r>
        <w:t xml:space="preserve">2.</w:t>
      </w:r>
      <w:r>
        <w:t xml:space="preserve"> </w:t>
      </w:r>
      <w:r>
        <w:t xml:space="preserve">produce one generic KID for the wrapper and one specific information document for each</w:t>
      </w:r>
      <w:r>
        <w:t xml:space="preserve"> </w:t>
      </w:r>
      <w:r>
        <w:t xml:space="preserve">investment option.</w:t>
      </w:r>
      <w:r>
        <w:t xml:space="preserve"> </w:t>
      </w:r>
      <w:r>
        <w:t xml:space="preserve">Since the main purpose of a PRIIP KID is to inform retail investors on the cost of each financial</w:t>
      </w:r>
      <w:r>
        <w:t xml:space="preserve"> </w:t>
      </w:r>
      <w:r>
        <w:t xml:space="preserve">product and to allow them to compare these products, the current situation leads to some concerns</w:t>
      </w:r>
      <w:r>
        <w:t xml:space="preserve"> </w:t>
      </w:r>
      <w:r>
        <w:t xml:space="preserve">which have been also voiced by the ESAs:</w:t>
      </w:r>
    </w:p>
    <w:p>
      <w:pPr>
        <w:pStyle w:val="Compact"/>
        <w:numPr>
          <w:ilvl w:val="0"/>
          <w:numId w:val="1022"/>
        </w:numPr>
      </w:pPr>
      <w:r>
        <w:t xml:space="preserve">It is difficult for retail investors to identify the total costs related to a particular option they</w:t>
      </w:r>
      <w:r>
        <w:t xml:space="preserve"> </w:t>
      </w:r>
      <w:r>
        <w:t xml:space="preserve">are considering. The generic KID usually shows only a range of costs (from the most</w:t>
      </w:r>
      <w:r>
        <w:t xml:space="preserve"> </w:t>
      </w:r>
      <w:r>
        <w:t xml:space="preserve">expensive investment option to the least expensive), but does not always identify which</w:t>
      </w:r>
      <w:r>
        <w:t xml:space="preserve"> </w:t>
      </w:r>
      <w:r>
        <w:t xml:space="preserve">costs are specific to the investment option and which costs are related to the insurance</w:t>
      </w:r>
    </w:p>
    <w:p>
      <w:pPr>
        <w:pStyle w:val="FirstParagraph"/>
      </w:pPr>
      <w:r>
        <w:t xml:space="preserve">256 This issue is rather covered here as a more technical issue, with only a short mention in the evaluation annex, to</w:t>
      </w:r>
      <w:r>
        <w:t xml:space="preserve"> </w:t>
      </w:r>
      <w:r>
        <w:t xml:space="preserve">keep the relevant explanations close to the text that assesses the problem and possible solutions.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contract. This would be necessary, as the costs of the insurance contract are usually not</w:t>
      </w:r>
      <w:r>
        <w:t xml:space="preserve"> </w:t>
      </w:r>
      <w:r>
        <w:t xml:space="preserve">fixed and depend on the investment option selected. The costs may be sufficiently high to</w:t>
      </w:r>
      <w:r>
        <w:t xml:space="preserve"> </w:t>
      </w:r>
      <w:r>
        <w:t xml:space="preserve">significantly affect the performance of this investment option, especially over longer time</w:t>
      </w:r>
      <w:r>
        <w:t xml:space="preserve"> </w:t>
      </w:r>
      <w:r>
        <w:t xml:space="preserve">periods (assuming compound interest). This hinders investors’ ability to understand the</w:t>
      </w:r>
      <w:r>
        <w:t xml:space="preserve"> </w:t>
      </w:r>
      <w:r>
        <w:t xml:space="preserve">implications of their choices between different options and hence could make such choices</w:t>
      </w:r>
      <w:r>
        <w:t xml:space="preserve"> </w:t>
      </w:r>
      <w:r>
        <w:t xml:space="preserve">less likely to lead to the right product for them.</w:t>
      </w:r>
      <w:r>
        <w:br/>
      </w:r>
      <w:r>
        <w:t xml:space="preserve">2.</w:t>
      </w:r>
      <w:r>
        <w:t xml:space="preserve"> </w:t>
      </w:r>
      <w:r>
        <w:t xml:space="preserve">When investors are provided a specific information document for each investment option,</w:t>
      </w:r>
      <w:r>
        <w:t xml:space="preserve"> </w:t>
      </w:r>
      <w:r>
        <w:t xml:space="preserve">it does not usually include the total costs of investing in that option. This does not allow</w:t>
      </w:r>
      <w:r>
        <w:t xml:space="preserve"> </w:t>
      </w:r>
      <w:r>
        <w:t xml:space="preserve">sufficient transparency on total costs for retail investors. This situation could further affect</w:t>
      </w:r>
      <w:r>
        <w:t xml:space="preserve"> </w:t>
      </w:r>
      <w:r>
        <w:t xml:space="preserve">retail investors’ ability to compare different MOPs with each other, especially in situations</w:t>
      </w:r>
      <w:r>
        <w:t xml:space="preserve"> </w:t>
      </w:r>
      <w:r>
        <w:t xml:space="preserve">where two or more MOPs they are choosing from use a different presentation of options in</w:t>
      </w:r>
      <w:r>
        <w:t xml:space="preserve"> </w:t>
      </w:r>
      <w:r>
        <w:t xml:space="preserve">the fund catalogue.</w:t>
      </w:r>
      <w:r>
        <w:br/>
      </w:r>
      <w:r>
        <w:t xml:space="preserve">3.</w:t>
      </w:r>
      <w:r>
        <w:t xml:space="preserve"> </w:t>
      </w:r>
      <w:r>
        <w:t xml:space="preserve">Information on the exact costs of the selected combination of underlying options plus</w:t>
      </w:r>
      <w:r>
        <w:t xml:space="preserve"> </w:t>
      </w:r>
      <w:r>
        <w:t xml:space="preserve">package is not explicitly required by the PRIIPs RTSs, and is often not provided within the</w:t>
      </w:r>
      <w:r>
        <w:t xml:space="preserve"> </w:t>
      </w:r>
      <w:r>
        <w:t xml:space="preserve">KID documentation. The provision of this information may require the dynamic calculation</w:t>
      </w:r>
      <w:r>
        <w:t xml:space="preserve"> </w:t>
      </w:r>
      <w:r>
        <w:t xml:space="preserve">of costs, depending on the underlying options chosen in each case, as it is not possible to</w:t>
      </w:r>
      <w:r>
        <w:t xml:space="preserve"> </w:t>
      </w:r>
      <w:r>
        <w:t xml:space="preserve">know in advance which allocation retail investors will choose.</w:t>
      </w:r>
      <w:r>
        <w:t xml:space="preserve"> </w:t>
      </w:r>
      <w:r>
        <w:t xml:space="preserve">3.2 Proposed measure</w:t>
      </w:r>
      <w:r>
        <w:t xml:space="preserve"> </w:t>
      </w:r>
      <w:r>
        <w:t xml:space="preserve">Proposed measure C: Adapting PRIIPS KIDS to MOPs</w:t>
      </w:r>
      <w:r>
        <w:t xml:space="preserve"> </w:t>
      </w:r>
      <w:r>
        <w:t xml:space="preserve">Assessing the current situation regarding MOPs, and taking into account the ESAs</w:t>
      </w:r>
      <w:r>
        <w:t xml:space="preserve"> </w:t>
      </w:r>
      <w:r>
        <w:t xml:space="preserve">recommendations, the following areas for improvement were identified: 1) Improving</w:t>
      </w:r>
      <w:r>
        <w:t xml:space="preserve"> </w:t>
      </w:r>
      <w:r>
        <w:t xml:space="preserve">transparency on the costs of the insurance contract; 2) Demonstrating more clearly the impact of</w:t>
      </w:r>
      <w:r>
        <w:t xml:space="preserve"> </w:t>
      </w:r>
      <w:r>
        <w:t xml:space="preserve">the costs of the insurance contract, for example on the performance of the product; 3) Better</w:t>
      </w:r>
      <w:r>
        <w:t xml:space="preserve"> </w:t>
      </w:r>
      <w:r>
        <w:t xml:space="preserve">facilitating comparison between retail investors’ investment options within a MOP and between</w:t>
      </w:r>
      <w:r>
        <w:t xml:space="preserve"> </w:t>
      </w:r>
      <w:r>
        <w:t xml:space="preserve">different MOPs; and 4) Better reflecting how different investment options can be combined within</w:t>
      </w:r>
      <w:r>
        <w:t xml:space="preserve"> </w:t>
      </w:r>
      <w:r>
        <w:t xml:space="preserve">a MOP.</w:t>
      </w:r>
      <w:r>
        <w:t xml:space="preserve"> </w:t>
      </w:r>
      <w:r>
        <w:t xml:space="preserve">Building on the ESAs’ recommendations, this option would require manufacturers to develop and</w:t>
      </w:r>
      <w:r>
        <w:t xml:space="preserve"> </w:t>
      </w:r>
      <w:r>
        <w:t xml:space="preserve">use an online digital tool that would allow retail investors to compare different investment options</w:t>
      </w:r>
      <w:r>
        <w:t xml:space="preserve"> </w:t>
      </w:r>
      <w:r>
        <w:t xml:space="preserve">in order to establish the best combination suited to their needs. This IT tool would give dynamic</w:t>
      </w:r>
      <w:r>
        <w:t xml:space="preserve"> </w:t>
      </w:r>
      <w:r>
        <w:t xml:space="preserve">“real-time” information on costs to retail investors. It should distinguish very clearly between the</w:t>
      </w:r>
      <w:r>
        <w:t xml:space="preserve"> </w:t>
      </w:r>
      <w:r>
        <w:t xml:space="preserve">costs due to the wrapper and the costs due to the selected investment options. After having filtered</w:t>
      </w:r>
      <w:r>
        <w:t xml:space="preserve"> </w:t>
      </w:r>
      <w:r>
        <w:t xml:space="preserve">the investment options that interest them, retail investors could then view the KID or specific</w:t>
      </w:r>
      <w:r>
        <w:t xml:space="preserve"> </w:t>
      </w:r>
      <w:r>
        <w:t xml:space="preserve">information documents related to the more limited set of investment options that interest them.</w:t>
      </w:r>
      <w:r>
        <w:t xml:space="preserve"> </w:t>
      </w:r>
      <w:r>
        <w:t xml:space="preserve">Under this option, the content of this tailored KID would still be derived from the KIDs drawn up</w:t>
      </w:r>
      <w:r>
        <w:t xml:space="preserve"> </w:t>
      </w:r>
      <w:r>
        <w:t xml:space="preserve">by the PRIIP manufacturers, and liability would remain with the PRIIPs manufacturer.</w:t>
      </w:r>
    </w:p>
    <w:p>
      <w:pPr>
        <w:pStyle w:val="BodyText"/>
      </w:pPr>
      <w:r>
        <w:t xml:space="preserve">Discarded option: An option was considered, but discarded, to require KIDs to be produced for all</w:t>
      </w:r>
      <w:r>
        <w:t xml:space="preserve"> </w:t>
      </w:r>
      <w:r>
        <w:t xml:space="preserve">combinations. This option would not be optimal as it would be costly for PRIIPs manufacturers and could</w:t>
      </w:r>
      <w:r>
        <w:t xml:space="preserve"> </w:t>
      </w:r>
      <w:r>
        <w:t xml:space="preserve">lead to information overload for retail investors when the number of underlying options is significant. In</w:t>
      </w:r>
      <w:r>
        <w:t xml:space="preserve"> </w:t>
      </w:r>
      <w:r>
        <w:t xml:space="preserve">fact, there are signs that the existing number of KIDs for MOPs already leads to some degree of information</w:t>
      </w:r>
      <w:r>
        <w:t xml:space="preserve"> </w:t>
      </w:r>
      <w:r>
        <w:t xml:space="preserve">overload. To make sound decisions, investors need to have a comprehensive view of the total costs, with</w:t>
      </w:r>
      <w:r>
        <w:t xml:space="preserve"> </w:t>
      </w:r>
      <w:r>
        <w:t xml:space="preserve">both the costs related to the wrapper and those related to the underlying investments.</w:t>
      </w:r>
      <w:r>
        <w:t xml:space="preserve"> </w:t>
      </w:r>
      <w:r>
        <w:t xml:space="preserve">3.3 Assessment of the proposed measure</w:t>
      </w:r>
      <w:r>
        <w:t xml:space="preserve"> </w:t>
      </w:r>
      <w:r>
        <w:t xml:space="preserve">Benefits:  Improvements to the presentation of cost information in the PRIIPs KID for MOPs are</w:t>
      </w:r>
      <w:r>
        <w:t xml:space="preserve"> </w:t>
      </w:r>
      <w:r>
        <w:t xml:space="preserve">expected to increase transparency on costs for this segment of retail investment products, where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total costs are particularly challenging to understand. This would directly benefit retail investors,</w:t>
      </w:r>
      <w:r>
        <w:t xml:space="preserve"> </w:t>
      </w:r>
      <w:r>
        <w:t xml:space="preserve">making it easier for them to understand key features of investment products and contribute to</w:t>
      </w:r>
      <w:r>
        <w:t xml:space="preserve"> </w:t>
      </w:r>
      <w:r>
        <w:t xml:space="preserve">making retail disclosures more fit for purpose. Indirectly, this would also contribute to SO3,</w:t>
      </w:r>
      <w:r>
        <w:t xml:space="preserve"> </w:t>
      </w:r>
      <w:r>
        <w:t xml:space="preserve">“Ensure that retail investors are offered cost effective products effective”, as making total costs of</w:t>
      </w:r>
      <w:r>
        <w:t xml:space="preserve"> </w:t>
      </w:r>
      <w:r>
        <w:t xml:space="preserve">MOPs more transparent and easier to compare could increase the pressure on costs of these</w:t>
      </w:r>
      <w:r>
        <w:t xml:space="preserve"> </w:t>
      </w:r>
      <w:r>
        <w:t xml:space="preserve">products. It would also contribute to greater coherence of the PRIIPs framework, levelling the field</w:t>
      </w:r>
      <w:r>
        <w:t xml:space="preserve"> </w:t>
      </w:r>
      <w:r>
        <w:t xml:space="preserve">between MOPs and other products within PRIIPs scope on transparency of costs.</w:t>
      </w:r>
      <w:r>
        <w:br/>
      </w:r>
      <w:r>
        <w:t xml:space="preserve">Costs:  Development of a tool to display total costs of combinations of a wrapper and different</w:t>
      </w:r>
      <w:r>
        <w:t xml:space="preserve"> </w:t>
      </w:r>
      <w:r>
        <w:t xml:space="preserve">options would naturally imply certain one-off costs. These costs would be difficult to estimate and</w:t>
      </w:r>
      <w:r>
        <w:t xml:space="preserve"> </w:t>
      </w:r>
      <w:r>
        <w:t xml:space="preserve">would likely vary between companies, based on the solution selected, their in-house IT resources</w:t>
      </w:r>
      <w:r>
        <w:t xml:space="preserve"> </w:t>
      </w:r>
      <w:r>
        <w:t xml:space="preserve">and other factors. It is likely that such a tool would not need to be very advanced and would likely</w:t>
      </w:r>
      <w:r>
        <w:t xml:space="preserve"> </w:t>
      </w:r>
      <w:r>
        <w:t xml:space="preserve">be similar to other tools that PRIIPs manufacturers already have in place, which would help ensure</w:t>
      </w:r>
      <w:r>
        <w:t xml:space="preserve"> </w:t>
      </w:r>
      <w:r>
        <w:t xml:space="preserve">that costs are reasonable.</w:t>
      </w:r>
      <w:r>
        <w:br/>
      </w:r>
      <w:r>
        <w:t xml:space="preserve">Affected groups of stakeholders:</w:t>
      </w:r>
    </w:p>
    <w:p>
      <w:pPr>
        <w:numPr>
          <w:ilvl w:val="0"/>
          <w:numId w:val="1023"/>
        </w:numPr>
      </w:pPr>
      <w:r>
        <w:t xml:space="preserve">Industry: There would be limited one-off costs related to the development of such online</w:t>
      </w:r>
      <w:r>
        <w:t xml:space="preserve"> </w:t>
      </w:r>
      <w:r>
        <w:t xml:space="preserve">tools (as discussed above). Further economic impacts could materialise in the long run, in</w:t>
      </w:r>
      <w:r>
        <w:t xml:space="preserve"> </w:t>
      </w:r>
      <w:r>
        <w:t xml:space="preserve">case the greater transparency on costs of these products leads to product switching, either</w:t>
      </w:r>
      <w:r>
        <w:t xml:space="preserve"> </w:t>
      </w:r>
      <w:r>
        <w:t xml:space="preserve">towards other MOPs or for instance to UCITS.</w:t>
      </w:r>
    </w:p>
    <w:p>
      <w:pPr>
        <w:numPr>
          <w:ilvl w:val="0"/>
          <w:numId w:val="1023"/>
        </w:numPr>
      </w:pPr>
      <w:r>
        <w:t xml:space="preserve">Consumers: This measure would increase transparency towards consumers with respect to</w:t>
      </w:r>
      <w:r>
        <w:t xml:space="preserve"> </w:t>
      </w:r>
      <w:r>
        <w:t xml:space="preserve">total costs they would pay for MOPs (and possibly finding other characteristics about these</w:t>
      </w:r>
      <w:r>
        <w:t xml:space="preserve"> </w:t>
      </w:r>
      <w:r>
        <w:t xml:space="preserve">products more easily through digital means). Indirectly, this could contribute to making</w:t>
      </w:r>
      <w:r>
        <w:t xml:space="preserve"> </w:t>
      </w:r>
      <w:r>
        <w:t xml:space="preserve">these products cheaper in the long run, as it may encourage product switching.</w:t>
      </w:r>
    </w:p>
    <w:p>
      <w:pPr>
        <w:numPr>
          <w:ilvl w:val="0"/>
          <w:numId w:val="1023"/>
        </w:numPr>
      </w:pPr>
      <w:r>
        <w:t xml:space="preserve">Supervisors: Only negligible impact is expected with respect to resources, as supervisors</w:t>
      </w:r>
      <w:r>
        <w:t xml:space="preserve"> </w:t>
      </w:r>
      <w:r>
        <w:t xml:space="preserve">would only need to somewhat adapt enforcement to check whether the adapted rules are</w:t>
      </w:r>
      <w:r>
        <w:t xml:space="preserve"> </w:t>
      </w:r>
      <w:r>
        <w:t xml:space="preserve">followed. Since the information would be presented digitally and more transparently, it</w:t>
      </w:r>
      <w:r>
        <w:t xml:space="preserve"> </w:t>
      </w:r>
      <w:r>
        <w:t xml:space="preserve">would also be likely somewhat easier to check for the supervisor, effectively increasing</w:t>
      </w:r>
      <w:r>
        <w:t xml:space="preserve"> </w:t>
      </w:r>
      <w:r>
        <w:t xml:space="preserve">oversight over this market segment.</w:t>
      </w:r>
    </w:p>
    <w:p>
      <w:pPr>
        <w:pStyle w:val="FirstParagraph"/>
      </w:pPr>
      <w:r>
        <w:t xml:space="preserve">Stakeholder views: Stakeholder views differ between groups. While the option would appear to be</w:t>
      </w:r>
      <w:r>
        <w:t xml:space="preserve"> </w:t>
      </w:r>
      <w:r>
        <w:t xml:space="preserve">overall supported and notably by supervisors and consumer associations, stakeholders from the</w:t>
      </w:r>
      <w:r>
        <w:t xml:space="preserve"> </w:t>
      </w:r>
      <w:r>
        <w:t xml:space="preserve">insurance sector are more sceptical. Some indicated a preference to keep the status quo (which</w:t>
      </w:r>
      <w:r>
        <w:t xml:space="preserve"> </w:t>
      </w:r>
      <w:r>
        <w:t xml:space="preserve">however seems suboptimal from other perspectives).</w:t>
      </w:r>
      <w:r>
        <w:br/>
      </w:r>
      <w:r>
        <w:t xml:space="preserve">Based on the assessment above, measure C would bring useful benefits and increase coherence</w:t>
      </w:r>
      <w:r>
        <w:t xml:space="preserve"> </w:t>
      </w:r>
      <w:r>
        <w:t xml:space="preserve">within PRIIPs. As such, it has been selected to be part of the preferred option.</w:t>
      </w:r>
      <w:r>
        <w:br/>
      </w:r>
      <w:r>
        <w:t xml:space="preserve">4. Clarification of the scope of PRIIPs regarding corporate bonds and immediate annuities</w:t>
      </w:r>
    </w:p>
    <w:p>
      <w:pPr>
        <w:pStyle w:val="BodyText"/>
      </w:pPr>
      <w:r>
        <w:t xml:space="preserve">4.1 Problem description – corporate bonds</w:t>
      </w:r>
      <w:r>
        <w:t xml:space="preserve"> </w:t>
      </w:r>
      <w:r>
        <w:t xml:space="preserve">Another technical issue that is covered in this annex is the lack of legal clarity over the exclusion</w:t>
      </w:r>
      <w:r>
        <w:t xml:space="preserve"> </w:t>
      </w:r>
      <w:r>
        <w:t xml:space="preserve">of certain types of corporate bond from the scope of PRIIPs, which according to some stakeholders</w:t>
      </w:r>
      <w:r>
        <w:t xml:space="preserve"> </w:t>
      </w:r>
      <w:r>
        <w:t xml:space="preserve">is one of the factors limiting the offer of these instruments towards retail investors.</w:t>
      </w:r>
    </w:p>
    <w:p>
      <w:pPr>
        <w:pStyle w:val="BodyText"/>
      </w:pPr>
      <w:r>
        <w:t xml:space="preserve">Plain corporate bonds (i.e. which are not particularly complex) have a number of advantages that</w:t>
      </w:r>
      <w:r>
        <w:t xml:space="preserve"> </w:t>
      </w:r>
      <w:r>
        <w:t xml:space="preserve">would seem to justify their purchase by retail investors. For example, they are relatively easy for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investors to understand and, compared to equities, corporate bonds issued by the same issuer are</w:t>
      </w:r>
      <w:r>
        <w:t xml:space="preserve"> </w:t>
      </w:r>
      <w:r>
        <w:t xml:space="preserve">considered a less risky form of investment. From the point of view of the issuer, more retail</w:t>
      </w:r>
      <w:r>
        <w:t xml:space="preserve"> </w:t>
      </w:r>
      <w:r>
        <w:t xml:space="preserve">investor participation in corporate bond markets would benefit companies by giving them a more</w:t>
      </w:r>
      <w:r>
        <w:t xml:space="preserve"> </w:t>
      </w:r>
      <w:r>
        <w:t xml:space="preserve">diversified investor base for their funding needs.</w:t>
      </w:r>
    </w:p>
    <w:p>
      <w:pPr>
        <w:pStyle w:val="BodyText"/>
      </w:pPr>
      <w:r>
        <w:t xml:space="preserve">It is therefore unfortunate that there has been a decline in the number of corporate bonds sold to</w:t>
      </w:r>
      <w:r>
        <w:t xml:space="preserve"> </w:t>
      </w:r>
      <w:r>
        <w:t xml:space="preserve">retail investors in the recent years. In a study conducted in 2021 by BaFin, the German national</w:t>
      </w:r>
      <w:r>
        <w:t xml:space="preserve"> </w:t>
      </w:r>
      <w:r>
        <w:t xml:space="preserve">competent supervisor notes an overall decline in the total value of annual corporate bond purchases</w:t>
      </w:r>
      <w:r>
        <w:t xml:space="preserve"> </w:t>
      </w:r>
      <w:r>
        <w:t xml:space="preserve">by retail investors from 4.5 billion Euros in 2016 (which was before the entry into force of PRIIPs</w:t>
      </w:r>
      <w:r>
        <w:t xml:space="preserve"> </w:t>
      </w:r>
      <w:r>
        <w:t xml:space="preserve">on 1 January 2018) to around 2.5 billion Euros in 2019. Other asset classes, such as government</w:t>
      </w:r>
      <w:r>
        <w:t xml:space="preserve"> </w:t>
      </w:r>
      <w:r>
        <w:t xml:space="preserve">bonds or DAX stocks, which are excluded from the application of the PRIIPs Regulation, have not</w:t>
      </w:r>
      <w:r>
        <w:t xml:space="preserve"> </w:t>
      </w:r>
      <w:r>
        <w:t xml:space="preserve">seen such declines.</w:t>
      </w:r>
      <w:r>
        <w:t xml:space="preserve"> </w:t>
      </w:r>
      <w:r>
        <w:t xml:space="preserve">It would appear that there is a link with the requirements of the PRIIPs Regulation, even as plain</w:t>
      </w:r>
      <w:r>
        <w:t xml:space="preserve"> </w:t>
      </w:r>
      <w:r>
        <w:t xml:space="preserve">corporate bonds do not satisfy requirements to be included in the PRIIPs scope257. In 2019 the</w:t>
      </w:r>
      <w:r>
        <w:t xml:space="preserve"> </w:t>
      </w:r>
      <w:r>
        <w:t xml:space="preserve">ESAs observed that: “Uncertainty over the application of the PRIIPs Regulation to bonds, has led</w:t>
      </w:r>
      <w:r>
        <w:t xml:space="preserve"> </w:t>
      </w:r>
      <w:r>
        <w:t xml:space="preserve">to negative consequences for the functioning of bond markets, and access to these markets by retail</w:t>
      </w:r>
      <w:r>
        <w:t xml:space="preserve"> </w:t>
      </w:r>
      <w:r>
        <w:t xml:space="preserve">investors.258”</w:t>
      </w:r>
    </w:p>
    <w:p>
      <w:pPr>
        <w:pStyle w:val="BodyText"/>
      </w:pPr>
      <w:r>
        <w:t xml:space="preserve">The uncertainty was especially linked to bonds with so-called “make-whole clauses”, which is</w:t>
      </w:r>
      <w:r>
        <w:t xml:space="preserve"> </w:t>
      </w:r>
      <w:r>
        <w:t xml:space="preserve">defined in the supervisory statement as “a clause that allows the issuer to pay off the remaining</w:t>
      </w:r>
      <w:r>
        <w:t xml:space="preserve"> </w:t>
      </w:r>
      <w:r>
        <w:t xml:space="preserve">debt early using a reference rate to determine the net present value of future coupon payments that</w:t>
      </w:r>
      <w:r>
        <w:t xml:space="preserve"> </w:t>
      </w:r>
      <w:r>
        <w:t xml:space="preserve">will not be paid”. Because the investor is exposed to a reference rate should the issuer call back</w:t>
      </w:r>
      <w:r>
        <w:t xml:space="preserve"> </w:t>
      </w:r>
      <w:r>
        <w:t xml:space="preserve">the bond, some issuers had interpreted the make-whole clause as meaning that the bond was a</w:t>
      </w:r>
      <w:r>
        <w:t xml:space="preserve"> </w:t>
      </w:r>
      <w:r>
        <w:t xml:space="preserve">PRIIPs, according to criteria 1 in recital (6). However, the Supervisory Statement did not settle the</w:t>
      </w:r>
      <w:r>
        <w:t xml:space="preserve"> </w:t>
      </w:r>
      <w:r>
        <w:t xml:space="preserve">matter of whether bonds with make-whole clauses should be categorised as PRIIPs259. Although</w:t>
      </w:r>
      <w:r>
        <w:t xml:space="preserve"> </w:t>
      </w:r>
      <w:r>
        <w:t xml:space="preserve">NCAs were recommended to apply the guidance when supervising these requirements, this still</w:t>
      </w:r>
      <w:r>
        <w:t xml:space="preserve"> </w:t>
      </w:r>
      <w:r>
        <w:t xml:space="preserve">resulted in significant uncertainty remaining on the market. And as illustrated above, the limited</w:t>
      </w:r>
      <w:r>
        <w:t xml:space="preserve"> </w:t>
      </w:r>
      <w:r>
        <w:t xml:space="preserve">offer of plain corporate bonds to retail investors may be partially explained by this legal clarity</w:t>
      </w:r>
      <w:r>
        <w:t xml:space="preserve"> </w:t>
      </w:r>
      <w:r>
        <w:t xml:space="preserve">issue260.</w:t>
      </w:r>
      <w:r>
        <w:t xml:space="preserve"> </w:t>
      </w:r>
      <w:r>
        <w:t xml:space="preserve">In the Call for Evidence, the ESAs asked for views and experiences regarding the Supervisory</w:t>
      </w:r>
      <w:r>
        <w:t xml:space="preserve"> </w:t>
      </w:r>
      <w:r>
        <w:t xml:space="preserve">Statement. The vast majority of respondents expressed support for the Statement while also stating</w:t>
      </w:r>
      <w:r>
        <w:t xml:space="preserve"> </w:t>
      </w:r>
      <w:r>
        <w:t xml:space="preserve">that there remains legal uncertainty on the application of the PRIIPs Regulation to bonds, given</w:t>
      </w:r>
      <w:r>
        <w:t xml:space="preserve"> </w:t>
      </w:r>
      <w:r>
        <w:t xml:space="preserve">that the Statement is a non-binding measure. Some respondents also argued that a number of</w:t>
      </w:r>
    </w:p>
    <w:p>
      <w:pPr>
        <w:pStyle w:val="BodyText"/>
      </w:pPr>
      <w:r>
        <w:t xml:space="preserve">257 In the PRIIPs Regulation, recital (6) explains that the scope should include “all products, regardless of their form</w:t>
      </w:r>
      <w:r>
        <w:t xml:space="preserve"> </w:t>
      </w:r>
      <w:r>
        <w:t xml:space="preserve">or construction, (…) where: i) the amount repayable to the retail investor is subject to fluctuation because of exposure</w:t>
      </w:r>
      <w:r>
        <w:t xml:space="preserve"> </w:t>
      </w:r>
      <w:r>
        <w:t xml:space="preserve">to reference values, ii) or subject to the performance of one or more assets which are not directly purchased by the</w:t>
      </w:r>
      <w:r>
        <w:t xml:space="preserve"> </w:t>
      </w:r>
      <w:r>
        <w:t xml:space="preserve">retail investor.” Plain corporate bonds do not satisfy either of these requirements, as the repayable amount is fixed (=</w:t>
      </w:r>
      <w:r>
        <w:t xml:space="preserve"> </w:t>
      </w:r>
      <w:r>
        <w:t xml:space="preserve">the coupon and the principal) and the asset (the bond) is held directly by the retail investor.</w:t>
      </w:r>
      <w:r>
        <w:br/>
      </w:r>
      <w:r>
        <w:t xml:space="preserve">258 ESAs: Supervisory Statement on the application of the scope of the PRIIPs Regulation to bonds (JC 2019 6497).</w:t>
      </w:r>
      <w:r>
        <w:t xml:space="preserve"> </w:t>
      </w:r>
      <w:r>
        <w:t xml:space="preserve">259 It concluded that: “The inclusion of a clause that allows the issuer to pay off the remaining debt early using a</w:t>
      </w:r>
      <w:r>
        <w:t xml:space="preserve"> </w:t>
      </w:r>
      <w:r>
        <w:t xml:space="preserve">reference rate to determine the net present value of future coupon payments that will not be paid (i.e. make</w:t>
      </w:r>
      <w:r>
        <w:t xml:space="preserve"> </w:t>
      </w:r>
      <w:r>
        <w:t xml:space="preserve">whole) is expected to mean that the amount repayable to the retail investor is subject to fluctuations because of</w:t>
      </w:r>
      <w:r>
        <w:t xml:space="preserve"> </w:t>
      </w:r>
      <w:r>
        <w:t xml:space="preserve">exposure to reference values. However, where the mechanism to calculate the discount rate is known in advance</w:t>
      </w:r>
      <w:r>
        <w:t xml:space="preserve"> </w:t>
      </w:r>
      <w:r>
        <w:t xml:space="preserve">to the retail investor, this could be considered as a separate case, which does not satisfy the criteria in Article 4(1).</w:t>
      </w:r>
      <w:r>
        <w:t xml:space="preserve"> </w:t>
      </w:r>
      <w:r>
        <w:t xml:space="preserve">Therefore, not all callable bonds are considered to be in scope, but some are expected to be on the basis of the</w:t>
      </w:r>
      <w:r>
        <w:t xml:space="preserve"> </w:t>
      </w:r>
      <w:r>
        <w:t xml:space="preserve">specific “callable” feature, as well as depending on the other contractual features of the bond.”</w:t>
      </w:r>
      <w:r>
        <w:t xml:space="preserve"> </w:t>
      </w:r>
      <w:r>
        <w:t xml:space="preserve">260 Other factors are likely involved as well, such as typical higher amounts needed for an investment or low</w:t>
      </w:r>
      <w:r>
        <w:t xml:space="preserve"> </w:t>
      </w:r>
      <w:r>
        <w:t xml:space="preserve">liquidity of such bonds in secondary markets, but these are outside the remit of PRIIPs and the Retail investment</w:t>
      </w:r>
      <w:r>
        <w:t xml:space="preserve"> </w:t>
      </w:r>
      <w:r>
        <w:t xml:space="preserve">strategy more broadly.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additional features of bonds, in particular “make-whole” clauses, should not result in a bond being</w:t>
      </w:r>
      <w:r>
        <w:t xml:space="preserve"> </w:t>
      </w:r>
      <w:r>
        <w:t xml:space="preserve">deemed a PRIIP. As a result, plain vanilla corporate bonds are still hard to access for retail</w:t>
      </w:r>
      <w:r>
        <w:t xml:space="preserve"> </w:t>
      </w:r>
      <w:r>
        <w:t xml:space="preserve">investors since it has not been fully clarified that these financial products are not considered as</w:t>
      </w:r>
      <w:r>
        <w:t xml:space="preserve"> </w:t>
      </w:r>
      <w:r>
        <w:t xml:space="preserve">“packaged” retail investment products (PRIIPs). Consequently, these bonds cannot be purchased</w:t>
      </w:r>
      <w:r>
        <w:t xml:space="preserve"> </w:t>
      </w:r>
      <w:r>
        <w:t xml:space="preserve">by retail investors unless the issuer of the bond publishes a KID.</w:t>
      </w:r>
      <w:r>
        <w:br/>
      </w:r>
      <w:r>
        <w:t xml:space="preserve">Apart from retail investors, stakeholders particularly affected are:</w:t>
      </w:r>
      <w:r>
        <w:t xml:space="preserve"> </w:t>
      </w:r>
      <w:r>
        <w:t xml:space="preserve">1. Non-European firms which do not explicitly market their bonds to European retail investors and</w:t>
      </w:r>
      <w:r>
        <w:t xml:space="preserve"> </w:t>
      </w:r>
      <w:r>
        <w:t xml:space="preserve">therefore do not publish a KID in Europe, or</w:t>
      </w:r>
      <w:r>
        <w:t xml:space="preserve"> </w:t>
      </w:r>
      <w:r>
        <w:t xml:space="preserve">2. European firms that do not want to take the risk associated with the publication of a KID. The</w:t>
      </w:r>
      <w:r>
        <w:t xml:space="preserve"> </w:t>
      </w:r>
      <w:r>
        <w:t xml:space="preserve">industry standard is that issuers sell their bonds to their bank consortium and have no further</w:t>
      </w:r>
      <w:r>
        <w:t xml:space="preserve"> </w:t>
      </w:r>
      <w:r>
        <w:t xml:space="preserve">interest in the reselling of these bonds by the banks, in particular to retail investors. It would</w:t>
      </w:r>
      <w:r>
        <w:t xml:space="preserve"> </w:t>
      </w:r>
      <w:r>
        <w:t xml:space="preserve">therefore seem that the entities most disadvantaged by this situation are the banks that resell the</w:t>
      </w:r>
      <w:r>
        <w:t xml:space="preserve"> </w:t>
      </w:r>
      <w:r>
        <w:t xml:space="preserve">corporate bonds.</w:t>
      </w:r>
    </w:p>
    <w:p>
      <w:pPr>
        <w:pStyle w:val="BodyText"/>
      </w:pPr>
      <w:r>
        <w:t xml:space="preserve">4.2 Problem description – immediate annuities</w:t>
      </w:r>
      <w:r>
        <w:t xml:space="preserve"> </w:t>
      </w:r>
      <w:r>
        <w:t xml:space="preserve">There is also an issue with the legal clarity concerning inclusion or exclusion of immediate</w:t>
      </w:r>
      <w:r>
        <w:t xml:space="preserve"> </w:t>
      </w:r>
      <w:r>
        <w:t xml:space="preserve">annuities in the PRIIPs scope. Annuities are products which pay a monthly income for a certain</w:t>
      </w:r>
      <w:r>
        <w:t xml:space="preserve"> </w:t>
      </w:r>
      <w:r>
        <w:t xml:space="preserve">period of time based on an existing lump sum. Within this product space, immediate annuities are</w:t>
      </w:r>
      <w:r>
        <w:t xml:space="preserve"> </w:t>
      </w:r>
      <w:r>
        <w:t xml:space="preserve">retirement products without a saving or accumulation component which considerably reduces risks</w:t>
      </w:r>
      <w:r>
        <w:t xml:space="preserve"> </w:t>
      </w:r>
      <w:r>
        <w:t xml:space="preserve">to retail investors. There is a problem with inconsistent treatment of these products with regards</w:t>
      </w:r>
      <w:r>
        <w:t xml:space="preserve"> </w:t>
      </w:r>
      <w:r>
        <w:t xml:space="preserve">to PRIIPs scope across the Union, with only several Member States considering them to fall within</w:t>
      </w:r>
      <w:r>
        <w:t xml:space="preserve"> </w:t>
      </w:r>
      <w:r>
        <w:t xml:space="preserve">the scope of the PRIIPs Regulation. The Joint Committee of the ESAs has recommended to</w:t>
      </w:r>
      <w:r>
        <w:t xml:space="preserve"> </w:t>
      </w:r>
      <w:r>
        <w:t xml:space="preserve">explicitly exclude these products from the scope.</w:t>
      </w:r>
    </w:p>
    <w:p>
      <w:pPr>
        <w:pStyle w:val="BodyText"/>
      </w:pPr>
      <w:r>
        <w:t xml:space="preserve">4.3. Proposed measure</w:t>
      </w:r>
      <w:r>
        <w:br/>
      </w:r>
      <w:r>
        <w:t xml:space="preserve">Proposed measure D: Amending the scope of PRIIPs to explicitly exclude bonds with make-</w:t>
      </w:r>
      <w:r>
        <w:t xml:space="preserve"> </w:t>
      </w:r>
      <w:r>
        <w:t xml:space="preserve">whole clauses and immediate annuities</w:t>
      </w:r>
    </w:p>
    <w:p>
      <w:pPr>
        <w:pStyle w:val="BodyText"/>
      </w:pPr>
      <w:r>
        <w:t xml:space="preserve">This option would clarify the scope of PRIIPs at L1 to explicitly exclude bonds with make-whole</w:t>
      </w:r>
      <w:r>
        <w:t xml:space="preserve"> </w:t>
      </w:r>
      <w:r>
        <w:t xml:space="preserve">clauses. Given that make whole clauses are a mechanism that allows the manufacturer to end the</w:t>
      </w:r>
      <w:r>
        <w:t xml:space="preserve"> </w:t>
      </w:r>
      <w:r>
        <w:t xml:space="preserve">product early without detriment to the investor, it may be argued that this is not the type of structure</w:t>
      </w:r>
      <w:r>
        <w:t xml:space="preserve"> </w:t>
      </w:r>
      <w:r>
        <w:t xml:space="preserve">that was originally intended to be captured by the PRIIPs Regulation. The amendment would hence</w:t>
      </w:r>
      <w:r>
        <w:t xml:space="preserve"> </w:t>
      </w:r>
      <w:r>
        <w:t xml:space="preserve">correct this with the aim to increase legal clarity and access of retail investors to corporate bonds.</w:t>
      </w:r>
      <w:r>
        <w:t xml:space="preserve"> </w:t>
      </w:r>
      <w:r>
        <w:t xml:space="preserve">In their Supervisory Statement, the ESAs defined such clauses as ‘the inclusion of a clause that</w:t>
      </w:r>
      <w:r>
        <w:t xml:space="preserve"> </w:t>
      </w:r>
      <w:r>
        <w:t xml:space="preserve">allows the issuer to pay off the remaining debt early using a reference rate to determine the net</w:t>
      </w:r>
      <w:r>
        <w:t xml:space="preserve"> </w:t>
      </w:r>
      <w:r>
        <w:t xml:space="preserve">present value of future coupon payments that will not be paid’. A relevant criterion was considered</w:t>
      </w:r>
      <w:r>
        <w:t xml:space="preserve"> </w:t>
      </w:r>
      <w:r>
        <w:t xml:space="preserve">to be whether the mechanism to calculate the discount rate is known in advance to the retail</w:t>
      </w:r>
      <w:r>
        <w:t xml:space="preserve"> </w:t>
      </w:r>
      <w:r>
        <w:t xml:space="preserve">investor. In the meantime, a similar definition of “make-whole clause” has been introduced into</w:t>
      </w:r>
      <w:r>
        <w:t xml:space="preserve"> </w:t>
      </w:r>
      <w:r>
        <w:t xml:space="preserve">MiFID II as follows: “make-whole clause” means a clause that aims to protect the investor by</w:t>
      </w:r>
      <w:r>
        <w:t xml:space="preserve"> </w:t>
      </w:r>
      <w:r>
        <w:t xml:space="preserve">ensuring that, in the event of early redemption of a bond, the issuer is required to pay to the</w:t>
      </w:r>
      <w:r>
        <w:t xml:space="preserve"> </w:t>
      </w:r>
      <w:r>
        <w:t xml:space="preserve">investor holding the bond an amount equal to the sum of the net present value of the remaining</w:t>
      </w:r>
      <w:r>
        <w:t xml:space="preserve"> </w:t>
      </w:r>
      <w:r>
        <w:t xml:space="preserve">coupon payments expected until maturity and the principal amount of the bond to be redeemed;’</w:t>
      </w:r>
      <w:r>
        <w:t xml:space="preserve"> </w:t>
      </w:r>
      <w:r>
        <w:t xml:space="preserve">ESMA also recommended exclusion of immediate annuities from the PRIIPs scope.</w:t>
      </w:r>
      <w:r>
        <w:t xml:space="preserve"> </w:t>
      </w:r>
      <w:r>
        <w:t xml:space="preserve">This definition could also be used to identify such clauses in the context of PRIIPs.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4.4 Assessment of the proposed measures</w:t>
      </w:r>
      <w:r>
        <w:t xml:space="preserve"> </w:t>
      </w:r>
      <w:r>
        <w:t xml:space="preserve">Benefits: </w:t>
      </w:r>
      <w:r>
        <w:br/>
      </w:r>
      <w:r>
        <w:t xml:space="preserve">Clarifying the product-scope of PRIIPs to exclude certain corporate bonds would potentially</w:t>
      </w:r>
      <w:r>
        <w:t xml:space="preserve"> </w:t>
      </w:r>
      <w:r>
        <w:t xml:space="preserve">encourage more banks to resell corporate bonds to retail investors. This could potentially increase</w:t>
      </w:r>
      <w:r>
        <w:t xml:space="preserve"> </w:t>
      </w:r>
      <w:r>
        <w:t xml:space="preserve">retail investor access to wholesale capital markets and encourage corporate issuers to target retail</w:t>
      </w:r>
      <w:r>
        <w:t xml:space="preserve"> </w:t>
      </w:r>
      <w:r>
        <w:t xml:space="preserve">investors. For corporate bonds for which PRIIPs KIDs are produced today, in certain cases PRIIPs</w:t>
      </w:r>
      <w:r>
        <w:t xml:space="preserve"> </w:t>
      </w:r>
      <w:r>
        <w:t xml:space="preserve">KIDs would no longer have to be produced and updated, which would lead to cost savings. The</w:t>
      </w:r>
      <w:r>
        <w:t xml:space="preserve"> </w:t>
      </w:r>
      <w:r>
        <w:t xml:space="preserve">magnitude of these savings is difficult to assess and is likely relatively small. The exclusion of</w:t>
      </w:r>
      <w:r>
        <w:t xml:space="preserve"> </w:t>
      </w:r>
      <w:r>
        <w:t xml:space="preserve">immediate annuities (without an accumulation phase) would promote a more harmonised</w:t>
      </w:r>
      <w:r>
        <w:t xml:space="preserve"> </w:t>
      </w:r>
      <w:r>
        <w:t xml:space="preserve">treatment of these products across the Union and could also positively impact their offer to retail</w:t>
      </w:r>
      <w:r>
        <w:t xml:space="preserve"> </w:t>
      </w:r>
      <w:r>
        <w:t xml:space="preserve">investors. This, together with possible further smaller clarifications in the legal text, would also</w:t>
      </w:r>
      <w:r>
        <w:t xml:space="preserve"> </w:t>
      </w:r>
      <w:r>
        <w:t xml:space="preserve">improve legal clarity and would imply some savings on legal advice.</w:t>
      </w:r>
    </w:p>
    <w:p>
      <w:pPr>
        <w:pStyle w:val="BodyText"/>
      </w:pPr>
      <w:r>
        <w:t xml:space="preserve">Costs: </w:t>
      </w:r>
      <w:r>
        <w:br/>
      </w:r>
      <w:r>
        <w:t xml:space="preserve">By explicitly removing corporate bonds with make-whole clauses from the scope of PRIIPs, there</w:t>
      </w:r>
      <w:r>
        <w:t xml:space="preserve"> </w:t>
      </w:r>
      <w:r>
        <w:t xml:space="preserve">may be some cases where retail investors will not properly understand or not be able to properly</w:t>
      </w:r>
      <w:r>
        <w:t xml:space="preserve"> </w:t>
      </w:r>
      <w:r>
        <w:t xml:space="preserve">compare the attributes of one corporate bond with another, because they do not benefit from the</w:t>
      </w:r>
      <w:r>
        <w:t xml:space="preserve"> </w:t>
      </w:r>
      <w:r>
        <w:t xml:space="preserve">short, simple, and standardised disclosures of a PRIIPs KID. This may increase costs for retail</w:t>
      </w:r>
      <w:r>
        <w:t xml:space="preserve"> </w:t>
      </w:r>
      <w:r>
        <w:t xml:space="preserve">investors to locate the best investment proposition for their needs, and in a worst case could lead</w:t>
      </w:r>
      <w:r>
        <w:t xml:space="preserve"> </w:t>
      </w:r>
      <w:r>
        <w:t xml:space="preserve">to instances of mis-selling. But this risk is expected to be proportionately rather small.</w:t>
      </w:r>
    </w:p>
    <w:p>
      <w:pPr>
        <w:pStyle w:val="BodyText"/>
      </w:pPr>
      <w:r>
        <w:t xml:space="preserve">Affected groups of stakeholders:</w:t>
      </w:r>
    </w:p>
    <w:p>
      <w:pPr>
        <w:numPr>
          <w:ilvl w:val="0"/>
          <w:numId w:val="1024"/>
        </w:numPr>
      </w:pPr>
      <w:r>
        <w:t xml:space="preserve">Industry: this measure would benefit the banks that resell corporate bonds and to a certain</w:t>
      </w:r>
      <w:r>
        <w:t xml:space="preserve"> </w:t>
      </w:r>
      <w:r>
        <w:t xml:space="preserve">also the issuers of corporate bonds by potentially helping them reach a more diverse set of</w:t>
      </w:r>
      <w:r>
        <w:t xml:space="preserve"> </w:t>
      </w:r>
      <w:r>
        <w:t xml:space="preserve">investors, as detailed above.</w:t>
      </w:r>
    </w:p>
    <w:p>
      <w:pPr>
        <w:numPr>
          <w:ilvl w:val="0"/>
          <w:numId w:val="1024"/>
        </w:numPr>
      </w:pPr>
      <w:r>
        <w:t xml:space="preserve">Consumers; as mentioned above, retail investors may benefit from better access to</w:t>
      </w:r>
      <w:r>
        <w:t xml:space="preserve"> </w:t>
      </w:r>
      <w:r>
        <w:t xml:space="preserve">wholesale capital markets, but would also have less access to useful disclosures.</w:t>
      </w:r>
    </w:p>
    <w:p>
      <w:pPr>
        <w:numPr>
          <w:ilvl w:val="0"/>
          <w:numId w:val="1024"/>
        </w:numPr>
      </w:pPr>
      <w:r>
        <w:t xml:space="preserve">Supervisors: this measure would aim to align supervisory practices across the EU by</w:t>
      </w:r>
      <w:r>
        <w:t xml:space="preserve"> </w:t>
      </w:r>
      <w:r>
        <w:t xml:space="preserve">providing more clarity on how to apply the PRIIPs Regulation in the case of corporate</w:t>
      </w:r>
      <w:r>
        <w:t xml:space="preserve"> </w:t>
      </w:r>
      <w:r>
        <w:t xml:space="preserve">bonds. This could save some work for supervisors in the long run.</w:t>
      </w:r>
    </w:p>
    <w:p>
      <w:pPr>
        <w:pStyle w:val="FirstParagraph"/>
      </w:pPr>
      <w:r>
        <w:t xml:space="preserve">Stakeholder views: consumer organisations are not in favour of removing products such as</w:t>
      </w:r>
      <w:r>
        <w:t xml:space="preserve"> </w:t>
      </w:r>
      <w:r>
        <w:t xml:space="preserve">corporate bonds with a make-whole clause (or any other bonds) or immediate annuities from the</w:t>
      </w:r>
      <w:r>
        <w:t xml:space="preserve"> </w:t>
      </w:r>
      <w:r>
        <w:t xml:space="preserve">scope of the PRIIPs Regulation. They tend to support increasing the scope of PRIIPs to include</w:t>
      </w:r>
      <w:r>
        <w:t xml:space="preserve"> </w:t>
      </w:r>
      <w:r>
        <w:t xml:space="preserve">more products, including pension products. The option is however generally supported by the</w:t>
      </w:r>
      <w:r>
        <w:t xml:space="preserve"> </w:t>
      </w:r>
      <w:r>
        <w:t xml:space="preserve">financial industry and some supervisors.</w:t>
      </w:r>
    </w:p>
    <w:p>
      <w:pPr>
        <w:pStyle w:val="BodyText"/>
      </w:pPr>
      <w:r>
        <w:t xml:space="preserve">Based on the assessment above, measure D has been selected to be part of the preferred option.</w:t>
      </w:r>
    </w:p>
    <w:p>
      <w:pPr>
        <w:pStyle w:val="BodyText"/>
      </w:pPr>
      <w:r>
        <w:t xml:space="preserve">Measures relating to MiFID and IDD</w:t>
      </w:r>
      <w:r>
        <w:t xml:space="preserve"> </w:t>
      </w:r>
      <w:r>
        <w:t xml:space="preserve">5. Annual statements on costs and performance</w:t>
      </w:r>
    </w:p>
    <w:p>
      <w:pPr>
        <w:pStyle w:val="BodyText"/>
      </w:pPr>
      <w:r>
        <w:t xml:space="preserve">5.1 Problem description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Both MiFID II and IDD261 require that, where applicable, investors shall be provided with</w:t>
      </w:r>
      <w:r>
        <w:t xml:space="preserve"> </w:t>
      </w:r>
      <w:r>
        <w:t xml:space="preserve">information on all costs and charges on a regular basis, at least annually, during the life of the</w:t>
      </w:r>
      <w:r>
        <w:t xml:space="preserve"> </w:t>
      </w:r>
      <w:r>
        <w:t xml:space="preserve">investment.</w:t>
      </w:r>
    </w:p>
    <w:p>
      <w:pPr>
        <w:pStyle w:val="BodyText"/>
      </w:pPr>
      <w:r>
        <w:t xml:space="preserve">The requirements under MiFID II are further specified in Delegated Regulation (EU) 2017/565262</w:t>
      </w:r>
      <w:r>
        <w:t xml:space="preserve"> </w:t>
      </w:r>
      <w:r>
        <w:t xml:space="preserve">which clarifies that “investment firms shall provide annual ex-post information about all costs and</w:t>
      </w:r>
      <w:r>
        <w:t xml:space="preserve"> </w:t>
      </w:r>
      <w:r>
        <w:t xml:space="preserve">charges related to both the financial instrument(s) and investment and ancillary service(s) where</w:t>
      </w:r>
      <w:r>
        <w:t xml:space="preserve"> </w:t>
      </w:r>
      <w:r>
        <w:t xml:space="preserve">they have recommended or marketed the financial instrument(s) or where they have provided the</w:t>
      </w:r>
      <w:r>
        <w:t xml:space="preserve"> </w:t>
      </w:r>
      <w:r>
        <w:t xml:space="preserve">client with the KID/KIID in relation to the financial instrument(s) and they have or have had an</w:t>
      </w:r>
      <w:r>
        <w:t xml:space="preserve"> </w:t>
      </w:r>
      <w:r>
        <w:t xml:space="preserve">ongoing relationship with the client during the year. Such information shall be based on costs</w:t>
      </w:r>
      <w:r>
        <w:t xml:space="preserve"> </w:t>
      </w:r>
      <w:r>
        <w:t xml:space="preserve">incurred and shall be provided on a personalised basis.” Specific rules also exist in respect of</w:t>
      </w:r>
      <w:r>
        <w:t xml:space="preserve"> </w:t>
      </w:r>
      <w:r>
        <w:t xml:space="preserve">portfolio management services which include a comprehensive list of information to be provided</w:t>
      </w:r>
      <w:r>
        <w:t xml:space="preserve"> </w:t>
      </w:r>
      <w:r>
        <w:t xml:space="preserve">to all clients periodically263.</w:t>
      </w:r>
    </w:p>
    <w:p>
      <w:pPr>
        <w:pStyle w:val="BodyText"/>
      </w:pPr>
      <w:r>
        <w:t xml:space="preserve">Except in the case of portfolio management services, this means that the annual costs and charges</w:t>
      </w:r>
      <w:r>
        <w:t xml:space="preserve"> </w:t>
      </w:r>
      <w:r>
        <w:t xml:space="preserve">disclosure requirement only applies if several conditions are met and in particular where there is</w:t>
      </w:r>
      <w:r>
        <w:t xml:space="preserve"> </w:t>
      </w:r>
      <w:r>
        <w:t xml:space="preserve">an “on-going relationship” between the investor and the investment firm or the insurance</w:t>
      </w:r>
      <w:r>
        <w:t xml:space="preserve"> </w:t>
      </w:r>
      <w:r>
        <w:t xml:space="preserve">distributor. As the notion of on-going relationship is not defined in the Directives, ESMA clarified</w:t>
      </w:r>
      <w:r>
        <w:t xml:space="preserve"> </w:t>
      </w:r>
      <w:r>
        <w:t xml:space="preserve">this notion by publishing Q&amp;A264 with a non-exhaustive and non-cumulative list of on-going</w:t>
      </w:r>
      <w:r>
        <w:t xml:space="preserve"> </w:t>
      </w:r>
      <w:r>
        <w:t xml:space="preserve">relationships. Despite such clarifications, the notion of on-going relationship remains subject to</w:t>
      </w:r>
      <w:r>
        <w:t xml:space="preserve"> </w:t>
      </w:r>
      <w:r>
        <w:t xml:space="preserve">interpretation when used in the context of the ex-post annual costs statement. In situations where</w:t>
      </w:r>
      <w:r>
        <w:t xml:space="preserve"> </w:t>
      </w:r>
      <w:r>
        <w:t xml:space="preserve">this condition is considered not to be met, some retail investors are prevented from receiving an</w:t>
      </w:r>
      <w:r>
        <w:t xml:space="preserve"> </w:t>
      </w:r>
      <w:r>
        <w:t xml:space="preserve">annual statement on costs and charges linked to the financial products they hold.</w:t>
      </w:r>
    </w:p>
    <w:p>
      <w:pPr>
        <w:pStyle w:val="BodyText"/>
      </w:pPr>
      <w:r>
        <w:t xml:space="preserve">In addition, except in the case of portfolio management services, there is no obligation to provide</w:t>
      </w:r>
      <w:r>
        <w:t xml:space="preserve"> </w:t>
      </w:r>
      <w:r>
        <w:t xml:space="preserve">retail investors with an annual report on the performance of their financial instruments. The</w:t>
      </w:r>
      <w:r>
        <w:t xml:space="preserve"> </w:t>
      </w:r>
      <w:r>
        <w:t xml:space="preserve">obligation under MiFID II that requires investment firms that hold client financial instruments or</w:t>
      </w:r>
      <w:r>
        <w:t xml:space="preserve"> </w:t>
      </w:r>
      <w:r>
        <w:t xml:space="preserve">clients’ funds to send them at least on a quarterly basis265 or in another periodic statement266, a</w:t>
      </w:r>
      <w:r>
        <w:t xml:space="preserve"> </w:t>
      </w:r>
      <w:r>
        <w:t xml:space="preserve">statement of those financial instruments or funds, but does not include any obligation to include</w:t>
      </w:r>
      <w:r>
        <w:t xml:space="preserve"> </w:t>
      </w:r>
      <w:r>
        <w:t xml:space="preserve">information on performance267 or on costs and charges. The same is true for the regular cost</w:t>
      </w:r>
      <w:r>
        <w:t xml:space="preserve"> </w:t>
      </w:r>
      <w:r>
        <w:t xml:space="preserve">information under IDD. Even if some distributors nonetheless provide, on a voluntary basis, such</w:t>
      </w:r>
      <w:r>
        <w:t xml:space="preserve"> </w:t>
      </w:r>
      <w:r>
        <w:t xml:space="preserve">information, the lack of legal requirement to do so leaves many retail investors without this very</w:t>
      </w:r>
    </w:p>
    <w:p>
      <w:pPr>
        <w:pStyle w:val="BodyText"/>
      </w:pPr>
      <w:r>
        <w:t xml:space="preserve">261 Article 24.4, last paragraph MiFID II and Directive 2011/61/EU and article 29(1) 3rd subparagraph IDD.</w:t>
      </w:r>
      <w:r>
        <w:t xml:space="preserve"> </w:t>
      </w:r>
      <w:r>
        <w:t xml:space="preserve">262 Article 50.9 of Delegated Regulation (EU) 2017/565.</w:t>
      </w:r>
      <w:r>
        <w:t xml:space="preserve"> </w:t>
      </w:r>
      <w:r>
        <w:t xml:space="preserve">263 Articles 60 and 62 of Delegated Regulation (EU) 2017/565.</w:t>
      </w:r>
      <w:r>
        <w:t xml:space="preserve"> </w:t>
      </w:r>
      <w:r>
        <w:t xml:space="preserve">264 ESMA Q&amp;A on MIFID II and MIFIR investor protection and intermediaries’ topics, section 15, Other issues,</w:t>
      </w:r>
      <w:r>
        <w:t xml:space="preserve"> </w:t>
      </w:r>
      <w:r>
        <w:t xml:space="preserve">Question 1, answer 1.</w:t>
      </w:r>
      <w:r>
        <w:t xml:space="preserve"> </w:t>
      </w:r>
      <w:r>
        <w:t xml:space="preserve">265 Article 63.1 of Delegated Regulation (EU) 2017/565.</w:t>
      </w:r>
      <w:r>
        <w:t xml:space="preserve"> </w:t>
      </w:r>
      <w:r>
        <w:t xml:space="preserve">266 Article 63.2, last paragraph of Delegated Regulation (EU) 2017/565: there is however not obligation to provide</w:t>
      </w:r>
      <w:r>
        <w:t xml:space="preserve"> </w:t>
      </w:r>
      <w:r>
        <w:t xml:space="preserve">such periodic statement “where the investment firm provides its clients with access to an online system, which</w:t>
      </w:r>
      <w:r>
        <w:t xml:space="preserve"> </w:t>
      </w:r>
      <w:r>
        <w:t xml:space="preserve">qualifies as a durable medium, where up-to-date statements of client’s financial instruments or funds can be easily</w:t>
      </w:r>
      <w:r>
        <w:t xml:space="preserve"> </w:t>
      </w:r>
      <w:r>
        <w:t xml:space="preserve">accessed by the client and the firm has evidenced that the client has accessed this statement at least once during</w:t>
      </w:r>
      <w:r>
        <w:t xml:space="preserve"> </w:t>
      </w:r>
      <w:r>
        <w:t xml:space="preserve">the relevant quarter”.</w:t>
      </w:r>
      <w:r>
        <w:t xml:space="preserve"> </w:t>
      </w:r>
      <w:r>
        <w:t xml:space="preserve">267 Article 63.2 (f) of delegated regulation (EU) 2017/565 requires only to mention in the statement of client assets</w:t>
      </w:r>
      <w:r>
        <w:t xml:space="preserve"> </w:t>
      </w:r>
      <w:r>
        <w:t xml:space="preserve">the ”market or estimated value, when the market value is not available, of the financial instruments included in</w:t>
      </w:r>
      <w:r>
        <w:t xml:space="preserve"> </w:t>
      </w:r>
      <w:r>
        <w:t xml:space="preserve">the statement with a clear indication of the fact that the absence of a market price is likely to be indicative of a</w:t>
      </w:r>
      <w:r>
        <w:t xml:space="preserve"> </w:t>
      </w:r>
      <w:r>
        <w:t xml:space="preserve">lack of liquidity. The evaluation of the estimated value shall be performed by the firm on a best effort basis”.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useful information. Without a complete annual report, covering the different elements necessary</w:t>
      </w:r>
      <w:r>
        <w:t xml:space="preserve"> </w:t>
      </w:r>
      <w:r>
        <w:t xml:space="preserve">to assess the effective performance of their financial products, many retail clients do not have a</w:t>
      </w:r>
      <w:r>
        <w:t xml:space="preserve"> </w:t>
      </w:r>
      <w:r>
        <w:t xml:space="preserve">comprehensive view on their portfolio’s performance which would enable them to consider the</w:t>
      </w:r>
      <w:r>
        <w:t xml:space="preserve"> </w:t>
      </w:r>
      <w:r>
        <w:t xml:space="preserve">quality of their investments and investment services and to assess any need to adjust in order to</w:t>
      </w:r>
      <w:r>
        <w:t xml:space="preserve"> </w:t>
      </w:r>
      <w:r>
        <w:t xml:space="preserve">achieve a better outcome.</w:t>
      </w:r>
      <w:r>
        <w:br/>
      </w:r>
      <w:r>
        <w:t xml:space="preserve">While mandatory annual updates on the development and performance of an investment are only</w:t>
      </w:r>
      <w:r>
        <w:t xml:space="preserve"> </w:t>
      </w:r>
      <w:r>
        <w:t xml:space="preserve">provided for pension products, in the form of the Pension Benefit Statement under the IORP II</w:t>
      </w:r>
      <w:r>
        <w:t xml:space="preserve"> </w:t>
      </w:r>
      <w:r>
        <w:t xml:space="preserve">Directive268 and the PEPP Benefit Statement under the PEPP Regulation269, at national level,</w:t>
      </w:r>
      <w:r>
        <w:t xml:space="preserve"> </w:t>
      </w:r>
      <w:r>
        <w:t xml:space="preserve">several Member States have introduced periodic disclosure requirements for life insurance</w:t>
      </w:r>
      <w:r>
        <w:t xml:space="preserve"> </w:t>
      </w:r>
      <w:r>
        <w:t xml:space="preserve">products or insurance-based investment products.270</w:t>
      </w:r>
      <w:r>
        <w:t xml:space="preserve"> </w:t>
      </w:r>
      <w:r>
        <w:t xml:space="preserve">In the EIOPA advice on retail investor protection, EIOPA specifically recommended the</w:t>
      </w:r>
      <w:r>
        <w:t xml:space="preserve"> </w:t>
      </w:r>
      <w:r>
        <w:t xml:space="preserve">development of an annual statement in the IDD that would be similar to the Pension Benefit</w:t>
      </w:r>
      <w:r>
        <w:t xml:space="preserve"> </w:t>
      </w:r>
      <w:r>
        <w:t xml:space="preserve">Statement for IORPs and PEPPs. The introduction of such a statement appears particularly</w:t>
      </w:r>
      <w:r>
        <w:t xml:space="preserve"> </w:t>
      </w:r>
      <w:r>
        <w:t xml:space="preserve">appropriate in the case of IBIPs, as IBIPs are long-term structured products which are very often</w:t>
      </w:r>
      <w:r>
        <w:t xml:space="preserve"> </w:t>
      </w:r>
      <w:r>
        <w:t xml:space="preserve">purchased as an alternative or a complement to pension products. In view of this functional</w:t>
      </w:r>
      <w:r>
        <w:t xml:space="preserve"> </w:t>
      </w:r>
      <w:r>
        <w:t xml:space="preserve">equivalence with pension products, EIOPA recommended that the content of the annual statement</w:t>
      </w:r>
      <w:r>
        <w:t xml:space="preserve"> </w:t>
      </w:r>
      <w:r>
        <w:t xml:space="preserve">should to a large extent be similar to that of the Pension Benefit Statements. It proposed in</w:t>
      </w:r>
      <w:r>
        <w:t xml:space="preserve"> </w:t>
      </w:r>
      <w:r>
        <w:t xml:space="preserve">particular to include adjusted individualised projections as important information for investors to</w:t>
      </w:r>
      <w:r>
        <w:t xml:space="preserve"> </w:t>
      </w:r>
      <w:r>
        <w:t xml:space="preserve">take into account when considering if they are on track to meet their aims for retirement saving or</w:t>
      </w:r>
      <w:r>
        <w:t xml:space="preserve"> </w:t>
      </w:r>
      <w:r>
        <w:t xml:space="preserve">other long-term savings objectives.</w:t>
      </w:r>
      <w:r>
        <w:t xml:space="preserve"> </w:t>
      </w:r>
      <w:r>
        <w:t xml:space="preserve">5.2 Proposed measures</w:t>
      </w:r>
      <w:r>
        <w:br/>
      </w:r>
      <w:r>
        <w:t xml:space="preserve">Proposed measure E: Introduction of annual statements on costs and performance</w:t>
      </w:r>
    </w:p>
    <w:p>
      <w:pPr>
        <w:pStyle w:val="BodyText"/>
      </w:pPr>
      <w:r>
        <w:t xml:space="preserve">In order to ensure that all retail investors get, at least on an annual basis and regardless of their</w:t>
      </w:r>
      <w:r>
        <w:t xml:space="preserve"> </w:t>
      </w:r>
      <w:r>
        <w:t xml:space="preserve">relationship with their financial intermediary, the necessary information to evaluate the costs and</w:t>
      </w:r>
      <w:r>
        <w:t xml:space="preserve"> </w:t>
      </w:r>
      <w:r>
        <w:t xml:space="preserve">performance of their portfolio, an obligation would be introduced for investment firms and</w:t>
      </w:r>
      <w:r>
        <w:t xml:space="preserve"> </w:t>
      </w:r>
      <w:r>
        <w:t xml:space="preserve">insurance undertakings to present an annual statement on costs and performance to all retail clients</w:t>
      </w:r>
      <w:r>
        <w:t xml:space="preserve"> </w:t>
      </w:r>
      <w:r>
        <w:t xml:space="preserve">in a way which would allow them to easily appreciate the costs and charges paid and the effective</w:t>
      </w:r>
      <w:r>
        <w:t xml:space="preserve"> </w:t>
      </w:r>
      <w:r>
        <w:t xml:space="preserve">performance of their financial products.</w:t>
      </w:r>
    </w:p>
    <w:p>
      <w:pPr>
        <w:pStyle w:val="BodyText"/>
      </w:pPr>
      <w:r>
        <w:t xml:space="preserve">This obligation would be introduced at Level 1, requiring investment firms and insurance</w:t>
      </w:r>
      <w:r>
        <w:t xml:space="preserve"> </w:t>
      </w:r>
      <w:r>
        <w:t xml:space="preserve">undertakings to provide all their retail investors who owned financial instruments in a securities</w:t>
      </w:r>
      <w:r>
        <w:t xml:space="preserve"> </w:t>
      </w:r>
      <w:r>
        <w:t xml:space="preserve">account held with such firms or have insurance-based investment products manufactured by them,</w:t>
      </w:r>
      <w:r>
        <w:t xml:space="preserve"> </w:t>
      </w:r>
      <w:r>
        <w:t xml:space="preserve">with an annual statement including a global and detailed view on all elements necessary to</w:t>
      </w:r>
      <w:r>
        <w:t xml:space="preserve"> </w:t>
      </w:r>
      <w:r>
        <w:t xml:space="preserve">appreciate the costs and the performance of their portfolio. The statement should provide in an</w:t>
      </w:r>
      <w:r>
        <w:t xml:space="preserve"> </w:t>
      </w:r>
      <w:r>
        <w:t xml:space="preserve">easy-to-understand format, the below personalized key information:</w:t>
      </w:r>
    </w:p>
    <w:p>
      <w:pPr>
        <w:pStyle w:val="BodyText"/>
      </w:pPr>
      <w:r>
        <w:t xml:space="preserve">For investments falling under MiFID II, this annual statement would contain at least the following</w:t>
      </w:r>
      <w:r>
        <w:t xml:space="preserve"> </w:t>
      </w:r>
      <w:r>
        <w:t xml:space="preserve">elements:</w:t>
      </w:r>
    </w:p>
    <w:p>
      <w:pPr>
        <w:pStyle w:val="Compact"/>
        <w:numPr>
          <w:ilvl w:val="0"/>
          <w:numId w:val="1025"/>
        </w:numPr>
      </w:pPr>
      <w:r>
        <w:t xml:space="preserve">details of all financial instruments held by the investment firms for the client at the end;</w:t>
      </w:r>
    </w:p>
    <w:p>
      <w:pPr>
        <w:pStyle w:val="FirstParagraph"/>
      </w:pPr>
      <w:r>
        <w:t xml:space="preserve">268 Articles 38 to 40 of Directive (EU) 2016/2341 (IORP II Directive).</w:t>
      </w:r>
      <w:r>
        <w:t xml:space="preserve"> </w:t>
      </w:r>
      <w:r>
        <w:t xml:space="preserve">269 Articles 35 to 37 of Regulation (EU) 2019/1238 (PEPP Regulation).</w:t>
      </w:r>
      <w:r>
        <w:t xml:space="preserve"> </w:t>
      </w:r>
      <w:r>
        <w:t xml:space="preserve">270 See, for example: Germany – § 155 Versicherungsvertragsgesetz, VVG; France – Law No 2019-486 of 22 May</w:t>
      </w:r>
      <w:r>
        <w:t xml:space="preserve"> </w:t>
      </w:r>
      <w:r>
        <w:t xml:space="preserve">2019, Article L.132-22 Code des assurances; Belgium; Ireland - Consumer Protection Code.</w:t>
      </w:r>
    </w:p>
    <w:p>
      <w:pPr>
        <w:pStyle w:val="BodyText"/>
      </w:pPr>
      <w:r>
        <w:t xml:space="preserve">117</w:t>
      </w:r>
    </w:p>
    <w:p>
      <w:pPr>
        <w:pStyle w:val="Compact"/>
        <w:numPr>
          <w:ilvl w:val="0"/>
          <w:numId w:val="1026"/>
        </w:numPr>
      </w:pPr>
      <w:r>
        <w:t xml:space="preserve">the market or estimated value (when the market value is not available) of the financial</w:t>
      </w:r>
      <w:r>
        <w:t xml:space="preserve"> </w:t>
      </w:r>
      <w:r>
        <w:t xml:space="preserve">instruments;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the total costs and charges (including tax) related to both the financial instrument(s) and</w:t>
      </w:r>
      <w:r>
        <w:t xml:space="preserve"> </w:t>
      </w:r>
      <w:r>
        <w:t xml:space="preserve">the associated investment and ancillary services incurred during the reporting period. The</w:t>
      </w:r>
      <w:r>
        <w:t xml:space="preserve"> </w:t>
      </w:r>
      <w:r>
        <w:t xml:space="preserve">total costs and charges would nonetheless itemize separately (i) total costs and charges</w:t>
      </w:r>
      <w:r>
        <w:t xml:space="preserve"> </w:t>
      </w:r>
      <w:r>
        <w:t xml:space="preserve">charged by the investment firm for the investment service(s), (ii) total costs and charges</w:t>
      </w:r>
      <w:r>
        <w:t xml:space="preserve"> </w:t>
      </w:r>
      <w:r>
        <w:t xml:space="preserve">charged for the financial instruments, (iii) total third party remuneration received or paid</w:t>
      </w:r>
      <w:r>
        <w:t xml:space="preserve"> </w:t>
      </w:r>
      <w:r>
        <w:t xml:space="preserve">by the investment firm in connection with the services provided to the retail client and (iv)</w:t>
      </w:r>
      <w:r>
        <w:t xml:space="preserve"> </w:t>
      </w:r>
      <w:r>
        <w:t xml:space="preserve">total taxes withheld by the firm and borne by the retail client. A more detailed breakdown</w:t>
      </w:r>
      <w:r>
        <w:t xml:space="preserve"> </w:t>
      </w:r>
      <w:r>
        <w:t xml:space="preserve">per financial instrument and per service would be provided by the firm upon request of the</w:t>
      </w:r>
      <w:r>
        <w:t xml:space="preserve"> </w:t>
      </w:r>
      <w:r>
        <w:t xml:space="preserve">client;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the total amount of dividends, interest and other payments received during the</w:t>
      </w:r>
      <w:r>
        <w:t xml:space="preserve"> </w:t>
      </w:r>
      <w:r>
        <w:t xml:space="preserve">reporting period in relation to the client’s portfolio. A more detailed breakdown per</w:t>
      </w:r>
      <w:r>
        <w:t xml:space="preserve"> </w:t>
      </w:r>
      <w:r>
        <w:t xml:space="preserve">financial instrument would be provided by the firm upon request of the client; and</w:t>
      </w:r>
    </w:p>
    <w:p>
      <w:pPr>
        <w:pStyle w:val="Compact"/>
        <w:numPr>
          <w:ilvl w:val="0"/>
          <w:numId w:val="1026"/>
        </w:numPr>
      </w:pPr>
      <w:r>
        <w:t xml:space="preserve">the annual performance of each financial instrument held by the client and the annual</w:t>
      </w:r>
      <w:r>
        <w:t xml:space="preserve"> </w:t>
      </w:r>
      <w:r>
        <w:t xml:space="preserve">global performance of their portfolio (at least for the financial instruments purchased</w:t>
      </w:r>
      <w:r>
        <w:t xml:space="preserve"> </w:t>
      </w:r>
      <w:r>
        <w:t xml:space="preserve">through an investment advice service or RTO service or execution of order service of the</w:t>
      </w:r>
      <w:r>
        <w:t xml:space="preserve"> </w:t>
      </w:r>
      <w:r>
        <w:t xml:space="preserve">firm).</w:t>
      </w:r>
    </w:p>
    <w:p>
      <w:pPr>
        <w:pStyle w:val="FirstParagraph"/>
      </w:pPr>
      <w:r>
        <w:t xml:space="preserve">For insurance-based investment products falling under the scope of IDD, the annual statement</w:t>
      </w:r>
      <w:r>
        <w:t xml:space="preserve"> </w:t>
      </w:r>
      <w:r>
        <w:t xml:space="preserve">would have to be provided by the insurance undertaking manufacturing the insurance-based</w:t>
      </w:r>
      <w:r>
        <w:t xml:space="preserve"> </w:t>
      </w:r>
      <w:r>
        <w:t xml:space="preserve">investment product. It would contain the following elements:</w:t>
      </w:r>
      <w:r>
        <w:br/>
      </w:r>
      <w:r>
        <w:t xml:space="preserve">1. Current value of the investment;</w:t>
      </w:r>
      <w:r>
        <w:t xml:space="preserve"> </w:t>
      </w:r>
      <w:r>
        <w:t xml:space="preserve">2. Payments made by the retail investor (investments, deposits, contributions, premiums, fees,</w:t>
      </w:r>
      <w:r>
        <w:t xml:space="preserve"> </w:t>
      </w:r>
      <w:r>
        <w:t xml:space="preserve">etc.) over the previous 12 months, deducting any withdrawals made;</w:t>
      </w:r>
      <w:r>
        <w:t xml:space="preserve"> </w:t>
      </w:r>
      <w:r>
        <w:t xml:space="preserve">3. A breakdown of all costs and charges incurred, directly or indirectly, by the retail investor</w:t>
      </w:r>
      <w:r>
        <w:t xml:space="preserve"> </w:t>
      </w:r>
      <w:r>
        <w:t xml:space="preserve">over the previous 12 months and the amount of any remuneration paid to the distributor on</w:t>
      </w:r>
      <w:r>
        <w:t xml:space="preserve"> </w:t>
      </w:r>
      <w:r>
        <w:t xml:space="preserve">an ongoing basis by the manufacturer or another party except the customer in connection</w:t>
      </w:r>
      <w:r>
        <w:t xml:space="preserve"> </w:t>
      </w:r>
      <w:r>
        <w:t xml:space="preserve">with the distribution of the investment product; comparison of the costs with benchmarks</w:t>
      </w:r>
      <w:r>
        <w:t xml:space="preserve"> </w:t>
      </w:r>
      <w:r>
        <w:t xml:space="preserve">for comparable products (developed in the context of VfM);</w:t>
      </w:r>
      <w:r>
        <w:t xml:space="preserve"> </w:t>
      </w:r>
      <w:r>
        <w:t xml:space="preserve">4. Past performance of the investment (during the relevant year compared to previous</w:t>
      </w:r>
      <w:r>
        <w:t xml:space="preserve"> </w:t>
      </w:r>
      <w:r>
        <w:t xml:space="preserve">periods);</w:t>
      </w:r>
      <w:r>
        <w:t xml:space="preserve"> </w:t>
      </w:r>
      <w:r>
        <w:t xml:space="preserve">5. Adjusted individual projections of the expected outcome at the end of the contractual or</w:t>
      </w:r>
      <w:r>
        <w:t xml:space="preserve"> </w:t>
      </w:r>
      <w:r>
        <w:t xml:space="preserve">recommended holding period, based on the current value of the investment and its</w:t>
      </w:r>
      <w:r>
        <w:t xml:space="preserve"> </w:t>
      </w:r>
      <w:r>
        <w:t xml:space="preserve">performance development so far and linked to the pre-contractual performance scenarios</w:t>
      </w:r>
      <w:r>
        <w:t xml:space="preserve"> </w:t>
      </w:r>
      <w:r>
        <w:t xml:space="preserve">in the PRIIPs KID, and a disclaimer that those projections may differ from the actual final</w:t>
      </w:r>
      <w:r>
        <w:t xml:space="preserve"> </w:t>
      </w:r>
      <w:r>
        <w:t xml:space="preserve">value of the investment;</w:t>
      </w:r>
      <w:r>
        <w:t xml:space="preserve"> </w:t>
      </w:r>
      <w:r>
        <w:t xml:space="preserve">6. Information on the conditions and financial consequences of an early termination of the</w:t>
      </w:r>
      <w:r>
        <w:t xml:space="preserve"> </w:t>
      </w:r>
      <w:r>
        <w:t xml:space="preserve">investment or switching of providers, including, in the case of an insurance-based</w:t>
      </w:r>
      <w:r>
        <w:t xml:space="preserve"> </w:t>
      </w:r>
      <w:r>
        <w:t xml:space="preserve">investment product, the surrender value and conditions for surrendering the insurance</w:t>
      </w:r>
      <w:r>
        <w:t xml:space="preserve"> </w:t>
      </w:r>
      <w:r>
        <w:t xml:space="preserve">policy;</w:t>
      </w:r>
      <w:r>
        <w:t xml:space="preserve"> </w:t>
      </w:r>
      <w:r>
        <w:t xml:space="preserve">7. Information on what happens when the insured person dies or another insured event occurs;</w:t>
      </w:r>
      <w:r>
        <w:t xml:space="preserve"> </w:t>
      </w:r>
      <w:r>
        <w:t xml:space="preserve">8. In the case of unit-linked protection policies for which the policy terms and conditions</w:t>
      </w:r>
      <w:r>
        <w:t xml:space="preserve"> </w:t>
      </w:r>
      <w:r>
        <w:t xml:space="preserve">provide for periodic premium reviews, the projected premiums required to maintain</w:t>
      </w:r>
      <w:r>
        <w:t xml:space="preserve"> </w:t>
      </w:r>
      <w:r>
        <w:t xml:space="preserve">existing protection benefits until the ages of 55, 65, 75 and 85.</w:t>
      </w:r>
    </w:p>
    <w:p>
      <w:pPr>
        <w:pStyle w:val="BodyText"/>
      </w:pPr>
      <w:r>
        <w:t xml:space="preserve">5.3 Assessment of the proposed measure</w:t>
      </w:r>
      <w:r>
        <w:br/>
      </w:r>
      <w:r>
        <w:t xml:space="preserve">Benefits: The information provided in the annual statement would enable all retail investors to get</w:t>
      </w:r>
      <w:r>
        <w:t xml:space="preserve"> </w:t>
      </w:r>
      <w:r>
        <w:t xml:space="preserve">a comprehensive view of their portfolio’s performance and the global costs they bear, without the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need to collect all necessary pieces of information or to make calculation by themselves. It would</w:t>
      </w:r>
      <w:r>
        <w:t xml:space="preserve"> </w:t>
      </w:r>
      <w:r>
        <w:t xml:space="preserve">enable them more easily to consider the quality of their investments and investment services and,</w:t>
      </w:r>
      <w:r>
        <w:t xml:space="preserve"> </w:t>
      </w:r>
      <w:r>
        <w:t xml:space="preserve">where needed, to adjust them in order to achieve better outcome. The standardised format of the</w:t>
      </w:r>
      <w:r>
        <w:t xml:space="preserve"> </w:t>
      </w:r>
      <w:r>
        <w:t xml:space="preserve">document would greatly contribute to these benefits and also allow for better comparability. More</w:t>
      </w:r>
      <w:r>
        <w:t xml:space="preserve"> </w:t>
      </w:r>
      <w:r>
        <w:t xml:space="preserve">broadly, this transparency may also lead to increased competition on the supply side, eventually</w:t>
      </w:r>
      <w:r>
        <w:t xml:space="preserve"> </w:t>
      </w:r>
      <w:r>
        <w:t xml:space="preserve">putting downward pressure on prices charged for products and services from which all investors</w:t>
      </w:r>
      <w:r>
        <w:t xml:space="preserve"> </w:t>
      </w:r>
      <w:r>
        <w:t xml:space="preserve">benefit collectively. It could also facilitate cross-border business by ensuring a harmonised</w:t>
      </w:r>
      <w:r>
        <w:t xml:space="preserve"> </w:t>
      </w:r>
      <w:r>
        <w:t xml:space="preserve">standard of investor protection. As regards supervisory authorities, this measure would support</w:t>
      </w:r>
      <w:r>
        <w:t xml:space="preserve"> </w:t>
      </w:r>
      <w:r>
        <w:t xml:space="preserve">their supervisory actions by giving them the possibility to access more and better data on costs and</w:t>
      </w:r>
      <w:r>
        <w:t xml:space="preserve"> </w:t>
      </w:r>
      <w:r>
        <w:t xml:space="preserve">charges and performance, helping them to better compare the effective value for money of the</w:t>
      </w:r>
      <w:r>
        <w:t xml:space="preserve"> </w:t>
      </w:r>
      <w:r>
        <w:t xml:space="preserve">financial products.</w:t>
      </w:r>
    </w:p>
    <w:p>
      <w:pPr>
        <w:pStyle w:val="BodyText"/>
      </w:pPr>
      <w:r>
        <w:t xml:space="preserve">Costs: Investment firms and insurance distributors are already subject to annual ex-post</w:t>
      </w:r>
      <w:r>
        <w:t xml:space="preserve"> </w:t>
      </w:r>
      <w:r>
        <w:t xml:space="preserve">disclosures on costs and in some cases, on performance to their clients. The introduction of the ex-</w:t>
      </w:r>
      <w:r>
        <w:t xml:space="preserve"> </w:t>
      </w:r>
      <w:r>
        <w:t xml:space="preserve">post annual statement on costs and performance would deepen the existing disclosure obligations</w:t>
      </w:r>
      <w:r>
        <w:t xml:space="preserve"> </w:t>
      </w:r>
      <w:r>
        <w:t xml:space="preserve">in terms of (i) content, by including the element of performance and payments received (in addition</w:t>
      </w:r>
      <w:r>
        <w:t xml:space="preserve"> </w:t>
      </w:r>
      <w:r>
        <w:t xml:space="preserve">to costs) to all clients under MiFID and IDD and personalized projections in relation to clients</w:t>
      </w:r>
      <w:r>
        <w:t xml:space="preserve"> </w:t>
      </w:r>
      <w:r>
        <w:t xml:space="preserve">under IDD, and (ii) broaden the circle of clients receiving such annual statement under MiFID,</w:t>
      </w:r>
      <w:r>
        <w:t xml:space="preserve"> </w:t>
      </w:r>
      <w:r>
        <w:t xml:space="preserve">since the obligation to provide an ex-post annual information would apply in relation to all clients</w:t>
      </w:r>
      <w:r>
        <w:t xml:space="preserve"> </w:t>
      </w:r>
      <w:r>
        <w:t xml:space="preserve">(and not only to those with whom the investment firm has an ongoing relationship or are under</w:t>
      </w:r>
      <w:r>
        <w:t xml:space="preserve"> </w:t>
      </w:r>
      <w:r>
        <w:t xml:space="preserve">portfolio management)271.</w:t>
      </w:r>
    </w:p>
    <w:p>
      <w:pPr>
        <w:pStyle w:val="BodyText"/>
      </w:pPr>
      <w:r>
        <w:t xml:space="preserve">The introduction of the ex-post annual statement on costs and performance would represent a one-</w:t>
      </w:r>
      <w:r>
        <w:t xml:space="preserve"> </w:t>
      </w:r>
      <w:r>
        <w:t xml:space="preserve">off cost for the industry, which would consist of costs for the adjustment of existing (IT) systems</w:t>
      </w:r>
      <w:r>
        <w:t xml:space="preserve"> </w:t>
      </w:r>
      <w:r>
        <w:t xml:space="preserve">so that the element of performance and payments received (and projections in the case of IDD)</w:t>
      </w:r>
      <w:r>
        <w:t xml:space="preserve"> </w:t>
      </w:r>
      <w:r>
        <w:t xml:space="preserve">could also be provided and that the statements would be extended to all clients. In the Impact</w:t>
      </w:r>
      <w:r>
        <w:t xml:space="preserve"> </w:t>
      </w:r>
      <w:r>
        <w:t xml:space="preserve">Assessment accompanying the Proposal for the IORP II Directive (SWD(2014) 103 final of</w:t>
      </w:r>
      <w:r>
        <w:t xml:space="preserve"> </w:t>
      </w:r>
      <w:r>
        <w:t xml:space="preserve">27.3.2014), the Commission estimated the one-off cost for the implementation of a short and</w:t>
      </w:r>
      <w:r>
        <w:t xml:space="preserve"> </w:t>
      </w:r>
      <w:r>
        <w:t xml:space="preserve">standardised annual Pension Benefit Statement containing both personalised and generic</w:t>
      </w:r>
      <w:r>
        <w:t xml:space="preserve"> </w:t>
      </w:r>
      <w:r>
        <w:t xml:space="preserve">information about the pension scheme, on average, at around 7 EUR per member (which would</w:t>
      </w:r>
      <w:r>
        <w:t xml:space="preserve"> </w:t>
      </w:r>
      <w:r>
        <w:t xml:space="preserve">equal EUR 7.7 per member adjusted to 2022 price levels). As investment firms and insurance</w:t>
      </w:r>
      <w:r>
        <w:t xml:space="preserve"> </w:t>
      </w:r>
      <w:r>
        <w:t xml:space="preserve">undertaking are already expected to provide annual information on costs to clients, the calculation</w:t>
      </w:r>
      <w:r>
        <w:t xml:space="preserve"> </w:t>
      </w:r>
      <w:r>
        <w:t xml:space="preserve">of the one-off costs could be based on an assumption that that the changes/updates of existing</w:t>
      </w:r>
      <w:r>
        <w:t xml:space="preserve"> </w:t>
      </w:r>
      <w:r>
        <w:t xml:space="preserve">systems would amount to a range of 5-15% of these costs (per client). For an investor base of</w:t>
      </w:r>
      <w:r>
        <w:t xml:space="preserve"> </w:t>
      </w:r>
      <w:r>
        <w:t xml:space="preserve">between 49-58.5 million retail investors272 the one-off costs could be estimated to be in the range</w:t>
      </w:r>
      <w:r>
        <w:t xml:space="preserve"> </w:t>
      </w:r>
      <w:r>
        <w:t xml:space="preserve">of EUR 19 – 67.5 million. It should however be noted that, considering the divergent interpretation</w:t>
      </w:r>
      <w:r>
        <w:t xml:space="preserve"> </w:t>
      </w:r>
      <w:r>
        <w:t xml:space="preserve">of investment firms and Member States on the qualification of “ongoing relationship” (see above)</w:t>
      </w:r>
      <w:r>
        <w:t xml:space="preserve"> </w:t>
      </w:r>
      <w:r>
        <w:t xml:space="preserve">and the different practices of investment firms (some providing on a voluntary basis extensive</w:t>
      </w:r>
      <w:r>
        <w:t xml:space="preserve"> </w:t>
      </w:r>
      <w:r>
        <w:t xml:space="preserve">information, beyond the legal requirements), it is not possible to estimate the number of new clients</w:t>
      </w:r>
      <w:r>
        <w:t xml:space="preserve"> </w:t>
      </w:r>
      <w:r>
        <w:t xml:space="preserve">under MiFID who at present do not receive annual information on costs. There is also a substantial</w:t>
      </w:r>
      <w:r>
        <w:t xml:space="preserve"> </w:t>
      </w:r>
      <w:r>
        <w:t xml:space="preserve">percentage of clients under MiFID who already receive information on performance (e.g. clients</w:t>
      </w:r>
      <w:r>
        <w:t xml:space="preserve"> </w:t>
      </w:r>
      <w:r>
        <w:t xml:space="preserve">under portfolio management). For these clients, the systems of the investment firms would already</w:t>
      </w:r>
    </w:p>
    <w:p>
      <w:pPr>
        <w:pStyle w:val="BodyText"/>
      </w:pPr>
      <w:r>
        <w:t xml:space="preserve">271 Under IDD, insurance undertakings are already under an obligation to provide information on costs to all</w:t>
      </w:r>
      <w:r>
        <w:t xml:space="preserve"> </w:t>
      </w:r>
      <w:r>
        <w:t xml:space="preserve">clients.</w:t>
      </w:r>
      <w:r>
        <w:t xml:space="preserve"> </w:t>
      </w:r>
      <w:r>
        <w:t xml:space="preserve">272 Based on the assumption that about 25-30% of the households hold capital market instruments, which given</w:t>
      </w:r>
      <w:r>
        <w:t xml:space="preserve"> </w:t>
      </w:r>
      <w:r>
        <w:t xml:space="preserve">195.4 million households in the EU and an average household size of 2.3 individuals results in an absolute number</w:t>
      </w:r>
      <w:r>
        <w:t xml:space="preserve"> </w:t>
      </w:r>
      <w:r>
        <w:t xml:space="preserve">of 49-58.5 million clients. The number of estimated retail investors could vary, although likely not significantly, due</w:t>
      </w:r>
      <w:r>
        <w:t xml:space="preserve"> </w:t>
      </w:r>
      <w:r>
        <w:t xml:space="preserve">to the fact that some investors might have accounts with different intermediaries or due to the fact that some</w:t>
      </w:r>
      <w:r>
        <w:t xml:space="preserve"> </w:t>
      </w:r>
      <w:r>
        <w:t xml:space="preserve">retail investors might be categorized as professional investors in the future (see annex 6).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be adjusted to provide such information. It was however not possible to gather data on the number</w:t>
      </w:r>
      <w:r>
        <w:t xml:space="preserve"> </w:t>
      </w:r>
      <w:r>
        <w:t xml:space="preserve">of clients under portfolio management to be able to deduct these costs from the estimated one-off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In relation to ongoing costs, the Retail investment study quantified the existing costs for private</w:t>
      </w:r>
      <w:r>
        <w:t xml:space="preserve"> </w:t>
      </w:r>
      <w:r>
        <w:t xml:space="preserve">pensions and insurance products covering the preparation and update of periodic information at</w:t>
      </w:r>
      <w:r>
        <w:t xml:space="preserve"> </w:t>
      </w:r>
      <w:r>
        <w:t xml:space="preserve">EUR 5 per client per year273. It could be assumed that the costs for the ex-post annual statement</w:t>
      </w:r>
      <w:r>
        <w:t xml:space="preserve"> </w:t>
      </w:r>
      <w:r>
        <w:t xml:space="preserve">on costs and performance would be in a similar range (if not lower). The ongoing costs for</w:t>
      </w:r>
      <w:r>
        <w:t xml:space="preserve"> </w:t>
      </w:r>
      <w:r>
        <w:t xml:space="preserve">investment firms and insurance undertakings are not expected to increase in relation to clients who</w:t>
      </w:r>
      <w:r>
        <w:t xml:space="preserve"> </w:t>
      </w:r>
      <w:r>
        <w:t xml:space="preserve">already receive annual information, since after the adjustment of the systems, the information that</w:t>
      </w:r>
      <w:r>
        <w:t xml:space="preserve"> </w:t>
      </w:r>
      <w:r>
        <w:t xml:space="preserve">is already available at the level of the firm (or easily retrievable from trading venues</w:t>
      </w:r>
      <w:r>
        <w:t xml:space="preserve"> </w:t>
      </w:r>
      <w:r>
        <w:t xml:space="preserve">platforms/websites) could be provided to clients without any significant additional costs. As the</w:t>
      </w:r>
      <w:r>
        <w:t xml:space="preserve"> </w:t>
      </w:r>
      <w:r>
        <w:t xml:space="preserve">number of clients under IDD who already receive annual information (on costs) would not increase</w:t>
      </w:r>
      <w:r>
        <w:t xml:space="preserve"> </w:t>
      </w:r>
      <w:r>
        <w:t xml:space="preserve">compared to the baseline, the ongoing costs for insurance undertakings are not expected to</w:t>
      </w:r>
      <w:r>
        <w:t xml:space="preserve"> </w:t>
      </w:r>
      <w:r>
        <w:t xml:space="preserve">increase. For investment firms an increase of ongoing costs is expected in relation to clients who</w:t>
      </w:r>
      <w:r>
        <w:t xml:space="preserve"> </w:t>
      </w:r>
      <w:r>
        <w:t xml:space="preserve">currently do not receive annual information on costs (e.g. clients with whom the firm is not</w:t>
      </w:r>
      <w:r>
        <w:t xml:space="preserve"> </w:t>
      </w:r>
      <w:r>
        <w:t xml:space="preserve">considered to have “an ongoing relationship”). For those clients, investment firms would start to</w:t>
      </w:r>
      <w:r>
        <w:t xml:space="preserve"> </w:t>
      </w:r>
      <w:r>
        <w:t xml:space="preserve">incur ongoing costs of EUR 5 per client/per year. Considering the divergent interpretation and</w:t>
      </w:r>
      <w:r>
        <w:t xml:space="preserve"> </w:t>
      </w:r>
      <w:r>
        <w:t xml:space="preserve">practices of the investment firms and Member States on the qualification of “ongoing relationship”</w:t>
      </w:r>
      <w:r>
        <w:t xml:space="preserve"> </w:t>
      </w:r>
      <w:r>
        <w:t xml:space="preserve">in the context of costs disclosure (see above), it is not possible to estimate the amount of new</w:t>
      </w:r>
      <w:r>
        <w:t xml:space="preserve"> </w:t>
      </w:r>
      <w:r>
        <w:t xml:space="preserve">clients under MiFID who at present do not receive annual information on costs.</w:t>
      </w:r>
    </w:p>
    <w:p>
      <w:pPr>
        <w:pStyle w:val="BodyText"/>
      </w:pPr>
      <w:r>
        <w:t xml:space="preserve">No material increase of costs is expected for the NCAs, as such controls already exist and existing</w:t>
      </w:r>
      <w:r>
        <w:t xml:space="preserve"> </w:t>
      </w:r>
      <w:r>
        <w:t xml:space="preserve">IT tools should be able to absorb a bigger amount of data. No significant impact is expected on the</w:t>
      </w:r>
      <w:r>
        <w:t xml:space="preserve"> </w:t>
      </w:r>
      <w:r>
        <w:t xml:space="preserve">resources of ESMA and EIOPA, as their involvement and roles under this option can be performed</w:t>
      </w:r>
      <w:r>
        <w:t xml:space="preserve"> </w:t>
      </w:r>
      <w:r>
        <w:t xml:space="preserve">as part of their existing regulatory and supervisory work.</w:t>
      </w:r>
    </w:p>
    <w:p>
      <w:pPr>
        <w:pStyle w:val="BodyText"/>
      </w:pPr>
      <w:r>
        <w:t xml:space="preserve">Finally, this option would impose no new direct costs on retail investors, but there is a risk that</w:t>
      </w:r>
      <w:r>
        <w:t xml:space="preserve"> </w:t>
      </w:r>
      <w:r>
        <w:t xml:space="preserve">investment firms and insurance companies may shift the costs they bear to provide such enhanced</w:t>
      </w:r>
      <w:r>
        <w:t xml:space="preserve"> </w:t>
      </w:r>
      <w:r>
        <w:t xml:space="preserve">annual statements onto their retail clients via an increase of their investment and ancillary services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Affected groups of stakeholders:</w:t>
      </w:r>
      <w:r>
        <w:t xml:space="preserve"> </w:t>
      </w:r>
      <w:r>
        <w:t xml:space="preserve">Industry: This option would allow investment firms and insurance undertakings to more clearly</w:t>
      </w:r>
      <w:r>
        <w:t xml:space="preserve"> </w:t>
      </w:r>
      <w:r>
        <w:t xml:space="preserve">and in a standardized way communicate with their clients the information relating to their</w:t>
      </w:r>
      <w:r>
        <w:t xml:space="preserve"> </w:t>
      </w:r>
      <w:r>
        <w:t xml:space="preserve">investments. Enhanced transparency may also lead to increased competition on the supply side,</w:t>
      </w:r>
      <w:r>
        <w:t xml:space="preserve"> </w:t>
      </w:r>
      <w:r>
        <w:t xml:space="preserve">eventually putting downward pressure on prices charged for products and services to retail</w:t>
      </w:r>
      <w:r>
        <w:t xml:space="preserve"> </w:t>
      </w:r>
      <w:r>
        <w:t xml:space="preserve">investors. This development could be further stimulated by the appearance of service providers</w:t>
      </w:r>
      <w:r>
        <w:t xml:space="preserve"> </w:t>
      </w:r>
      <w:r>
        <w:t xml:space="preserve">and advisers focusing on switching opportunities for retail investors.</w:t>
      </w:r>
    </w:p>
    <w:p>
      <w:pPr>
        <w:pStyle w:val="BodyText"/>
      </w:pPr>
      <w:r>
        <w:t xml:space="preserve">Consumers: As the existing requirement to provide an annual statement on costs and charges to</w:t>
      </w:r>
      <w:r>
        <w:t xml:space="preserve"> </w:t>
      </w:r>
      <w:r>
        <w:t xml:space="preserve">retail investors will be extended to all MiFID II and IDD retail investors, regardless of their</w:t>
      </w:r>
      <w:r>
        <w:t xml:space="preserve"> </w:t>
      </w:r>
      <w:r>
        <w:t xml:space="preserve">relationship with the firm, and would also include additional elements, in particular information</w:t>
      </w:r>
      <w:r>
        <w:t xml:space="preserve"> </w:t>
      </w:r>
      <w:r>
        <w:t xml:space="preserve">on performance, all retail clients would benefit from increased transparency, enabling them to</w:t>
      </w:r>
      <w:r>
        <w:t xml:space="preserve"> </w:t>
      </w:r>
      <w:r>
        <w:t xml:space="preserve">more easily compare different products and consequently take better informed investment</w:t>
      </w:r>
      <w:r>
        <w:t xml:space="preserve"> </w:t>
      </w:r>
      <w:r>
        <w:t xml:space="preserve">decisions. Investors would obtain a more comprehensive view concerning the costs and</w:t>
      </w:r>
      <w:r>
        <w:t xml:space="preserve"> </w:t>
      </w:r>
      <w:r>
        <w:t xml:space="preserve">performance associated with their investments. This information would be backward looking and</w:t>
      </w:r>
      <w:r>
        <w:t xml:space="preserve"> </w:t>
      </w:r>
      <w:r>
        <w:t xml:space="preserve">personalised. It would allow retail investors to get at a glance a global view or a detailed view</w:t>
      </w:r>
    </w:p>
    <w:p>
      <w:pPr>
        <w:pStyle w:val="BodyText"/>
      </w:pPr>
      <w:r>
        <w:t xml:space="preserve">273 Retail investment study, page 217.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should they request so, on how their financial instruments have performed over a year time, taking</w:t>
      </w:r>
      <w:r>
        <w:t xml:space="preserve"> </w:t>
      </w:r>
      <w:r>
        <w:t xml:space="preserve">into account all costs and charges and any received payments. As information would be provided</w:t>
      </w:r>
      <w:r>
        <w:t xml:space="preserve"> </w:t>
      </w:r>
      <w:r>
        <w:t xml:space="preserve">on an annual basis, clients could better assess the quality of their investments and decide whether</w:t>
      </w:r>
      <w:r>
        <w:t xml:space="preserve"> </w:t>
      </w:r>
      <w:r>
        <w:t xml:space="preserve">to hold their investments, reinvest or disinvest if deemed appropriate. In the case of insurance-</w:t>
      </w:r>
      <w:r>
        <w:t xml:space="preserve"> </w:t>
      </w:r>
      <w:r>
        <w:t xml:space="preserve">based investment product which are typically bought for retirement or other long-term investment</w:t>
      </w:r>
      <w:r>
        <w:t xml:space="preserve"> </w:t>
      </w:r>
      <w:r>
        <w:t xml:space="preserve">purposes, adjusted individualised projections and additional information on termination and</w:t>
      </w:r>
      <w:r>
        <w:t xml:space="preserve"> </w:t>
      </w:r>
      <w:r>
        <w:t xml:space="preserve">switching options will allow retail investors to check if they are still on track to meet their savings</w:t>
      </w:r>
      <w:r>
        <w:t xml:space="preserve"> </w:t>
      </w:r>
      <w:r>
        <w:t xml:space="preserve">objectives and to take the necessary steps if this is not the case.</w:t>
      </w:r>
    </w:p>
    <w:p>
      <w:pPr>
        <w:pStyle w:val="BodyText"/>
      </w:pPr>
      <w:r>
        <w:t xml:space="preserve">Supervisors: The measure is expected to help supervisory authorities in their control processes.</w:t>
      </w:r>
      <w:r>
        <w:t xml:space="preserve"> </w:t>
      </w:r>
      <w:r>
        <w:t xml:space="preserve">Allowing access to more data on costs, charges and performance to supervisors, would help them</w:t>
      </w:r>
      <w:r>
        <w:t xml:space="preserve"> </w:t>
      </w:r>
      <w:r>
        <w:t xml:space="preserve">to better compare the effective value of financial products marketed to retail clients. It is not</w:t>
      </w:r>
      <w:r>
        <w:t xml:space="preserve"> </w:t>
      </w:r>
      <w:r>
        <w:t xml:space="preserve">expected that this measure would lead to any material increase of costs for the NCAs.</w:t>
      </w:r>
    </w:p>
    <w:p>
      <w:pPr>
        <w:pStyle w:val="BodyText"/>
      </w:pPr>
      <w:r>
        <w:t xml:space="preserve">Stakeholder views:</w:t>
      </w:r>
      <w:r>
        <w:t xml:space="preserve"> </w:t>
      </w:r>
      <w:r>
        <w:t xml:space="preserve">In the insurance sector, representatives of insurance intermediaries and consumers are supportive</w:t>
      </w:r>
      <w:r>
        <w:t xml:space="preserve"> </w:t>
      </w:r>
      <w:r>
        <w:t xml:space="preserve">of the annual cost and performance statement which they see as an important improvement of</w:t>
      </w:r>
      <w:r>
        <w:t xml:space="preserve"> </w:t>
      </w:r>
      <w:r>
        <w:t xml:space="preserve">investor information. They in particular call for the inclusion of information about past</w:t>
      </w:r>
      <w:r>
        <w:t xml:space="preserve"> </w:t>
      </w:r>
      <w:r>
        <w:t xml:space="preserve">performance and performance projections. On the other hand, a majority of insurance undertakings</w:t>
      </w:r>
      <w:r>
        <w:t xml:space="preserve"> </w:t>
      </w:r>
      <w:r>
        <w:t xml:space="preserve">expressed criticism, pointing out that the existing information and annual statements, where</w:t>
      </w:r>
      <w:r>
        <w:t xml:space="preserve"> </w:t>
      </w:r>
      <w:r>
        <w:t xml:space="preserve">provided for under national law or voluntarily by firms, are sufficient and also better adapted to</w:t>
      </w:r>
      <w:r>
        <w:t xml:space="preserve"> </w:t>
      </w:r>
      <w:r>
        <w:t xml:space="preserve">the specific features of the different Member States. They were particularly critical of the proposal</w:t>
      </w:r>
      <w:r>
        <w:t xml:space="preserve"> </w:t>
      </w:r>
      <w:r>
        <w:t xml:space="preserve">for personalised performance projections for IBIPs, which they consider overly burdensome and</w:t>
      </w:r>
      <w:r>
        <w:t xml:space="preserve"> </w:t>
      </w:r>
      <w:r>
        <w:t xml:space="preserve">difficult to realise in the case of products which have no clear holding period. Should an annual</w:t>
      </w:r>
      <w:r>
        <w:t xml:space="preserve"> </w:t>
      </w:r>
      <w:r>
        <w:t xml:space="preserve">statement be realised on a European-wide level, it would have to replace existing national solutions</w:t>
      </w:r>
      <w:r>
        <w:t xml:space="preserve"> </w:t>
      </w:r>
      <w:r>
        <w:t xml:space="preserve">to avoid duplication and overlap.</w:t>
      </w:r>
      <w:r>
        <w:t xml:space="preserve"> </w:t>
      </w:r>
      <w:r>
        <w:t xml:space="preserve">A large majority274 of distributors of investment products also expressed a strong reluctance to</w:t>
      </w:r>
      <w:r>
        <w:t xml:space="preserve"> </w:t>
      </w:r>
      <w:r>
        <w:t xml:space="preserve">change the current rules on costs and charges disclosure, considering the current regime as strong</w:t>
      </w:r>
      <w:r>
        <w:t xml:space="preserve"> </w:t>
      </w:r>
      <w:r>
        <w:t xml:space="preserve">enough to ensure transparency of costs and cost impacts for retail investors. They expressed</w:t>
      </w:r>
      <w:r>
        <w:t xml:space="preserve"> </w:t>
      </w:r>
      <w:r>
        <w:t xml:space="preserve">concerns that the enhanced annual statements on costs and performance may lead to an information</w:t>
      </w:r>
      <w:r>
        <w:t xml:space="preserve"> </w:t>
      </w:r>
      <w:r>
        <w:t xml:space="preserve">overload. Others (in particular consumer associations) however considered that the current regime</w:t>
      </w:r>
      <w:r>
        <w:t xml:space="preserve"> </w:t>
      </w:r>
      <w:r>
        <w:t xml:space="preserve">is not always efficient, as the information may be too complex and confusing for retail investors.</w:t>
      </w:r>
      <w:r>
        <w:t xml:space="preserve"> </w:t>
      </w:r>
      <w:r>
        <w:t xml:space="preserve">Simplification and standardization appear particularly useful in a digital context.</w:t>
      </w:r>
    </w:p>
    <w:p>
      <w:pPr>
        <w:pStyle w:val="BodyText"/>
      </w:pPr>
      <w:r>
        <w:t xml:space="preserve">Based on the assessment above, measure E would bring useful benefits and increase coherence</w:t>
      </w:r>
      <w:r>
        <w:t xml:space="preserve"> </w:t>
      </w:r>
      <w:r>
        <w:t xml:space="preserve">between MiFID and IDD. As such, it has been selected to be part of the preferred option.</w:t>
      </w:r>
    </w:p>
    <w:p>
      <w:pPr>
        <w:pStyle w:val="Compact"/>
        <w:numPr>
          <w:ilvl w:val="0"/>
          <w:numId w:val="1027"/>
        </w:numPr>
      </w:pPr>
      <w:r>
        <w:t xml:space="preserve">A standard EU format for costs disclosure under MiFID and IDD</w:t>
      </w:r>
    </w:p>
    <w:p>
      <w:pPr>
        <w:pStyle w:val="FirstParagraph"/>
      </w:pPr>
      <w:r>
        <w:t xml:space="preserve">6.1. Problem description:</w:t>
      </w:r>
      <w:r>
        <w:t xml:space="preserve"> </w:t>
      </w:r>
      <w:r>
        <w:t xml:space="preserve">The divergent use of the terms to describe and present costs to retail investors has been signalled</w:t>
      </w:r>
      <w:r>
        <w:t xml:space="preserve"> </w:t>
      </w:r>
      <w:r>
        <w:t xml:space="preserve">as an information deficiency. In practice, this results in the use of a plethora of different words</w:t>
      </w:r>
      <w:r>
        <w:t xml:space="preserve"> </w:t>
      </w:r>
      <w:r>
        <w:t xml:space="preserve">(e.g. costs, charges, expenses, fees, commissions etc) to present the same or similar concepts which</w:t>
      </w:r>
    </w:p>
    <w:p>
      <w:pPr>
        <w:pStyle w:val="BodyText"/>
      </w:pPr>
      <w:r>
        <w:t xml:space="preserve">274 Between 65 and 71.9 % of business associations and business organisation.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on the one hand can easily confuse or mislead retail clients, and on the other hand make it difficult</w:t>
      </w:r>
      <w:r>
        <w:t xml:space="preserve"> </w:t>
      </w:r>
      <w:r>
        <w:t xml:space="preserve">to compare the costs across different products. The same applies to the format for the presentation</w:t>
      </w:r>
      <w:r>
        <w:t xml:space="preserve"> </w:t>
      </w:r>
      <w:r>
        <w:t xml:space="preserve">of disclosure of costs and performance: there is currently no standardised format in the EU.</w:t>
      </w:r>
    </w:p>
    <w:p>
      <w:pPr>
        <w:pStyle w:val="BodyText"/>
      </w:pPr>
      <w:r>
        <w:t xml:space="preserve">In the ESMA advice on retail investor protection, ESMA highlighted that “the discretionary</w:t>
      </w:r>
      <w:r>
        <w:t xml:space="preserve"> </w:t>
      </w:r>
      <w:r>
        <w:t xml:space="preserve">powers given to Member States with regards to the format that can be used to disclose relevant</w:t>
      </w:r>
      <w:r>
        <w:t xml:space="preserve"> </w:t>
      </w:r>
      <w:r>
        <w:t xml:space="preserve">information do not appear to be an optimal solution to create a single market of financial products</w:t>
      </w:r>
      <w:r>
        <w:t xml:space="preserve"> </w:t>
      </w:r>
      <w:r>
        <w:t xml:space="preserve">and services”275. A majority of respondents (62.5%) to the public consultation on the Retail</w:t>
      </w:r>
      <w:r>
        <w:t xml:space="preserve"> </w:t>
      </w:r>
      <w:r>
        <w:t xml:space="preserve">investment strategy mentioned that they are aware of overlaps, inconsistencies, redundancies, or</w:t>
      </w:r>
      <w:r>
        <w:t xml:space="preserve"> </w:t>
      </w:r>
      <w:r>
        <w:t xml:space="preserve">gaps in the EU disclosure rules with respect to the way product cost information is calculated and</w:t>
      </w:r>
      <w:r>
        <w:t xml:space="preserve"> </w:t>
      </w:r>
      <w:r>
        <w:t xml:space="preserve">presented. The Retail investment study also concluded that costs disclosure rules and practices</w:t>
      </w:r>
      <w:r>
        <w:t xml:space="preserve"> </w:t>
      </w:r>
      <w:r>
        <w:t xml:space="preserve">were complex and sometimes inconsistent, making comparison and the use of this information</w:t>
      </w:r>
      <w:r>
        <w:t xml:space="preserve"> </w:t>
      </w:r>
      <w:r>
        <w:t xml:space="preserve">challenging for retail investors. In the vast majority of product information documents which were</w:t>
      </w:r>
      <w:r>
        <w:t xml:space="preserve"> </w:t>
      </w:r>
      <w:r>
        <w:t xml:space="preserve">reviewed, retail investors were presented with multiple cost items. To allow investors to clearly</w:t>
      </w:r>
      <w:r>
        <w:t xml:space="preserve"> </w:t>
      </w:r>
      <w:r>
        <w:t xml:space="preserve">identify and compare costs and performance in the disclosure documents, it is important to make</w:t>
      </w:r>
      <w:r>
        <w:t xml:space="preserve"> </w:t>
      </w:r>
      <w:r>
        <w:t xml:space="preserve">such disclosures more standardized and understandable for retail investors. In the context of an</w:t>
      </w:r>
      <w:r>
        <w:t xml:space="preserve"> </w:t>
      </w:r>
      <w:r>
        <w:t xml:space="preserve">increased provision of cross-border services by digital providers, the lack of standard EU format</w:t>
      </w:r>
      <w:r>
        <w:t xml:space="preserve"> </w:t>
      </w:r>
      <w:r>
        <w:t xml:space="preserve">for the disclosure on costs does not facilitate comparability and development of cross-border</w:t>
      </w:r>
      <w:r>
        <w:t xml:space="preserve"> </w:t>
      </w:r>
      <w:r>
        <w:t xml:space="preserve">investments.</w:t>
      </w:r>
    </w:p>
    <w:p>
      <w:pPr>
        <w:pStyle w:val="BodyText"/>
      </w:pPr>
      <w:r>
        <w:t xml:space="preserve">6.2 Proposed measures</w:t>
      </w:r>
      <w:r>
        <w:br/>
      </w:r>
      <w:r>
        <w:t xml:space="preserve">Proposed measure F: Introduction of a standardized EU format for the disclosure of cost</w:t>
      </w:r>
      <w:r>
        <w:t xml:space="preserve"> </w:t>
      </w:r>
      <w:r>
        <w:t xml:space="preserve">under MiFID and IDD</w:t>
      </w:r>
    </w:p>
    <w:p>
      <w:pPr>
        <w:pStyle w:val="BodyText"/>
      </w:pPr>
      <w:r>
        <w:t xml:space="preserve">This measure would imply the introduction of a standardized EU format for disclosures in the area</w:t>
      </w:r>
      <w:r>
        <w:t xml:space="preserve"> </w:t>
      </w:r>
      <w:r>
        <w:t xml:space="preserve">of costs. ESMA and EIOPA would be mandated, after having conducted consumer and industry</w:t>
      </w:r>
      <w:r>
        <w:t xml:space="preserve"> </w:t>
      </w:r>
      <w:r>
        <w:t xml:space="preserve">testing, to develop draft regulatory technical standards to specify i) the standard costs and charges</w:t>
      </w:r>
      <w:r>
        <w:t xml:space="preserve"> </w:t>
      </w:r>
      <w:r>
        <w:t xml:space="preserve">terminology to be used by the investment firms when delivering statements on costs and charges</w:t>
      </w:r>
      <w:r>
        <w:t xml:space="preserve"> </w:t>
      </w:r>
      <w:r>
        <w:t xml:space="preserve">and ii) the relevant format for the presentation of such statements. This standardization aims to</w:t>
      </w:r>
      <w:r>
        <w:t xml:space="preserve"> </w:t>
      </w:r>
      <w:r>
        <w:t xml:space="preserve">improve understandability and comparability of cost disclosures for retail clients.</w:t>
      </w:r>
      <w:r>
        <w:br/>
      </w:r>
      <w:r>
        <w:t xml:space="preserve">The relevant regulatory technical standards would likely need to cover several formats, depending</w:t>
      </w:r>
      <w:r>
        <w:t xml:space="preserve"> </w:t>
      </w:r>
      <w:r>
        <w:t xml:space="preserve">on the category of financial products and whether the information on costs is to be provided before</w:t>
      </w:r>
      <w:r>
        <w:t xml:space="preserve"> </w:t>
      </w:r>
      <w:r>
        <w:t xml:space="preserve">or after a transaction on financial products takes place276.</w:t>
      </w:r>
      <w:r>
        <w:br/>
      </w:r>
      <w:r>
        <w:t xml:space="preserve">6.3 Assessment of proposed measure</w:t>
      </w:r>
      <w:r>
        <w:t xml:space="preserve"> </w:t>
      </w:r>
      <w:r>
        <w:t xml:space="preserve">Benefits: An EU format for the disclosure of costs provided to retail clients would make it easier</w:t>
      </w:r>
      <w:r>
        <w:t xml:space="preserve"> </w:t>
      </w:r>
      <w:r>
        <w:t xml:space="preserve">for retail investors to understand the impact of the different costs on the performance of their</w:t>
      </w:r>
      <w:r>
        <w:t xml:space="preserve"> </w:t>
      </w:r>
      <w:r>
        <w:t xml:space="preserve">considered or on-going investments. This would help achieve specific objective 1 ”Improve</w:t>
      </w:r>
      <w:r>
        <w:t xml:space="preserve"> </w:t>
      </w:r>
      <w:r>
        <w:t xml:space="preserve">information provided to investors and their ability to take well-informed investment decisions”.</w:t>
      </w:r>
      <w:r>
        <w:t xml:space="preserve"> </w:t>
      </w:r>
      <w:r>
        <w:t xml:space="preserve">This measure could facilitate the choice of a product that matches the retail client’s needs.</w:t>
      </w:r>
    </w:p>
    <w:p>
      <w:pPr>
        <w:pStyle w:val="BodyText"/>
      </w:pPr>
      <w:r>
        <w:t xml:space="preserve">Costs: This measure implies a one-off cost for the industry to adjust existing systems for the new</w:t>
      </w:r>
      <w:r>
        <w:t xml:space="preserve"> </w:t>
      </w:r>
      <w:r>
        <w:t xml:space="preserve">EU standardised formats for costs disclosure. This will require costs for the automated tools</w:t>
      </w:r>
    </w:p>
    <w:p>
      <w:pPr>
        <w:pStyle w:val="BodyText"/>
      </w:pPr>
      <w:r>
        <w:t xml:space="preserve">275 ESMA advice on retail investors protection, see point 19, page 8.</w:t>
      </w:r>
      <w:r>
        <w:t xml:space="preserve"> </w:t>
      </w:r>
      <w:r>
        <w:t xml:space="preserve">276 This would in particular concern the ex-ante costs and charges disclosure and the ex-post annual costs</w:t>
      </w:r>
      <w:r>
        <w:t xml:space="preserve"> </w:t>
      </w:r>
      <w:r>
        <w:t xml:space="preserve">statements.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usually developed by the industry for this kind of reporting. It may also require firms to adjust</w:t>
      </w:r>
      <w:r>
        <w:t xml:space="preserve"> </w:t>
      </w:r>
      <w:r>
        <w:t xml:space="preserve">their pricing strategy in view of the cost transparency this new format should bring and the</w:t>
      </w:r>
      <w:r>
        <w:t xml:space="preserve"> </w:t>
      </w:r>
      <w:r>
        <w:t xml:space="preserve">enhanced competition it might create. The exact impact will also depend on how the format is</w:t>
      </w:r>
      <w:r>
        <w:t xml:space="preserve"> </w:t>
      </w:r>
      <w:r>
        <w:t xml:space="preserve">developed, which will be assessed in the context of the development of the relevant Level 2.</w:t>
      </w:r>
    </w:p>
    <w:p>
      <w:pPr>
        <w:pStyle w:val="BodyText"/>
      </w:pPr>
      <w:r>
        <w:t xml:space="preserve">Affected groups of stakeholders:</w:t>
      </w:r>
    </w:p>
    <w:p>
      <w:pPr>
        <w:numPr>
          <w:ilvl w:val="0"/>
          <w:numId w:val="1028"/>
        </w:numPr>
      </w:pPr>
      <w:r>
        <w:t xml:space="preserve">Industry</w:t>
      </w:r>
      <w:r>
        <w:br/>
      </w:r>
      <w:r>
        <w:t xml:space="preserve">The industry would benefit from an EU template, as firms would no longer need to conceptualize</w:t>
      </w:r>
      <w:r>
        <w:t xml:space="preserve"> </w:t>
      </w:r>
      <w:r>
        <w:t xml:space="preserve">standards in-house. This does not apply to companies that have already established disclosure</w:t>
      </w:r>
      <w:r>
        <w:t xml:space="preserve"> </w:t>
      </w:r>
      <w:r>
        <w:t xml:space="preserve">formats, which would need to be realigned to the new template. Considering that firms already</w:t>
      </w:r>
      <w:r>
        <w:t xml:space="preserve"> </w:t>
      </w:r>
      <w:r>
        <w:t xml:space="preserve">have in place templates for costs disclosure, the implementation of the new standard will lead to</w:t>
      </w:r>
      <w:r>
        <w:t xml:space="preserve"> </w:t>
      </w:r>
      <w:r>
        <w:t xml:space="preserve">one-off compliance costs for investment firms and insurance undertakings.</w:t>
      </w:r>
    </w:p>
    <w:p>
      <w:pPr>
        <w:numPr>
          <w:ilvl w:val="0"/>
          <w:numId w:val="1028"/>
        </w:numPr>
      </w:pPr>
      <w:r>
        <w:t xml:space="preserve">Consumers</w:t>
      </w:r>
      <w:r>
        <w:t xml:space="preserve"> </w:t>
      </w:r>
      <w:r>
        <w:t xml:space="preserve">An EU standard for the information shown to clients would harmonise existing disclosures on</w:t>
      </w:r>
      <w:r>
        <w:t xml:space="preserve"> </w:t>
      </w:r>
      <w:r>
        <w:t xml:space="preserve">costs across different investment firms and insurance undertakings. Investors would benefit from</w:t>
      </w:r>
      <w:r>
        <w:t xml:space="preserve"> </w:t>
      </w:r>
      <w:r>
        <w:t xml:space="preserve">more and better streamlined transparency and would therefore be able to better compare costs</w:t>
      </w:r>
      <w:r>
        <w:t xml:space="preserve"> </w:t>
      </w:r>
      <w:r>
        <w:t xml:space="preserve">product-by-product.</w:t>
      </w:r>
    </w:p>
    <w:p>
      <w:pPr>
        <w:numPr>
          <w:ilvl w:val="0"/>
          <w:numId w:val="1028"/>
        </w:numPr>
      </w:pPr>
      <w:r>
        <w:t xml:space="preserve">Supervisors</w:t>
      </w:r>
      <w:r>
        <w:t xml:space="preserve"> </w:t>
      </w:r>
      <w:r>
        <w:t xml:space="preserve">The development of a standardized template would facilitate the work of supervisory authorities</w:t>
      </w:r>
      <w:r>
        <w:t xml:space="preserve"> </w:t>
      </w:r>
      <w:r>
        <w:t xml:space="preserve">as there would be less divergence between the documents they would have to review. It would</w:t>
      </w:r>
      <w:r>
        <w:t xml:space="preserve"> </w:t>
      </w:r>
      <w:r>
        <w:t xml:space="preserve">also provide supervisors with relevant and comparable data for their supervision. Furthermore, it</w:t>
      </w:r>
      <w:r>
        <w:t xml:space="preserve"> </w:t>
      </w:r>
      <w:r>
        <w:t xml:space="preserve">would allow them to check on a bigger scale the costs communicated ex-ante and the costs actually</w:t>
      </w:r>
      <w:r>
        <w:t xml:space="preserve"> </w:t>
      </w:r>
      <w:r>
        <w:t xml:space="preserve">charged to retail investors. No significant impact is expected on the resources of ESMA and</w:t>
      </w:r>
      <w:r>
        <w:t xml:space="preserve"> </w:t>
      </w:r>
      <w:r>
        <w:t xml:space="preserve">EIOPA, as their involvement and roles under this option can be performed as part of their existing</w:t>
      </w:r>
      <w:r>
        <w:t xml:space="preserve"> </w:t>
      </w:r>
      <w:r>
        <w:t xml:space="preserve">regulatory and supervisory work.</w:t>
      </w:r>
    </w:p>
    <w:p>
      <w:pPr>
        <w:pStyle w:val="FirstParagraph"/>
      </w:pPr>
      <w:r>
        <w:t xml:space="preserve">Based on the assessment above, measure F would bring useful benefits and increase coherence</w:t>
      </w:r>
      <w:r>
        <w:t xml:space="preserve"> </w:t>
      </w:r>
      <w:r>
        <w:t xml:space="preserve">within MiFID and IDD. As such, it has been selected to be part of the preferred option.</w:t>
      </w:r>
    </w:p>
    <w:p>
      <w:pPr>
        <w:pStyle w:val="BodyText"/>
      </w:pPr>
      <w:r>
        <w:t xml:space="preserve">Option 3 – Addressing shortcomings in relation to marketing communications</w:t>
      </w:r>
    </w:p>
    <w:p>
      <w:pPr>
        <w:pStyle w:val="Compact"/>
        <w:numPr>
          <w:ilvl w:val="0"/>
          <w:numId w:val="1029"/>
        </w:numPr>
      </w:pPr>
      <w:r>
        <w:t xml:space="preserve">Addressing the relevance of information in marketing communications</w:t>
      </w:r>
    </w:p>
    <w:p>
      <w:pPr>
        <w:pStyle w:val="FirstParagraph"/>
      </w:pPr>
      <w:r>
        <w:t xml:space="preserve">7.1 Problem description</w:t>
      </w:r>
      <w:r>
        <w:br/>
      </w:r>
      <w:r>
        <w:t xml:space="preserve">Retail investors currently receive abundant information about investment products and services,</w:t>
      </w:r>
      <w:r>
        <w:t xml:space="preserve"> </w:t>
      </w:r>
      <w:r>
        <w:t xml:space="preserve">through multiple sources, including marketing communications. Considering the complexity and</w:t>
      </w:r>
      <w:r>
        <w:t xml:space="preserve"> </w:t>
      </w:r>
      <w:r>
        <w:t xml:space="preserve">abundance of the information provided, retail investors are often inclined to base their decisions</w:t>
      </w:r>
      <w:r>
        <w:t xml:space="preserve"> </w:t>
      </w:r>
      <w:r>
        <w:t xml:space="preserve">on retail-friendly marketing information277. Such information can consequently play a key role in</w:t>
      </w:r>
      <w:r>
        <w:t xml:space="preserve"> </w:t>
      </w:r>
      <w:r>
        <w:t xml:space="preserve">investment decisions, particularly if it is the first information that retail investors receive. This is</w:t>
      </w:r>
    </w:p>
    <w:p>
      <w:pPr>
        <w:pStyle w:val="BodyText"/>
      </w:pPr>
      <w:r>
        <w:t xml:space="preserve">277 ESMA advice on retail investor protection, point 108, and in particular 2021 AMF study into investment scams: “</w:t>
      </w:r>
      <w:r>
        <w:t xml:space="preserve"> </w:t>
      </w:r>
      <w:r>
        <w:t xml:space="preserve">Considering that social media have therefore become a source for investors to base investment decision upon, it is</w:t>
      </w:r>
      <w:r>
        <w:t xml:space="preserve"> </w:t>
      </w:r>
      <w:r>
        <w:t xml:space="preserve">important that communications on social media platforms are compliant and monitored timely.” Also October</w:t>
      </w:r>
      <w:r>
        <w:t xml:space="preserve"> </w:t>
      </w:r>
      <w:r>
        <w:t xml:space="preserve">2021 UK FCA press release: “58% of younger high-risk investors say that both a hype on social media and in the</w:t>
      </w:r>
      <w:r>
        <w:t xml:space="preserve"> </w:t>
      </w:r>
      <w:r>
        <w:t xml:space="preserve">news lies behind their investment decisions.”.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due to the fact that individuals tend to be more influenced by the first piece of information they</w:t>
      </w:r>
      <w:r>
        <w:t xml:space="preserve"> </w:t>
      </w:r>
      <w:r>
        <w:t xml:space="preserve">receive (put more focus on it) in relation to a specific product278.</w:t>
      </w:r>
    </w:p>
    <w:p>
      <w:pPr>
        <w:pStyle w:val="BodyText"/>
      </w:pPr>
      <w:r>
        <w:t xml:space="preserve">Source: IOSCO report on retail distribution and digitalisation – October 2022</w:t>
      </w:r>
      <w:r>
        <w:t xml:space="preserve"> </w:t>
      </w:r>
      <w:r>
        <w:t xml:space="preserve">Figure:</w:t>
      </w:r>
    </w:p>
    <w:p>
      <w:pPr>
        <w:pStyle w:val="BodyText"/>
      </w:pPr>
      <w:r>
        <w:t xml:space="preserve">Identifying key information in marketing communications can be difficult for retail investors, as</w:t>
      </w:r>
      <w:r>
        <w:t xml:space="preserve"> </w:t>
      </w:r>
      <w:r>
        <w:t xml:space="preserve">some material information (e.g. on the costs or the risks) may be hidden or missing,279 or the way</w:t>
      </w:r>
      <w:r>
        <w:t xml:space="preserve"> </w:t>
      </w:r>
      <w:r>
        <w:t xml:space="preserve">key information is presented may not be appealing (e.g. presentation of risky or inappropriate</w:t>
      </w:r>
      <w:r>
        <w:t xml:space="preserve"> </w:t>
      </w:r>
      <w:r>
        <w:t xml:space="preserve">elements in particular may be minimised compared to a more prominent presentation of positive</w:t>
      </w:r>
      <w:r>
        <w:t xml:space="preserve"> </w:t>
      </w:r>
      <w:r>
        <w:t xml:space="preserve">and attractive elements)280. Unbalanced presentation causes informational deficiencies that hinder</w:t>
      </w:r>
      <w:r>
        <w:t xml:space="preserve"> </w:t>
      </w:r>
      <w:r>
        <w:t xml:space="preserve">the ability of investors to make well-informed decisions and is particularly impactful in the context</w:t>
      </w:r>
      <w:r>
        <w:t xml:space="preserve"> </w:t>
      </w:r>
      <w:r>
        <w:t xml:space="preserve">of an increasing use of digital channels for retail investing.</w:t>
      </w:r>
    </w:p>
    <w:p>
      <w:pPr>
        <w:pStyle w:val="BodyText"/>
      </w:pPr>
      <w:r>
        <w:t xml:space="preserve">In a digital context, retail investors are often exposed to influences from social media and online</w:t>
      </w:r>
      <w:r>
        <w:t xml:space="preserve"> </w:t>
      </w:r>
      <w:r>
        <w:t xml:space="preserve">channels (see table above). Online marketing tools in particular present risks, such as the</w:t>
      </w:r>
      <w:r>
        <w:t xml:space="preserve"> </w:t>
      </w:r>
      <w:r>
        <w:t xml:space="preserve">possibility for firms to exploit investors’ biases, to target inappropriate market segments, to push</w:t>
      </w:r>
    </w:p>
    <w:p>
      <w:pPr>
        <w:pStyle w:val="BodyText"/>
      </w:pPr>
      <w:r>
        <w:t xml:space="preserve">278 ESMA advice on retail investor protection, point 22: “ESMA notes the key role that marketing communications</w:t>
      </w:r>
      <w:r>
        <w:t xml:space="preserve"> </w:t>
      </w:r>
      <w:r>
        <w:t xml:space="preserve">can play in determining consumer behaviour and influencing investment decisions, especially considering the</w:t>
      </w:r>
      <w:r>
        <w:t xml:space="preserve"> </w:t>
      </w:r>
      <w:r>
        <w:t xml:space="preserve">phenomenon of ‘anchoring bias’ that makes people be over reliant on the first piece of information they receive.</w:t>
      </w:r>
      <w:r>
        <w:t xml:space="preserve"> </w:t>
      </w:r>
      <w:r>
        <w:t xml:space="preserve">For many retail investors, decisions about if and how to invest are significantly influenced by information conveyed</w:t>
      </w:r>
      <w:r>
        <w:t xml:space="preserve"> </w:t>
      </w:r>
      <w:r>
        <w:t xml:space="preserve">in marketing communications. Retail investors who are subject to misleading marketing communications are more</w:t>
      </w:r>
      <w:r>
        <w:t xml:space="preserve"> </w:t>
      </w:r>
      <w:r>
        <w:t xml:space="preserve">likely to be mis-sold an unsuitable/inappropriate financial product and service, even where correct information is</w:t>
      </w:r>
      <w:r>
        <w:t xml:space="preserve"> </w:t>
      </w:r>
      <w:r>
        <w:t xml:space="preserve">provided through regulatory disclosures (such as PRIIPs KIDs or UCITS KIIDs).”.</w:t>
      </w:r>
      <w:r>
        <w:t xml:space="preserve"> </w:t>
      </w:r>
      <w:r>
        <w:t xml:space="preserve">279 ESMA advice on retail investor protection: point 37.</w:t>
      </w:r>
      <w:r>
        <w:t xml:space="preserve"> </w:t>
      </w:r>
      <w:r>
        <w:t xml:space="preserve">280 ESMA advice on retail investor protection, pages 10 and 14.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unsuitable products281 or to distort the investor’s ability to appreciate risks and costs282. Marketing</w:t>
      </w:r>
      <w:r>
        <w:t xml:space="preserve"> </w:t>
      </w:r>
      <w:r>
        <w:t xml:space="preserve">techniques can also use segmentation, personalisation and retargeting methods that exploit</w:t>
      </w:r>
      <w:r>
        <w:t xml:space="preserve"> </w:t>
      </w:r>
      <w:r>
        <w:t xml:space="preserve">investors’ biases283, as well as product placements, enticements and reward schemes via social</w:t>
      </w:r>
      <w:r>
        <w:t xml:space="preserve"> </w:t>
      </w:r>
      <w:r>
        <w:t xml:space="preserve">media and influencers284. The use of behavioral biases and the lack of financial education result in</w:t>
      </w:r>
      <w:r>
        <w:t xml:space="preserve"> </w:t>
      </w:r>
      <w:r>
        <w:t xml:space="preserve">consumers taking ill-informed choices and doing so on the basis of information or advice they</w:t>
      </w:r>
      <w:r>
        <w:t xml:space="preserve"> </w:t>
      </w:r>
      <w:r>
        <w:t xml:space="preserve">might not have consciously perceived. Such digital marketing approaches present particular</w:t>
      </w:r>
      <w:r>
        <w:t xml:space="preserve"> </w:t>
      </w:r>
      <w:r>
        <w:t xml:space="preserve">challenges in regulation, especially where the marketing is carried out by a third party, such as an</w:t>
      </w:r>
      <w:r>
        <w:t xml:space="preserve"> </w:t>
      </w:r>
      <w:r>
        <w:t xml:space="preserve">influencer, and not directly by the firm.</w:t>
      </w:r>
    </w:p>
    <w:p>
      <w:pPr>
        <w:pStyle w:val="BodyText"/>
      </w:pPr>
      <w:r>
        <w:t xml:space="preserve">According to the aforementioned IOSCO’s study, 10% of surveyed firms already use influencer</w:t>
      </w:r>
      <w:r>
        <w:t xml:space="preserve"> </w:t>
      </w:r>
      <w:r>
        <w:t xml:space="preserve">marketing, and the majority are considering increasing or starting to use influencers as part of their</w:t>
      </w:r>
      <w:r>
        <w:t xml:space="preserve"> </w:t>
      </w:r>
      <w:r>
        <w:t xml:space="preserve">marketing strategy285. The growing interest of firms to use influencers is taking place in a context</w:t>
      </w:r>
      <w:r>
        <w:t xml:space="preserve"> </w:t>
      </w:r>
      <w:r>
        <w:t xml:space="preserve">of growing use of social media by retail investors. The December 2021 Dutch AFM’s study into</w:t>
      </w:r>
      <w:r>
        <w:t xml:space="preserve"> </w:t>
      </w:r>
      <w:r>
        <w:t xml:space="preserve">financial influencers286 showed that 15% of execution-only investors with less than two years of</w:t>
      </w:r>
      <w:r>
        <w:t xml:space="preserve"> </w:t>
      </w:r>
      <w:r>
        <w:t xml:space="preserve">investment experience use social media as a source of information. These percentages have likely</w:t>
      </w:r>
      <w:r>
        <w:t xml:space="preserve"> </w:t>
      </w:r>
      <w:r>
        <w:t xml:space="preserve">further increased in the meantime, emphasizing the need for clarification in this area. The French</w:t>
      </w:r>
      <w:r>
        <w:t xml:space="preserve"> </w:t>
      </w:r>
      <w:r>
        <w:t xml:space="preserve">AMF has also been paying specific attention to the growing trend of influencers in the financial</w:t>
      </w:r>
      <w:r>
        <w:t xml:space="preserve"> </w:t>
      </w:r>
      <w:r>
        <w:t xml:space="preserve">products and services sphere, in particular by developing an educational module in partnership</w:t>
      </w:r>
      <w:r>
        <w:t xml:space="preserve"> </w:t>
      </w:r>
      <w:r>
        <w:t xml:space="preserve">with the French ARPP (Advertising Self-regulatory Organisation) on best practices and rules</w:t>
      </w:r>
      <w:r>
        <w:t xml:space="preserve"> </w:t>
      </w:r>
      <w:r>
        <w:t xml:space="preserve">applicable to influencer campaigns and communications on financial products and services.</w:t>
      </w:r>
      <w:r>
        <w:t xml:space="preserve"> </w:t>
      </w:r>
      <w:r>
        <w:t xml:space="preserve">Influencing practices are also being scrutinized in other jurisdictions (e.g. the US, where a recent</w:t>
      </w:r>
      <w:r>
        <w:t xml:space="preserve"> </w:t>
      </w:r>
      <w:r>
        <w:t xml:space="preserve">SEC ruling explicitly required disclosure by influencers of the remuneration they receive for the</w:t>
      </w:r>
      <w:r>
        <w:t xml:space="preserve"> </w:t>
      </w:r>
      <w:r>
        <w:t xml:space="preserve">placement or advertisement of financial services or products287). ESMA has also highlighted that</w:t>
      </w:r>
      <w:r>
        <w:t xml:space="preserve"> </w:t>
      </w:r>
      <w:r>
        <w:t xml:space="preserve">finfluencers, which are already required to flag sponsored posts under general advertising rules,</w:t>
      </w:r>
      <w:r>
        <w:t xml:space="preserve"> </w:t>
      </w:r>
      <w:r>
        <w:t xml:space="preserve">should also comply with rules for financial products and services communications and ensure that</w:t>
      </w:r>
      <w:r>
        <w:t xml:space="preserve"> </w:t>
      </w:r>
      <w:r>
        <w:t xml:space="preserve">the information they present is ’fair, clear, and not misleading’288.</w:t>
      </w:r>
      <w:r>
        <w:t xml:space="preserve"> </w:t>
      </w:r>
      <w:r>
        <w:t xml:space="preserve">The use of behavioural biases of consumers, through gamification techniques and techniques that</w:t>
      </w:r>
      <w:r>
        <w:t xml:space="preserve"> </w:t>
      </w:r>
      <w:r>
        <w:t xml:space="preserve">present certain information more prominently, or in other cases ‘hidden’, is also increasing and</w:t>
      </w:r>
      <w:r>
        <w:t xml:space="preserve"> </w:t>
      </w:r>
      <w:r>
        <w:t xml:space="preserve">becoming a source of concern289. Such techniques, when applied to communications by firms, can</w:t>
      </w:r>
    </w:p>
    <w:p>
      <w:pPr>
        <w:pStyle w:val="BodyText"/>
      </w:pPr>
      <w:r>
        <w:t xml:space="preserve">281 IOSCO report on retail distribution and digitalisation, page 6.</w:t>
      </w:r>
      <w:r>
        <w:t xml:space="preserve"> </w:t>
      </w:r>
      <w:r>
        <w:t xml:space="preserve">282 ESMA report on the European Commission mandate on certain aspects relating to retail investor protection</w:t>
      </w:r>
      <w:r>
        <w:br/>
      </w:r>
      <w:r>
        <w:t xml:space="preserve">283 IOSCO report on retail distribution and digitalisation “While marketing communications, in particular through</w:t>
      </w:r>
      <w:r>
        <w:t xml:space="preserve"> </w:t>
      </w:r>
      <w:r>
        <w:t xml:space="preserve">digital means, presents certain benefits for retail investors, in particular in terms of flexibility, convenience and</w:t>
      </w:r>
      <w:r>
        <w:t xml:space="preserve"> </w:t>
      </w:r>
      <w:r>
        <w:t xml:space="preserve">ease of access to the information, they also present potential risks such as biasing investors’ choice, unsolicited</w:t>
      </w:r>
      <w:r>
        <w:t xml:space="preserve"> </w:t>
      </w:r>
      <w:r>
        <w:t xml:space="preserve">offers, offers targeting an inappropriate segment, pushing towards unsuitable products, increased misconduct,</w:t>
      </w:r>
      <w:r>
        <w:t xml:space="preserve"> </w:t>
      </w:r>
      <w:r>
        <w:t xml:space="preserve">difficulties for competent authorities to control the digital marketing, enforcement challenges, etc”.</w:t>
      </w:r>
      <w:r>
        <w:t xml:space="preserve"> </w:t>
      </w:r>
      <w:r>
        <w:t xml:space="preserve">284 This is seen especially in relation to the advertisement of more volatile and risky products, such as crypto assets</w:t>
      </w:r>
      <w:r>
        <w:t xml:space="preserve"> </w:t>
      </w:r>
      <w:r>
        <w:t xml:space="preserve">285 IOSCO report on retail distribution and digitalisation – pages 16 and 17.</w:t>
      </w:r>
      <w:r>
        <w:t xml:space="preserve"> </w:t>
      </w:r>
      <w:r>
        <w:t xml:space="preserve">286 See: AFM - the pitfalls of finfluencing.</w:t>
      </w:r>
      <w:r>
        <w:br/>
      </w:r>
      <w:r>
        <w:t xml:space="preserve">287 In the US, Section 17(b) of the Securities Act makes it unlawful for any person to: “publish, give publicity to, or</w:t>
      </w:r>
      <w:r>
        <w:t xml:space="preserve"> </w:t>
      </w:r>
      <w:r>
        <w:t xml:space="preserve">circulate any notice, circular, advertisement, newspaper, article, letter, investment service, or communication</w:t>
      </w:r>
      <w:r>
        <w:t xml:space="preserve"> </w:t>
      </w:r>
      <w:r>
        <w:t xml:space="preserve">which, though not purporting to offer a security for sale, describes such security for a consideration received or to</w:t>
      </w:r>
      <w:r>
        <w:t xml:space="preserve"> </w:t>
      </w:r>
      <w:r>
        <w:t xml:space="preserve">be received, directly or indirectly, from an issuer, underwriter, or dealer, without fully disclosing the receipt,</w:t>
      </w:r>
      <w:r>
        <w:t xml:space="preserve"> </w:t>
      </w:r>
      <w:r>
        <w:t xml:space="preserve">whether past or prospective, of such consideration and the amount thereof.</w:t>
      </w:r>
      <w:r>
        <w:t xml:space="preserve"> </w:t>
      </w:r>
      <w:r>
        <w:t xml:space="preserve">288 ESMA advice on retail investor protection: point 113, page 35.</w:t>
      </w:r>
      <w:r>
        <w:t xml:space="preserve"> </w:t>
      </w:r>
      <w:r>
        <w:t xml:space="preserve">289 ESMA advice on retail investors protection: page 27.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entice consumers to purchase a product or use a service. This can be achieved through various</w:t>
      </w:r>
      <w:r>
        <w:t xml:space="preserve"> </w:t>
      </w:r>
      <w:r>
        <w:t xml:space="preserve">techniques, such as use of limited offers, reward programs, sign-up bonuses, etc.290.</w:t>
      </w:r>
      <w:r>
        <w:br/>
      </w:r>
      <w:r>
        <w:t xml:space="preserve">In order to the protect retail investors from misleading or harmful marketing practices, it is</w:t>
      </w:r>
      <w:r>
        <w:t xml:space="preserve"> </w:t>
      </w:r>
      <w:r>
        <w:t xml:space="preserve">important that online activities, in particularly through third parties, such as influencers, are</w:t>
      </w:r>
      <w:r>
        <w:t xml:space="preserve"> </w:t>
      </w:r>
      <w:r>
        <w:t xml:space="preserve">covered by the existing rules on marketing and fall under the responsibility of the relevant</w:t>
      </w:r>
      <w:r>
        <w:t xml:space="preserve"> </w:t>
      </w:r>
      <w:r>
        <w:t xml:space="preserve">investment firm or insurance undertaking. However, as indicated in the ESMA advice on retail</w:t>
      </w:r>
      <w:r>
        <w:t xml:space="preserve"> </w:t>
      </w:r>
      <w:r>
        <w:t xml:space="preserve">investor protection, there is confusion in the application of the definition of marketing</w:t>
      </w:r>
      <w:r>
        <w:t xml:space="preserve"> </w:t>
      </w:r>
      <w:r>
        <w:t xml:space="preserve">communications as to whether online advertising and firms’ private messages to clients and</w:t>
      </w:r>
      <w:r>
        <w:t xml:space="preserve"> </w:t>
      </w:r>
      <w:r>
        <w:t xml:space="preserve">potential clients on social media fall under this definition291, both when communicated directly by</w:t>
      </w:r>
      <w:r>
        <w:t xml:space="preserve"> </w:t>
      </w:r>
      <w:r>
        <w:t xml:space="preserve">the firm or through third parties’ social media (i.e. ‘finfluencers’ who operate on behalf of financial</w:t>
      </w:r>
      <w:r>
        <w:t xml:space="preserve"> </w:t>
      </w:r>
      <w:r>
        <w:t xml:space="preserve">service providers).</w:t>
      </w:r>
      <w:r>
        <w:br/>
      </w:r>
      <w:r>
        <w:t xml:space="preserve">NCAs also face significant challenges in monitoring new forms of marketing communications, for</w:t>
      </w:r>
      <w:r>
        <w:t xml:space="preserve"> </w:t>
      </w:r>
      <w:r>
        <w:t xml:space="preserve">instance as regards the use of finfluencers by firms or other developing means to engage clients</w:t>
      </w:r>
      <w:r>
        <w:t xml:space="preserve"> </w:t>
      </w:r>
      <w:r>
        <w:t xml:space="preserve">via third parties through social media292. While it should be clear that the outsourcing of marketing</w:t>
      </w:r>
      <w:r>
        <w:t xml:space="preserve"> </w:t>
      </w:r>
      <w:r>
        <w:t xml:space="preserve">to an influencer is ultimately the responsibility of the (management of the) financial service</w:t>
      </w:r>
      <w:r>
        <w:t xml:space="preserve"> </w:t>
      </w:r>
      <w:r>
        <w:t xml:space="preserve">provider, who should monitor whether the information provided by finfluencers complies with the</w:t>
      </w:r>
      <w:r>
        <w:t xml:space="preserve"> </w:t>
      </w:r>
      <w:r>
        <w:t xml:space="preserve">necessary regulation, ESMA and EIOPA consider that more detailed rules on the control and</w:t>
      </w:r>
      <w:r>
        <w:t xml:space="preserve"> </w:t>
      </w:r>
      <w:r>
        <w:t xml:space="preserve">oversight to be exercised by investment firms and insurance companies on marketing</w:t>
      </w:r>
      <w:r>
        <w:t xml:space="preserve"> </w:t>
      </w:r>
      <w:r>
        <w:t xml:space="preserve">communications is necessary to ensure a consistent approach across all Member States. A majority</w:t>
      </w:r>
      <w:r>
        <w:t xml:space="preserve"> </w:t>
      </w:r>
      <w:r>
        <w:t xml:space="preserve">of respondents in the public consultation considered that there was a need for further EU</w:t>
      </w:r>
      <w:r>
        <w:t xml:space="preserve"> </w:t>
      </w:r>
      <w:r>
        <w:t xml:space="preserve">coordination/harmonisation of national rules on online advertising and marketing of investment</w:t>
      </w:r>
      <w:r>
        <w:t xml:space="preserve"> </w:t>
      </w:r>
      <w:r>
        <w:t xml:space="preserve">products293.</w:t>
      </w:r>
      <w:r>
        <w:br/>
      </w:r>
      <w:r>
        <w:t xml:space="preserve">7.2 Proposed measures</w:t>
      </w:r>
    </w:p>
    <w:p>
      <w:pPr>
        <w:pStyle w:val="BodyText"/>
      </w:pPr>
      <w:r>
        <w:t xml:space="preserve">Proposed measure G1: introduction of vital information in marketing communications</w:t>
      </w:r>
      <w:r>
        <w:br/>
      </w:r>
      <w:r>
        <w:t xml:space="preserve">Under this measure, the existing requirements on marketing communications would be</w:t>
      </w:r>
      <w:r>
        <w:t xml:space="preserve"> </w:t>
      </w:r>
      <w:r>
        <w:t xml:space="preserve">strengthened by requiring firms (and where relevant third parties) to include all “vital information”</w:t>
      </w:r>
      <w:r>
        <w:t xml:space="preserve"> </w:t>
      </w:r>
      <w:r>
        <w:t xml:space="preserve">in marketing communications relating to financial products and services. Such vital information</w:t>
      </w:r>
      <w:r>
        <w:t xml:space="preserve"> </w:t>
      </w:r>
      <w:r>
        <w:t xml:space="preserve">(i.e. essential characteristics of the product or the service) should appear in a prominent way and</w:t>
      </w:r>
      <w:r>
        <w:t xml:space="preserve"> </w:t>
      </w:r>
      <w:r>
        <w:t xml:space="preserve">be accessible at a glance, in all marketing communications294. The Commission would be</w:t>
      </w:r>
      <w:r>
        <w:t xml:space="preserve"> </w:t>
      </w:r>
      <w:r>
        <w:t xml:space="preserve">empowered to adopt a delegated act to specify the essential characteristics of financial</w:t>
      </w:r>
      <w:r>
        <w:t xml:space="preserve"> </w:t>
      </w:r>
      <w:r>
        <w:t xml:space="preserve">instrument(s) or investment and ancillary service(s) to be disclosed in all marketing</w:t>
      </w:r>
      <w:r>
        <w:t xml:space="preserve"> </w:t>
      </w:r>
      <w:r>
        <w:t xml:space="preserve">communications targeting retail clients.</w:t>
      </w:r>
    </w:p>
    <w:p>
      <w:pPr>
        <w:pStyle w:val="BodyText"/>
      </w:pPr>
      <w:r>
        <w:t xml:space="preserve">The vital information to be displayed should ensure that retail investors get an easy overview of</w:t>
      </w:r>
      <w:r>
        <w:t xml:space="preserve"> </w:t>
      </w:r>
      <w:r>
        <w:t xml:space="preserve">the key product features of the financial instruments, including the main risks. This necessity of</w:t>
      </w:r>
    </w:p>
    <w:p>
      <w:pPr>
        <w:pStyle w:val="BodyText"/>
      </w:pPr>
      <w:r>
        <w:t xml:space="preserve">290 The UK FCA for example has also noted that utilisation of techniques such as the offer of sign-up bonuses can</w:t>
      </w:r>
      <w:r>
        <w:t xml:space="preserve"> </w:t>
      </w:r>
      <w:r>
        <w:t xml:space="preserve">induce consumers to invest, UK FCA CP 22/2, page 26</w:t>
      </w:r>
      <w:r>
        <w:t xml:space="preserve"> </w:t>
      </w:r>
      <w:r>
        <w:t xml:space="preserve">291 ESMA advice on retail investor protection, page 9, point 21.</w:t>
      </w:r>
      <w:r>
        <w:t xml:space="preserve"> </w:t>
      </w:r>
      <w:r>
        <w:t xml:space="preserve">292 ESMA advice on retail investor protection, page 11, point 25.</w:t>
      </w:r>
      <w:r>
        <w:t xml:space="preserve"> </w:t>
      </w:r>
      <w:r>
        <w:t xml:space="preserve">293 See 2021 Public consultation, Q3.6.</w:t>
      </w:r>
      <w:r>
        <w:t xml:space="preserve"> </w:t>
      </w:r>
      <w:r>
        <w:t xml:space="preserve">294 In the ESMA advice on retail investor protection (see point 42, page 15), ESMA considers that vital information</w:t>
      </w:r>
      <w:r>
        <w:t xml:space="preserve"> </w:t>
      </w:r>
      <w:r>
        <w:t xml:space="preserve">should appear in all marketing communication, including where such communication is in the form of extremely</w:t>
      </w:r>
      <w:r>
        <w:t xml:space="preserve"> </w:t>
      </w:r>
      <w:r>
        <w:t xml:space="preserve">brief social media messages.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this measure is reflected in the strong growth of the use of online marketing295 over the past ten</w:t>
      </w:r>
      <w:r>
        <w:t xml:space="preserve"> </w:t>
      </w:r>
      <w:r>
        <w:t xml:space="preserve">years and future trends296 for the increasing use of such marketing tools297.</w:t>
      </w:r>
    </w:p>
    <w:p>
      <w:pPr>
        <w:pStyle w:val="BodyText"/>
      </w:pPr>
      <w:r>
        <w:t xml:space="preserve">Proposed measure G2: inclusion of a definition of “marketing communication” under MiFID</w:t>
      </w:r>
      <w:r>
        <w:t xml:space="preserve"> </w:t>
      </w:r>
      <w:r>
        <w:t xml:space="preserve">and IDD</w:t>
      </w:r>
    </w:p>
    <w:p>
      <w:pPr>
        <w:pStyle w:val="BodyText"/>
      </w:pPr>
      <w:r>
        <w:t xml:space="preserve">Under this measure, a definition of marketing communication would be introduced in MiFID II</w:t>
      </w:r>
      <w:r>
        <w:t xml:space="preserve"> </w:t>
      </w:r>
      <w:r>
        <w:t xml:space="preserve">and IDD to provide clarity as to the application of the existing rules on activities that are to be</w:t>
      </w:r>
      <w:r>
        <w:t xml:space="preserve"> </w:t>
      </w:r>
      <w:r>
        <w:t xml:space="preserve">considered as marketing communication, in particular as it is used in a digital environment. A</w:t>
      </w:r>
      <w:r>
        <w:t xml:space="preserve"> </w:t>
      </w:r>
      <w:r>
        <w:t xml:space="preserve">definition of marketing communication would ensure better compliance with existing MIFID II</w:t>
      </w:r>
      <w:r>
        <w:t xml:space="preserve"> </w:t>
      </w:r>
      <w:r>
        <w:t xml:space="preserve">and IDD rules and a provide clearer mandate for enforcement.</w:t>
      </w:r>
    </w:p>
    <w:p>
      <w:pPr>
        <w:pStyle w:val="BodyText"/>
      </w:pPr>
      <w:r>
        <w:t xml:space="preserve">MiFID II states298 that “all information, including marketing communications, addressed by the</w:t>
      </w:r>
      <w:r>
        <w:t xml:space="preserve"> </w:t>
      </w:r>
      <w:r>
        <w:t xml:space="preserve">investment firm to clients or potential clients shall be fair, clear and not misleading. Marketing</w:t>
      </w:r>
      <w:r>
        <w:t xml:space="preserve"> </w:t>
      </w:r>
      <w:r>
        <w:t xml:space="preserve">communications shall be clearly identifiable as such”. However, MiFID II does not provide for a</w:t>
      </w:r>
      <w:r>
        <w:t xml:space="preserve"> </w:t>
      </w:r>
      <w:r>
        <w:t xml:space="preserve">specific definition of “marketing communication” and has no explicit provisions that apply to the</w:t>
      </w:r>
      <w:r>
        <w:t xml:space="preserve"> </w:t>
      </w:r>
      <w:r>
        <w:t xml:space="preserve">digital marketing of financial products and services. Delegated Regulation 2017/565 provides</w:t>
      </w:r>
      <w:r>
        <w:t xml:space="preserve"> </w:t>
      </w:r>
      <w:r>
        <w:t xml:space="preserve">some clarifications and requirements299 as to the need for the marketing materials to be fair, clear,</w:t>
      </w:r>
      <w:r>
        <w:t xml:space="preserve"> </w:t>
      </w:r>
      <w:r>
        <w:t xml:space="preserve">not misleading and consistent with any information provided by the firm to its clients in the course</w:t>
      </w:r>
      <w:r>
        <w:t xml:space="preserve"> </w:t>
      </w:r>
      <w:r>
        <w:t xml:space="preserve">of providing investment and ancillary services. It also includes precise requirements as to the</w:t>
      </w:r>
      <w:r>
        <w:t xml:space="preserve"> </w:t>
      </w:r>
      <w:r>
        <w:t xml:space="preserve">content of the marketing communication300. The same Delegated Regulation also specifies301 that</w:t>
      </w:r>
      <w:r>
        <w:t xml:space="preserve"> </w:t>
      </w:r>
      <w:r>
        <w:t xml:space="preserve">a recommendation as defined in Article 3.1, point 35, of the Market Abuse Regulation (MAR)302,</w:t>
      </w:r>
      <w:r>
        <w:t xml:space="preserve"> </w:t>
      </w:r>
      <w:r>
        <w:t xml:space="preserve">not meeting the conditions to be qualified as investment research shall be treated as a marketing</w:t>
      </w:r>
      <w:r>
        <w:t xml:space="preserve"> </w:t>
      </w:r>
      <w:r>
        <w:t xml:space="preserve">communication and clearly identified as such. However, those requirements do not address, or not</w:t>
      </w:r>
      <w:r>
        <w:t xml:space="preserve"> </w:t>
      </w:r>
      <w:r>
        <w:t xml:space="preserve">properly enough, the identified problems, especially in a digital context.</w:t>
      </w:r>
    </w:p>
    <w:p>
      <w:pPr>
        <w:pStyle w:val="BodyText"/>
      </w:pPr>
      <w:r>
        <w:t xml:space="preserve">The proposed measure would clarify the concept of marketing communication in MiFID II and</w:t>
      </w:r>
      <w:r>
        <w:t xml:space="preserve"> </w:t>
      </w:r>
      <w:r>
        <w:t xml:space="preserve">IDD to ensure that all marketing communications and advertising (in particular those carried out</w:t>
      </w:r>
      <w:r>
        <w:t xml:space="preserve"> </w:t>
      </w:r>
      <w:r>
        <w:t xml:space="preserve">digitally), made directly or indirectly by an investment firm (including through third parties, such</w:t>
      </w:r>
      <w:r>
        <w:t xml:space="preserve"> </w:t>
      </w:r>
      <w:r>
        <w:t xml:space="preserve">as influencers) in any format and using any marketing techniques, with the aim to offer, market,</w:t>
      </w:r>
      <w:r>
        <w:t xml:space="preserve"> </w:t>
      </w:r>
      <w:r>
        <w:t xml:space="preserve">recommend, suggest or entice any investment in, or promote, in a direct or indirect way, any</w:t>
      </w:r>
      <w:r>
        <w:t xml:space="preserve"> </w:t>
      </w:r>
      <w:r>
        <w:t xml:space="preserve">specific financial products or services under MiFID II and IDD or the activities of firms falling</w:t>
      </w:r>
    </w:p>
    <w:p>
      <w:pPr>
        <w:pStyle w:val="BodyText"/>
      </w:pPr>
      <w:r>
        <w:t xml:space="preserve">295 IOSCO report on retail distribution and digitalisation, page 15.</w:t>
      </w:r>
      <w:r>
        <w:t xml:space="preserve"> </w:t>
      </w:r>
      <w:r>
        <w:t xml:space="preserve">296 Idem – see page 18.</w:t>
      </w:r>
      <w:r>
        <w:t xml:space="preserve"> </w:t>
      </w:r>
      <w:r>
        <w:t xml:space="preserve">297 It would also reflect, as mentioned by ESMA in its advice on retail investors protection, “the key role that</w:t>
      </w:r>
      <w:r>
        <w:t xml:space="preserve"> </w:t>
      </w:r>
      <w:r>
        <w:t xml:space="preserve">marketing communications can play in determining consumer behaviour and influencing investment decisions,</w:t>
      </w:r>
      <w:r>
        <w:t xml:space="preserve"> </w:t>
      </w:r>
      <w:r>
        <w:t xml:space="preserve">especially considering the phenomenon of ‘anchoring bias’ that makes people be over reliant on the first piece of</w:t>
      </w:r>
      <w:r>
        <w:t xml:space="preserve"> </w:t>
      </w:r>
      <w:r>
        <w:t xml:space="preserve">information they receive”. Reason why, according to ESMA, “vital information should also be disclosed in marketing</w:t>
      </w:r>
      <w:r>
        <w:t xml:space="preserve"> </w:t>
      </w:r>
      <w:r>
        <w:t xml:space="preserve">communications, to avoid that such communications are only highlighting the potential gains and do not mention,</w:t>
      </w:r>
      <w:r>
        <w:t xml:space="preserve"> </w:t>
      </w:r>
      <w:r>
        <w:t xml:space="preserve">or hide, the costs and risks”.</w:t>
      </w:r>
      <w:r>
        <w:t xml:space="preserve"> </w:t>
      </w:r>
      <w:r>
        <w:t xml:space="preserve">298 MIFID II Article 24.4.</w:t>
      </w:r>
      <w:r>
        <w:t xml:space="preserve"> </w:t>
      </w:r>
      <w:r>
        <w:t xml:space="preserve">299 Delegated Regulation 2017/565 art 44.2 f) , article 46.5.</w:t>
      </w:r>
      <w:r>
        <w:t xml:space="preserve"> </w:t>
      </w:r>
      <w:r>
        <w:t xml:space="preserve">300 See Articles 44, 46(5) and (6) of Delegated Regulation 2017/565.</w:t>
      </w:r>
      <w:r>
        <w:t xml:space="preserve"> </w:t>
      </w:r>
      <w:r>
        <w:t xml:space="preserve">301 Delegated regulation 2017/565, articles 36.2 and 37.1.</w:t>
      </w:r>
      <w:r>
        <w:t xml:space="preserve"> </w:t>
      </w:r>
      <w:r>
        <w:t xml:space="preserve">302 Regulation (EU) 596/2014 on market abuse – Article 3.1, point 35: ‘investment recommendations’ means</w:t>
      </w:r>
      <w:r>
        <w:t xml:space="preserve"> </w:t>
      </w:r>
      <w:r>
        <w:t xml:space="preserve">information recommending or suggesting an investment strategy, explicitly or implicitly, concerning one or several</w:t>
      </w:r>
      <w:r>
        <w:t xml:space="preserve"> </w:t>
      </w:r>
      <w:r>
        <w:t xml:space="preserve">financial instruments or the issuers, including any opinion as to the present or future value or price of such</w:t>
      </w:r>
      <w:r>
        <w:t xml:space="preserve"> </w:t>
      </w:r>
      <w:r>
        <w:t xml:space="preserve">instruments, intended for distribution channels or for the public.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under the scope of MiFID II and IDD would be covered by the rules on marketing communication.</w:t>
      </w:r>
      <w:r>
        <w:t xml:space="preserve"> </w:t>
      </w:r>
      <w:r>
        <w:t xml:space="preserve">The definition of marketing communication would thus also cover advertisement303 (together with</w:t>
      </w:r>
      <w:r>
        <w:t xml:space="preserve"> </w:t>
      </w:r>
      <w:r>
        <w:t xml:space="preserve">promotions, sales, branding and campaigning), social media messages, the use of third parties,</w:t>
      </w:r>
      <w:r>
        <w:t xml:space="preserve"> </w:t>
      </w:r>
      <w:r>
        <w:t xml:space="preserve">nudging techniques and tools, and surreptitious communication304.</w:t>
      </w:r>
      <w:r>
        <w:br/>
      </w:r>
      <w:r>
        <w:t xml:space="preserve">The definition would also capture all marketing practices aimed at influencing investors’ decisions</w:t>
      </w:r>
      <w:r>
        <w:t xml:space="preserve"> </w:t>
      </w:r>
      <w:r>
        <w:t xml:space="preserve">to capture the risks highlighted by IOSCO (i.e. new marketing practices such as for instance</w:t>
      </w:r>
      <w:r>
        <w:t xml:space="preserve"> </w:t>
      </w:r>
      <w:r>
        <w:t xml:space="preserve">influencer marketing (with influencer endorsements) and placements in audio-visual content305).</w:t>
      </w:r>
      <w:r>
        <w:t xml:space="preserve"> </w:t>
      </w:r>
      <w:r>
        <w:t xml:space="preserve">The same would also apply to the use of tools and techniques that directly or indirectly entice</w:t>
      </w:r>
      <w:r>
        <w:t xml:space="preserve"> </w:t>
      </w:r>
      <w:r>
        <w:t xml:space="preserve">consumers to purchase products or to use investment services more frequently306 or in a gamified</w:t>
      </w:r>
      <w:r>
        <w:t xml:space="preserve"> </w:t>
      </w:r>
      <w:r>
        <w:t xml:space="preserve">manner307.</w:t>
      </w:r>
      <w:r>
        <w:br/>
      </w:r>
      <w:r>
        <w:t xml:space="preserve">The definition would also ensure that MiFID II and IDD rules apply to marketing communications</w:t>
      </w:r>
      <w:r>
        <w:t xml:space="preserve"> </w:t>
      </w:r>
      <w:r>
        <w:t xml:space="preserve">that do not target any specific MIFD II, respectively IDD, financial products or services or any</w:t>
      </w:r>
      <w:r>
        <w:t xml:space="preserve"> </w:t>
      </w:r>
      <w:r>
        <w:t xml:space="preserve">specific firm, but rather refer to a broad category of such financial products or services or to broad</w:t>
      </w:r>
      <w:r>
        <w:t xml:space="preserve"> </w:t>
      </w:r>
      <w:r>
        <w:t xml:space="preserve">category of firms, with the ultimate aim of enticing retail investors to invest in those products or</w:t>
      </w:r>
      <w:r>
        <w:t xml:space="preserve"> </w:t>
      </w:r>
      <w:r>
        <w:t xml:space="preserve">to subscribe to those services, or to consider trading with a specific category of those firms. It</w:t>
      </w:r>
      <w:r>
        <w:t xml:space="preserve"> </w:t>
      </w:r>
      <w:r>
        <w:t xml:space="preserve">would also capture marketing communications that do not refer precisely or globally to any MiFID</w:t>
      </w:r>
      <w:r>
        <w:t xml:space="preserve"> </w:t>
      </w:r>
      <w:r>
        <w:t xml:space="preserve">II/IDD financial products, services or firms but nonetheless entice retail investors to consume</w:t>
      </w:r>
      <w:r>
        <w:t xml:space="preserve"> </w:t>
      </w:r>
      <w:r>
        <w:t xml:space="preserve">MIFDI II/IDD services.</w:t>
      </w:r>
      <w:r>
        <w:br/>
      </w:r>
      <w:r>
        <w:t xml:space="preserve">The clarification of the notion of marketing communication would be accompanied with measures</w:t>
      </w:r>
      <w:r>
        <w:t xml:space="preserve"> </w:t>
      </w:r>
      <w:r>
        <w:t xml:space="preserve">reinforcing the investment firms’ obligations to have internal policies and procedures sufficiently</w:t>
      </w:r>
      <w:r>
        <w:t xml:space="preserve"> </w:t>
      </w:r>
      <w:r>
        <w:t xml:space="preserve">strong to ensure investor protection when it comes to marketing communication. Those policies</w:t>
      </w:r>
      <w:r>
        <w:t xml:space="preserve"> </w:t>
      </w:r>
      <w:r>
        <w:t xml:space="preserve">and procedures will also concern the management’s responsibility for the accuracy and non-</w:t>
      </w:r>
      <w:r>
        <w:t xml:space="preserve"> </w:t>
      </w:r>
      <w:r>
        <w:t xml:space="preserve">misleading aspect of the marketing communication, including when provided via social media and</w:t>
      </w:r>
      <w:r>
        <w:t xml:space="preserve"> </w:t>
      </w:r>
      <w:r>
        <w:t xml:space="preserve">other third party channels.</w:t>
      </w:r>
      <w:r>
        <w:t xml:space="preserve"> </w:t>
      </w:r>
      <w:r>
        <w:t xml:space="preserve">ESMA and EIOPA would be mandated to develop guidelines on marketing communications. This</w:t>
      </w:r>
      <w:r>
        <w:t xml:space="preserve"> </w:t>
      </w:r>
      <w:r>
        <w:t xml:space="preserve">tool would ensure the necessary flexibility to quickly adjust those guidelines to evolving marketing</w:t>
      </w:r>
      <w:r>
        <w:t xml:space="preserve"> </w:t>
      </w:r>
      <w:r>
        <w:t xml:space="preserve">communications and practices. It would also complement the existing supervisory convergence</w:t>
      </w:r>
      <w:r>
        <w:t xml:space="preserve"> </w:t>
      </w:r>
      <w:r>
        <w:t xml:space="preserve">tools that the ESAs and supervisors may use to address the various issues on misleading marketing.</w:t>
      </w:r>
      <w:r>
        <w:br/>
      </w:r>
      <w:r>
        <w:t xml:space="preserve">7.3 Assessment of proposed measures</w:t>
      </w:r>
      <w:r>
        <w:t xml:space="preserve"> </w:t>
      </w:r>
      <w:r>
        <w:t xml:space="preserve">Benefits: Measures G1 and G2 would ensure better protection of retail clients by ensuring: i) more</w:t>
      </w:r>
      <w:r>
        <w:t xml:space="preserve"> </w:t>
      </w:r>
      <w:r>
        <w:t xml:space="preserve">transparency on the nature of the marketing communication made, directly or indirectly, by</w:t>
      </w:r>
      <w:r>
        <w:t xml:space="preserve"> </w:t>
      </w:r>
      <w:r>
        <w:t xml:space="preserve">investment firms, also through digital channels (e.g. social media); ii) reducing the lack of clarity</w:t>
      </w:r>
    </w:p>
    <w:p>
      <w:pPr>
        <w:pStyle w:val="BodyText"/>
      </w:pPr>
      <w:r>
        <w:t xml:space="preserve">303 See ESMA advice on retail investor protection: point 29, page 12.</w:t>
      </w:r>
      <w:r>
        <w:t xml:space="preserve"> </w:t>
      </w:r>
      <w:r>
        <w:t xml:space="preserve">304 The reference to surreptitious communication is inspired from art 9 of DIRECTIVE (EU) 2018/1808 OF THE</w:t>
      </w:r>
      <w:r>
        <w:t xml:space="preserve"> </w:t>
      </w:r>
      <w:r>
        <w:t xml:space="preserve">EUROPEAN PARLIAMENT AND OF THE COUNCIL of 14 November 2018 amending Directive 2010/13/EU on the</w:t>
      </w:r>
      <w:r>
        <w:t xml:space="preserve"> </w:t>
      </w:r>
      <w:r>
        <w:t xml:space="preserve">coordination of certain provisions laid down by law, regulation or administrative action in Member States</w:t>
      </w:r>
      <w:r>
        <w:t xml:space="preserve"> </w:t>
      </w:r>
      <w:r>
        <w:t xml:space="preserve">concerning the provision of audiovisual media services (Audiovisual Media Services Directive) in view of changing</w:t>
      </w:r>
      <w:r>
        <w:t xml:space="preserve"> </w:t>
      </w:r>
      <w:r>
        <w:t xml:space="preserve">market realities – art 9 of this directive prohibits the use of surreptitious audiovisual commercial communication.</w:t>
      </w:r>
      <w:r>
        <w:t xml:space="preserve"> </w:t>
      </w:r>
      <w:r>
        <w:t xml:space="preserve">305 IOSCO report on retail distribution and digitalisation,page 16, point 62.</w:t>
      </w:r>
      <w:r>
        <w:t xml:space="preserve"> </w:t>
      </w:r>
      <w:r>
        <w:t xml:space="preserve">306 Ibid – point 64.</w:t>
      </w:r>
      <w:r>
        <w:t xml:space="preserve"> </w:t>
      </w:r>
      <w:r>
        <w:t xml:space="preserve">307 Idem – page 1, point 2 « Nonetheless, increased digitalisation and cross border offerings bring various new risks</w:t>
      </w:r>
      <w:r>
        <w:t xml:space="preserve"> </w:t>
      </w:r>
      <w:r>
        <w:t xml:space="preserve">for investors, and challenges for IOSCO members. For instance, apparent risks are associated with the accrued</w:t>
      </w:r>
      <w:r>
        <w:t xml:space="preserve"> </w:t>
      </w:r>
      <w:r>
        <w:t xml:space="preserve">complexity of financial products and services, the rapid pace of innovation, the ongoing gamification trends, and</w:t>
      </w:r>
      <w:r>
        <w:t xml:space="preserve"> </w:t>
      </w:r>
      <w:r>
        <w:t xml:space="preserve">increasing levels and volumes of self-directed trading among retail investors, that may have not been accompanied</w:t>
      </w:r>
      <w:r>
        <w:t xml:space="preserve"> </w:t>
      </w:r>
      <w:r>
        <w:t xml:space="preserve">by a proportionate increase in financial consumer education.”.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about the scope of the definition of marketing communications and the applicability to influencers</w:t>
      </w:r>
      <w:r>
        <w:t xml:space="preserve"> </w:t>
      </w:r>
      <w:r>
        <w:t xml:space="preserve">and other alternative means of advertisement, iii) reinforced firm’s procedures and policies on</w:t>
      </w:r>
      <w:r>
        <w:t xml:space="preserve"> </w:t>
      </w:r>
      <w:r>
        <w:t xml:space="preserve">marketing communication and on management’s responsibility, facilitating legal actions in case</w:t>
      </w:r>
      <w:r>
        <w:t xml:space="preserve"> </w:t>
      </w:r>
      <w:r>
        <w:t xml:space="preserve">of misleading marketing communication and iv) the inclusion of key elements related to financial</w:t>
      </w:r>
      <w:r>
        <w:t xml:space="preserve"> </w:t>
      </w:r>
      <w:r>
        <w:t xml:space="preserve">products and investment services, in all marketing communications. These measures would</w:t>
      </w:r>
      <w:r>
        <w:t xml:space="preserve"> </w:t>
      </w:r>
      <w:r>
        <w:t xml:space="preserve">increase the quality of information provided to investors, which would contribute to better</w:t>
      </w:r>
      <w:r>
        <w:t xml:space="preserve"> </w:t>
      </w:r>
      <w:r>
        <w:t xml:space="preserve">understanding of marketed products by retail investors. These measures would also facilitate</w:t>
      </w:r>
      <w:r>
        <w:t xml:space="preserve"> </w:t>
      </w:r>
      <w:r>
        <w:t xml:space="preserve">interventions and enforcement on the part of the competent authorities in relation to (misleading)</w:t>
      </w:r>
      <w:r>
        <w:t xml:space="preserve"> </w:t>
      </w:r>
      <w:r>
        <w:t xml:space="preserve">marketing communications.</w:t>
      </w:r>
      <w:r>
        <w:br/>
      </w:r>
      <w:r>
        <w:t xml:space="preserve">Costs: For the industry, it is expected that compliance obligations would increase. The requirement</w:t>
      </w:r>
      <w:r>
        <w:t xml:space="preserve"> </w:t>
      </w:r>
      <w:r>
        <w:t xml:space="preserve">to have vital information in all marketing communications and the clarification as to the concept</w:t>
      </w:r>
      <w:r>
        <w:t xml:space="preserve"> </w:t>
      </w:r>
      <w:r>
        <w:t xml:space="preserve">of marketing communication, enhanced with reinforced organisational and responsibility rules</w:t>
      </w:r>
      <w:r>
        <w:t xml:space="preserve"> </w:t>
      </w:r>
      <w:r>
        <w:t xml:space="preserve">would require additional oversight by investment firms, leading to higher regulatory costs.</w:t>
      </w:r>
      <w:r>
        <w:t xml:space="preserve"> </w:t>
      </w:r>
      <w:r>
        <w:t xml:space="preserve">However, the measures would also be expected to provide further clarity on the regime and reduce</w:t>
      </w:r>
      <w:r>
        <w:t xml:space="preserve"> </w:t>
      </w:r>
      <w:r>
        <w:t xml:space="preserve">grey-areas, providing additional certainty for ensuring compliance. This could lead to cost</w:t>
      </w:r>
      <w:r>
        <w:t xml:space="preserve"> </w:t>
      </w:r>
      <w:r>
        <w:t xml:space="preserve">reductions for compliance and legal advice, especially for smaller firms, due to the additional</w:t>
      </w:r>
      <w:r>
        <w:t xml:space="preserve"> </w:t>
      </w:r>
      <w:r>
        <w:t xml:space="preserve">clarity provided by the definition. The measure would not impose direct costs on investors.</w:t>
      </w:r>
    </w:p>
    <w:p>
      <w:pPr>
        <w:pStyle w:val="BodyText"/>
      </w:pPr>
      <w:r>
        <w:t xml:space="preserve">Affected groups of stakeholders:</w:t>
      </w:r>
    </w:p>
    <w:p>
      <w:pPr>
        <w:pStyle w:val="Compact"/>
        <w:numPr>
          <w:ilvl w:val="0"/>
          <w:numId w:val="1030"/>
        </w:numPr>
      </w:pPr>
      <w:r>
        <w:t xml:space="preserve">Industry</w:t>
      </w:r>
      <w:r>
        <w:br/>
      </w:r>
      <w:r>
        <w:t xml:space="preserve">Measure G1 would help the industry to know precisely the essential elements that should always</w:t>
      </w:r>
      <w:r>
        <w:t xml:space="preserve"> </w:t>
      </w:r>
      <w:r>
        <w:t xml:space="preserve">be in a marketing communication and how they should be presented. Measure G2 would facilitate</w:t>
      </w:r>
      <w:r>
        <w:t xml:space="preserve"> </w:t>
      </w:r>
      <w:r>
        <w:t xml:space="preserve">understanding by firms and third parties about with whom they may interact, and about what</w:t>
      </w:r>
      <w:r>
        <w:t xml:space="preserve"> </w:t>
      </w:r>
      <w:r>
        <w:t xml:space="preserve">constitutes a marketing communication under MiFID II and IDD. This would consequently</w:t>
      </w:r>
      <w:r>
        <w:t xml:space="preserve"> </w:t>
      </w:r>
      <w:r>
        <w:t xml:space="preserve">facilitate better compliance with relevant rules on marketing communications.</w:t>
      </w:r>
    </w:p>
    <w:p>
      <w:pPr>
        <w:pStyle w:val="Compact"/>
        <w:numPr>
          <w:ilvl w:val="0"/>
          <w:numId w:val="1030"/>
        </w:numPr>
      </w:pPr>
      <w:r>
        <w:t xml:space="preserve">Consumers</w:t>
      </w:r>
      <w:r>
        <w:br/>
      </w:r>
      <w:r>
        <w:t xml:space="preserve">The measure would help retail investors more easily identify digital marketing of financial</w:t>
      </w:r>
      <w:r>
        <w:t xml:space="preserve"> </w:t>
      </w:r>
      <w:r>
        <w:t xml:space="preserve">products and would help ensure that such marketing provides them with clear information about</w:t>
      </w:r>
      <w:r>
        <w:t xml:space="preserve"> </w:t>
      </w:r>
      <w:r>
        <w:t xml:space="preserve">the products. This would contribute to specific objective 1 “Improve information provided to</w:t>
      </w:r>
      <w:r>
        <w:t xml:space="preserve"> </w:t>
      </w:r>
      <w:r>
        <w:t xml:space="preserve">investors and their ability to take well-informed investment decisions”. The proposed measures</w:t>
      </w:r>
      <w:r>
        <w:t xml:space="preserve"> </w:t>
      </w:r>
      <w:r>
        <w:t xml:space="preserve">would also help reduce the lack of clarity as to the applicability of the rules to influencers and</w:t>
      </w:r>
      <w:r>
        <w:t xml:space="preserve"> </w:t>
      </w:r>
      <w:r>
        <w:t xml:space="preserve">other alternative means of advertisement. Clarification as to the responsibility of the firms’</w:t>
      </w:r>
      <w:r>
        <w:t xml:space="preserve"> </w:t>
      </w:r>
      <w:r>
        <w:t xml:space="preserve">management as regards the fair, clear and not misleading aspect of the marketing communication,</w:t>
      </w:r>
      <w:r>
        <w:t xml:space="preserve"> </w:t>
      </w:r>
      <w:r>
        <w:t xml:space="preserve">including when made via a third party, would facilitate legal actions of retail clients and would</w:t>
      </w:r>
      <w:r>
        <w:t xml:space="preserve"> </w:t>
      </w:r>
      <w:r>
        <w:t xml:space="preserve">increase their protection.</w:t>
      </w:r>
      <w:r>
        <w:br/>
      </w:r>
      <w:r>
        <w:t xml:space="preserve">In addition, with harmonisation at the EU level, more equal protection for retail investors would</w:t>
      </w:r>
      <w:r>
        <w:t xml:space="preserve"> </w:t>
      </w:r>
      <w:r>
        <w:t xml:space="preserve">be ensured in cases of cross-border activity by firms, regardless of their location: the cross-border</w:t>
      </w:r>
      <w:r>
        <w:t xml:space="preserve"> </w:t>
      </w:r>
      <w:r>
        <w:t xml:space="preserve">nature of digital platforms and channels used for marketing communications pleads for further</w:t>
      </w:r>
      <w:r>
        <w:t xml:space="preserve"> </w:t>
      </w:r>
      <w:r>
        <w:t xml:space="preserve">harmonisation of the marketing communication definition at the EU level. The use of digital</w:t>
      </w:r>
      <w:r>
        <w:t xml:space="preserve"> </w:t>
      </w:r>
      <w:r>
        <w:t xml:space="preserve">communication channels, and especially social media, is not confined to the territory of a specific</w:t>
      </w:r>
      <w:r>
        <w:t xml:space="preserve"> </w:t>
      </w:r>
      <w:r>
        <w:t xml:space="preserve">member state.</w:t>
      </w:r>
    </w:p>
    <w:p>
      <w:pPr>
        <w:pStyle w:val="Compact"/>
        <w:numPr>
          <w:ilvl w:val="0"/>
          <w:numId w:val="1030"/>
        </w:numPr>
      </w:pPr>
      <w:r>
        <w:t xml:space="preserve">Supervisors</w:t>
      </w:r>
    </w:p>
    <w:p>
      <w:pPr>
        <w:pStyle w:val="FirstParagraph"/>
      </w:pPr>
      <w:r>
        <w:t xml:space="preserve">129</w:t>
      </w:r>
    </w:p>
    <w:p>
      <w:pPr>
        <w:pStyle w:val="BodyText"/>
      </w:pPr>
      <w:r>
        <w:t xml:space="preserve">The requirement for firms to have vital information, presented in an accessible and understandable</w:t>
      </w:r>
      <w:r>
        <w:t xml:space="preserve"> </w:t>
      </w:r>
      <w:r>
        <w:t xml:space="preserve">way, in all their marketing communications, would facilitate the control of those communications</w:t>
      </w:r>
      <w:r>
        <w:t xml:space="preserve"> </w:t>
      </w:r>
      <w:r>
        <w:t xml:space="preserve">by the supervisory authorities and should not trigger any material additional costs. Clarification as</w:t>
      </w:r>
      <w:r>
        <w:t xml:space="preserve"> </w:t>
      </w:r>
      <w:r>
        <w:t xml:space="preserve">to the concept of marketing communication and the responsibility of the firms’ management for</w:t>
      </w:r>
      <w:r>
        <w:t xml:space="preserve"> </w:t>
      </w:r>
      <w:r>
        <w:t xml:space="preserve">such communication would allow for easier intervention and enforcement by supervisory</w:t>
      </w:r>
      <w:r>
        <w:t xml:space="preserve"> </w:t>
      </w:r>
      <w:r>
        <w:t xml:space="preserve">authorities. This measure would also provide a basis upon which the enforcement in relation to</w:t>
      </w:r>
      <w:r>
        <w:t xml:space="preserve"> </w:t>
      </w:r>
      <w:r>
        <w:t xml:space="preserve">novel marketing techniques, such as influencer campaigns, could be applied. While the monitoring</w:t>
      </w:r>
      <w:r>
        <w:t xml:space="preserve"> </w:t>
      </w:r>
      <w:r>
        <w:t xml:space="preserve">role and supervisory power of the competent authorities in the domain of marketing</w:t>
      </w:r>
      <w:r>
        <w:t xml:space="preserve"> </w:t>
      </w:r>
      <w:r>
        <w:t xml:space="preserve">communications would remain the same, to increase efficiency of any supervisory actions there</w:t>
      </w:r>
      <w:r>
        <w:t xml:space="preserve"> </w:t>
      </w:r>
      <w:r>
        <w:t xml:space="preserve">may however be a need for technology-based detection and investigatory techniques and qualified</w:t>
      </w:r>
      <w:r>
        <w:t xml:space="preserve"> </w:t>
      </w:r>
      <w:r>
        <w:t xml:space="preserve">staff, which may involve one-off and further costs, depending on the volume of identified issues</w:t>
      </w:r>
      <w:r>
        <w:t xml:space="preserve"> </w:t>
      </w:r>
      <w:r>
        <w:t xml:space="preserve">and intensity of supervision decided on by NCAs. Nevertheless, No significant impact is expected</w:t>
      </w:r>
      <w:r>
        <w:t xml:space="preserve"> </w:t>
      </w:r>
      <w:r>
        <w:t xml:space="preserve">on the resources of ESMA and EIOPA, as their involvement and roles under this option can be</w:t>
      </w:r>
      <w:r>
        <w:t xml:space="preserve"> </w:t>
      </w:r>
      <w:r>
        <w:t xml:space="preserve">performed as part of their existing regulatory and supervisory work.</w:t>
      </w:r>
    </w:p>
    <w:p>
      <w:pPr>
        <w:pStyle w:val="BodyText"/>
      </w:pPr>
      <w:r>
        <w:t xml:space="preserve">Stakeholder views:</w:t>
      </w:r>
      <w:r>
        <w:br/>
      </w:r>
      <w:r>
        <w:t xml:space="preserve">The public retail consultation showed a majority of respondents (more than half representing the</w:t>
      </w:r>
      <w:r>
        <w:t xml:space="preserve"> </w:t>
      </w:r>
      <w:r>
        <w:t xml:space="preserve">industry) supporting the need for further EU coordination/harmonisation of national rules on</w:t>
      </w:r>
      <w:r>
        <w:t xml:space="preserve"> </w:t>
      </w:r>
      <w:r>
        <w:t xml:space="preserve">online advertising and marketing of investment products. A harmonised definition of “marketing</w:t>
      </w:r>
      <w:r>
        <w:t xml:space="preserve"> </w:t>
      </w:r>
      <w:r>
        <w:t xml:space="preserve">communications” and a single set of requirements for the content of these communications,</w:t>
      </w:r>
      <w:r>
        <w:t xml:space="preserve"> </w:t>
      </w:r>
      <w:r>
        <w:t xml:space="preserve">including those delivered through digital means, was viewed as allowing for more consistent</w:t>
      </w:r>
      <w:r>
        <w:t xml:space="preserve"> </w:t>
      </w:r>
      <w:r>
        <w:t xml:space="preserve">information and a reduction in costs that would benefit all EU investors. They also argued that</w:t>
      </w:r>
      <w:r>
        <w:t xml:space="preserve"> </w:t>
      </w:r>
      <w:r>
        <w:t xml:space="preserve">further harmonisation would ensure the same level of protection for the investors and the same</w:t>
      </w:r>
      <w:r>
        <w:t xml:space="preserve"> </w:t>
      </w:r>
      <w:r>
        <w:t xml:space="preserve">market conditions for the various product and service providers. It was viewed as crucial that new</w:t>
      </w:r>
      <w:r>
        <w:t xml:space="preserve"> </w:t>
      </w:r>
      <w:r>
        <w:t xml:space="preserve">trends such as influencers, personalised targeting and online disclosures (examples mentioned by</w:t>
      </w:r>
      <w:r>
        <w:t xml:space="preserve"> </w:t>
      </w:r>
      <w:r>
        <w:t xml:space="preserve">respondents) were regulated at EU level for investment products. Those respondents who</w:t>
      </w:r>
      <w:r>
        <w:t xml:space="preserve"> </w:t>
      </w:r>
      <w:r>
        <w:t xml:space="preserve">considered that there was no need for further EU coordination on online advertising and marketing</w:t>
      </w:r>
      <w:r>
        <w:t xml:space="preserve"> </w:t>
      </w:r>
      <w:r>
        <w:t xml:space="preserve">of investment products, argued that current rules were sufficient and problems, where they existed,</w:t>
      </w:r>
      <w:r>
        <w:t xml:space="preserve"> </w:t>
      </w:r>
      <w:r>
        <w:t xml:space="preserve">related more to the lack of supervision in certain Member States.</w:t>
      </w:r>
      <w:r>
        <w:br/>
      </w:r>
      <w:r>
        <w:t xml:space="preserve">Based on the assessment above, measure G1 and G2 would bring useful benefits and increase</w:t>
      </w:r>
      <w:r>
        <w:t xml:space="preserve"> </w:t>
      </w:r>
      <w:r>
        <w:t xml:space="preserve">coherence within MiFID II and IDD. As such, they have been selected to be part of the preferred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ANNEX 5: FINANCIAL LITERACY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</w:t>
      </w:r>
      <w:r>
        <w:t xml:space="preserve"> </w:t>
      </w:r>
      <w:r>
        <w:t xml:space="preserve">Background and problem definition</w:t>
      </w:r>
      <w:r>
        <w:t xml:space="preserve"> </w:t>
      </w:r>
      <w:r>
        <w:t xml:space="preserve">The level of financial literacy308 in the EU is low. The most comprehensive exercise</w:t>
      </w:r>
      <w:r>
        <w:t xml:space="preserve"> </w:t>
      </w:r>
      <w:r>
        <w:t xml:space="preserve">measuring financial literacy is the Standard &amp; Poor’s Global Financial Literacy Survey</w:t>
      </w:r>
      <w:r>
        <w:t xml:space="preserve"> </w:t>
      </w:r>
      <w:r>
        <w:t xml:space="preserve">conducted in 2014. According to the survey, financial literacy levels in the EU range from</w:t>
      </w:r>
      <w:r>
        <w:t xml:space="preserve"> </w:t>
      </w:r>
      <w:r>
        <w:t xml:space="preserve">as high as 71% for the population in Scandinavian countries to as low as 13% in the</w:t>
      </w:r>
      <w:r>
        <w:t xml:space="preserve"> </w:t>
      </w:r>
      <w:r>
        <w:t xml:space="preserve">Southeast of the EU, demonstrating that there are large differences among Member States.</w:t>
      </w:r>
      <w:r>
        <w:t xml:space="preserve"> </w:t>
      </w:r>
      <w:r>
        <w:t xml:space="preserve">The OECD/INFE 2020 International Survey of Adult Financial Literacy confirmed this.</w:t>
      </w:r>
      <w:r>
        <w:t xml:space="preserve"> </w:t>
      </w:r>
      <w:r>
        <w:t xml:space="preserve">The latest OECD survey of adult financial literacy309 (2020) showed that the combined</w:t>
      </w:r>
      <w:r>
        <w:t xml:space="preserve"> </w:t>
      </w:r>
      <w:r>
        <w:t xml:space="preserve">financial literacy score in 14 EU Member States varied between 11.1 (Italy) and 14.7</w:t>
      </w:r>
      <w:r>
        <w:t xml:space="preserve"> </w:t>
      </w:r>
      <w:r>
        <w:t xml:space="preserve">(Slovenia) out of a maximum score of 21310. The survey did not ask for expert knowledge,</w:t>
      </w:r>
      <w:r>
        <w:t xml:space="preserve"> </w:t>
      </w:r>
      <w:r>
        <w:t xml:space="preserve">but for a general understanding of key concepts such as inflation, interest rates and risk</w:t>
      </w:r>
      <w:r>
        <w:t xml:space="preserve"> </w:t>
      </w:r>
      <w:r>
        <w:t xml:space="preserve">diversification. The financial knowledge score311, which is part of the combined financial</w:t>
      </w:r>
      <w:r>
        <w:t xml:space="preserve"> </w:t>
      </w:r>
      <w:r>
        <w:t xml:space="preserve">literacy score together with attitudes and behaviour, was also relatively low: the average</w:t>
      </w:r>
      <w:r>
        <w:t xml:space="preserve"> </w:t>
      </w:r>
      <w:r>
        <w:t xml:space="preserve">score of the EU Member States was 6.1, which is lower than the OECD average of 6.2.</w:t>
      </w:r>
      <w:r>
        <w:t xml:space="preserve"> </w:t>
      </w:r>
      <w:r>
        <w:t xml:space="preserve">Furthermore, five of the 14 participating EU Member States scored lower than the average.</w:t>
      </w:r>
      <w:r>
        <w:t xml:space="preserve"> </w:t>
      </w:r>
      <w:r>
        <w:t xml:space="preserve">Finally, financial literacy and education were identified as an issue in the EBA’s Consumer</w:t>
      </w:r>
      <w:r>
        <w:t xml:space="preserve"> </w:t>
      </w:r>
      <w:r>
        <w:t xml:space="preserve">Trends Report (CTR) 2018/19312, similarly to the issue of insufficient digital financial</w:t>
      </w:r>
      <w:r>
        <w:t xml:space="preserve"> </w:t>
      </w:r>
      <w:r>
        <w:t xml:space="preserve">literacy, raised in EBA’s Consumer Trend Report 2020/21.</w:t>
      </w:r>
      <w:r>
        <w:br/>
      </w:r>
      <w:r>
        <w:t xml:space="preserve">Low financial literacy has an important impact on retail investment more generally and on</w:t>
      </w:r>
      <w:r>
        <w:t xml:space="preserve"> </w:t>
      </w:r>
      <w:r>
        <w:t xml:space="preserve">the effectiveness of retail investment protection measures laid down in EU law, more</w:t>
      </w:r>
      <w:r>
        <w:t xml:space="preserve"> </w:t>
      </w:r>
      <w:r>
        <w:t xml:space="preserve">specifically. Low financial literacy reduces the effectiveness of disclosure of financial</w:t>
      </w:r>
      <w:r>
        <w:t xml:space="preserve"> </w:t>
      </w:r>
      <w:r>
        <w:t xml:space="preserve">information provided to an investor, as it implies that the average citizen may lack the</w:t>
      </w:r>
      <w:r>
        <w:t xml:space="preserve"> </w:t>
      </w:r>
      <w:r>
        <w:t xml:space="preserve">ability to properly understand the information received. At the same time, it increases</w:t>
      </w:r>
      <w:r>
        <w:t xml:space="preserve"> </w:t>
      </w:r>
      <w:r>
        <w:t xml:space="preserve">reliance on advice, be it good or bad, due to the lack of awareness of the available tools</w:t>
      </w:r>
      <w:r>
        <w:t xml:space="preserve"> </w:t>
      </w:r>
      <w:r>
        <w:t xml:space="preserve">(instead or in addition to professional advice) to form an opinion on financial products.</w:t>
      </w:r>
    </w:p>
    <w:p>
      <w:pPr>
        <w:pStyle w:val="BodyText"/>
      </w:pPr>
      <w:r>
        <w:t xml:space="preserve">308 Financial literacy, according to the 2020 OECD Recommendation on Financial Literacy, refers to a</w:t>
      </w:r>
      <w:r>
        <w:t xml:space="preserve"> </w:t>
      </w:r>
      <w:r>
        <w:t xml:space="preserve">combination of financial awareness, knowledge, skills, attitudes and behaviours necessary to make sound</w:t>
      </w:r>
      <w:r>
        <w:t xml:space="preserve"> </w:t>
      </w:r>
      <w:r>
        <w:t xml:space="preserve">financial decisions and ultimately achieve individual financial well-being.</w:t>
      </w:r>
      <w:r>
        <w:br/>
      </w:r>
      <w:r>
        <w:t xml:space="preserve">309 https://www.oecd.org/financial/education/oecd-infe-2020-international-survey-of-adult-financial-</w:t>
      </w:r>
      <w:r>
        <w:t xml:space="preserve"> </w:t>
      </w:r>
      <w:r>
        <w:t xml:space="preserve">literacy.pdf</w:t>
      </w:r>
      <w:r>
        <w:br/>
      </w:r>
      <w:r>
        <w:t xml:space="preserve">310 Scoring the maximum of 21 effectively means that an individual has acquired a basic level of</w:t>
      </w:r>
      <w:r>
        <w:t xml:space="preserve"> </w:t>
      </w:r>
      <w:r>
        <w:t xml:space="preserve">understanding of financial concepts and applies some prudent principles in their financial dealings.</w:t>
      </w:r>
      <w:r>
        <w:t xml:space="preserve"> </w:t>
      </w:r>
      <w:r>
        <w:t xml:space="preserve">Achieving the maximum thus suggests a basic knowledge of and use of finance.</w:t>
      </w:r>
      <w:r>
        <w:br/>
      </w:r>
      <w:r>
        <w:t xml:space="preserve">311 The financial knowledge score is computed as the number of correct responses to the financial</w:t>
      </w:r>
      <w:r>
        <w:t xml:space="preserve"> </w:t>
      </w:r>
      <w:r>
        <w:t xml:space="preserve">knowledge questions, and it ranges between 0 and 7.</w:t>
      </w:r>
      <w:r>
        <w:t xml:space="preserve"> </w:t>
      </w:r>
      <w:r>
        <w:t xml:space="preserve">312 https://www.eba.europa.eu/sites/default/documents/files/documents/10180/2551996/75e73a19-</w:t>
      </w:r>
      <w:r>
        <w:t xml:space="preserve"> </w:t>
      </w:r>
      <w:r>
        <w:t xml:space="preserve">d313-44c9-8430-fc6eca025e8b/Consumer%20Trends%20Report%202018-19.pdf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Citizens may also not be aware of the importance of a budget and savings or may not even</w:t>
      </w:r>
      <w:r>
        <w:t xml:space="preserve"> </w:t>
      </w:r>
      <w:r>
        <w:t xml:space="preserve">know where to start or what questions to ask. Finally, many citizens struggle to understand</w:t>
      </w:r>
      <w:r>
        <w:t xml:space="preserve"> </w:t>
      </w:r>
      <w:r>
        <w:t xml:space="preserve">the basic financial concepts of interest, compound interest, and how to calculate them; the</w:t>
      </w:r>
      <w:r>
        <w:t xml:space="preserve"> </w:t>
      </w:r>
      <w:r>
        <w:t xml:space="preserve">relationship between risk and return; the concept of risk diversification and/or the concept</w:t>
      </w:r>
      <w:r>
        <w:t xml:space="preserve"> </w:t>
      </w:r>
      <w:r>
        <w:t xml:space="preserve">of inflation. The uptake of FinTech and digital tools in the area of financial services raises</w:t>
      </w:r>
      <w:r>
        <w:t xml:space="preserve"> </w:t>
      </w:r>
      <w:r>
        <w:t xml:space="preserve">additional challenges for citizens who may not have a sufficient level of digital literacy.313</w:t>
      </w:r>
      <w:r>
        <w:t xml:space="preserve"> </w:t>
      </w:r>
      <w:r>
        <w:t xml:space="preserve">Similarly, with the rise in appetite for ESG products, investor education is needed to make</w:t>
      </w:r>
      <w:r>
        <w:t xml:space="preserve"> </w:t>
      </w:r>
      <w:r>
        <w:t xml:space="preserve">sure that on the retail side there is a proper understanding of ESG product offerings and</w:t>
      </w:r>
      <w:r>
        <w:t xml:space="preserve"> </w:t>
      </w:r>
      <w:r>
        <w:t xml:space="preserve">disclosures, as well as of the sustainability impact of different investment strategies314.</w:t>
      </w:r>
      <w:r>
        <w:t xml:space="preserve"> </w:t>
      </w:r>
      <w:r>
        <w:t xml:space="preserve">Increasing the level of financial literacy of citizens as retail investors can provide them</w:t>
      </w:r>
      <w:r>
        <w:t xml:space="preserve"> </w:t>
      </w:r>
      <w:r>
        <w:t xml:space="preserve">with a greater understanding of the risks involved when investing money, can help them</w:t>
      </w:r>
      <w:r>
        <w:t xml:space="preserve"> </w:t>
      </w:r>
      <w:r>
        <w:t xml:space="preserve">plan and make better budgetary decisions and participate in capital markets in a way that</w:t>
      </w:r>
      <w:r>
        <w:t xml:space="preserve"> </w:t>
      </w:r>
      <w:r>
        <w:t xml:space="preserve">meets their needs. These skills will be even more important for individuals (and, indirectly,</w:t>
      </w:r>
      <w:r>
        <w:t xml:space="preserve"> </w:t>
      </w:r>
      <w:r>
        <w:t xml:space="preserve">businesses) as the economy gradually recovers from the COVID crisis, as well as in context</w:t>
      </w:r>
      <w:r>
        <w:t xml:space="preserve"> </w:t>
      </w:r>
      <w:r>
        <w:t xml:space="preserve">of the current inflationary trends that can erode the value of consumers’ savings.</w:t>
      </w:r>
      <w:r>
        <w:br/>
      </w:r>
      <w:r>
        <w:t xml:space="preserve">Financial literacy is a Commission priority315 aimed at contributing to an EU economy in</w:t>
      </w:r>
      <w:r>
        <w:t xml:space="preserve"> </w:t>
      </w:r>
      <w:r>
        <w:t xml:space="preserve">which retail investors are financially resilient and feel empowered to make decisions that</w:t>
      </w:r>
      <w:r>
        <w:t xml:space="preserve"> </w:t>
      </w:r>
      <w:r>
        <w:t xml:space="preserve">contribute to their financial wellbeing. The Commission has therefore recognised the need</w:t>
      </w:r>
      <w:r>
        <w:t xml:space="preserve"> </w:t>
      </w:r>
      <w:r>
        <w:t xml:space="preserve">to address it as part of its broader Retail Investment Strategy.</w:t>
      </w:r>
      <w:r>
        <w:br/>
      </w:r>
      <w:r>
        <w:t xml:space="preserve">A growing body of evidence shows that well-designed financial education programmes</w:t>
      </w:r>
      <w:r>
        <w:t xml:space="preserve"> </w:t>
      </w:r>
      <w:r>
        <w:t xml:space="preserve">have had a positive effect on both financial knowledge and downstream financial</w:t>
      </w:r>
      <w:r>
        <w:t xml:space="preserve"> </w:t>
      </w:r>
      <w:r>
        <w:t xml:space="preserve">behaviours316. In this context, the Commission is developing several measures to support</w:t>
      </w:r>
      <w:r>
        <w:t xml:space="preserve"> </w:t>
      </w:r>
      <w:r>
        <w:t xml:space="preserve">Member States in improving the financial literacy levels of their citizens. For instance, in</w:t>
      </w:r>
      <w:r>
        <w:t xml:space="preserve"> </w:t>
      </w:r>
      <w:r>
        <w:t xml:space="preserve">January 2022, the Commission and the OECD-INFE published their financial competence</w:t>
      </w:r>
      <w:r>
        <w:t xml:space="preserve"> </w:t>
      </w:r>
      <w:r>
        <w:t xml:space="preserve">framework for adults in the EU317. The framework was developed jointly with EU Member</w:t>
      </w:r>
      <w:r>
        <w:t xml:space="preserve"> </w:t>
      </w:r>
      <w:r>
        <w:t xml:space="preserve">States to create a shared understanding of financial competences for adults across the</w:t>
      </w:r>
      <w:r>
        <w:t xml:space="preserve"> </w:t>
      </w:r>
      <w:r>
        <w:t xml:space="preserve">European Union318, and defines the competences that individuals need in order to make</w:t>
      </w:r>
    </w:p>
    <w:p>
      <w:pPr>
        <w:pStyle w:val="BodyText"/>
      </w:pPr>
      <w:r>
        <w:t xml:space="preserve">313 Financial Education in Europe : Trends and Recent Developments | OECD iLibrary (oecd-ilibrary.org)</w:t>
      </w:r>
      <w:r>
        <w:t xml:space="preserve"> </w:t>
      </w:r>
      <w:r>
        <w:t xml:space="preserve">314 This is notably underlined by ESMA: https://www.esma.europa.eu/sites/default/files/library/esma30-</w:t>
      </w:r>
      <w:r>
        <w:t xml:space="preserve"> </w:t>
      </w:r>
      <w:r>
        <w:t xml:space="preserve">379-1051_sustainable_finance_roadmap.pdf</w:t>
      </w:r>
      <w:r>
        <w:br/>
      </w:r>
      <w:r>
        <w:t xml:space="preserve">315 It is worth noting that also the founding Regulations of the ESAs contain a mandate to review and</w:t>
      </w:r>
      <w:r>
        <w:t xml:space="preserve"> </w:t>
      </w:r>
      <w:r>
        <w:t xml:space="preserve">coordinate financial literacy and education initiatives by the competent authorities (article 9(1)(b) of the</w:t>
      </w:r>
      <w:r>
        <w:t xml:space="preserve"> </w:t>
      </w:r>
      <w:r>
        <w:t xml:space="preserve">three founding Regulations.</w:t>
      </w:r>
      <w:r>
        <w:t xml:space="preserve"> </w:t>
      </w:r>
      <w:r>
        <w:t xml:space="preserve">316 See e.g. Kaiser, T., Lusardi, A., Menkhoff, L., &amp; Urban, C.J. (2020). Financial education affects financial</w:t>
      </w:r>
      <w:r>
        <w:t xml:space="preserve"> </w:t>
      </w:r>
      <w:r>
        <w:t xml:space="preserve">knowledge and downstream behaviours, Wharton Pension Research Council Working Paper No. 2020-07.</w:t>
      </w:r>
      <w:r>
        <w:t xml:space="preserve"> </w:t>
      </w:r>
      <w:r>
        <w:t xml:space="preserve">317 https://ec.europa.eu/info/publications/220111-financial-competence-framework_en</w:t>
      </w:r>
      <w:r>
        <w:br/>
      </w:r>
      <w:r>
        <w:t xml:space="preserve">318 The framework is for adults aged 18 years and over, it defines 564 competences that adults in the EU</w:t>
      </w:r>
      <w:r>
        <w:t xml:space="preserve"> </w:t>
      </w:r>
      <w:r>
        <w:t xml:space="preserve">need to make efficient personal finance decisions and to improve their financial wellbeing. The goal of the</w:t>
      </w:r>
      <w:r>
        <w:t xml:space="preserve"> </w:t>
      </w:r>
      <w:r>
        <w:t xml:space="preserve">framework is that Member States, educational institutions, industry and individuals will use it to develop</w:t>
      </w:r>
      <w:r>
        <w:t xml:space="preserve"> </w:t>
      </w:r>
      <w:r>
        <w:t xml:space="preserve">public policies, financial literacy programmes and educational materials. It will also facilitate the</w:t>
      </w:r>
      <w:r>
        <w:t xml:space="preserve"> </w:t>
      </w:r>
      <w:r>
        <w:t xml:space="preserve">assessment of financial literacy levels and the evaluation of financial literacy initiatives.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appropriate decisions in the area of personal finance.319 The framework was made</w:t>
      </w:r>
      <w:r>
        <w:t xml:space="preserve"> </w:t>
      </w:r>
      <w:r>
        <w:t xml:space="preserve">available for voluntary uptake amongst Member States and stakeholders. However, its</w:t>
      </w:r>
      <w:r>
        <w:t xml:space="preserve"> </w:t>
      </w:r>
      <w:r>
        <w:t xml:space="preserve">adoption is not a silver bullet that could alone solve the problem and, since the latter is</w:t>
      </w:r>
      <w:r>
        <w:t xml:space="preserve"> </w:t>
      </w:r>
      <w:r>
        <w:t xml:space="preserve">likely to persist, additional actions are needed to improve financial literacy in the EU,</w:t>
      </w:r>
      <w:r>
        <w:t xml:space="preserve"> </w:t>
      </w:r>
      <w:r>
        <w:t xml:space="preserve">especially when it comes to investing in capital markets.</w:t>
      </w:r>
      <w:r>
        <w:br/>
      </w:r>
      <w:r>
        <w:t xml:space="preserve">In order to address this problem, the High Level Forum on CMU suggested that the co-</w:t>
      </w:r>
      <w:r>
        <w:t xml:space="preserve"> </w:t>
      </w:r>
      <w:r>
        <w:t xml:space="preserve">legislators should build on the principle set out in Article 6(1) of the Mortgage Credit</w:t>
      </w:r>
      <w:r>
        <w:t xml:space="preserve"> </w:t>
      </w:r>
      <w:r>
        <w:t xml:space="preserve">Directive (MCD)320 and reflect it in other financial sector legislation, with a view to:</w:t>
      </w:r>
      <w:r>
        <w:t xml:space="preserve"> </w:t>
      </w:r>
      <w:r>
        <w:t xml:space="preserve">1.</w:t>
      </w:r>
      <w:r>
        <w:t xml:space="preserve"> </w:t>
      </w:r>
      <w:r>
        <w:t xml:space="preserve">Requiring Member States to promote formal and informal learning measures that</w:t>
      </w:r>
      <w:r>
        <w:t xml:space="preserve"> </w:t>
      </w:r>
      <w:r>
        <w:t xml:space="preserve">support the financial education of consumers in relation to responsible investing;</w:t>
      </w:r>
      <w:r>
        <w:t xml:space="preserve"> </w:t>
      </w:r>
      <w:r>
        <w:t xml:space="preserve">2.</w:t>
      </w:r>
      <w:r>
        <w:t xml:space="preserve"> </w:t>
      </w:r>
      <w:r>
        <w:t xml:space="preserve">Requesting the Commission to assess the financial education available to consumers in</w:t>
      </w:r>
      <w:r>
        <w:t xml:space="preserve"> </w:t>
      </w:r>
      <w:r>
        <w:t xml:space="preserve">Member States and to identify best practices. The Commission is also requested to</w:t>
      </w:r>
      <w:r>
        <w:t xml:space="preserve"> </w:t>
      </w:r>
      <w:r>
        <w:t xml:space="preserve">assess which sectoral legislation would be the most appropriate to extend the principle</w:t>
      </w:r>
      <w:r>
        <w:t xml:space="preserve"> </w:t>
      </w:r>
      <w:r>
        <w:t xml:space="preserve">set out in Article 6 MCD (e.g., MiFID, IDD, PEPP, UCITS, PRIIPs, etc.).</w:t>
      </w:r>
    </w:p>
    <w:p>
      <w:pPr>
        <w:pStyle w:val="BodyText"/>
      </w:pPr>
      <w:r>
        <w:t xml:space="preserve">For this reason, in Action 7B of the 2020 CMU Action Plan321 the Commission committed</w:t>
      </w:r>
      <w:r>
        <w:t xml:space="preserve"> </w:t>
      </w:r>
      <w:r>
        <w:t xml:space="preserve">to assess the appropriateness of extending the principle enshrined in Article 6 MCD to</w:t>
      </w:r>
      <w:r>
        <w:t xml:space="preserve"> </w:t>
      </w:r>
      <w:r>
        <w:t xml:space="preserve">relevant sectoral legislation, with the objective of promoting learning measures to support</w:t>
      </w:r>
      <w:r>
        <w:t xml:space="preserve"> </w:t>
      </w:r>
      <w:r>
        <w:t xml:space="preserve">the financial education of consumers in the context of retail investment.</w:t>
      </w:r>
      <w:r>
        <w:t xml:space="preserve"> </w:t>
      </w:r>
      <w:r>
        <w:t xml:space="preserve">The present Annex to the impact assessment explains why a provision in EU law addressed</w:t>
      </w:r>
      <w:r>
        <w:t xml:space="preserve"> </w:t>
      </w:r>
      <w:r>
        <w:t xml:space="preserve">to Member States to put in place measures supporting the education of consumers in</w:t>
      </w:r>
      <w:r>
        <w:t xml:space="preserve"> </w:t>
      </w:r>
      <w:r>
        <w:t xml:space="preserve">relation to the distribution of investment products would address the identified problem of</w:t>
      </w:r>
      <w:r>
        <w:t xml:space="preserve"> </w:t>
      </w:r>
      <w:r>
        <w:t xml:space="preserve">low levels of financial education in the EU. It considers options of how to address the</w:t>
      </w:r>
      <w:r>
        <w:t xml:space="preserve"> </w:t>
      </w:r>
      <w:r>
        <w:t xml:space="preserve">problem in the most effective and cost-efficient way for stakeholders. In doing so, it is</w:t>
      </w:r>
      <w:r>
        <w:t xml:space="preserve"> </w:t>
      </w:r>
      <w:r>
        <w:t xml:space="preserve">aligned with the aims of the first specific objective (SO1) laid out in chapter 4.2 of the</w:t>
      </w:r>
      <w:r>
        <w:t xml:space="preserve"> </w:t>
      </w:r>
      <w:r>
        <w:t xml:space="preserve">main body of this impact assessment, that is to improve retail investors’ ability to take</w:t>
      </w:r>
      <w:r>
        <w:t xml:space="preserve"> </w:t>
      </w:r>
      <w:r>
        <w:t xml:space="preserve">well-informed investment decisions322. The measure presented in this Annex, on its own,</w:t>
      </w:r>
    </w:p>
    <w:p>
      <w:pPr>
        <w:pStyle w:val="BodyText"/>
      </w:pPr>
      <w:r>
        <w:t xml:space="preserve">319 Specific attention is given to competences pertaining to digital finance, sustainable finance and</w:t>
      </w:r>
      <w:r>
        <w:t xml:space="preserve"> </w:t>
      </w:r>
      <w:r>
        <w:t xml:space="preserve">financial resilience.</w:t>
      </w:r>
      <w:r>
        <w:t xml:space="preserve"> </w:t>
      </w:r>
      <w:r>
        <w:t xml:space="preserve">320 Article 6 (1) MCD: “Member States shall promote measures that support the education of consumers in</w:t>
      </w:r>
      <w:r>
        <w:t xml:space="preserve"> </w:t>
      </w:r>
      <w:r>
        <w:t xml:space="preserve">relation to responsible borrowing and debt management, in particular in relation to mortgage credit</w:t>
      </w:r>
      <w:r>
        <w:t xml:space="preserve"> </w:t>
      </w:r>
      <w:r>
        <w:t xml:space="preserve">agreements. Clear and general information on the credit granting process is necessary in order to guide</w:t>
      </w:r>
      <w:r>
        <w:t xml:space="preserve"> </w:t>
      </w:r>
      <w:r>
        <w:t xml:space="preserve">consumers, especially those who take out a mortgage credit for the first time. Information regarding the</w:t>
      </w:r>
      <w:r>
        <w:t xml:space="preserve"> </w:t>
      </w:r>
      <w:r>
        <w:t xml:space="preserve">guidance that consumer organisations and national authorities may provide to consumers, is also</w:t>
      </w:r>
      <w:r>
        <w:t xml:space="preserve"> </w:t>
      </w:r>
      <w:r>
        <w:t xml:space="preserve">necessary.”</w:t>
      </w:r>
      <w:r>
        <w:t xml:space="preserve"> </w:t>
      </w:r>
      <w:r>
        <w:t xml:space="preserve">321 Action 7 - Empowering citizens through financial literacy | European Commission (europa.eu)</w:t>
      </w:r>
      <w:r>
        <w:t xml:space="preserve"> </w:t>
      </w:r>
      <w:r>
        <w:t xml:space="preserve">322 SO1, i.e. ‘Improve information provided to investors and their ability to take well-informed investment</w:t>
      </w:r>
      <w:r>
        <w:t xml:space="preserve"> </w:t>
      </w:r>
      <w:r>
        <w:t xml:space="preserve">decisions’, as described in the main body of this impact assessment, is the relevant specific objective for</w:t>
      </w:r>
      <w:r>
        <w:t xml:space="preserve"> </w:t>
      </w:r>
      <w:r>
        <w:t xml:space="preserve">this Annex. Overall, this financial literacy flanking measure is in line with the general objectives of the</w:t>
      </w:r>
      <w:r>
        <w:t xml:space="preserve"> </w:t>
      </w:r>
      <w:r>
        <w:t xml:space="preserve">retail investment strategy, and especially that of strengthening the protection framework for retail</w:t>
      </w:r>
      <w:r>
        <w:t xml:space="preserve"> </w:t>
      </w:r>
      <w:r>
        <w:t xml:space="preserve">investors to empower them when taking investment decisions. To that end, the measure supports the</w:t>
      </w:r>
      <w:r>
        <w:t xml:space="preserve"> </w:t>
      </w:r>
      <w:r>
        <w:t xml:space="preserve">improvement of retail clients’ financial literacy, which is relevant when it comes to investors’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however, cannot address the identified problem in full and should only be seen as a</w:t>
      </w:r>
      <w:r>
        <w:t xml:space="preserve"> </w:t>
      </w:r>
      <w:r>
        <w:t xml:space="preserve">complementary or flanking measure to other measures assessed in this impact assessment,</w:t>
      </w:r>
      <w:r>
        <w:t xml:space="preserve"> </w:t>
      </w:r>
      <w:r>
        <w:t xml:space="preserve">as well as to other ongoing or future actions taken by the Commission and Member States</w:t>
      </w:r>
      <w:r>
        <w:t xml:space="preserve"> </w:t>
      </w:r>
      <w:r>
        <w:t xml:space="preserve">in the area of financial education (including the ones mentioned above).</w:t>
      </w:r>
      <w:r>
        <w:br/>
      </w:r>
      <w:r>
        <w:t xml:space="preserve">1.</w:t>
      </w:r>
      <w:r>
        <w:t xml:space="preserve"> </w:t>
      </w:r>
      <w:r>
        <w:t xml:space="preserve">Effectiveness of Article 6(1) MCD and merit to its extension to other</w:t>
      </w:r>
      <w:r>
        <w:t xml:space="preserve"> </w:t>
      </w:r>
      <w:r>
        <w:t xml:space="preserve">areas</w:t>
      </w:r>
    </w:p>
    <w:p>
      <w:pPr>
        <w:pStyle w:val="BodyText"/>
      </w:pPr>
      <w:r>
        <w:t xml:space="preserve">The transposition deadline for the MCD was 21 March 2016. The conformity studies</w:t>
      </w:r>
      <w:r>
        <w:t xml:space="preserve"> </w:t>
      </w:r>
      <w:r>
        <w:t xml:space="preserve">performed during 2016-2017 by an external contractor showed that 7 Member States (CY,</w:t>
      </w:r>
      <w:r>
        <w:t xml:space="preserve"> </w:t>
      </w:r>
      <w:r>
        <w:t xml:space="preserve">ES, PT, MT, LU, IE, RO) literally transposed Article 6(1) MCD and delegated the</w:t>
      </w:r>
      <w:r>
        <w:t xml:space="preserve"> </w:t>
      </w:r>
      <w:r>
        <w:t xml:space="preserve">competence to an NCA. Other Member States (DK, EE, PL, LV), instead, provided for a</w:t>
      </w:r>
      <w:r>
        <w:t xml:space="preserve"> </w:t>
      </w:r>
      <w:r>
        <w:t xml:space="preserve">general obligation to promote financial education or knowledge/awareness on financial</w:t>
      </w:r>
      <w:r>
        <w:t xml:space="preserve"> </w:t>
      </w:r>
      <w:r>
        <w:t xml:space="preserve">products. Overall, the studies identified several initiatives that have been put in place, in</w:t>
      </w:r>
      <w:r>
        <w:t xml:space="preserve"> </w:t>
      </w:r>
      <w:r>
        <w:t xml:space="preserve">particular by NCAs, to promote and support financial education. However, while it is likely</w:t>
      </w:r>
      <w:r>
        <w:t xml:space="preserve"> </w:t>
      </w:r>
      <w:r>
        <w:t xml:space="preserve">that many of these initiatives were triggered (at least in part) by the implementation of the</w:t>
      </w:r>
      <w:r>
        <w:t xml:space="preserve"> </w:t>
      </w:r>
      <w:r>
        <w:t xml:space="preserve">legal provision in MCD (or the corresponding national provision transposing it), it was</w:t>
      </w:r>
      <w:r>
        <w:t xml:space="preserve"> </w:t>
      </w:r>
      <w:r>
        <w:t xml:space="preserve">difficult to establish the exact extent to which they were specifically linked to the MCD’s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Examples of such initiatives (identified in the studies) include:</w:t>
      </w:r>
      <w:r>
        <w:t xml:space="preserve"> </w:t>
      </w:r>
      <w:r>
        <w:t xml:space="preserve">1.</w:t>
      </w:r>
      <w:r>
        <w:t xml:space="preserve"> </w:t>
      </w:r>
      <w:r>
        <w:t xml:space="preserve">Provision of information about mortgages (e.g. mortgage borrowing process, how to</w:t>
      </w:r>
      <w:r>
        <w:t xml:space="preserve"> </w:t>
      </w:r>
      <w:r>
        <w:t xml:space="preserve">best choose the mortgage credit, responsible borrowing, rules applicable during the</w:t>
      </w:r>
      <w:r>
        <w:t xml:space="preserve"> </w:t>
      </w:r>
      <w:r>
        <w:t xml:space="preserve">credit lifetime, consumers’ rights), on consumer financial education websites set</w:t>
      </w:r>
      <w:r>
        <w:t xml:space="preserve"> </w:t>
      </w:r>
      <w:r>
        <w:t xml:space="preserve">up/managed by NCAs or on NCAs’ websites (AT, BE, DE, RO, LT, EE).</w:t>
      </w:r>
      <w:r>
        <w:t xml:space="preserve"> </w:t>
      </w:r>
      <w:r>
        <w:t xml:space="preserve">2.</w:t>
      </w:r>
      <w:r>
        <w:t xml:space="preserve"> </w:t>
      </w:r>
      <w:r>
        <w:t xml:space="preserve">Establishment of platforms to enhance the financial awareness by organising events</w:t>
      </w:r>
      <w:r>
        <w:t xml:space="preserve"> </w:t>
      </w:r>
      <w:r>
        <w:t xml:space="preserve">(NL).</w:t>
      </w:r>
      <w:r>
        <w:t xml:space="preserve"> </w:t>
      </w:r>
      <w:r>
        <w:t xml:space="preserve">3.</w:t>
      </w:r>
      <w:r>
        <w:t xml:space="preserve"> </w:t>
      </w:r>
      <w:r>
        <w:t xml:space="preserve">Provision of guidance documents containing information about types of home loans,</w:t>
      </w:r>
      <w:r>
        <w:t xml:space="preserve"> </w:t>
      </w:r>
      <w:r>
        <w:t xml:space="preserve">mortgage loan process and access, costs and other expenses, event of default on the</w:t>
      </w:r>
      <w:r>
        <w:t xml:space="preserve"> </w:t>
      </w:r>
      <w:r>
        <w:t xml:space="preserve">mortgage, consumers’ rights, management of personal finance, dispute resolution (DK,</w:t>
      </w:r>
      <w:r>
        <w:t xml:space="preserve"> </w:t>
      </w:r>
      <w:r>
        <w:t xml:space="preserve">ES323, IT324), mortgage shopping around checklist (IE). ES and IT published/updated</w:t>
      </w:r>
      <w:r>
        <w:t xml:space="preserve"> </w:t>
      </w:r>
      <w:r>
        <w:t xml:space="preserve">the guidance documents in May 2016.</w:t>
      </w:r>
      <w:r>
        <w:br/>
      </w:r>
      <w:r>
        <w:t xml:space="preserve">4.</w:t>
      </w:r>
      <w:r>
        <w:t xml:space="preserve"> </w:t>
      </w:r>
      <w:r>
        <w:t xml:space="preserve">Organisation of seminars for teachers and students concerning credit (AT).</w:t>
      </w:r>
      <w:r>
        <w:t xml:space="preserve"> </w:t>
      </w:r>
      <w:r>
        <w:t xml:space="preserve">5.</w:t>
      </w:r>
      <w:r>
        <w:t xml:space="preserve"> </w:t>
      </w:r>
      <w:r>
        <w:t xml:space="preserve">Establishment of a programme in 2016 to improve consumers’ budget management, to</w:t>
      </w:r>
      <w:r>
        <w:t xml:space="preserve"> </w:t>
      </w:r>
      <w:r>
        <w:t xml:space="preserve">prevent over-indebtedness by providing solutions as soon as possible to consumers in</w:t>
      </w:r>
      <w:r>
        <w:t xml:space="preserve"> </w:t>
      </w:r>
      <w:r>
        <w:t xml:space="preserve">financial difficulties (FR).</w:t>
      </w:r>
    </w:p>
    <w:p>
      <w:pPr>
        <w:pStyle w:val="BodyText"/>
      </w:pPr>
      <w:r>
        <w:t xml:space="preserve">competences in the area of investing and management of personal finances, more broadly, as well as to</w:t>
      </w:r>
      <w:r>
        <w:t xml:space="preserve"> </w:t>
      </w:r>
      <w:r>
        <w:t xml:space="preserve">investors’ understanding of disclosure documents and marketing communications, as laid out in SO1,</w:t>
      </w:r>
      <w:r>
        <w:t xml:space="preserve"> </w:t>
      </w:r>
      <w:r>
        <w:t xml:space="preserve">more specifically.</w:t>
      </w:r>
      <w:r>
        <w:br/>
      </w:r>
      <w:r>
        <w:t xml:space="preserve">323 ES mortgage loan access guide published in May 2016.</w:t>
      </w:r>
      <w:r>
        <w:t xml:space="preserve"> </w:t>
      </w:r>
      <w:r>
        <w:t xml:space="preserve">324 IT guide to immovable property loans was updated in May 2016.</w:t>
      </w:r>
    </w:p>
    <w:p>
      <w:pPr>
        <w:pStyle w:val="BodyText"/>
      </w:pPr>
      <w:r>
        <w:t xml:space="preserve">134</w:t>
      </w:r>
    </w:p>
    <w:p>
      <w:pPr>
        <w:pStyle w:val="Compact"/>
        <w:numPr>
          <w:ilvl w:val="0"/>
          <w:numId w:val="1031"/>
        </w:numPr>
      </w:pPr>
      <w:r>
        <w:t xml:space="preserve">Provision of consumer support by consumer organisations (SE); customer service</w:t>
      </w:r>
      <w:r>
        <w:t xml:space="preserve"> </w:t>
      </w:r>
      <w:r>
        <w:t xml:space="preserve">centre and call centre processing written consumer claims and providing information</w:t>
      </w:r>
      <w:r>
        <w:t xml:space="preserve"> </w:t>
      </w:r>
      <w:r>
        <w:t xml:space="preserve">(HU); free legal advice both online and by phone by some organisations (CZ).</w:t>
      </w:r>
      <w:r>
        <w:br/>
      </w:r>
      <w:r>
        <w:t xml:space="preserve">As part of the continuous effort to ensure that rules are fit for purpose, the Commission</w:t>
      </w:r>
      <w:r>
        <w:t xml:space="preserve"> </w:t>
      </w:r>
      <w:r>
        <w:t xml:space="preserve">launched in November 2021 an open public consultation325 on the MCD review, to gather</w:t>
      </w:r>
      <w:r>
        <w:t xml:space="preserve"> </w:t>
      </w:r>
      <w:r>
        <w:t xml:space="preserve">evidence on the MCD’s functioning. The consultation included, among others, a question</w:t>
      </w:r>
      <w:r>
        <w:t xml:space="preserve"> </w:t>
      </w:r>
      <w:r>
        <w:t xml:space="preserve">on Article 6 of the Directive and its effectiveness in increasing the financial education of</w:t>
      </w:r>
      <w:r>
        <w:t xml:space="preserve"> </w:t>
      </w:r>
      <w:r>
        <w:t xml:space="preserve">consumers (Question 10). The results showed that:</w:t>
      </w:r>
    </w:p>
    <w:p>
      <w:pPr>
        <w:pStyle w:val="Compact"/>
        <w:numPr>
          <w:ilvl w:val="0"/>
          <w:numId w:val="1031"/>
        </w:numPr>
      </w:pPr>
      <w:r>
        <w:t xml:space="preserve">35.9% of the respondents considered that Article 6 has been effective in increasing</w:t>
      </w:r>
      <w:r>
        <w:t xml:space="preserve"> </w:t>
      </w:r>
      <w:r>
        <w:t xml:space="preserve">the financial education of consumers. The majority of them were industry</w:t>
      </w:r>
      <w:r>
        <w:t xml:space="preserve"> </w:t>
      </w:r>
      <w:r>
        <w:t xml:space="preserve">representatives (companies/business organisations and associations). Several</w:t>
      </w:r>
      <w:r>
        <w:t xml:space="preserve"> </w:t>
      </w:r>
      <w:r>
        <w:t xml:space="preserve">considered that Article 6 promoted financial literacy and encouraged Member</w:t>
      </w:r>
      <w:r>
        <w:t xml:space="preserve"> </w:t>
      </w:r>
      <w:r>
        <w:t xml:space="preserve">States to be more active in this area. Notably, a few, mentioned that the exact impact</w:t>
      </w:r>
      <w:r>
        <w:t xml:space="preserve"> </w:t>
      </w:r>
      <w:r>
        <w:t xml:space="preserve">of Article 6 would be difficult to assess.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33.3% of the respondents (mixed stakeholders) considered that Article 6 has not</w:t>
      </w:r>
      <w:r>
        <w:t xml:space="preserve"> </w:t>
      </w:r>
      <w:r>
        <w:t xml:space="preserve">been effective in increasing the financial education of consumers. Among them,</w:t>
      </w:r>
      <w:r>
        <w:t xml:space="preserve"> </w:t>
      </w:r>
      <w:r>
        <w:t xml:space="preserve">several stressed that there was no significant evidence of the impact of Article 6 on</w:t>
      </w:r>
      <w:r>
        <w:t xml:space="preserve"> </w:t>
      </w:r>
      <w:r>
        <w:t xml:space="preserve">financial literacy programs/initiatives in Member States and highlighted the general</w:t>
      </w:r>
      <w:r>
        <w:t xml:space="preserve"> </w:t>
      </w:r>
      <w:r>
        <w:t xml:space="preserve">lack of financial education among the population.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30.8% of the respondents did not know or did not answer.</w:t>
      </w:r>
      <w:r>
        <w:br/>
      </w:r>
      <w:r>
        <w:t xml:space="preserve">While a majority of respondents agreed with a positive impact of Article 6 MCD, some</w:t>
      </w:r>
      <w:r>
        <w:t xml:space="preserve"> </w:t>
      </w:r>
      <w:r>
        <w:t xml:space="preserve">respondents struggled with providing a positive response, the main reason being the</w:t>
      </w:r>
      <w:r>
        <w:t xml:space="preserve"> </w:t>
      </w:r>
      <w:r>
        <w:t xml:space="preserve">difficulty to demonstrate causality between this provision and the national financial</w:t>
      </w:r>
      <w:r>
        <w:t xml:space="preserve"> </w:t>
      </w:r>
      <w:r>
        <w:t xml:space="preserve">education measures that were taken as a consequence. This is because some Member States</w:t>
      </w:r>
      <w:r>
        <w:t xml:space="preserve"> </w:t>
      </w:r>
      <w:r>
        <w:t xml:space="preserve">were already rather active in this field and proactively took measures seeking to increase</w:t>
      </w:r>
      <w:r>
        <w:t xml:space="preserve"> </w:t>
      </w:r>
      <w:r>
        <w:t xml:space="preserve">the level of financial education of their citizens. At the same time, financial education has</w:t>
      </w:r>
      <w:r>
        <w:t xml:space="preserve"> </w:t>
      </w:r>
      <w:r>
        <w:t xml:space="preserve">not been (at least originally, i.e. at the time of the adoption of MCD) on the political agenda</w:t>
      </w:r>
      <w:r>
        <w:t xml:space="preserve"> </w:t>
      </w:r>
      <w:r>
        <w:t xml:space="preserve">of all Member States and the explicit provision in MCD could have triggered action from</w:t>
      </w:r>
      <w:r>
        <w:t xml:space="preserve"> </w:t>
      </w:r>
      <w:r>
        <w:t xml:space="preserve">those Member States that were not planning (and hence would not have put forward) any</w:t>
      </w:r>
      <w:r>
        <w:t xml:space="preserve"> </w:t>
      </w:r>
      <w:r>
        <w:t xml:space="preserve">actions on their own. Furthermore, it can be assumed that the specific focus on responsible</w:t>
      </w:r>
      <w:r>
        <w:t xml:space="preserve"> </w:t>
      </w:r>
      <w:r>
        <w:t xml:space="preserve">borrowing ensured that those Member States that were already planning their financial</w:t>
      </w:r>
      <w:r>
        <w:t xml:space="preserve"> </w:t>
      </w:r>
      <w:r>
        <w:t xml:space="preserve">education campaigns, ensured that due attention was paid to this specific aspect of financial</w:t>
      </w:r>
      <w:r>
        <w:t xml:space="preserve"> </w:t>
      </w:r>
      <w:r>
        <w:t xml:space="preserve">education.</w:t>
      </w:r>
      <w:r>
        <w:t xml:space="preserve"> </w:t>
      </w:r>
      <w:r>
        <w:t xml:space="preserve">On this basis, it can be concluded that the Article 6 MCD has had a positive impact at least</w:t>
      </w:r>
      <w:r>
        <w:t xml:space="preserve"> </w:t>
      </w:r>
      <w:r>
        <w:t xml:space="preserve">in some Member States. It should therefore be considered as a relevant supporting measure</w:t>
      </w:r>
      <w:r>
        <w:t xml:space="preserve"> </w:t>
      </w:r>
      <w:r>
        <w:t xml:space="preserve">to provide equal incentives for all Member States to work towards promoting initiatives</w:t>
      </w:r>
      <w:r>
        <w:t xml:space="preserve"> </w:t>
      </w:r>
      <w:r>
        <w:t xml:space="preserve">related to the financial literacy of their citizens.</w:t>
      </w:r>
      <w:r>
        <w:br/>
      </w:r>
      <w:r>
        <w:t xml:space="preserve">The below assessment is based on the presumption that creating such incentives is better</w:t>
      </w:r>
      <w:r>
        <w:t xml:space="preserve"> </w:t>
      </w:r>
      <w:r>
        <w:t xml:space="preserve">than taking no action at all at EU level, as the latter case would leave taking any action</w:t>
      </w:r>
    </w:p>
    <w:p>
      <w:pPr>
        <w:pStyle w:val="FirstParagraph"/>
      </w:pPr>
      <w:r>
        <w:t xml:space="preserve">325 See at: https://ec.europa.eu/info/files/2021-mortgage-credit-review-consultation-document_en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entirely to the choice of Member States, which may have different schedules and objectives</w:t>
      </w:r>
      <w:r>
        <w:t xml:space="preserve"> </w:t>
      </w:r>
      <w:r>
        <w:t xml:space="preserve">in their national financial education strategies. This is without prejudice and fully</w:t>
      </w:r>
      <w:r>
        <w:t xml:space="preserve"> </w:t>
      </w:r>
      <w:r>
        <w:t xml:space="preserve">respecting to the principle that Member States have legal competence in the matters related</w:t>
      </w:r>
      <w:r>
        <w:t xml:space="preserve"> </w:t>
      </w:r>
      <w:r>
        <w:t xml:space="preserve">to financial education and that the European Union (as per Article 165 of the Treaty on the</w:t>
      </w:r>
      <w:r>
        <w:t xml:space="preserve"> </w:t>
      </w:r>
      <w:r>
        <w:t xml:space="preserve">Functioning of the EU) can only contribute to developing quality education by encouraging</w:t>
      </w:r>
      <w:r>
        <w:t xml:space="preserve"> </w:t>
      </w:r>
      <w:r>
        <w:t xml:space="preserve">cooperation between EU countries, and supporting and supplementing their action.</w:t>
      </w:r>
      <w:r>
        <w:t xml:space="preserve"> </w:t>
      </w:r>
      <w:r>
        <w:t xml:space="preserve">Increasing the level of financial literacy can be considered as a key complement to financial</w:t>
      </w:r>
      <w:r>
        <w:t xml:space="preserve"> </w:t>
      </w:r>
      <w:r>
        <w:t xml:space="preserve">consumer protection policy, as enshrined in Article 169 TFEU. 326</w:t>
      </w:r>
    </w:p>
    <w:p>
      <w:pPr>
        <w:pStyle w:val="Compact"/>
        <w:numPr>
          <w:ilvl w:val="0"/>
          <w:numId w:val="1032"/>
        </w:numPr>
      </w:pPr>
      <w:r>
        <w:t xml:space="preserve">Identification of “other relevant sectoral legislation” and scope</w:t>
      </w:r>
      <w:r>
        <w:t xml:space="preserve"> </w:t>
      </w:r>
      <w:r>
        <w:t xml:space="preserve">This section frames the policy options set out in the next section. It discards upfront the</w:t>
      </w:r>
      <w:r>
        <w:t xml:space="preserve"> </w:t>
      </w:r>
      <w:r>
        <w:t xml:space="preserve">solutions that would be too costly and inefficient. It allows to focus then on the options</w:t>
      </w:r>
      <w:r>
        <w:t xml:space="preserve"> </w:t>
      </w:r>
      <w:r>
        <w:t xml:space="preserve">that are credible and most efficient in dealing with the identified problem.</w:t>
      </w:r>
    </w:p>
    <w:p>
      <w:pPr>
        <w:pStyle w:val="FirstParagraph"/>
      </w:pPr>
      <w:r>
        <w:t xml:space="preserve">For an effective replication of Article 6 MCD, Member States should focus, in their</w:t>
      </w:r>
      <w:r>
        <w:t xml:space="preserve"> </w:t>
      </w:r>
      <w:r>
        <w:t xml:space="preserve">national transposition, on as wide a universe of investment products as possible. The</w:t>
      </w:r>
      <w:r>
        <w:t xml:space="preserve"> </w:t>
      </w:r>
      <w:r>
        <w:t xml:space="preserve">legislative mapping carried out in the context of this analysis327 has shown that coverage</w:t>
      </w:r>
      <w:r>
        <w:t xml:space="preserve"> </w:t>
      </w:r>
      <w:r>
        <w:t xml:space="preserve">can be maximised by acting at the level of legislation on distribution of financial products,</w:t>
      </w:r>
      <w:r>
        <w:t xml:space="preserve"> </w:t>
      </w:r>
      <w:r>
        <w:t xml:space="preserve">rather than at the level of individual product legislation. This is because EU product</w:t>
      </w:r>
      <w:r>
        <w:t xml:space="preserve"> </w:t>
      </w:r>
      <w:r>
        <w:t xml:space="preserve">legislation is numerous and broad; and acting on it would imply possible multiple</w:t>
      </w:r>
      <w:r>
        <w:t xml:space="preserve"> </w:t>
      </w:r>
      <w:r>
        <w:t xml:space="preserve">transposition rounds for Member States, risk of further fragmentation and of leaving</w:t>
      </w:r>
      <w:r>
        <w:t xml:space="preserve"> </w:t>
      </w:r>
      <w:r>
        <w:t xml:space="preserve">possible gaps unattended (for example, innovative products not captured in the current</w:t>
      </w:r>
      <w:r>
        <w:t xml:space="preserve"> </w:t>
      </w:r>
      <w:r>
        <w:t xml:space="preserve">legislation could be left out of scope).</w:t>
      </w:r>
    </w:p>
    <w:p>
      <w:pPr>
        <w:pStyle w:val="BodyText"/>
      </w:pPr>
      <w:r>
        <w:t xml:space="preserve">Acting at the level of the distribution, instead, would have three main benefits. Firstly, it</w:t>
      </w:r>
      <w:r>
        <w:t xml:space="preserve"> </w:t>
      </w:r>
      <w:r>
        <w:t xml:space="preserve">would compel action in relation to the vast majority of products marketed and distributed</w:t>
      </w:r>
      <w:r>
        <w:t xml:space="preserve"> </w:t>
      </w:r>
      <w:r>
        <w:t xml:space="preserve">in the Union to retail investors (including through digital channels). Secondly, it would</w:t>
      </w:r>
      <w:r>
        <w:t xml:space="preserve"> </w:t>
      </w:r>
      <w:r>
        <w:t xml:space="preserve">streamline the transposition efforts as well as eliminate the need to cater for the specificities</w:t>
      </w:r>
      <w:r>
        <w:t xml:space="preserve"> </w:t>
      </w:r>
      <w:r>
        <w:t xml:space="preserve">(e.g. traditional investment vs insurance) that would arise by acting on individual product</w:t>
      </w:r>
    </w:p>
    <w:p>
      <w:pPr>
        <w:pStyle w:val="BodyText"/>
      </w:pPr>
      <w:r>
        <w:t xml:space="preserve">326 According to article 165 TFUE, education policy is a Member State competence that the EU can support</w:t>
      </w:r>
      <w:r>
        <w:t xml:space="preserve"> </w:t>
      </w:r>
      <w:r>
        <w:t xml:space="preserve">and supplement. Nonetheless, increasing the level of financial literacy can be considered as a key</w:t>
      </w:r>
      <w:r>
        <w:t xml:space="preserve"> </w:t>
      </w:r>
      <w:r>
        <w:t xml:space="preserve">complement to financial consumer protection policy, as enshrined in Article 169 TFEU. With this in mind,</w:t>
      </w:r>
      <w:r>
        <w:t xml:space="preserve"> </w:t>
      </w:r>
      <w:r>
        <w:t xml:space="preserve">the co-legislators agreed to have an article requiring Member States to promote financial education</w:t>
      </w:r>
      <w:r>
        <w:t xml:space="preserve"> </w:t>
      </w:r>
      <w:r>
        <w:t xml:space="preserve">initiatives in the context of the sale of mortgage products (Article 6 MCD). The current proposal for a</w:t>
      </w:r>
      <w:r>
        <w:t xml:space="preserve"> </w:t>
      </w:r>
      <w:r>
        <w:t xml:space="preserve">review of the Consumer Credit Directive (CCD) includes an article that widens the scope of Article 6 MCD</w:t>
      </w:r>
      <w:r>
        <w:t xml:space="preserve"> </w:t>
      </w:r>
      <w:r>
        <w:t xml:space="preserve">to the loans covered by the CCD. Article 169 TFEU relates to consumer protection and states that to</w:t>
      </w:r>
      <w:r>
        <w:t xml:space="preserve"> </w:t>
      </w:r>
      <w:r>
        <w:t xml:space="preserve">promote the interests of consumers and ensure a high level of consumer protection, the Union shall</w:t>
      </w:r>
      <w:r>
        <w:t xml:space="preserve"> </w:t>
      </w:r>
      <w:r>
        <w:t xml:space="preserve">contribute to protecting the health, safety and economic interests of consumers, as well as to promoting</w:t>
      </w:r>
      <w:r>
        <w:t xml:space="preserve"> </w:t>
      </w:r>
      <w:r>
        <w:t xml:space="preserve">their right to information, education and to organise themselves in order to safeguard their interests.</w:t>
      </w:r>
      <w:r>
        <w:t xml:space="preserve"> </w:t>
      </w:r>
      <w:r>
        <w:t xml:space="preserve">Article 169(2) TFEU specifies that these objectives can be reached through measures adopted pursuant to</w:t>
      </w:r>
      <w:r>
        <w:t xml:space="preserve"> </w:t>
      </w:r>
      <w:r>
        <w:t xml:space="preserve">Article 114 in the context of internal market completion.</w:t>
      </w:r>
      <w:r>
        <w:t xml:space="preserve"> </w:t>
      </w:r>
      <w:r>
        <w:t xml:space="preserve">327 The legislative mapping was carried out in 2022. It analysed the scope of products and/or providers</w:t>
      </w:r>
      <w:r>
        <w:t xml:space="preserve"> </w:t>
      </w:r>
      <w:r>
        <w:t xml:space="preserve">regulated under the UCITS Directive, AIFMD, PRIIPs Regulation, IDD, IORPs Directive, PEPP Regulation and</w:t>
      </w:r>
      <w:r>
        <w:t xml:space="preserve"> </w:t>
      </w:r>
      <w:r>
        <w:t xml:space="preserve">CRD.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rules. Finally, the focus on distribution would put the spotlight on the moment of</w:t>
      </w:r>
      <w:r>
        <w:t xml:space="preserve"> </w:t>
      </w:r>
      <w:r>
        <w:t xml:space="preserve">interaction between the distributor and the client, where the financial literacy of the latter</w:t>
      </w:r>
      <w:r>
        <w:t xml:space="preserve"> </w:t>
      </w:r>
      <w:r>
        <w:t xml:space="preserve">is key.</w:t>
      </w:r>
    </w:p>
    <w:p>
      <w:pPr>
        <w:pStyle w:val="BodyText"/>
      </w:pPr>
      <w:r>
        <w:t xml:space="preserve">In this context, it is important to underline that the replication of Article 6 MCD in the</w:t>
      </w:r>
      <w:r>
        <w:t xml:space="preserve"> </w:t>
      </w:r>
      <w:r>
        <w:t xml:space="preserve">distribution rulebook328 would not impose any direct obligation on financial intermediaries</w:t>
      </w:r>
      <w:r>
        <w:t xml:space="preserve"> </w:t>
      </w:r>
      <w:r>
        <w:t xml:space="preserve">and distributors as the provision would be addressed to the Member States. It would call</w:t>
      </w:r>
      <w:r>
        <w:t xml:space="preserve"> </w:t>
      </w:r>
      <w:r>
        <w:t xml:space="preserve">on them to support and promote financial education for retail investors through the means</w:t>
      </w:r>
      <w:r>
        <w:t xml:space="preserve"> </w:t>
      </w:r>
      <w:r>
        <w:t xml:space="preserve">they see most appropriate.</w:t>
      </w:r>
      <w:r>
        <w:br/>
      </w:r>
      <w:r>
        <w:t xml:space="preserve">Since the Markets in Financial Instruments Directive (MiFID) and Insurance Distribution</w:t>
      </w:r>
      <w:r>
        <w:t xml:space="preserve"> </w:t>
      </w:r>
      <w:r>
        <w:t xml:space="preserve">Directive (IDD) are the cornerstones of the EU’s distribution rules, the policy options</w:t>
      </w:r>
      <w:r>
        <w:t xml:space="preserve"> </w:t>
      </w:r>
      <w:r>
        <w:t xml:space="preserve">around the replication of Article 6 MCD would focus on them. Additionally, this would</w:t>
      </w:r>
      <w:r>
        <w:t xml:space="preserve"> </w:t>
      </w:r>
      <w:r>
        <w:t xml:space="preserve">build on the already existing principle under these two frameworks that distributors have</w:t>
      </w:r>
      <w:r>
        <w:t xml:space="preserve"> </w:t>
      </w:r>
      <w:r>
        <w:t xml:space="preserve">to know their clients – and in particular the level of their financial knowledge.</w:t>
      </w:r>
    </w:p>
    <w:p>
      <w:pPr>
        <w:pStyle w:val="BodyText"/>
      </w:pPr>
      <w:r>
        <w:t xml:space="preserve">The legislative scope would not go beyond MiFID and IDD, as the products distributed</w:t>
      </w:r>
      <w:r>
        <w:t xml:space="preserve"> </w:t>
      </w:r>
      <w:r>
        <w:t xml:space="preserve">outside of these two frameworks generally would not reach the average retail investor. For</w:t>
      </w:r>
      <w:r>
        <w:t xml:space="preserve"> </w:t>
      </w:r>
      <w:r>
        <w:t xml:space="preserve">example, in the case of AIFMD329 regulated entities, asset managers would rarely distribute</w:t>
      </w:r>
      <w:r>
        <w:t xml:space="preserve"> </w:t>
      </w:r>
      <w:r>
        <w:t xml:space="preserve">products themselves and, if they did, they would require a MIFID license therefore entering</w:t>
      </w:r>
      <w:r>
        <w:t xml:space="preserve"> </w:t>
      </w:r>
      <w:r>
        <w:t xml:space="preserve">the established scope (moreover, they would be focused on distributing units of their own</w:t>
      </w:r>
      <w:r>
        <w:t xml:space="preserve"> </w:t>
      </w:r>
      <w:r>
        <w:t xml:space="preserve">investment funds only). As a result, the replication of Article 6 MCD in AIFMD would not</w:t>
      </w:r>
      <w:r>
        <w:t xml:space="preserve"> </w:t>
      </w:r>
      <w:r>
        <w:t xml:space="preserve">add to achieving better financial literacy level for retail clients as a whole.</w:t>
      </w:r>
    </w:p>
    <w:p>
      <w:pPr>
        <w:pStyle w:val="Compact"/>
        <w:numPr>
          <w:ilvl w:val="0"/>
          <w:numId w:val="1033"/>
        </w:numPr>
      </w:pPr>
      <w:r>
        <w:t xml:space="preserve">Necessity and added value of an EU action</w:t>
      </w:r>
      <w:r>
        <w:t xml:space="preserve"> </w:t>
      </w:r>
      <w:r>
        <w:t xml:space="preserve">The problem as set out above persists despite actions already undertaken at national,</w:t>
      </w:r>
      <w:r>
        <w:t xml:space="preserve"> </w:t>
      </w:r>
      <w:r>
        <w:t xml:space="preserve">international (OECD) and European level in non-binding format330, including the recently</w:t>
      </w:r>
      <w:r>
        <w:t xml:space="preserve"> </w:t>
      </w:r>
      <w:r>
        <w:t xml:space="preserve">developed EU/OECD financial competence framework for adults331, which is for voluntary</w:t>
      </w:r>
      <w:r>
        <w:t xml:space="preserve"> </w:t>
      </w:r>
      <w:r>
        <w:t xml:space="preserve">uptake by Member States.</w:t>
      </w:r>
      <w:r>
        <w:t xml:space="preserve"> </w:t>
      </w:r>
      <w:r>
        <w:t xml:space="preserve">Further EU action is needed at legislative level, as neither national measures nor</w:t>
      </w:r>
      <w:r>
        <w:t xml:space="preserve"> </w:t>
      </w:r>
      <w:r>
        <w:t xml:space="preserve">multilateral soft measures have so far been fully effective to remedy the low level of</w:t>
      </w:r>
      <w:r>
        <w:t xml:space="preserve"> </w:t>
      </w:r>
      <w:r>
        <w:t xml:space="preserve">financial literacy across the EU (and in particular in some Member States). Only a</w:t>
      </w:r>
      <w:r>
        <w:t xml:space="preserve"> </w:t>
      </w:r>
      <w:r>
        <w:t xml:space="preserve">combination of measures on financial education can prove to be effective in tackling the</w:t>
      </w:r>
      <w:r>
        <w:t xml:space="preserve"> </w:t>
      </w:r>
      <w:r>
        <w:t xml:space="preserve">problem, creating positive externalities and scale and scope effects. A coherent and</w:t>
      </w:r>
      <w:r>
        <w:t xml:space="preserve"> </w:t>
      </w:r>
      <w:r>
        <w:t xml:space="preserve">comprehensive solution at EU level might be able to lower the cost of fragmentation for</w:t>
      </w:r>
      <w:r>
        <w:t xml:space="preserve"> </w:t>
      </w:r>
      <w:r>
        <w:t xml:space="preserve">national administrations, investors, financial intermediaries, and companies alike. The</w:t>
      </w:r>
      <w:r>
        <w:t xml:space="preserve"> </w:t>
      </w:r>
      <w:r>
        <w:t xml:space="preserve">preferred option must however respect the principle of subsidiarity and proportionality,</w:t>
      </w:r>
      <w:r>
        <w:t xml:space="preserve"> </w:t>
      </w:r>
      <w:r>
        <w:t xml:space="preserve">achieving the objectives yet avoiding excessive, negative consequences on Member States.</w:t>
      </w:r>
    </w:p>
    <w:p>
      <w:pPr>
        <w:pStyle w:val="FirstParagraph"/>
      </w:pPr>
      <w:r>
        <w:t xml:space="preserve">328 MiFID and IDD.</w:t>
      </w:r>
      <w:r>
        <w:t xml:space="preserve"> </w:t>
      </w:r>
      <w:r>
        <w:t xml:space="preserve">329 Alternative Investment Fund Managers Directive.</w:t>
      </w:r>
      <w:r>
        <w:t xml:space="preserve"> </w:t>
      </w:r>
      <w:r>
        <w:t xml:space="preserve">330 For example, a Council recommendation on “Key competences on lifelong learning” is a soft law tool,</w:t>
      </w:r>
      <w:r>
        <w:t xml:space="preserve"> </w:t>
      </w:r>
      <w:r>
        <w:t xml:space="preserve">however, due to its nature, it would not be feasible to include financial literacy into it (financial skills are</w:t>
      </w:r>
      <w:r>
        <w:t xml:space="preserve"> </w:t>
      </w:r>
      <w:r>
        <w:t xml:space="preserve">only mentioned as an example of mathematical competences).</w:t>
      </w:r>
      <w:r>
        <w:t xml:space="preserve"> </w:t>
      </w:r>
      <w:r>
        <w:t xml:space="preserve">331 Financial competence framework for adults in the European Union (europa.eu)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Policy Options</w:t>
      </w:r>
    </w:p>
    <w:p>
      <w:pPr>
        <w:pStyle w:val="Compact"/>
        <w:numPr>
          <w:ilvl w:val="0"/>
          <w:numId w:val="1034"/>
        </w:numPr>
      </w:pPr>
      <w:r>
        <w:t xml:space="preserve">What are the available policy options?</w:t>
      </w:r>
      <w:r>
        <w:t xml:space="preserve"> </w:t>
      </w:r>
      <w:r>
        <w:t xml:space="preserve">Option 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Baseline (Option 1)</w:t>
      </w:r>
      <w:r>
        <w:t xml:space="preserve"> </w:t>
      </w:r>
      <w:r>
        <w:t xml:space="preserve">Do nothing to change the current legal</w:t>
      </w:r>
      <w:r>
        <w:t xml:space="preserve"> </w:t>
      </w:r>
      <w:r>
        <w:t xml:space="preserve">framework.</w:t>
      </w:r>
      <w:r>
        <w:br/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enforcement</w:t>
      </w:r>
      <w:r>
        <w:t xml:space="preserve"> </w:t>
      </w:r>
      <w:r>
        <w:t xml:space="preserve">mechanisms to ensure that the existing rules</w:t>
      </w:r>
      <w:r>
        <w:t xml:space="preserve"> </w:t>
      </w:r>
      <w:r>
        <w:t xml:space="preserve">(Article 6 of MCD) and proposed rules</w:t>
      </w:r>
      <w:r>
        <w:t xml:space="preserve"> </w:t>
      </w:r>
      <w:r>
        <w:t xml:space="preserve">(article 34 of CDD in case adopted) are</w:t>
      </w:r>
      <w:r>
        <w:t xml:space="preserve"> </w:t>
      </w:r>
      <w:r>
        <w:t xml:space="preserve">correctly applied, however limited to credit</w:t>
      </w:r>
      <w:r>
        <w:t xml:space="preserve"> </w:t>
      </w:r>
      <w:r>
        <w:t xml:space="preserve">agreements for consumers and relating to</w:t>
      </w:r>
      <w:r>
        <w:t xml:space="preserve"> </w:t>
      </w:r>
      <w:r>
        <w:t xml:space="preserve">residential immovable property.</w:t>
      </w:r>
      <w:r>
        <w:br/>
      </w:r>
      <w:r>
        <w:t xml:space="preserve">Option 2</w:t>
      </w:r>
      <w:r>
        <w:t xml:space="preserve"> </w:t>
      </w:r>
      <w:r>
        <w:t xml:space="preserve">Support and supplement the work of the</w:t>
      </w:r>
      <w:r>
        <w:t xml:space="preserve"> </w:t>
      </w:r>
      <w:r>
        <w:t xml:space="preserve">Member States in this domain, by</w:t>
      </w:r>
      <w:r>
        <w:t xml:space="preserve"> </w:t>
      </w:r>
      <w:r>
        <w:t xml:space="preserve">replicating a similar provision to the</w:t>
      </w:r>
      <w:r>
        <w:t xml:space="preserve"> </w:t>
      </w:r>
      <w:r>
        <w:t xml:space="preserve">Article 6 MCD into the relevant financial</w:t>
      </w:r>
      <w:r>
        <w:t xml:space="preserve"> </w:t>
      </w:r>
      <w:r>
        <w:t xml:space="preserve">legislation on distribution of investment</w:t>
      </w:r>
      <w:r>
        <w:t xml:space="preserve"> </w:t>
      </w:r>
      <w:r>
        <w:t xml:space="preserve">products.</w:t>
      </w:r>
      <w:r>
        <w:t xml:space="preserve"> </w:t>
      </w:r>
      <w:r>
        <w:t xml:space="preserve">EU law will call upon Member States to</w:t>
      </w:r>
      <w:r>
        <w:t xml:space="preserve"> </w:t>
      </w:r>
      <w:r>
        <w:t xml:space="preserve">promote financial education/digital literacy</w:t>
      </w:r>
      <w:r>
        <w:t xml:space="preserve"> </w:t>
      </w:r>
      <w:r>
        <w:t xml:space="preserve">initiatives,</w:t>
      </w:r>
      <w:r>
        <w:t xml:space="preserve"> </w:t>
      </w:r>
      <w:r>
        <w:t xml:space="preserve">without</w:t>
      </w:r>
      <w:r>
        <w:t xml:space="preserve"> </w:t>
      </w:r>
      <w:r>
        <w:t xml:space="preserve">however</w:t>
      </w:r>
      <w:r>
        <w:t xml:space="preserve"> </w:t>
      </w:r>
      <w:r>
        <w:t xml:space="preserve">specifying</w:t>
      </w:r>
      <w:r>
        <w:t xml:space="preserve"> </w:t>
      </w:r>
      <w:r>
        <w:t xml:space="preserve">further the content of these initiatives (in line</w:t>
      </w:r>
      <w:r>
        <w:t xml:space="preserve"> </w:t>
      </w:r>
      <w:r>
        <w:t xml:space="preserve">with Art. 6(1) MCD and Art. 34 of CCD).</w:t>
      </w:r>
      <w:r>
        <w:t xml:space="preserve"> </w:t>
      </w:r>
      <w:r>
        <w:t xml:space="preserve">Option 3</w:t>
      </w:r>
      <w:r>
        <w:t xml:space="preserve"> </w:t>
      </w:r>
      <w:r>
        <w:t xml:space="preserve">Achieve more harmonisation in financial</w:t>
      </w:r>
      <w:r>
        <w:t xml:space="preserve"> </w:t>
      </w:r>
      <w:r>
        <w:t xml:space="preserve">education</w:t>
      </w:r>
      <w:r>
        <w:t xml:space="preserve"> </w:t>
      </w:r>
      <w:r>
        <w:t xml:space="preserve">matters:</w:t>
      </w:r>
      <w:r>
        <w:t xml:space="preserve"> </w:t>
      </w:r>
      <w:r>
        <w:t xml:space="preserve">replicate</w:t>
      </w:r>
      <w:r>
        <w:t xml:space="preserve"> </w:t>
      </w:r>
      <w:r>
        <w:t xml:space="preserve">similar</w:t>
      </w:r>
      <w:r>
        <w:t xml:space="preserve"> </w:t>
      </w:r>
      <w:r>
        <w:t xml:space="preserve">provisions to Article 6 MCD into the</w:t>
      </w:r>
      <w:r>
        <w:t xml:space="preserve"> </w:t>
      </w:r>
      <w:r>
        <w:t xml:space="preserve">relevant financial legislation (as in Option</w:t>
      </w:r>
    </w:p>
    <w:p>
      <w:pPr>
        <w:pStyle w:val="Compact"/>
        <w:numPr>
          <w:ilvl w:val="0"/>
          <w:numId w:val="1035"/>
        </w:numPr>
      </w:pPr>
      <w:r>
        <w:t xml:space="preserve">and, in addition, introduce regular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national</w:t>
      </w:r>
      <w:r>
        <w:t xml:space="preserve"> </w:t>
      </w:r>
      <w:r>
        <w:t xml:space="preserve">educational measures, while establishing a</w:t>
      </w:r>
      <w:r>
        <w:t xml:space="preserve"> </w:t>
      </w:r>
      <w:r>
        <w:t xml:space="preserve">quality control system.</w:t>
      </w:r>
    </w:p>
    <w:p>
      <w:pPr>
        <w:numPr>
          <w:ilvl w:val="0"/>
          <w:numId w:val="1036"/>
        </w:numPr>
      </w:pPr>
      <w:r>
        <w:t xml:space="preserve">What are the impacts of the options and how do they compare?</w:t>
      </w:r>
    </w:p>
    <w:p>
      <w:pPr>
        <w:numPr>
          <w:ilvl w:val="0"/>
          <w:numId w:val="1036"/>
        </w:numPr>
      </w:pPr>
      <w:r>
        <w:t xml:space="preserve">Baseline (Option 1)</w:t>
      </w:r>
      <w:r>
        <w:t xml:space="preserve"> </w:t>
      </w:r>
      <w:r>
        <w:t xml:space="preserve">Under the baseline scenario, the schedule of (possible) legislative financial education</w:t>
      </w:r>
      <w:r>
        <w:t xml:space="preserve"> </w:t>
      </w:r>
      <w:r>
        <w:t xml:space="preserve">initiatives remains unaligned being determined entirely by Member States. The currently</w:t>
      </w:r>
      <w:r>
        <w:t xml:space="preserve"> </w:t>
      </w:r>
      <w:r>
        <w:t xml:space="preserve">isolated EU-level provisions in MCD and CCD would be complemented with separate</w:t>
      </w:r>
      <w:r>
        <w:t xml:space="preserve"> </w:t>
      </w:r>
      <w:r>
        <w:t xml:space="preserve">national measures in other areas only according to the needs, timelines and political</w:t>
      </w:r>
      <w:r>
        <w:t xml:space="preserve"> </w:t>
      </w:r>
      <w:r>
        <w:t xml:space="preserve">willingness of national authorities. The EU can continue to foster financial education</w:t>
      </w:r>
    </w:p>
    <w:p>
      <w:pPr>
        <w:pStyle w:val="FirstParagraph"/>
      </w:pPr>
      <w:r>
        <w:t xml:space="preserve">138</w:t>
      </w:r>
    </w:p>
    <w:p>
      <w:pPr>
        <w:pStyle w:val="BodyText"/>
      </w:pPr>
      <w:r>
        <w:t xml:space="preserve">through complementary (non-legislative) workstreams, such as the EU/OECD financial</w:t>
      </w:r>
      <w:r>
        <w:t xml:space="preserve"> </w:t>
      </w:r>
      <w:r>
        <w:t xml:space="preserve">competence frameworks.</w:t>
      </w:r>
      <w:r>
        <w:t xml:space="preserve"> </w:t>
      </w:r>
      <w:r>
        <w:t xml:space="preserve">The baseline would not be effective in addressing the existing problem. It implies a very</w:t>
      </w:r>
      <w:r>
        <w:t xml:space="preserve"> </w:t>
      </w:r>
      <w:r>
        <w:t xml:space="preserve">low level of harmonisation and coordination, leaving policy decisions to Member States.</w:t>
      </w:r>
      <w:r>
        <w:t xml:space="preserve"> </w:t>
      </w:r>
      <w:r>
        <w:t xml:space="preserve">The baseline also creates a high risk of fragmentation between the schedules of initiatives</w:t>
      </w:r>
      <w:r>
        <w:t xml:space="preserve"> </w:t>
      </w:r>
      <w:r>
        <w:t xml:space="preserve">adopted at national level due to non-coordination among Member States. The EU would</w:t>
      </w:r>
      <w:r>
        <w:t xml:space="preserve"> </w:t>
      </w:r>
      <w:r>
        <w:t xml:space="preserve">limit itself to complementary (non-legislative) measures that, while contributing to the</w:t>
      </w:r>
      <w:r>
        <w:t xml:space="preserve"> </w:t>
      </w:r>
      <w:r>
        <w:t xml:space="preserve">objective, would not address fully the identified problem.</w:t>
      </w:r>
      <w:r>
        <w:br/>
      </w:r>
      <w:r>
        <w:t xml:space="preserve">2.</w:t>
      </w:r>
      <w:r>
        <w:t xml:space="preserve"> </w:t>
      </w:r>
      <w:r>
        <w:t xml:space="preserve">Option 2</w:t>
      </w:r>
      <w:r>
        <w:t xml:space="preserve"> </w:t>
      </w:r>
      <w:r>
        <w:t xml:space="preserve">Under this option, the EU would replicate Article 6 of the MCD in other sectoral</w:t>
      </w:r>
      <w:r>
        <w:t xml:space="preserve"> </w:t>
      </w:r>
      <w:r>
        <w:t xml:space="preserve">legislation, therefore increasing the scope of financial products for which Member States</w:t>
      </w:r>
      <w:r>
        <w:t xml:space="preserve"> </w:t>
      </w:r>
      <w:r>
        <w:t xml:space="preserve">would need to promote financial education measures. These financial education measures</w:t>
      </w:r>
      <w:r>
        <w:t xml:space="preserve"> </w:t>
      </w:r>
      <w:r>
        <w:t xml:space="preserve">could potentially build on the deliverables of other initiatives in the area of financial</w:t>
      </w:r>
      <w:r>
        <w:t xml:space="preserve"> </w:t>
      </w:r>
      <w:r>
        <w:t xml:space="preserve">education, such as the EU/OECD financial competence framework for adults, which</w:t>
      </w:r>
      <w:r>
        <w:t xml:space="preserve"> </w:t>
      </w:r>
      <w:r>
        <w:t xml:space="preserve">should facilitate the development of targeted trainings and training material in a</w:t>
      </w:r>
      <w:r>
        <w:t xml:space="preserve"> </w:t>
      </w:r>
      <w:r>
        <w:t xml:space="preserve">harmonised manner across Member States. In such a manner, the timing, intent and, to a</w:t>
      </w:r>
      <w:r>
        <w:t xml:space="preserve"> </w:t>
      </w:r>
      <w:r>
        <w:t xml:space="preserve">certain extent, content of national educational measures could be better aligned across the</w:t>
      </w:r>
      <w:r>
        <w:t xml:space="preserve"> </w:t>
      </w:r>
      <w:r>
        <w:t xml:space="preserve">EU. Under this option, the Commission would, however, neither monitor nor assesses the</w:t>
      </w:r>
      <w:r>
        <w:t xml:space="preserve"> </w:t>
      </w:r>
      <w:r>
        <w:t xml:space="preserve">educations measures put forward by Member States.</w:t>
      </w:r>
      <w:r>
        <w:br/>
      </w:r>
      <w:r>
        <w:t xml:space="preserve">Benefits</w:t>
      </w:r>
      <w:r>
        <w:t xml:space="preserve"> </w:t>
      </w:r>
      <w:r>
        <w:t xml:space="preserve">In terms of consumer protection and integrity of the single market, this option adds to the</w:t>
      </w:r>
      <w:r>
        <w:t xml:space="preserve"> </w:t>
      </w:r>
      <w:r>
        <w:t xml:space="preserve">ongoing work of the Member States by providing a legal commitment to foster action on</w:t>
      </w:r>
      <w:r>
        <w:t xml:space="preserve"> </w:t>
      </w:r>
      <w:r>
        <w:t xml:space="preserve">financial literacy. Nevertheless, Member States would retain control over which measures</w:t>
      </w:r>
      <w:r>
        <w:t xml:space="preserve"> </w:t>
      </w:r>
      <w:r>
        <w:t xml:space="preserve">they should adopt and promote, as they see fit to their national agenda, and would also be</w:t>
      </w:r>
      <w:r>
        <w:t xml:space="preserve"> </w:t>
      </w:r>
      <w:r>
        <w:t xml:space="preserve">able to coordinate their efforts and exchange best practices on implementation, owing to</w:t>
      </w:r>
      <w:r>
        <w:t xml:space="preserve"> </w:t>
      </w:r>
      <w:r>
        <w:t xml:space="preserve">the fact that they would be transposing the same legislative requirement. Under the option,</w:t>
      </w:r>
      <w:r>
        <w:t xml:space="preserve"> </w:t>
      </w:r>
      <w:r>
        <w:t xml:space="preserve">Member States may find it easier to put in place educations measures than without</w:t>
      </w:r>
      <w:r>
        <w:t xml:space="preserve"> </w:t>
      </w:r>
      <w:r>
        <w:t xml:space="preserve">coordination/ exchange of best practices with other Member States. Consumers, whose</w:t>
      </w:r>
      <w:r>
        <w:t xml:space="preserve"> </w:t>
      </w:r>
      <w:r>
        <w:t xml:space="preserve">level of financial education would (gradually) increase, would be the main beneficiaries</w:t>
      </w:r>
      <w:r>
        <w:t xml:space="preserve"> </w:t>
      </w:r>
      <w:r>
        <w:t xml:space="preserve">under the option (although it would be impossible to quantify the amount of such benefit</w:t>
      </w:r>
      <w:r>
        <w:t xml:space="preserve"> </w:t>
      </w:r>
      <w:r>
        <w:t xml:space="preserve">accruing to consumers). Longer-term benefits would include wider retail investor</w:t>
      </w:r>
      <w:r>
        <w:t xml:space="preserve"> </w:t>
      </w:r>
      <w:r>
        <w:t xml:space="preserve">participation in capital markets (ultimately benefitting financial intermediaries), better</w:t>
      </w:r>
      <w:r>
        <w:t xml:space="preserve"> </w:t>
      </w:r>
      <w:r>
        <w:t xml:space="preserve">saving (pension) opportunities for consumers (at the same time reducing the risk of their</w:t>
      </w:r>
      <w:r>
        <w:t xml:space="preserve"> </w:t>
      </w:r>
      <w:r>
        <w:t xml:space="preserve">over-indebtedness) and more available funding for companies across Member States.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This option would only generate limited costs for Member States and very low costs (if</w:t>
      </w:r>
      <w:r>
        <w:t xml:space="preserve"> </w:t>
      </w:r>
      <w:r>
        <w:t xml:space="preserve">any) for other stakeholders. Public authorities would be able to save costs due to the</w:t>
      </w:r>
      <w:r>
        <w:t xml:space="preserve"> </w:t>
      </w:r>
      <w:r>
        <w:t xml:space="preserve">possibility to exchange best practices during the implementation of the provisions. Since</w:t>
      </w:r>
      <w:r>
        <w:t xml:space="preserve"> </w:t>
      </w:r>
      <w:r>
        <w:t xml:space="preserve">no ex-post reporting would be required, costs for public authorities would be rather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contained. Financial intermediaries could potentially have to bear some costs depending</w:t>
      </w:r>
      <w:r>
        <w:t xml:space="preserve"> </w:t>
      </w:r>
      <w:r>
        <w:t xml:space="preserve">on the actions taken at national level. There will be no costs for consumers.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This option ensures a sufficient level of policy coordination across the EU while leaving</w:t>
      </w:r>
      <w:r>
        <w:t xml:space="preserve"> </w:t>
      </w:r>
      <w:r>
        <w:t xml:space="preserve">full flexibility on implementation to Member States, allowing for Member States to</w:t>
      </w:r>
      <w:r>
        <w:t xml:space="preserve"> </w:t>
      </w:r>
      <w:r>
        <w:t xml:space="preserve">exchange best practices to increase the level of coherence. While not being sufficient on</w:t>
      </w:r>
      <w:r>
        <w:t xml:space="preserve"> </w:t>
      </w:r>
      <w:r>
        <w:t xml:space="preserve">its own to tackle the identified problem (i.e. to increase the level of financial education</w:t>
      </w:r>
      <w:r>
        <w:t xml:space="preserve"> </w:t>
      </w:r>
      <w:r>
        <w:t xml:space="preserve">across the EU), it has the potential to effectively complement and reinforce the impact of</w:t>
      </w:r>
      <w:r>
        <w:t xml:space="preserve"> </w:t>
      </w:r>
      <w:r>
        <w:t xml:space="preserve">other measures taken by the EU in this area. It thus has a fair level of effectiveness, while</w:t>
      </w:r>
      <w:r>
        <w:t xml:space="preserve"> </w:t>
      </w:r>
      <w:r>
        <w:t xml:space="preserve">being a cost-efficient option.</w:t>
      </w:r>
      <w:r>
        <w:t xml:space="preserve"> </w:t>
      </w:r>
      <w:r>
        <w:t xml:space="preserve">3.</w:t>
      </w:r>
      <w:r>
        <w:t xml:space="preserve"> </w:t>
      </w:r>
      <w:r>
        <w:t xml:space="preserve">Option 3</w:t>
      </w:r>
      <w:r>
        <w:t xml:space="preserve"> </w:t>
      </w:r>
      <w:r>
        <w:t xml:space="preserve">This policy option would introduce a higher degree of centralisation, building on but also</w:t>
      </w:r>
      <w:r>
        <w:t xml:space="preserve"> </w:t>
      </w:r>
      <w:r>
        <w:t xml:space="preserve">going beyond option 2. It would aim to achieve a higher level of harmonisation in financial</w:t>
      </w:r>
      <w:r>
        <w:t xml:space="preserve"> </w:t>
      </w:r>
      <w:r>
        <w:t xml:space="preserve">education matters than under option 2. In addition to replicating the provision in Article 6</w:t>
      </w:r>
      <w:r>
        <w:t xml:space="preserve"> </w:t>
      </w:r>
      <w:r>
        <w:t xml:space="preserve">MCD to promote financial education measures in other sectoral financial legislation</w:t>
      </w:r>
      <w:r>
        <w:t xml:space="preserve"> </w:t>
      </w:r>
      <w:r>
        <w:t xml:space="preserve">(similarly to option 2), it would introduce mandatory regular reporting requirements for</w:t>
      </w:r>
      <w:r>
        <w:t xml:space="preserve"> </w:t>
      </w:r>
      <w:r>
        <w:t xml:space="preserve">NCAs regarding the national financial educational measures taken, as well as a quality</w:t>
      </w:r>
      <w:r>
        <w:t xml:space="preserve"> </w:t>
      </w:r>
      <w:r>
        <w:t xml:space="preserve">control for such measures. NCAs would be required to regularly report such information</w:t>
      </w:r>
      <w:r>
        <w:t xml:space="preserve"> </w:t>
      </w:r>
      <w:r>
        <w:t xml:space="preserve">to both the ESAs and the Commission by means of progress reports. The Commission</w:t>
      </w:r>
      <w:r>
        <w:t xml:space="preserve"> </w:t>
      </w:r>
      <w:r>
        <w:t xml:space="preserve">would then need to adopt a quality control system to ensure that the educational measures</w:t>
      </w:r>
      <w:r>
        <w:t xml:space="preserve"> </w:t>
      </w:r>
      <w:r>
        <w:t xml:space="preserve">are effective. Under this quality control system, the Commission would assess and approve</w:t>
      </w:r>
      <w:r>
        <w:t xml:space="preserve"> </w:t>
      </w:r>
      <w:r>
        <w:t xml:space="preserve">the educational measures based on a system of key performance indicators (KPIs) to be</w:t>
      </w:r>
      <w:r>
        <w:t xml:space="preserve"> </w:t>
      </w:r>
      <w:r>
        <w:t xml:space="preserve">developed by the Commission.</w:t>
      </w:r>
      <w:r>
        <w:br/>
      </w:r>
      <w:r>
        <w:t xml:space="preserve">Benefits</w:t>
      </w:r>
      <w:r>
        <w:t xml:space="preserve"> </w:t>
      </w:r>
      <w:r>
        <w:t xml:space="preserve">As under option 2, benefits would arise for consumers/citizens, Member States and</w:t>
      </w:r>
      <w:r>
        <w:t xml:space="preserve"> </w:t>
      </w:r>
      <w:r>
        <w:t xml:space="preserve">financial intermediaries from the level playing field that would be created by leveraging</w:t>
      </w:r>
      <w:r>
        <w:t xml:space="preserve"> </w:t>
      </w:r>
      <w:r>
        <w:t xml:space="preserve">on the existing mechanisms implementing MCD-related financial literacy programmes.</w:t>
      </w:r>
      <w:r>
        <w:t xml:space="preserve"> </w:t>
      </w:r>
      <w:r>
        <w:t xml:space="preserve">This would in fact empower Member States to use the already existing credit framework</w:t>
      </w:r>
      <w:r>
        <w:t xml:space="preserve"> </w:t>
      </w:r>
      <w:r>
        <w:t xml:space="preserve">as an example of how to promote financial literacy initiatives in the area of investment,</w:t>
      </w:r>
      <w:r>
        <w:t xml:space="preserve"> </w:t>
      </w:r>
      <w:r>
        <w:t xml:space="preserve">and in doing so, to use the same educational channels that both citizens and the industry</w:t>
      </w:r>
      <w:r>
        <w:t xml:space="preserve"> </w:t>
      </w:r>
      <w:r>
        <w:t xml:space="preserve">already have access to. Compared to option 2, however, option 3 would potentially</w:t>
      </w:r>
      <w:r>
        <w:t xml:space="preserve"> </w:t>
      </w:r>
      <w:r>
        <w:t xml:space="preserve">generate higher benefits for consumers/citizens who would stand to benefit more from</w:t>
      </w:r>
      <w:r>
        <w:t xml:space="preserve"> </w:t>
      </w:r>
      <w:r>
        <w:t xml:space="preserve">measures whose effectiveness would be vetted by the Commission under the quality</w:t>
      </w:r>
      <w:r>
        <w:t xml:space="preserve"> </w:t>
      </w:r>
      <w:r>
        <w:t xml:space="preserve">control mechanism.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Option 3 would also lead to higher costs than option 1, in particular for public authorities</w:t>
      </w:r>
      <w:r>
        <w:t xml:space="preserve"> </w:t>
      </w:r>
      <w:r>
        <w:t xml:space="preserve">and Commission/European Supervisory Authorities (ESAs):</w:t>
      </w:r>
    </w:p>
    <w:p>
      <w:pPr>
        <w:pStyle w:val="BodyText"/>
      </w:pPr>
      <w:r>
        <w:t xml:space="preserve">140</w:t>
      </w:r>
    </w:p>
    <w:p>
      <w:pPr>
        <w:pStyle w:val="Compact"/>
        <w:numPr>
          <w:ilvl w:val="0"/>
          <w:numId w:val="1037"/>
        </w:numPr>
      </w:pPr>
      <w:r>
        <w:t xml:space="preserve">Public authorities would incur higher administrative costs related to regular reporting</w:t>
      </w:r>
      <w:r>
        <w:t xml:space="preserve"> </w:t>
      </w:r>
      <w:r>
        <w:t xml:space="preserve">on educational measures in the form of progress reports.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The Commission and/or ESAs would need to pre-approve notified measures in</w:t>
      </w:r>
      <w:r>
        <w:t xml:space="preserve"> </w:t>
      </w:r>
      <w:r>
        <w:t xml:space="preserve">accordance with the quality control mechanism. It would require the development of</w:t>
      </w:r>
      <w:r>
        <w:t xml:space="preserve"> </w:t>
      </w:r>
      <w:r>
        <w:t xml:space="preserve">KPIs.</w:t>
      </w:r>
      <w:r>
        <w:br/>
      </w:r>
      <w:r>
        <w:t xml:space="preserve">Financial intermediaries may incur costs due to the need to adapt their existing educational</w:t>
      </w:r>
      <w:r>
        <w:t xml:space="preserve"> </w:t>
      </w:r>
      <w:r>
        <w:t xml:space="preserve">tools to the new (potentially stricter/more far reaching than under option 2) national</w:t>
      </w:r>
      <w:r>
        <w:t xml:space="preserve"> </w:t>
      </w:r>
      <w:r>
        <w:t xml:space="preserve">measures. This option would not generate any costs for consumers/citizens.</w:t>
      </w:r>
    </w:p>
    <w:p>
      <w:pPr>
        <w:pStyle w:val="FirstParagraph"/>
      </w:pPr>
      <w:r>
        <w:t xml:space="preserve">Conclusion</w:t>
      </w:r>
      <w:r>
        <w:t xml:space="preserve"> </w:t>
      </w:r>
      <w:r>
        <w:t xml:space="preserve">Option 3 is likely to be more effective in tackling the identified problem than option 2. It</w:t>
      </w:r>
      <w:r>
        <w:t xml:space="preserve"> </w:t>
      </w:r>
      <w:r>
        <w:t xml:space="preserve">could also be a more coherent option since all education measures would be subject to the</w:t>
      </w:r>
      <w:r>
        <w:t xml:space="preserve"> </w:t>
      </w:r>
      <w:r>
        <w:t xml:space="preserve">same quality control put in place by the Commission/ESAs. Nevertheless, option 3 would</w:t>
      </w:r>
      <w:r>
        <w:t xml:space="preserve"> </w:t>
      </w:r>
      <w:r>
        <w:t xml:space="preserve">entail a much higher cost for Member States, the Commission, ESAs and financial</w:t>
      </w:r>
      <w:r>
        <w:t xml:space="preserve"> </w:t>
      </w:r>
      <w:r>
        <w:t xml:space="preserve">intermediaries and therefore would be a much less cost-efficient option than option 2.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Cost 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Baseline (Option 1)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Legend: +++ = very positive ++ = positive</w:t>
      </w:r>
      <w:r>
        <w:br/>
      </w:r>
      <w:r>
        <w:t xml:space="preserve">+ = slightly positive 0 = no effect</w:t>
      </w:r>
    </w:p>
    <w:p>
      <w:pPr>
        <w:pStyle w:val="BodyText"/>
      </w:pPr>
      <w:r>
        <w:t xml:space="preserve">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4.</w:t>
      </w:r>
      <w:r>
        <w:t xml:space="preserve"> </w:t>
      </w:r>
      <w:r>
        <w:t xml:space="preserve">Preferred option</w:t>
      </w:r>
      <w:r>
        <w:br/>
      </w:r>
      <w:r>
        <w:t xml:space="preserve">Option 2 should be considered as the preferred option based on the overall assessment described</w:t>
      </w:r>
      <w:r>
        <w:t xml:space="preserve"> </w:t>
      </w:r>
      <w:r>
        <w:t xml:space="preserve">above.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ANNEX 6: INVESTOR CATEGORISATION</w:t>
      </w:r>
      <w:r>
        <w:t xml:space="preserve"> </w:t>
      </w:r>
      <w:r>
        <w:t xml:space="preserve">1.</w:t>
      </w:r>
      <w:r>
        <w:t xml:space="preserve"> </w:t>
      </w:r>
      <w:r>
        <w:t xml:space="preserve">Background and problem definition</w:t>
      </w:r>
      <w:r>
        <w:t xml:space="preserve"> </w:t>
      </w:r>
      <w:r>
        <w:t xml:space="preserve">MiFID II makes a distinction between retail investors, professional investors and eligible</w:t>
      </w:r>
      <w:r>
        <w:t xml:space="preserve"> </w:t>
      </w:r>
      <w:r>
        <w:t xml:space="preserve">counterparties. The distinction is important because different levels of protection and</w:t>
      </w:r>
      <w:r>
        <w:t xml:space="preserve"> </w:t>
      </w:r>
      <w:r>
        <w:t xml:space="preserve">safeguards, including disclosure requirements, are associated with each investor category.</w:t>
      </w:r>
      <w:r>
        <w:t xml:space="preserve"> </w:t>
      </w:r>
      <w:r>
        <w:t xml:space="preserve">In addition, other pieces of financial services legislation like AIFMD, ELTIF or PRIIPS</w:t>
      </w:r>
      <w:r>
        <w:t xml:space="preserve"> </w:t>
      </w:r>
      <w:r>
        <w:t xml:space="preserve">also refer to these types of investors.</w:t>
      </w:r>
      <w:r>
        <w:t xml:space="preserve"> </w:t>
      </w:r>
      <w:r>
        <w:t xml:space="preserve">MiFID II introduced measures to protect retail investors at a time where access to</w:t>
      </w:r>
      <w:r>
        <w:t xml:space="preserve"> </w:t>
      </w:r>
      <w:r>
        <w:t xml:space="preserve">investments in financial instruments became more commonplace, also for retail investors.</w:t>
      </w:r>
      <w:r>
        <w:t xml:space="preserve"> </w:t>
      </w:r>
      <w:r>
        <w:t xml:space="preserve">These measures have helped safeguard investors, but also restrained access to some</w:t>
      </w:r>
      <w:r>
        <w:t xml:space="preserve"> </w:t>
      </w:r>
      <w:r>
        <w:t xml:space="preserve">financial instruments and introduced a number of additional protective measures, such as</w:t>
      </w:r>
      <w:r>
        <w:t xml:space="preserve"> </w:t>
      </w:r>
      <w:r>
        <w:t xml:space="preserve">substantial disclosure requirements towards clients. Compliance with these requirements</w:t>
      </w:r>
      <w:r>
        <w:t xml:space="preserve"> </w:t>
      </w:r>
      <w:r>
        <w:t xml:space="preserve">helps ensure adequate protection for most retail investors, however it can also represent a</w:t>
      </w:r>
      <w:r>
        <w:t xml:space="preserve"> </w:t>
      </w:r>
      <w:r>
        <w:t xml:space="preserve">burden for or overprotect those with sufficient knowledge and experience and relevant</w:t>
      </w:r>
      <w:r>
        <w:t xml:space="preserve"> </w:t>
      </w:r>
      <w:r>
        <w:t xml:space="preserve">financial capacity (i.e. ability to absorb losses), who, due to these requirements, sometimes</w:t>
      </w:r>
      <w:r>
        <w:t xml:space="preserve"> </w:t>
      </w:r>
      <w:r>
        <w:t xml:space="preserve">cannot easily access certain financial instruments and feel that they are over-loaded with</w:t>
      </w:r>
      <w:r>
        <w:t xml:space="preserve"> </w:t>
      </w:r>
      <w:r>
        <w:t xml:space="preserve">information that they do not deem necessary or useful. This also constrains the ability of</w:t>
      </w:r>
      <w:r>
        <w:t xml:space="preserve"> </w:t>
      </w:r>
      <w:r>
        <w:t xml:space="preserve">experienced investors falling under the retail investor category from better diversifying</w:t>
      </w:r>
      <w:r>
        <w:t xml:space="preserve"> </w:t>
      </w:r>
      <w:r>
        <w:t xml:space="preserve">their portfolios and achieving improved investment-outcomes.</w:t>
      </w:r>
      <w:r>
        <w:br/>
      </w:r>
      <w:r>
        <w:t xml:space="preserve">In addition, the existing legal requirements in MiFID II may also create unjustified</w:t>
      </w:r>
      <w:r>
        <w:t xml:space="preserve"> </w:t>
      </w:r>
      <w:r>
        <w:t xml:space="preserve">administrative burden for financial services providers who have to produce and disclose</w:t>
      </w:r>
      <w:r>
        <w:t xml:space="preserve"> </w:t>
      </w:r>
      <w:r>
        <w:t xml:space="preserve">information that more sophisticated investors do not need and do not use in their investment</w:t>
      </w:r>
      <w:r>
        <w:t xml:space="preserve"> </w:t>
      </w:r>
      <w:r>
        <w:t xml:space="preserve">decisions.</w:t>
      </w:r>
      <w:r>
        <w:br/>
      </w:r>
      <w:r>
        <w:t xml:space="preserve">Currently, even if some retail clients possess the appropriate knowledge and experience</w:t>
      </w:r>
      <w:r>
        <w:t xml:space="preserve"> </w:t>
      </w:r>
      <w:r>
        <w:t xml:space="preserve">and demonstrate the ability to absorb losses, it is very difficult for them to be re-classified</w:t>
      </w:r>
      <w:r>
        <w:t xml:space="preserve"> </w:t>
      </w:r>
      <w:r>
        <w:t xml:space="preserve">as professional investors. Estimations suggest that currently only 0.09% of existing clients</w:t>
      </w:r>
      <w:r>
        <w:t xml:space="preserve"> </w:t>
      </w:r>
      <w:r>
        <w:t xml:space="preserve">are treated as professional332. In order for retail investors to be re-classified as professional</w:t>
      </w:r>
      <w:r>
        <w:t xml:space="preserve"> </w:t>
      </w:r>
      <w:r>
        <w:t xml:space="preserve">investors “upon request”, investment firms have to assess whether at least two of the</w:t>
      </w:r>
      <w:r>
        <w:t xml:space="preserve"> </w:t>
      </w:r>
      <w:r>
        <w:t xml:space="preserve">following conditions are satisfied: (a) the client has carried 10 transactions per quarter, (b)</w:t>
      </w:r>
      <w:r>
        <w:t xml:space="preserve"> </w:t>
      </w:r>
      <w:r>
        <w:t xml:space="preserve">the size of the client’s financial instrument portfolio (including cash) exceeds EUR 500</w:t>
      </w:r>
      <w:r>
        <w:t xml:space="preserve"> </w:t>
      </w:r>
      <w:r>
        <w:t xml:space="preserve">000, and (c) the client works or has past professional experience with the envisaged</w:t>
      </w:r>
      <w:r>
        <w:t xml:space="preserve"> </w:t>
      </w:r>
      <w:r>
        <w:t xml:space="preserve">transactions or services for at least one year. Furthermore, under the current framework,</w:t>
      </w:r>
      <w:r>
        <w:t xml:space="preserve"> </w:t>
      </w:r>
      <w:r>
        <w:t xml:space="preserve">legal entities are also treated as retail investors, where they are not considered as large</w:t>
      </w:r>
    </w:p>
    <w:p>
      <w:pPr>
        <w:pStyle w:val="BodyText"/>
      </w:pPr>
      <w:r>
        <w:t xml:space="preserve">332 Calculations based on data provided to the commission services by a large bank, indicating the types of</w:t>
      </w:r>
      <w:r>
        <w:t xml:space="preserve"> </w:t>
      </w:r>
      <w:r>
        <w:t xml:space="preserve">services provided and number of clients in each category. In summary, the bank services 5 347 536</w:t>
      </w:r>
      <w:r>
        <w:t xml:space="preserve"> </w:t>
      </w:r>
      <w:r>
        <w:t xml:space="preserve">clients, out of which only 4 761 are categorised as professional clients.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undertakings (balance sheet below EUR 20 million, net turnover below EUR 40 million,</w:t>
      </w:r>
      <w:r>
        <w:t xml:space="preserve"> </w:t>
      </w:r>
      <w:r>
        <w:t xml:space="preserve">own funds below EUR 2 million).</w:t>
      </w:r>
      <w:r>
        <w:t xml:space="preserve"> </w:t>
      </w:r>
      <w:r>
        <w:t xml:space="preserve">The creation of a new client category or the modification of the existing conditions for</w:t>
      </w:r>
      <w:r>
        <w:t xml:space="preserve"> </w:t>
      </w:r>
      <w:r>
        <w:t xml:space="preserve">professional clients on request could give a subset of retail investors with appropriate</w:t>
      </w:r>
      <w:r>
        <w:t xml:space="preserve"> </w:t>
      </w:r>
      <w:r>
        <w:t xml:space="preserve">knowledge, experience and financial capacity broader and more comprehensive access to</w:t>
      </w:r>
      <w:r>
        <w:t xml:space="preserve"> </w:t>
      </w:r>
      <w:r>
        <w:t xml:space="preserve">capital markets. It would also help ensure that the information received by investors is</w:t>
      </w:r>
      <w:r>
        <w:t xml:space="preserve"> </w:t>
      </w:r>
      <w:r>
        <w:t xml:space="preserve">more targeted to their specific needs, contributing towards specific objective 1 (SO1) as</w:t>
      </w:r>
      <w:r>
        <w:t xml:space="preserve"> </w:t>
      </w:r>
      <w:r>
        <w:t xml:space="preserve">described in section 5 of this impact assessment. This would bring additional sources of</w:t>
      </w:r>
      <w:r>
        <w:t xml:space="preserve"> </w:t>
      </w:r>
      <w:r>
        <w:t xml:space="preserve">funding to the EU economy and allow those investors to benefit from better diversification</w:t>
      </w:r>
      <w:r>
        <w:t xml:space="preserve"> </w:t>
      </w:r>
      <w:r>
        <w:t xml:space="preserve">of their portfolios. Any adjustments to the rules have nevertheless to cater for the necessary</w:t>
      </w:r>
      <w:r>
        <w:t xml:space="preserve"> </w:t>
      </w:r>
      <w:r>
        <w:t xml:space="preserve">degree of investor protection for all groups of investors while improving engagement with</w:t>
      </w:r>
      <w:r>
        <w:t xml:space="preserve"> </w:t>
      </w:r>
      <w:r>
        <w:t xml:space="preserve">the capital markets and removing unnecessary (excessive) administrative burden for</w:t>
      </w:r>
      <w:r>
        <w:t xml:space="preserve"> </w:t>
      </w:r>
      <w:r>
        <w:t xml:space="preserve">market operators.</w:t>
      </w:r>
      <w:r>
        <w:t xml:space="preserve"> </w:t>
      </w:r>
      <w:r>
        <w:t xml:space="preserve">2.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The impact assessment considers two options, other than the baseline scenario set out under</w:t>
      </w:r>
      <w:r>
        <w:t xml:space="preserve"> </w:t>
      </w:r>
      <w:r>
        <w:t xml:space="preserve">option 1, to address the identified problem. Both options are assessed against the baseline</w:t>
      </w:r>
      <w:r>
        <w:t xml:space="preserve"> </w:t>
      </w:r>
      <w:r>
        <w:t xml:space="preserve">that would maintain the existing client categorisation framework as it is.</w:t>
      </w:r>
      <w:r>
        <w:br/>
      </w:r>
      <w:r>
        <w:t xml:space="preserve">Under option 2, a separate new intermediate category of semi-professional investors would</w:t>
      </w:r>
      <w:r>
        <w:t xml:space="preserve"> </w:t>
      </w:r>
      <w:r>
        <w:t xml:space="preserve">be created in MiFID II with tailored, more easily fulfillable criteria. The new definition</w:t>
      </w:r>
      <w:r>
        <w:t xml:space="preserve"> </w:t>
      </w:r>
      <w:r>
        <w:t xml:space="preserve">would imply setting out a new list of criteria that semi-professional investors would have</w:t>
      </w:r>
      <w:r>
        <w:t xml:space="preserve"> </w:t>
      </w:r>
      <w:r>
        <w:t xml:space="preserve">to comply with, which would be significantly less restrictive than for professional</w:t>
      </w:r>
      <w:r>
        <w:t xml:space="preserve"> </w:t>
      </w:r>
      <w:r>
        <w:t xml:space="preserve">investors. It would also require a review of the existing investor protection measures for</w:t>
      </w:r>
      <w:r>
        <w:t xml:space="preserve"> </w:t>
      </w:r>
      <w:r>
        <w:t xml:space="preserve">investors currently defined as retail investors with a view to determining which ones would</w:t>
      </w:r>
      <w:r>
        <w:t xml:space="preserve"> </w:t>
      </w:r>
      <w:r>
        <w:t xml:space="preserve">stay relevant for semi-professional clients and which ones would no longer apply. This</w:t>
      </w:r>
      <w:r>
        <w:t xml:space="preserve"> </w:t>
      </w:r>
      <w:r>
        <w:t xml:space="preserve">would apply to MiFID II, however also to all other financial services legislation which</w:t>
      </w:r>
      <w:r>
        <w:t xml:space="preserve"> </w:t>
      </w:r>
      <w:r>
        <w:t xml:space="preserve">refers to these definitions. The result would be 4 distinct categories of investors that would</w:t>
      </w:r>
      <w:r>
        <w:t xml:space="preserve"> </w:t>
      </w:r>
      <w:r>
        <w:t xml:space="preserve">be used in the financial services acquis: retail investors, semi-professional investors,</w:t>
      </w:r>
      <w:r>
        <w:t xml:space="preserve"> </w:t>
      </w:r>
      <w:r>
        <w:t xml:space="preserve">professional investors and eligible counterparties. Financial service providers would have</w:t>
      </w:r>
      <w:r>
        <w:t xml:space="preserve"> </w:t>
      </w:r>
      <w:r>
        <w:t xml:space="preserve">to adjust their IT systems and procedures, in line with the new requirements for the</w:t>
      </w:r>
      <w:r>
        <w:t xml:space="preserve"> </w:t>
      </w:r>
      <w:r>
        <w:t xml:space="preserve">treatment of semi-professional clients.</w:t>
      </w:r>
      <w:r>
        <w:br/>
      </w:r>
      <w:r>
        <w:t xml:space="preserve">Under option 3, the existing criteria for professional clients on request would be adapted</w:t>
      </w:r>
      <w:r>
        <w:t xml:space="preserve"> </w:t>
      </w:r>
      <w:r>
        <w:t xml:space="preserve">in order to make this category more accommodative for those investors with appropriate</w:t>
      </w:r>
      <w:r>
        <w:t xml:space="preserve"> </w:t>
      </w:r>
      <w:r>
        <w:t xml:space="preserve">knowledge, experience and ability to bear losses, who should be treated as and hence able</w:t>
      </w:r>
      <w:r>
        <w:t xml:space="preserve"> </w:t>
      </w:r>
      <w:r>
        <w:t xml:space="preserve">to benefit from regulatory alleviations offered to professional investors. More concretely,</w:t>
      </w:r>
      <w:r>
        <w:t xml:space="preserve"> </w:t>
      </w:r>
      <w:r>
        <w:t xml:space="preserve">this would involve reviewing the existing thresholds (i.e. 500 000 EUR in financial assets,</w:t>
      </w:r>
      <w:r>
        <w:t xml:space="preserve"> </w:t>
      </w:r>
      <w:r>
        <w:t xml:space="preserve">10 transactions per quarter), and the definition of what is considered as relevant</w:t>
      </w:r>
      <w:r>
        <w:t xml:space="preserve"> </w:t>
      </w:r>
      <w:r>
        <w:t xml:space="preserve">professional experience. It could also be envisaged to introduce an additional criterion</w:t>
      </w:r>
      <w:r>
        <w:t xml:space="preserve"> </w:t>
      </w:r>
      <w:r>
        <w:t xml:space="preserve">capturing the knowledge of clients (i.e. those having passed acknowledged financial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certifications). Furthermore, it would be envisaged to reduce the existing thresholds to</w:t>
      </w:r>
      <w:r>
        <w:t xml:space="preserve"> </w:t>
      </w:r>
      <w:r>
        <w:t xml:space="preserve">make it easier for legal entities to qualify as professional investors upon request333.</w:t>
      </w:r>
      <w:r>
        <w:t xml:space="preserve"> </w:t>
      </w:r>
      <w:r>
        <w:t xml:space="preserve">Option</w:t>
      </w:r>
      <w:r>
        <w:t xml:space="preserve"> </w:t>
      </w:r>
      <w:r>
        <w:t xml:space="preserve">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br/>
      </w:r>
      <w:r>
        <w:t xml:space="preserve">No changes to client categorisation – this is the baseline scenario</w:t>
      </w:r>
      <w:r>
        <w:t xml:space="preserve"> </w:t>
      </w:r>
      <w:r>
        <w:t xml:space="preserve">Option 2</w:t>
      </w:r>
      <w:r>
        <w:t xml:space="preserve"> </w:t>
      </w:r>
      <w:r>
        <w:t xml:space="preserve">Introduction of an additional client category - semi-professional investors</w:t>
      </w:r>
      <w:r>
        <w:t xml:space="preserve"> </w:t>
      </w:r>
      <w:r>
        <w:t xml:space="preserve">Option 3</w:t>
      </w:r>
      <w:r>
        <w:t xml:space="preserve"> </w:t>
      </w:r>
      <w:r>
        <w:t xml:space="preserve">Adjusting the current criteria to qualify as a professional client on</w:t>
      </w:r>
      <w:r>
        <w:t xml:space="preserve"> </w:t>
      </w:r>
      <w:r>
        <w:t xml:space="preserve">request</w:t>
      </w:r>
    </w:p>
    <w:p>
      <w:pPr>
        <w:pStyle w:val="Compact"/>
        <w:numPr>
          <w:ilvl w:val="0"/>
          <w:numId w:val="1038"/>
        </w:numPr>
      </w:pPr>
      <w:r>
        <w:t xml:space="preserve">What are the impacts of the options and how do they compare?</w:t>
      </w:r>
    </w:p>
    <w:p>
      <w:pPr>
        <w:pStyle w:val="Compact"/>
        <w:numPr>
          <w:ilvl w:val="0"/>
          <w:numId w:val="1038"/>
        </w:numPr>
      </w:pPr>
      <w:r>
        <w:t xml:space="preserve">Benefits</w:t>
      </w:r>
      <w:r>
        <w:t xml:space="preserve"> </w:t>
      </w:r>
      <w:r>
        <w:t xml:space="preserve">Option 2 (introducing an additional category of semi-professional investors) would allow</w:t>
      </w:r>
      <w:r>
        <w:t xml:space="preserve"> </w:t>
      </w:r>
      <w:r>
        <w:t xml:space="preserve">for better differentiation between the diverging needs of individuals within the retail</w:t>
      </w:r>
      <w:r>
        <w:t xml:space="preserve"> </w:t>
      </w:r>
      <w:r>
        <w:t xml:space="preserve">investor category. This would help reduce unnecessary information disclosure to those</w:t>
      </w:r>
      <w:r>
        <w:t xml:space="preserve"> </w:t>
      </w:r>
      <w:r>
        <w:t xml:space="preserve">clients who do not need it for their investment decisions, leading to cost savings for those</w:t>
      </w:r>
      <w:r>
        <w:t xml:space="preserve"> </w:t>
      </w:r>
      <w:r>
        <w:t xml:space="preserve">financial operators as well as allow broader access to financial instruments. Semi-</w:t>
      </w:r>
      <w:r>
        <w:t xml:space="preserve"> </w:t>
      </w:r>
      <w:r>
        <w:t xml:space="preserve">professional investors would get better-tailored investor protection, fit for their specific</w:t>
      </w:r>
      <w:r>
        <w:t xml:space="preserve"> </w:t>
      </w:r>
      <w:r>
        <w:t xml:space="preserve">profile and background. This would help avoid them getting overloaded with unnecessary</w:t>
      </w:r>
      <w:r>
        <w:t xml:space="preserve"> </w:t>
      </w:r>
      <w:r>
        <w:t xml:space="preserve">disclosure from financial operators and gain access to some products which may not be</w:t>
      </w:r>
      <w:r>
        <w:t xml:space="preserve"> </w:t>
      </w:r>
      <w:r>
        <w:t xml:space="preserve">suitable for all retail clients, therefore allowing for improved portfolio composition and</w:t>
      </w:r>
      <w:r>
        <w:t xml:space="preserve"> </w:t>
      </w:r>
      <w:r>
        <w:t xml:space="preserve">diversification. Separate safeguards would have to be developed for each segment of</w:t>
      </w:r>
      <w:r>
        <w:t xml:space="preserve"> </w:t>
      </w:r>
      <w:r>
        <w:t xml:space="preserve">investors (retail, semi-professional, professional), therefore potentially helping to better</w:t>
      </w:r>
      <w:r>
        <w:t xml:space="preserve"> </w:t>
      </w:r>
      <w:r>
        <w:t xml:space="preserve">ensure more proportional safeguards for each category.</w:t>
      </w:r>
      <w:r>
        <w:t xml:space="preserve"> </w:t>
      </w:r>
      <w:r>
        <w:t xml:space="preserve">Under option 3, the benefits identified under option 2 and accruing to various groups of</w:t>
      </w:r>
      <w:r>
        <w:t xml:space="preserve"> </w:t>
      </w:r>
      <w:r>
        <w:t xml:space="preserve">stakeholders would be similar. It is possible that under option 2 the group of investors</w:t>
      </w:r>
      <w:r>
        <w:t xml:space="preserve"> </w:t>
      </w:r>
      <w:r>
        <w:t xml:space="preserve">defined as semi-professional would get slightly more tailored and hence potentially better</w:t>
      </w:r>
      <w:r>
        <w:t xml:space="preserve"> </w:t>
      </w:r>
      <w:r>
        <w:t xml:space="preserve">fitted investor protection than under option 3 where no additional stand-alone category</w:t>
      </w:r>
      <w:r>
        <w:t xml:space="preserve"> </w:t>
      </w:r>
      <w:r>
        <w:t xml:space="preserve">would be created and where these investors would rather be treated as professional</w:t>
      </w:r>
      <w:r>
        <w:t xml:space="preserve"> </w:t>
      </w:r>
      <w:r>
        <w:t xml:space="preserve">investors. On the other hand, the increased complexity of the regulatory and supervisory</w:t>
      </w:r>
      <w:r>
        <w:t xml:space="preserve"> </w:t>
      </w:r>
      <w:r>
        <w:t xml:space="preserve">framework due to the creation of an additional category and differentiated safeguards may</w:t>
      </w:r>
      <w:r>
        <w:t xml:space="preserve"> </w:t>
      </w:r>
      <w:r>
        <w:t xml:space="preserve">also undermine consumer protection by increasing the probability that clients may end up</w:t>
      </w:r>
      <w:r>
        <w:t xml:space="preserve"> </w:t>
      </w:r>
      <w:r>
        <w:t xml:space="preserve">inappropriately categorised (i.e. the risk of firms being able to manipulate the</w:t>
      </w:r>
      <w:r>
        <w:t xml:space="preserve"> </w:t>
      </w:r>
      <w:r>
        <w:t xml:space="preserve">categorisation of their clients according to their interests would increase given the</w:t>
      </w:r>
    </w:p>
    <w:p>
      <w:pPr>
        <w:pStyle w:val="FirstParagraph"/>
      </w:pPr>
      <w:r>
        <w:t xml:space="preserve">333 Currently only large undertaking meeting two of the following size requirements on a company basis</w:t>
      </w:r>
      <w:r>
        <w:t xml:space="preserve"> </w:t>
      </w:r>
      <w:r>
        <w:t xml:space="preserve">can request to be treated as professional clients: 1) balance sheet total of EUR 20 000 000; 2) net</w:t>
      </w:r>
      <w:r>
        <w:t xml:space="preserve"> </w:t>
      </w:r>
      <w:r>
        <w:t xml:space="preserve">turnover of EUR 40 000 000; 3) own funds of EUR 2 000 000.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relatively low requirements for the semi-professional category), therefore it is uncertain</w:t>
      </w:r>
      <w:r>
        <w:t xml:space="preserve"> </w:t>
      </w:r>
      <w:r>
        <w:t xml:space="preserve">whether the benefits of option 2 would overall be significantly higher.</w:t>
      </w:r>
      <w:r>
        <w:br/>
      </w:r>
      <w:r>
        <w:t xml:space="preserve">2.</w:t>
      </w:r>
      <w:r>
        <w:t xml:space="preserve"> </w:t>
      </w:r>
      <w:r>
        <w:t xml:space="preserve">Costs of option 2</w:t>
      </w:r>
      <w:r>
        <w:t xml:space="preserve"> </w:t>
      </w:r>
      <w:r>
        <w:t xml:space="preserve">Option 2 would imply high costs for financial service providers and public</w:t>
      </w:r>
      <w:r>
        <w:t xml:space="preserve"> </w:t>
      </w:r>
      <w:r>
        <w:t xml:space="preserve">administrations. It would first of all require a comprehensive review of the current</w:t>
      </w:r>
      <w:r>
        <w:t xml:space="preserve"> </w:t>
      </w:r>
      <w:r>
        <w:t xml:space="preserve">framework for investor protection, determining which protections would remain</w:t>
      </w:r>
      <w:r>
        <w:t xml:space="preserve"> </w:t>
      </w:r>
      <w:r>
        <w:t xml:space="preserve">appropriate for retail investors and which would be appropriate for the newly created</w:t>
      </w:r>
      <w:r>
        <w:t xml:space="preserve"> </w:t>
      </w:r>
      <w:r>
        <w:t xml:space="preserve">category of semi-professional. Definition of the new category (including setting the</w:t>
      </w:r>
      <w:r>
        <w:t xml:space="preserve"> </w:t>
      </w:r>
      <w:r>
        <w:t xml:space="preserve">requirements at an appropriate level across the EU Member States), delineation of all</w:t>
      </w:r>
      <w:r>
        <w:t xml:space="preserve"> </w:t>
      </w:r>
      <w:r>
        <w:t xml:space="preserve">existing investor protection measures and effective supervision/enforcement of the new</w:t>
      </w:r>
      <w:r>
        <w:t xml:space="preserve"> </w:t>
      </w:r>
      <w:r>
        <w:t xml:space="preserve">framework would require significant administrative resources by public authorities at EU</w:t>
      </w:r>
      <w:r>
        <w:t xml:space="preserve"> </w:t>
      </w:r>
      <w:r>
        <w:t xml:space="preserve">and national level. It would also be a politically challenging exercise, requiring extensive</w:t>
      </w:r>
      <w:r>
        <w:t xml:space="preserve"> </w:t>
      </w:r>
      <w:r>
        <w:t xml:space="preserve">debates amongst co-legislators given that investor protection is considered a sensitive and</w:t>
      </w:r>
      <w:r>
        <w:t xml:space="preserve"> </w:t>
      </w:r>
      <w:r>
        <w:t xml:space="preserve">important area and a specific threshold would be easier to reach in some Member States</w:t>
      </w:r>
      <w:r>
        <w:t xml:space="preserve"> </w:t>
      </w:r>
      <w:r>
        <w:t xml:space="preserve">than in others (i.e. due to national differences in income thresholds). Furthermore, it would</w:t>
      </w:r>
      <w:r>
        <w:t xml:space="preserve"> </w:t>
      </w:r>
      <w:r>
        <w:t xml:space="preserve">lead to significant costs for financial service providers as they would have to review the</w:t>
      </w:r>
      <w:r>
        <w:t xml:space="preserve"> </w:t>
      </w:r>
      <w:r>
        <w:t xml:space="preserve">categorisation of all existing clients, update and adapt their information systems according</w:t>
      </w:r>
      <w:r>
        <w:t xml:space="preserve"> </w:t>
      </w:r>
      <w:r>
        <w:t xml:space="preserve">to the new categorisation framework. The complexity of the internal procedures and</w:t>
      </w:r>
      <w:r>
        <w:t xml:space="preserve"> </w:t>
      </w:r>
      <w:r>
        <w:t xml:space="preserve">processes would also significantly increase as staff would have to be aware of and apply</w:t>
      </w:r>
      <w:r>
        <w:t xml:space="preserve"> </w:t>
      </w:r>
      <w:r>
        <w:t xml:space="preserve">the requirements to different types of clients. Furthermore, given that a high proportion of</w:t>
      </w:r>
      <w:r>
        <w:t xml:space="preserve"> </w:t>
      </w:r>
      <w:r>
        <w:t xml:space="preserve">investors currently classified as retail investors would qualify for the semi-professional</w:t>
      </w:r>
      <w:r>
        <w:t xml:space="preserve"> </w:t>
      </w:r>
      <w:r>
        <w:t xml:space="preserve">category, the re-evaluation of these clients would present a significant cost, taking also into</w:t>
      </w:r>
      <w:r>
        <w:t xml:space="preserve"> </w:t>
      </w:r>
      <w:r>
        <w:t xml:space="preserve">consideration the costs related to document verification and the liability to be undertaken</w:t>
      </w:r>
      <w:r>
        <w:t xml:space="preserve"> </w:t>
      </w:r>
      <w:r>
        <w:t xml:space="preserve">by the firm for incorrect classification. These costs might subsequently be passed on to</w:t>
      </w:r>
      <w:r>
        <w:t xml:space="preserve"> </w:t>
      </w:r>
      <w:r>
        <w:t xml:space="preserve">investors.</w:t>
      </w:r>
      <w:r>
        <w:t xml:space="preserve"> </w:t>
      </w:r>
      <w:r>
        <w:t xml:space="preserve">Option 3 would imply marginal costs to financial service providers as it would not require</w:t>
      </w:r>
      <w:r>
        <w:t xml:space="preserve"> </w:t>
      </w:r>
      <w:r>
        <w:t xml:space="preserve">a comprehensive review to possibly re-categorise a very substantive number of clients</w:t>
      </w:r>
      <w:r>
        <w:t xml:space="preserve"> </w:t>
      </w:r>
      <w:r>
        <w:t xml:space="preserve">currently falling under the retail investor category: only a relatively small subset of the</w:t>
      </w:r>
      <w:r>
        <w:t xml:space="preserve"> </w:t>
      </w:r>
      <w:r>
        <w:t xml:space="preserve">existing retail investors would qualify under the new criteria and would only be re-</w:t>
      </w:r>
      <w:r>
        <w:t xml:space="preserve"> </w:t>
      </w:r>
      <w:r>
        <w:t xml:space="preserve">categorised as professional investors on their request. The existing investor protection</w:t>
      </w:r>
      <w:r>
        <w:t xml:space="preserve"> </w:t>
      </w:r>
      <w:r>
        <w:t xml:space="preserve">framework would be maintained, implying no (substantial) additional costs for public</w:t>
      </w:r>
      <w:r>
        <w:t xml:space="preserve"> </w:t>
      </w:r>
      <w:r>
        <w:t xml:space="preserve">authorities (unlike under option 2), the focus being to ensure that clients with sufficient</w:t>
      </w:r>
      <w:r>
        <w:t xml:space="preserve"> </w:t>
      </w:r>
      <w:r>
        <w:t xml:space="preserve">knowledge, experience and wealth are adequately categorised using the existing</w:t>
      </w:r>
      <w:r>
        <w:t xml:space="preserve"> </w:t>
      </w:r>
      <w:r>
        <w:t xml:space="preserve">framework (even if based on the adapted criteria). Financial service providers would</w:t>
      </w:r>
      <w:r>
        <w:t xml:space="preserve"> </w:t>
      </w:r>
      <w:r>
        <w:t xml:space="preserve">nevertheless have to incur some cost (although much lower than under option 2) as they</w:t>
      </w:r>
      <w:r>
        <w:t xml:space="preserve"> </w:t>
      </w:r>
      <w:r>
        <w:t xml:space="preserve">would have to update their client categorisation processes according to the adjusted criteria</w:t>
      </w:r>
      <w:r>
        <w:t xml:space="preserve"> </w:t>
      </w:r>
      <w:r>
        <w:t xml:space="preserve">and would receive an increased number of re-classification requests.</w:t>
      </w:r>
      <w:r>
        <w:br/>
      </w:r>
      <w:r>
        <w:t xml:space="preserve">3.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Option 2 would possibly generate slightly higher potential benefits, than option 3, for</w:t>
      </w:r>
      <w:r>
        <w:t xml:space="preserve"> </w:t>
      </w:r>
      <w:r>
        <w:t xml:space="preserve">investors due to the possibility to better differentiate and apply more tailored investor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protection safeguards to each of those groups (although also risking over-exposure to risk</w:t>
      </w:r>
      <w:r>
        <w:t xml:space="preserve"> </w:t>
      </w:r>
      <w:r>
        <w:t xml:space="preserve">if the safeguards are not adequately balanced). This option is however associated with</w:t>
      </w:r>
      <w:r>
        <w:t xml:space="preserve"> </w:t>
      </w:r>
      <w:r>
        <w:t xml:space="preserve">significant costs for financial services providers (due to the need to assess and reclassify a</w:t>
      </w:r>
      <w:r>
        <w:t xml:space="preserve"> </w:t>
      </w:r>
      <w:r>
        <w:t xml:space="preserve">very substantial number of clients and to train staff and apply different procedures and</w:t>
      </w:r>
      <w:r>
        <w:t xml:space="preserve"> </w:t>
      </w:r>
      <w:r>
        <w:t xml:space="preserve">safeguards to different categories of retail clients), These costs would likely be passed on</w:t>
      </w:r>
      <w:r>
        <w:t xml:space="preserve"> </w:t>
      </w:r>
      <w:r>
        <w:t xml:space="preserve">to end-customers. Authorities would have to deal with additional complexity of the</w:t>
      </w:r>
      <w:r>
        <w:t xml:space="preserve"> </w:t>
      </w:r>
      <w:r>
        <w:t xml:space="preserve">financial services acquis, which could in turn also potentially reduce the overall</w:t>
      </w:r>
      <w:r>
        <w:t xml:space="preserve"> </w:t>
      </w:r>
      <w:r>
        <w:t xml:space="preserve">effectiveness of the framework. The introduction of an additional investor category would</w:t>
      </w:r>
      <w:r>
        <w:t xml:space="preserve"> </w:t>
      </w:r>
      <w:r>
        <w:t xml:space="preserve">require a rather comprehensive review of the existing investor protection measures,</w:t>
      </w:r>
      <w:r>
        <w:t xml:space="preserve"> </w:t>
      </w:r>
      <w:r>
        <w:t xml:space="preserve">creating additional burden for administrations and companies who would have update and</w:t>
      </w:r>
      <w:r>
        <w:t xml:space="preserve"> </w:t>
      </w:r>
      <w:r>
        <w:t xml:space="preserve">apply new and more complex procedures and processes. The overall efficiency of this</w:t>
      </w:r>
      <w:r>
        <w:t xml:space="preserve"> </w:t>
      </w:r>
      <w:r>
        <w:t xml:space="preserve">measure, would therefore likely be negative, given the very substantive costs. Furthermore,</w:t>
      </w:r>
      <w:r>
        <w:t xml:space="preserve"> </w:t>
      </w:r>
      <w:r>
        <w:t xml:space="preserve">the substantive additional complexity of the legal framework due to the additional category</w:t>
      </w:r>
      <w:r>
        <w:t xml:space="preserve"> </w:t>
      </w:r>
      <w:r>
        <w:t xml:space="preserve">and the distinct investor protection rules would not be coherent with the Commission’s</w:t>
      </w:r>
      <w:r>
        <w:t xml:space="preserve"> </w:t>
      </w:r>
      <w:r>
        <w:t xml:space="preserve">objective to simplify EU laws and reduce red tape.</w:t>
      </w:r>
      <w:r>
        <w:t xml:space="preserve"> </w:t>
      </w:r>
      <w:r>
        <w:t xml:space="preserve">In comparison, option 3 would have a smaller potential positive impact on investors as the</w:t>
      </w:r>
      <w:r>
        <w:t xml:space="preserve"> </w:t>
      </w:r>
      <w:r>
        <w:t xml:space="preserve">fine-tuning of existing criteria would be of a more limited scope than in option 1, although</w:t>
      </w:r>
      <w:r>
        <w:t xml:space="preserve"> </w:t>
      </w:r>
      <w:r>
        <w:t xml:space="preserve">still allowing for clients with sufficient knowledge, wealth and experience to access the</w:t>
      </w:r>
      <w:r>
        <w:t xml:space="preserve"> </w:t>
      </w:r>
      <w:r>
        <w:t xml:space="preserve">professional upon request category. The costs associated with this option would be</w:t>
      </w:r>
      <w:r>
        <w:t xml:space="preserve"> </w:t>
      </w:r>
      <w:r>
        <w:t xml:space="preserve">significantly lower than under option 2 and therefore imply a higher overall efficiency for</w:t>
      </w:r>
      <w:r>
        <w:t xml:space="preserve"> </w:t>
      </w:r>
      <w:r>
        <w:t xml:space="preserve">this policy option.</w:t>
      </w:r>
      <w:r>
        <w:br/>
      </w:r>
      <w:r>
        <w:t xml:space="preserve">The policy options were presented in the public consultation on the retail investment</w:t>
      </w:r>
      <w:r>
        <w:t xml:space="preserve"> </w:t>
      </w:r>
      <w:r>
        <w:t xml:space="preserve">strategy. The majority of respondents were most favourable to the option of adjusting the</w:t>
      </w:r>
      <w:r>
        <w:t xml:space="preserve"> </w:t>
      </w:r>
      <w:r>
        <w:t xml:space="preserve">existing definition of professional investors on request (63.5% were in favour with only</w:t>
      </w:r>
      <w:r>
        <w:t xml:space="preserve"> </w:t>
      </w:r>
      <w:r>
        <w:t xml:space="preserve">18% against). The introduction of an additional client category received considerably less</w:t>
      </w:r>
      <w:r>
        <w:t xml:space="preserve"> </w:t>
      </w:r>
      <w:r>
        <w:t xml:space="preserve">support with the majority of respondents not being in favour (35% in favour and 45%</w:t>
      </w:r>
      <w:r>
        <w:t xml:space="preserve"> </w:t>
      </w:r>
      <w:r>
        <w:t xml:space="preserve">against). The baseline scenario (no changes to status quo) received the least support (18%</w:t>
      </w:r>
      <w:r>
        <w:t xml:space="preserve"> </w:t>
      </w:r>
      <w:r>
        <w:t xml:space="preserve">in favour, 54.5% against).</w:t>
      </w:r>
      <w:r>
        <w:br/>
      </w:r>
      <w:r>
        <w:t xml:space="preserve">Looking at the individual respondent groups (business association/companies/public</w:t>
      </w:r>
      <w:r>
        <w:t xml:space="preserve"> </w:t>
      </w:r>
      <w:r>
        <w:t xml:space="preserve">authorities/citizens/etc.), the sentiments for the different options remained largely</w:t>
      </w:r>
      <w:r>
        <w:t xml:space="preserve"> </w:t>
      </w:r>
      <w:r>
        <w:t xml:space="preserve">consistent (identical) across all groups. One exception being for the category of EU</w:t>
      </w:r>
      <w:r>
        <w:t xml:space="preserve"> </w:t>
      </w:r>
      <w:r>
        <w:t xml:space="preserve">citizens, who according to the results of this survey preferred the creation of an additional</w:t>
      </w:r>
      <w:r>
        <w:t xml:space="preserve"> </w:t>
      </w:r>
      <w:r>
        <w:t xml:space="preserve">category of semi-professional investors (68% in favour and 18% against out of 26</w:t>
      </w:r>
      <w:r>
        <w:t xml:space="preserve"> </w:t>
      </w:r>
      <w:r>
        <w:t xml:space="preserve">respondents) over the adjustment of the existing categories (43% in favour and 32%</w:t>
      </w:r>
      <w:r>
        <w:t xml:space="preserve"> </w:t>
      </w:r>
      <w:r>
        <w:t xml:space="preserve">against). One consumer organisation was in favour of adjusting the existing categories, one</w:t>
      </w:r>
      <w:r>
        <w:t xml:space="preserve"> </w:t>
      </w:r>
      <w:r>
        <w:t xml:space="preserve">was in favour of introducing an additional category and two did not express a specific view.</w:t>
      </w:r>
      <w:r>
        <w:t xml:space="preserve"> </w:t>
      </w:r>
      <w:r>
        <w:t xml:space="preserve">The respondents who were against any changes to the existing investor categorisation</w:t>
      </w:r>
      <w:r>
        <w:t xml:space="preserve"> </w:t>
      </w:r>
      <w:r>
        <w:t xml:space="preserve">argued that the additional benefit would be small compared to the costs and that overall</w:t>
      </w:r>
      <w:r>
        <w:t xml:space="preserve"> </w:t>
      </w:r>
      <w:r>
        <w:t xml:space="preserve">access to products for retail investors should be improved. The proponents of adjusting the</w:t>
      </w:r>
      <w:r>
        <w:t xml:space="preserve"> </w:t>
      </w:r>
      <w:r>
        <w:t xml:space="preserve">existing client categorisation, in contrast, argued that there is systematic overprotection of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retail investors and that this needs to be addressed. The opponents of the additional</w:t>
      </w:r>
      <w:r>
        <w:t xml:space="preserve"> </w:t>
      </w:r>
      <w:r>
        <w:t xml:space="preserve">category of investors highlighted the complexity that identifying suitable criteria would</w:t>
      </w:r>
      <w:r>
        <w:t xml:space="preserve"> </w:t>
      </w:r>
      <w:r>
        <w:t xml:space="preserve">entail and the legal complications as well as the risk that the remaining retail investors</w:t>
      </w:r>
      <w:r>
        <w:t xml:space="preserve"> </w:t>
      </w:r>
      <w:r>
        <w:t xml:space="preserve">would become further excluded from certain products/services.</w:t>
      </w:r>
      <w:r>
        <w:br/>
      </w:r>
      <w:r>
        <w:t xml:space="preserve">4.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Option 3 should be considered as the preferred option based on the overall assessment</w:t>
      </w:r>
      <w:r>
        <w:t xml:space="preserve"> </w:t>
      </w:r>
      <w:r>
        <w:t xml:space="preserve">described above.</w:t>
      </w:r>
      <w:r>
        <w:t xml:space="preserve"> </w:t>
      </w:r>
      <w:r>
        <w:t xml:space="preserve">Summary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</w:t>
      </w:r>
      <w:r>
        <w:t xml:space="preserve"> </w:t>
      </w:r>
      <w:r>
        <w:t xml:space="preserve">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Reduced information</w:t>
      </w:r>
      <w:r>
        <w:t xml:space="preserve"> </w:t>
      </w:r>
      <w:r>
        <w:t xml:space="preserve">overload for more</w:t>
      </w:r>
      <w:r>
        <w:t xml:space="preserve"> </w:t>
      </w:r>
      <w:r>
        <w:t xml:space="preserve">sophisticated</w:t>
      </w:r>
      <w:r>
        <w:t xml:space="preserve"> </w:t>
      </w:r>
      <w:r>
        <w:t xml:space="preserve">investors</w:t>
      </w:r>
      <w:r>
        <w:t xml:space="preserve"> </w:t>
      </w:r>
      <w:r>
        <w:t xml:space="preserve">Better</w:t>
      </w:r>
      <w:r>
        <w:t xml:space="preserve"> </w:t>
      </w:r>
      <w:r>
        <w:t xml:space="preserve">tailored</w:t>
      </w:r>
      <w:r>
        <w:t xml:space="preserve"> </w:t>
      </w:r>
      <w:r>
        <w:t xml:space="preserve">investor</w:t>
      </w:r>
      <w:r>
        <w:t xml:space="preserve"> </w:t>
      </w:r>
      <w:r>
        <w:t xml:space="preserve">protection rules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financial services</w:t>
      </w:r>
      <w:r>
        <w:t xml:space="preserve"> </w:t>
      </w:r>
      <w:r>
        <w:t xml:space="preserve">providers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Option 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Legend: +++ = Very positive; ++ = Positive; + = Slightly positive; +/- = Mixed effect; 0 = No effect; -</w:t>
      </w:r>
      <w:r>
        <w:t xml:space="preserve"> </w:t>
      </w:r>
      <w:r>
        <w:t xml:space="preserve">= Slightly negative; – = Negative; — = Very negative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ANNEX 7: INDUCEMENTS</w:t>
      </w:r>
      <w:r>
        <w:t xml:space="preserve"> </w:t>
      </w:r>
      <w:r>
        <w:t xml:space="preserve">PART A – Experience with the ban on inducement in the Netherlands</w:t>
      </w:r>
      <w:r>
        <w:t xml:space="preserve"> </w:t>
      </w:r>
      <w:r>
        <w:t xml:space="preserve">A ban on inducements for advised services in relation to certain retail products (e.g. </w:t>
      </w:r>
      <w:r>
        <w:t xml:space="preserve"> </w:t>
      </w:r>
      <w:r>
        <w:t xml:space="preserve">structured investment products such as IBIPs but also other retail products such as</w:t>
      </w:r>
      <w:r>
        <w:t xml:space="preserve"> </w:t>
      </w:r>
      <w:r>
        <w:t xml:space="preserve">mortgages) was introduced in the Netherlands on 1 January 2013. In December 2013, the</w:t>
      </w:r>
      <w:r>
        <w:t xml:space="preserve"> </w:t>
      </w:r>
      <w:r>
        <w:t xml:space="preserve">Dutch legislator also extended the national ban beyond the MiFID II requirements,</w:t>
      </w:r>
      <w:r>
        <w:t xml:space="preserve"> </w:t>
      </w:r>
      <w:r>
        <w:t xml:space="preserve">applicable as of 1 January 2014. Those two combined rules created a level playing field at</w:t>
      </w:r>
      <w:r>
        <w:t xml:space="preserve"> </w:t>
      </w:r>
      <w:r>
        <w:t xml:space="preserve">national level between all types of investment products.</w:t>
      </w:r>
      <w:r>
        <w:br/>
      </w:r>
      <w:r>
        <w:t xml:space="preserve">Transitional period and supervisory actions</w:t>
      </w:r>
      <w:r>
        <w:t xml:space="preserve"> </w:t>
      </w:r>
      <w:r>
        <w:t xml:space="preserve">The ban on inducements for investment services was accompanied by:</w:t>
      </w:r>
      <w:r>
        <w:br/>
      </w:r>
      <w:r>
        <w:t xml:space="preserve">1.</w:t>
      </w:r>
      <w:r>
        <w:t xml:space="preserve"> </w:t>
      </w:r>
      <w:r>
        <w:t xml:space="preserve">a one-year transitional period for units in investments undertakings, provided that</w:t>
      </w:r>
      <w:r>
        <w:t xml:space="preserve"> </w:t>
      </w:r>
      <w:r>
        <w:t xml:space="preserve">any inducements would be passed on to the client, and</w:t>
      </w:r>
      <w:r>
        <w:br/>
      </w:r>
      <w:r>
        <w:t xml:space="preserve">2.</w:t>
      </w:r>
      <w:r>
        <w:t xml:space="preserve"> </w:t>
      </w:r>
      <w:r>
        <w:t xml:space="preserve">a grandfathering clause for certain existing contracts.</w:t>
      </w:r>
      <w:r>
        <w:br/>
      </w:r>
      <w:r>
        <w:t xml:space="preserve">Impacts on the retail clients</w:t>
      </w:r>
      <w:r>
        <w:t xml:space="preserve"> </w:t>
      </w:r>
      <w:r>
        <w:t xml:space="preserve">Overall, the ban on inducements made the fees for Dutch retail clients more competitive,</w:t>
      </w:r>
      <w:r>
        <w:t xml:space="preserve"> </w:t>
      </w:r>
      <w:r>
        <w:t xml:space="preserve">and spurred innovation in the distribution models. The popularity of index trackers</w:t>
      </w:r>
      <w:r>
        <w:t xml:space="preserve"> </w:t>
      </w:r>
      <w:r>
        <w:t xml:space="preserve">increased from 8% of retail investors owning an ETF in 2016 to 20% in 2021, while it was</w:t>
      </w:r>
      <w:r>
        <w:t xml:space="preserve"> </w:t>
      </w:r>
      <w:r>
        <w:t xml:space="preserve">36% for starting (and likely younger) investors334. At the same time, there was a decrease</w:t>
      </w:r>
      <w:r>
        <w:t xml:space="preserve"> </w:t>
      </w:r>
      <w:r>
        <w:t xml:space="preserve">in sales of actively managed funds and a significant decline in insurance-based investment</w:t>
      </w:r>
      <w:r>
        <w:t xml:space="preserve"> </w:t>
      </w:r>
      <w:r>
        <w:t xml:space="preserve">products (IBIPs).</w:t>
      </w:r>
      <w:r>
        <w:br/>
      </w:r>
      <w:r>
        <w:t xml:space="preserve">–</w:t>
      </w:r>
      <w:r>
        <w:t xml:space="preserve"> </w:t>
      </w:r>
      <w:r>
        <w:t xml:space="preserve">Figure 7.1 Source: Consumermonitor AFM 2021</w:t>
      </w:r>
    </w:p>
    <w:p>
      <w:pPr>
        <w:pStyle w:val="BodyText"/>
      </w:pPr>
      <w:r>
        <w:t xml:space="preserve">334 Consumermonitor AFM 2021, pages 7, 8, 14, 35, and 36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The following table illustrates the decline in sales of Investment based insurance products</w:t>
      </w:r>
      <w:r>
        <w:t xml:space="preserve"> </w:t>
      </w:r>
      <w:r>
        <w:t xml:space="preserve">(in thousands) 335.</w:t>
      </w:r>
    </w:p>
    <w:p>
      <w:pPr>
        <w:pStyle w:val="BodyText"/>
      </w:pPr>
      <w:r>
        <w:t xml:space="preserve">Figure 7.2, Source: DNB336</w:t>
      </w:r>
    </w:p>
    <w:p>
      <w:pPr>
        <w:pStyle w:val="BodyText"/>
      </w:pPr>
      <w:r>
        <w:t xml:space="preserve">Retail investor participation, on the other hand, slightly increased, as illustrated below337.</w:t>
      </w:r>
    </w:p>
    <w:p>
      <w:pPr>
        <w:pStyle w:val="BodyText"/>
      </w:pPr>
      <w:r>
        <w:t xml:space="preserve">Figure 7.3, Source:Consumermonitor AFM 2021</w:t>
      </w:r>
    </w:p>
    <w:p>
      <w:pPr>
        <w:pStyle w:val="BodyText"/>
      </w:pPr>
      <w:r>
        <w:t xml:space="preserve">335 At the same time, self-employed advisors, making up 85% of the Dutch market, indicated that more</w:t>
      </w:r>
      <w:r>
        <w:t xml:space="preserve"> </w:t>
      </w:r>
      <w:r>
        <w:t xml:space="preserve">than 50% of their total turnover came from non-life insurance consultancy and intermediation.</w:t>
      </w:r>
      <w:r>
        <w:t xml:space="preserve"> </w:t>
      </w:r>
      <w:r>
        <w:t xml:space="preserve">336 Graph created by DNB on request of the European Commission on October 12, 2022.</w:t>
      </w:r>
      <w:r>
        <w:t xml:space="preserve"> </w:t>
      </w:r>
      <w:r>
        <w:t xml:space="preserve">337 It should be noted that this survey does not include investments large parts of the Dutch populations</w:t>
      </w:r>
      <w:r>
        <w:t xml:space="preserve"> </w:t>
      </w:r>
      <w:r>
        <w:t xml:space="preserve">hold through their pension fund. Only direct retail investments are measured, while the total market</w:t>
      </w:r>
      <w:r>
        <w:t xml:space="preserve"> </w:t>
      </w:r>
      <w:r>
        <w:t xml:space="preserve">exposure of the population is higher due to the pension system.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At the same time, there was a shift from advice to portfolio management, including robo-</w:t>
      </w:r>
      <w:r>
        <w:t xml:space="preserve"> </w:t>
      </w:r>
      <w:r>
        <w:t xml:space="preserve">advice and semi-automated portfolio management, while the levels of execution-only</w:t>
      </w:r>
      <w:r>
        <w:t xml:space="preserve"> </w:t>
      </w:r>
      <w:r>
        <w:t xml:space="preserve">investing remained stable.338 Within the group of clients requesting the service of execution</w:t>
      </w:r>
      <w:r>
        <w:t xml:space="preserve"> </w:t>
      </w:r>
      <w:r>
        <w:t xml:space="preserve">only, 10% invested making use of a “guided execution only” in 2022. Such possibility</w:t>
      </w:r>
      <w:r>
        <w:t xml:space="preserve"> </w:t>
      </w:r>
      <w:r>
        <w:t xml:space="preserve">allows clients to invest into a pre-determined, cost-efficient and well-diversified but</w:t>
      </w:r>
      <w:r>
        <w:t xml:space="preserve"> </w:t>
      </w:r>
      <w:r>
        <w:t xml:space="preserve">limited range of products. The proportion of execution-only investors (66%) in the group</w:t>
      </w:r>
      <w:r>
        <w:t xml:space="preserve"> </w:t>
      </w:r>
      <w:r>
        <w:t xml:space="preserve">of starting investors rose slightly in 2021.</w:t>
      </w:r>
    </w:p>
    <w:p>
      <w:pPr>
        <w:pStyle w:val="BodyText"/>
      </w:pPr>
      <w:r>
        <w:t xml:space="preserve">Figure 7.4</w:t>
      </w:r>
    </w:p>
    <w:p>
      <w:pPr>
        <w:pStyle w:val="BodyText"/>
      </w:pPr>
      <w:r>
        <w:t xml:space="preserve">A 2021 AFM study looking at finfluencers339 observed that 9% of execution-only investors</w:t>
      </w:r>
      <w:r>
        <w:t xml:space="preserve"> </w:t>
      </w:r>
      <w:r>
        <w:t xml:space="preserve">use social media or influencers as sources of information. Finfluencers advertise or provide</w:t>
      </w:r>
      <w:r>
        <w:t xml:space="preserve"> </w:t>
      </w:r>
      <w:r>
        <w:t xml:space="preserve">information on a wide range of products, from shares and ETFs to crypto-assets and CfDs,</w:t>
      </w:r>
      <w:r>
        <w:t xml:space="preserve"> </w:t>
      </w:r>
      <w:r>
        <w:t xml:space="preserve">through channels such as YouTube, Twitter, Instagram, Facebook, Spotify and various</w:t>
      </w:r>
      <w:r>
        <w:t xml:space="preserve"> </w:t>
      </w:r>
      <w:r>
        <w:t xml:space="preserve">websites. Whilst finfluencers reflect a growing trend, the AFM observed that their</w:t>
      </w:r>
      <w:r>
        <w:t xml:space="preserve"> </w:t>
      </w:r>
      <w:r>
        <w:t xml:space="preserve">followers are predominantly retail investors that choose to invest without traditional forms</w:t>
      </w:r>
      <w:r>
        <w:t xml:space="preserve"> </w:t>
      </w:r>
      <w:r>
        <w:t xml:space="preserve">of advice.</w:t>
      </w:r>
    </w:p>
    <w:p>
      <w:pPr>
        <w:pStyle w:val="BodyText"/>
      </w:pPr>
      <w:r>
        <w:t xml:space="preserve">338 In this regard, the Retail investment study, page 292, points out that further to a mystery shopping,</w:t>
      </w:r>
      <w:r>
        <w:t xml:space="preserve"> </w:t>
      </w:r>
      <w:r>
        <w:t xml:space="preserve">customers seeking traditional advice were encouraged towards execution only services instead. At the</w:t>
      </w:r>
      <w:r>
        <w:t xml:space="preserve"> </w:t>
      </w:r>
      <w:r>
        <w:t xml:space="preserve">same time the report found that there was a shift from advice to portfolio management services instead,</w:t>
      </w:r>
      <w:r>
        <w:t xml:space="preserve"> </w:t>
      </w:r>
      <w:r>
        <w:t xml:space="preserve">which means that any loss of access to traditional (often physical) advice services for particular client</w:t>
      </w:r>
      <w:r>
        <w:t xml:space="preserve"> </w:t>
      </w:r>
      <w:r>
        <w:t xml:space="preserve">segments was largely compensated by their access to automated portfolio management services. Said</w:t>
      </w:r>
      <w:r>
        <w:t xml:space="preserve"> </w:t>
      </w:r>
      <w:r>
        <w:t xml:space="preserve">report also found in the mystery shopping that following the ban on inducements in the Netherlands,</w:t>
      </w:r>
      <w:r>
        <w:t xml:space="preserve"> </w:t>
      </w:r>
      <w:r>
        <w:t xml:space="preserve">there was no longer availability of advice without charges directly to customers (contrary to other EU</w:t>
      </w:r>
      <w:r>
        <w:t xml:space="preserve"> </w:t>
      </w:r>
      <w:r>
        <w:t xml:space="preserve">Member States). This finding shows that intermediaries complied with the inducement ban by requiring a</w:t>
      </w:r>
      <w:r>
        <w:t xml:space="preserve"> </w:t>
      </w:r>
      <w:r>
        <w:t xml:space="preserve">service fee to cover their costs.</w:t>
      </w:r>
      <w:r>
        <w:br/>
      </w:r>
      <w:r>
        <w:t xml:space="preserve">339 AFM, The Pitfalls of Finfluencing, 2021.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As finfluencing, depending on the content of the message issued online, can qualify as</w:t>
      </w:r>
      <w:r>
        <w:t xml:space="preserve"> </w:t>
      </w:r>
      <w:r>
        <w:t xml:space="preserve">financial advice or investment recommendations, the AFM has clarified that the activities</w:t>
      </w:r>
      <w:r>
        <w:t xml:space="preserve"> </w:t>
      </w:r>
      <w:r>
        <w:t xml:space="preserve">of finfluencers active in the Dutch market fall under licensed activities. Furthermore,</w:t>
      </w:r>
      <w:r>
        <w:t xml:space="preserve"> </w:t>
      </w:r>
      <w:r>
        <w:t xml:space="preserve">finfluencers, as for any other intermediaries, are in breach of the ban on inducements if</w:t>
      </w:r>
      <w:r>
        <w:t xml:space="preserve"> </w:t>
      </w:r>
      <w:r>
        <w:t xml:space="preserve">they receive referral payments or other forms of monetary benefits from the firms for whom</w:t>
      </w:r>
      <w:r>
        <w:t xml:space="preserve"> </w:t>
      </w:r>
      <w:r>
        <w:t xml:space="preserve">they finfluence340.</w:t>
      </w:r>
      <w:r>
        <w:br/>
      </w:r>
      <w:r>
        <w:t xml:space="preserve">The number of investors investing small amounts annually has also increased over recent</w:t>
      </w:r>
      <w:r>
        <w:t xml:space="preserve"> </w:t>
      </w:r>
      <w:r>
        <w:t xml:space="preserve">years in the Netherlands.</w:t>
      </w:r>
    </w:p>
    <w:p>
      <w:pPr>
        <w:pStyle w:val="BodyText"/>
      </w:pPr>
      <w:r>
        <w:t xml:space="preserve">Figure 7.5, Source:Consumermonitor AFM 2021</w:t>
      </w:r>
    </w:p>
    <w:p>
      <w:pPr>
        <w:pStyle w:val="BodyText"/>
      </w:pPr>
      <w:r>
        <w:t xml:space="preserve">The level of trust of retail clients in the advice received is high, with 81% at the time the</w:t>
      </w:r>
      <w:r>
        <w:t xml:space="preserve"> </w:t>
      </w:r>
      <w:r>
        <w:t xml:space="preserve">advice is received and at 72% at hindsight341.</w:t>
      </w:r>
      <w:r>
        <w:br/>
      </w:r>
      <w:r>
        <w:t xml:space="preserve">Market consolidation</w:t>
      </w:r>
    </w:p>
    <w:p>
      <w:pPr>
        <w:pStyle w:val="BodyText"/>
      </w:pPr>
      <w:r>
        <w:t xml:space="preserve">340 AFM: The Pitfalls of Finfluencing, 2021 page 11: In practice, this applies in any case if an investment</w:t>
      </w:r>
      <w:r>
        <w:t xml:space="preserve"> </w:t>
      </w:r>
      <w:r>
        <w:t xml:space="preserve">firm pays a fee, e.g. to a finfluencer, when the clients referred to the firm: are in the onboarding process</w:t>
      </w:r>
      <w:r>
        <w:t xml:space="preserve"> </w:t>
      </w:r>
      <w:r>
        <w:t xml:space="preserve">for opening an investment account; have opened an account; or have opened an account and have made</w:t>
      </w:r>
      <w:r>
        <w:t xml:space="preserve"> </w:t>
      </w:r>
      <w:r>
        <w:t xml:space="preserve">an initial deposit. Consequently, providing referral fees to any third parties, not exclusively finfluencers,</w:t>
      </w:r>
      <w:r>
        <w:t xml:space="preserve"> </w:t>
      </w:r>
      <w:r>
        <w:t xml:space="preserve">violates the ban on inducements in relation to investment services. If current clients of an investment firm</w:t>
      </w:r>
      <w:r>
        <w:t xml:space="preserve"> </w:t>
      </w:r>
      <w:r>
        <w:t xml:space="preserve">receive a fee for referring friends, acquaintances or other people to the firm, this also qualifies as an</w:t>
      </w:r>
      <w:r>
        <w:t xml:space="preserve"> </w:t>
      </w:r>
      <w:r>
        <w:t xml:space="preserve">inducement. This applies to both cash payments and other forms of remuneration, such as payments in</w:t>
      </w:r>
      <w:r>
        <w:t xml:space="preserve"> </w:t>
      </w:r>
      <w:r>
        <w:t xml:space="preserve">shares.</w:t>
      </w:r>
      <w:r>
        <w:t xml:space="preserve"> </w:t>
      </w:r>
      <w:r>
        <w:t xml:space="preserve">341 AFM consumer monitor on financial advice first half of 2022</w:t>
      </w:r>
      <w:r>
        <w:br/>
      </w:r>
      <w:r>
        <w:t xml:space="preserve">https://www.afm.nl/nl-nl/professionals/onderwerpen/consumentengedrag-consumentenonderzoek.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 general market consolidation began in the Dutch market in 2008, triggered by the global</w:t>
      </w:r>
      <w:r>
        <w:t xml:space="preserve"> </w:t>
      </w:r>
      <w:r>
        <w:t xml:space="preserve">financial crisis. The number of self-employed financial advisors with an AFM license,</w:t>
      </w:r>
      <w:r>
        <w:t xml:space="preserve"> </w:t>
      </w:r>
      <w:r>
        <w:t xml:space="preserve">making up 85% of the Dutch market, was already on the decline before the introduction of</w:t>
      </w:r>
      <w:r>
        <w:t xml:space="preserve"> </w:t>
      </w:r>
      <w:r>
        <w:t xml:space="preserve">the ban on inducements342, it is therefore not possible to attribute this consolidation entirely</w:t>
      </w:r>
      <w:r>
        <w:t xml:space="preserve"> </w:t>
      </w:r>
      <w:r>
        <w:t xml:space="preserve">to the ban on inducements.</w:t>
      </w:r>
      <w:r>
        <w:br/>
      </w:r>
      <w:r>
        <w:t xml:space="preserve">Since 2013, the average total turnover of independent financial advisors has risen by 5%</w:t>
      </w:r>
      <w:r>
        <w:t xml:space="preserve"> </w:t>
      </w:r>
      <w:r>
        <w:t xml:space="preserve">per year and now represent about 50% of the advice market in the Netherlands343. The</w:t>
      </w:r>
      <w:r>
        <w:t xml:space="preserve"> </w:t>
      </w:r>
      <w:r>
        <w:t xml:space="preserve">Netherlands now has 5960 licensed independent financial advisors with 7550 offices,</w:t>
      </w:r>
      <w:r>
        <w:t xml:space="preserve"> </w:t>
      </w:r>
      <w:r>
        <w:t xml:space="preserve">compared to 726 bank branches. Advisors adjusted their business models after the ban on</w:t>
      </w:r>
      <w:r>
        <w:t xml:space="preserve"> </w:t>
      </w:r>
      <w:r>
        <w:t xml:space="preserve">inducements was introduced. Different fee models emerged such as a service subscription,</w:t>
      </w:r>
      <w:r>
        <w:t xml:space="preserve"> </w:t>
      </w:r>
      <w:r>
        <w:t xml:space="preserve">hourly fee, fixed rate per service, fixed rates per combined service, basic fee and negotiated</w:t>
      </w:r>
      <w:r>
        <w:t xml:space="preserve"> </w:t>
      </w:r>
      <w:r>
        <w:t xml:space="preserve">fee. Companies able to make economies of scale could profit by the new regime, and the</w:t>
      </w:r>
      <w:r>
        <w:t xml:space="preserve"> </w:t>
      </w:r>
      <w:r>
        <w:t xml:space="preserve">increase of return was higher for the firms with a larger amount of employees. Overall, the</w:t>
      </w:r>
      <w:r>
        <w:t xml:space="preserve"> </w:t>
      </w:r>
      <w:r>
        <w:t xml:space="preserve">average size of employees of firms operating in the financial sector increased as did the</w:t>
      </w:r>
      <w:r>
        <w:t xml:space="preserve"> </w:t>
      </w:r>
      <w:r>
        <w:t xml:space="preserve">investment in IT systems. After the introduction of the ban, advisors worked with different</w:t>
      </w:r>
      <w:r>
        <w:t xml:space="preserve"> </w:t>
      </w:r>
      <w:r>
        <w:t xml:space="preserve">manufacturers, the largest group of advisors (40%) offered products from 4-6 different</w:t>
      </w:r>
      <w:r>
        <w:t xml:space="preserve"> </w:t>
      </w:r>
      <w:r>
        <w:t xml:space="preserve">manufacturers. The turnover development for advisors focussed on professional clients</w:t>
      </w:r>
      <w:r>
        <w:t xml:space="preserve"> </w:t>
      </w:r>
      <w:r>
        <w:t xml:space="preserve">(not concerned by the ban) compared to advisors focussed on retail (concerned by the ban</w:t>
      </w:r>
      <w:r>
        <w:t xml:space="preserve"> </w:t>
      </w:r>
      <w:r>
        <w:t xml:space="preserve">on inducements) did not344 differ.</w:t>
      </w:r>
      <w:r>
        <w:br/>
      </w:r>
      <w:r>
        <w:t xml:space="preserve">The chart below illustrates the reduction in the number of license holders since 2011345.</w:t>
      </w:r>
    </w:p>
    <w:p>
      <w:pPr>
        <w:pStyle w:val="BodyText"/>
      </w:pPr>
      <w:r>
        <w:t xml:space="preserve">Figure 7.6 Source: Adfiz</w:t>
      </w:r>
    </w:p>
    <w:p>
      <w:pPr>
        <w:pStyle w:val="BodyText"/>
      </w:pPr>
      <w:r>
        <w:t xml:space="preserve">Fee structure</w:t>
      </w:r>
      <w:r>
        <w:t xml:space="preserve"> </w:t>
      </w:r>
      <w:r>
        <w:t xml:space="preserve">As mentioned, new fee models were developed in the Dutch market following the</w:t>
      </w:r>
      <w:r>
        <w:t xml:space="preserve"> </w:t>
      </w:r>
      <w:r>
        <w:t xml:space="preserve">introduction of the inducement ban. Examples include service subscriptions, hourly rates</w:t>
      </w:r>
    </w:p>
    <w:p>
      <w:pPr>
        <w:pStyle w:val="BodyText"/>
      </w:pPr>
      <w:r>
        <w:t xml:space="preserve">342 http://decisio.nl/wp-content/uploads/Decisio-Periscoop-Evaluatie-Provisieonderzoek-Definitief.pdf</w:t>
      </w:r>
      <w:r>
        <w:t xml:space="preserve"> </w:t>
      </w:r>
      <w:r>
        <w:t xml:space="preserve">343 https://www.afm.nl/nl-nl/professionals/doelgroepen/adviseurs-bemiddelaars/thema/marktmonitor</w:t>
      </w:r>
      <w:r>
        <w:t xml:space="preserve"> </w:t>
      </w:r>
      <w:r>
        <w:t xml:space="preserve">344</w:t>
      </w:r>
      <w:r>
        <w:t xml:space="preserve"> </w:t>
      </w:r>
      <w:r>
        <w:t xml:space="preserve">https://www.researchgate.net/publication/328754959_Invoering_van_het_provisieverbod_in_de_financi</w:t>
      </w:r>
      <w:r>
        <w:t xml:space="preserve"> </w:t>
      </w:r>
      <w:r>
        <w:t xml:space="preserve">ele_dienstverlening Kloostermans/Wagensveld (Radboud Universiteit Nijmegen) in Maandblad voor</w:t>
      </w:r>
      <w:r>
        <w:t xml:space="preserve"> </w:t>
      </w:r>
      <w:r>
        <w:t xml:space="preserve">Accountancy en Bedrijfseconomie</w:t>
      </w:r>
      <w:r>
        <w:t xml:space="preserve"> </w:t>
      </w:r>
      <w:r>
        <w:t xml:space="preserve">345 Adfiz; Advies in Cijfers, 2022-2023.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for advice on insurance and risk analysis, lump sum payments and percentages of the assets</w:t>
      </w:r>
      <w:r>
        <w:t xml:space="preserve"> </w:t>
      </w:r>
      <w:r>
        <w:t xml:space="preserve">under management. The table below shows total costs and investment thresholds for both</w:t>
      </w:r>
      <w:r>
        <w:t xml:space="preserve"> </w:t>
      </w:r>
      <w:r>
        <w:t xml:space="preserve">traditional/physical and online advice, for (semi)automated portfolio management/robo-</w:t>
      </w:r>
      <w:r>
        <w:t xml:space="preserve"> </w:t>
      </w:r>
      <w:r>
        <w:t xml:space="preserve">advice and for execution-only services.346</w:t>
      </w:r>
      <w:r>
        <w:t xml:space="preserve"> </w:t>
      </w:r>
      <w:r>
        <w:t xml:space="preserve">In parallel, the inducement ban has seen the emergence of online asset managers,</w:t>
      </w:r>
      <w:r>
        <w:t xml:space="preserve"> </w:t>
      </w:r>
      <w:r>
        <w:t xml:space="preserve">competing on costs by including portfolios of index trackers. The total costs charged</w:t>
      </w:r>
      <w:r>
        <w:t xml:space="preserve"> </w:t>
      </w:r>
      <w:r>
        <w:t xml:space="preserve">automated portfolio management, such as for online robo-advice, including product costs,</w:t>
      </w:r>
      <w:r>
        <w:t xml:space="preserve"> </w:t>
      </w:r>
      <w:r>
        <w:t xml:space="preserve">are between 0.7979 and 1.22%, as shown in the below table. The table also gives an</w:t>
      </w:r>
      <w:r>
        <w:t xml:space="preserve"> </w:t>
      </w:r>
      <w:r>
        <w:t xml:space="preserve">indication of the costs per type of service used and indicates the minimum thresholds of</w:t>
      </w:r>
      <w:r>
        <w:t xml:space="preserve"> </w:t>
      </w:r>
      <w:r>
        <w:t xml:space="preserve">investments per type of advice, if any347.</w:t>
      </w:r>
      <w:r>
        <w:br/>
      </w:r>
      <w:r>
        <w:t xml:space="preserve">Cost</w:t>
      </w:r>
      <w:r>
        <w:t xml:space="preserve"> </w:t>
      </w:r>
      <w:r>
        <w:t xml:space="preserve">overvi</w:t>
      </w:r>
      <w:r>
        <w:t xml:space="preserve"> </w:t>
      </w:r>
      <w:r>
        <w:t xml:space="preserve">ew</w:t>
      </w:r>
      <w:r>
        <w:t xml:space="preserve"> </w:t>
      </w:r>
      <w:r>
        <w:t xml:space="preserve">Dutch</w:t>
      </w:r>
      <w:r>
        <w:t xml:space="preserve"> </w:t>
      </w:r>
      <w:r>
        <w:t xml:space="preserve">invest</w:t>
      </w:r>
      <w:r>
        <w:t xml:space="preserve"> </w:t>
      </w:r>
      <w:r>
        <w:t xml:space="preserve">ment</w:t>
      </w:r>
      <w:r>
        <w:t xml:space="preserve"> </w:t>
      </w:r>
      <w:r>
        <w:t xml:space="preserve">firms</w:t>
      </w:r>
      <w:r>
        <w:t xml:space="preserve"> </w:t>
      </w:r>
      <w:r>
        <w:t xml:space="preserve">Traditional/</w:t>
      </w:r>
      <w:r>
        <w:t xml:space="preserve"> </w:t>
      </w:r>
      <w:r>
        <w:t xml:space="preserve">hybrid</w:t>
      </w:r>
      <w:r>
        <w:t xml:space="preserve"> </w:t>
      </w:r>
      <w:r>
        <w:t xml:space="preserve">advice</w:t>
      </w:r>
      <w:r>
        <w:br/>
      </w:r>
      <w:r>
        <w:t xml:space="preserve">~Costs</w:t>
      </w:r>
      <w:r>
        <w:t xml:space="preserve"> </w:t>
      </w:r>
      <w:r>
        <w:t xml:space="preserve">Automated</w:t>
      </w:r>
      <w:r>
        <w:t xml:space="preserve"> </w:t>
      </w:r>
      <w:r>
        <w:t xml:space="preserve">portfolio</w:t>
      </w:r>
      <w:r>
        <w:br/>
      </w:r>
      <w:r>
        <w:t xml:space="preserve">management</w:t>
      </w:r>
      <w:r>
        <w:t xml:space="preserve"> </w:t>
      </w:r>
      <w:r>
        <w:t xml:space="preserve">~Costs</w:t>
      </w:r>
      <w:r>
        <w:t xml:space="preserve"> </w:t>
      </w:r>
      <w:r>
        <w:t xml:space="preserve">(incl. </w:t>
      </w:r>
      <w:r>
        <w:t xml:space="preserve"> </w:t>
      </w:r>
      <w:r>
        <w:t xml:space="preserve">product</w:t>
      </w:r>
      <w:r>
        <w:t xml:space="preserve"> </w:t>
      </w:r>
      <w:r>
        <w:t xml:space="preserve">costs)</w:t>
      </w:r>
      <w:r>
        <w:t xml:space="preserve"> </w:t>
      </w:r>
      <w:r>
        <w:t xml:space="preserve">Guide</w:t>
      </w:r>
      <w:r>
        <w:t xml:space="preserve"> </w:t>
      </w:r>
      <w:r>
        <w:t xml:space="preserve">d</w:t>
      </w:r>
      <w:r>
        <w:t xml:space="preserve"> </w:t>
      </w:r>
      <w:r>
        <w:t xml:space="preserve">Execu</w:t>
      </w:r>
      <w:r>
        <w:t xml:space="preserve"> </w:t>
      </w:r>
      <w:r>
        <w:t xml:space="preserve">tion</w:t>
      </w:r>
      <w:r>
        <w:t xml:space="preserve"> </w:t>
      </w:r>
      <w:r>
        <w:t xml:space="preserve">only</w:t>
      </w:r>
      <w:r>
        <w:t xml:space="preserve"> </w:t>
      </w:r>
      <w:r>
        <w:t xml:space="preserve">~Costs</w:t>
      </w:r>
      <w:r>
        <w:t xml:space="preserve"> </w:t>
      </w:r>
      <w:r>
        <w:t xml:space="preserve">(incl. </w:t>
      </w:r>
      <w:r>
        <w:t xml:space="preserve"> </w:t>
      </w:r>
      <w:r>
        <w:t xml:space="preserve">product</w:t>
      </w:r>
      <w:r>
        <w:t xml:space="preserve"> </w:t>
      </w:r>
      <w:r>
        <w:t xml:space="preserve">costs)</w:t>
      </w:r>
      <w:r>
        <w:t xml:space="preserve"> </w:t>
      </w:r>
      <w:r>
        <w:t xml:space="preserve">Firm</w:t>
      </w:r>
      <w:r>
        <w:t xml:space="preserve"> </w:t>
      </w:r>
      <w:r>
        <w:t xml:space="preserve">A</w:t>
      </w:r>
      <w:r>
        <w:t xml:space="preserve"> </w:t>
      </w:r>
      <w:r>
        <w:t xml:space="preserve">EUR</w:t>
      </w:r>
      <w:r>
        <w:t xml:space="preserve"> </w:t>
      </w:r>
      <w:r>
        <w:t xml:space="preserve">50,000</w:t>
      </w:r>
      <w:r>
        <w:t xml:space="preserve"> </w:t>
      </w:r>
      <w:r>
        <w:t xml:space="preserve">~1.5%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mini</w:t>
      </w:r>
      <w:r>
        <w:t xml:space="preserve"> </w:t>
      </w:r>
      <w:r>
        <w:t xml:space="preserve">mum</w:t>
      </w:r>
      <w:r>
        <w:t xml:space="preserve"> </w:t>
      </w:r>
      <w:r>
        <w:t xml:space="preserve">0.94-</w:t>
      </w:r>
      <w:r>
        <w:t xml:space="preserve"> </w:t>
      </w:r>
      <w:r>
        <w:t xml:space="preserve">1.07%</w:t>
      </w:r>
      <w:r>
        <w:t xml:space="preserve"> </w:t>
      </w:r>
      <w:r>
        <w:t xml:space="preserve">Firm</w:t>
      </w:r>
      <w:r>
        <w:t xml:space="preserve"> </w:t>
      </w:r>
      <w:r>
        <w:t xml:space="preserve">B</w:t>
      </w:r>
      <w:r>
        <w:t xml:space="preserve"> </w:t>
      </w:r>
      <w:r>
        <w:t xml:space="preserve">EUR</w:t>
      </w:r>
      <w:r>
        <w:t xml:space="preserve"> </w:t>
      </w:r>
      <w:r>
        <w:t xml:space="preserve">20,000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minimum,</w:t>
      </w:r>
      <w:r>
        <w:t xml:space="preserve"> </w:t>
      </w:r>
      <w:r>
        <w:t xml:space="preserve">advised</w:t>
      </w:r>
      <w:r>
        <w:t xml:space="preserve"> </w:t>
      </w:r>
      <w:r>
        <w:t xml:space="preserve">minimum is</w:t>
      </w:r>
      <w:r>
        <w:t xml:space="preserve"> </w:t>
      </w:r>
      <w:r>
        <w:t xml:space="preserve">2,000</w:t>
      </w:r>
      <w:r>
        <w:t xml:space="preserve"> </w:t>
      </w:r>
      <w:r>
        <w:t xml:space="preserve">Depending</w:t>
      </w:r>
      <w:r>
        <w:t xml:space="preserve"> </w:t>
      </w:r>
      <w:r>
        <w:t xml:space="preserve">on amount</w:t>
      </w:r>
      <w:r>
        <w:t xml:space="preserve"> </w:t>
      </w:r>
      <w:r>
        <w:t xml:space="preserve">invested: at</w:t>
      </w:r>
      <w:r>
        <w:t xml:space="preserve"> </w:t>
      </w:r>
      <w:r>
        <w:t xml:space="preserve">20,000 it is</w:t>
      </w:r>
      <w:r>
        <w:t xml:space="preserve"> </w:t>
      </w:r>
      <w:r>
        <w:t xml:space="preserve">0,79%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Firm</w:t>
      </w:r>
      <w:r>
        <w:t xml:space="preserve"> </w:t>
      </w:r>
      <w:r>
        <w:t xml:space="preserve">C</w:t>
      </w:r>
      <w:r>
        <w:t xml:space="preserve"> </w:t>
      </w:r>
      <w:r>
        <w:t xml:space="preserve">EUR</w:t>
      </w:r>
      <w:r>
        <w:t xml:space="preserve"> </w:t>
      </w:r>
      <w:r>
        <w:t xml:space="preserve">50,000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mini</w:t>
      </w:r>
      <w:r>
        <w:t xml:space="preserve"> </w:t>
      </w:r>
      <w:r>
        <w:t xml:space="preserve">mum</w:t>
      </w:r>
    </w:p>
    <w:p>
      <w:pPr>
        <w:pStyle w:val="BodyText"/>
      </w:pPr>
      <w:r>
        <w:t xml:space="preserve">Firm</w:t>
      </w:r>
      <w:r>
        <w:t xml:space="preserve"> </w:t>
      </w:r>
      <w:r>
        <w:t xml:space="preserve">D</w:t>
      </w:r>
    </w:p>
    <w:p>
      <w:pPr>
        <w:pStyle w:val="BodyText"/>
      </w:pPr>
      <w:r>
        <w:t xml:space="preserve">EUR 10,000</w:t>
      </w:r>
      <w:r>
        <w:t xml:space="preserve"> </w:t>
      </w:r>
      <w:r>
        <w:t xml:space="preserve">0.93-1.22%</w:t>
      </w:r>
    </w:p>
    <w:p>
      <w:pPr>
        <w:pStyle w:val="BodyText"/>
      </w:pPr>
      <w:r>
        <w:t xml:space="preserve">Firm</w:t>
      </w:r>
      <w:r>
        <w:t xml:space="preserve"> </w:t>
      </w:r>
      <w:r>
        <w:t xml:space="preserve">E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minimum.</w:t>
      </w:r>
    </w:p>
    <w:p>
      <w:pPr>
        <w:pStyle w:val="BodyText"/>
      </w:pPr>
      <w:r>
        <w:t xml:space="preserve">0.89-0.99%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An example for the costs of investment advice in Wealth management in three different</w:t>
      </w:r>
      <w:r>
        <w:t xml:space="preserve"> </w:t>
      </w:r>
      <w:r>
        <w:t xml:space="preserve">categories is provided hereunder. While the example shows the annual fix costs as well as</w:t>
      </w:r>
      <w:r>
        <w:t xml:space="preserve"> </w:t>
      </w:r>
      <w:r>
        <w:t xml:space="preserve">the variable costs per transaction, as well as the VAT, product costs are excluded and come</w:t>
      </w:r>
      <w:r>
        <w:t xml:space="preserve"> </w:t>
      </w:r>
      <w:r>
        <w:t xml:space="preserve">on top 348.</w:t>
      </w:r>
    </w:p>
    <w:p>
      <w:pPr>
        <w:pStyle w:val="BodyText"/>
      </w:pPr>
      <w:r>
        <w:t xml:space="preserve">346 European Commission desktop research, November 2022.</w:t>
      </w:r>
      <w:r>
        <w:t xml:space="preserve"> </w:t>
      </w:r>
      <w:r>
        <w:t xml:space="preserve">347 The table does not include pure execution only. The costs for this service strongly depend on the</w:t>
      </w:r>
      <w:r>
        <w:t xml:space="preserve"> </w:t>
      </w:r>
      <w:r>
        <w:t xml:space="preserve">trading behaviour of each client. Guided execution only a pre-determined, cost-efficient and well</w:t>
      </w:r>
      <w:r>
        <w:t xml:space="preserve"> </w:t>
      </w:r>
      <w:r>
        <w:t xml:space="preserve">diversified range of products in offered to the client.</w:t>
      </w:r>
      <w:r>
        <w:br/>
      </w:r>
      <w:r>
        <w:t xml:space="preserve">348 European Commission desktop research, November 2022.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The rising popularity of comparison websites, which in the Netherlands require a licence,</w:t>
      </w:r>
      <w:r>
        <w:t xml:space="preserve"> </w:t>
      </w:r>
      <w:r>
        <w:t xml:space="preserve">was another notable development triggered by the ban on inducements.</w:t>
      </w:r>
      <w:r>
        <w:br/>
      </w:r>
      <w:r>
        <w:t xml:space="preserve">Investment Services</w:t>
      </w:r>
      <w:r>
        <w:t xml:space="preserve"> </w:t>
      </w:r>
      <w:r>
        <w:t xml:space="preserve">Prior to the ban on inducements, banks and brokers mainly offered actively managed</w:t>
      </w:r>
      <w:r>
        <w:t xml:space="preserve"> </w:t>
      </w:r>
      <w:r>
        <w:t xml:space="preserve">investment funds from their in-house manufacturer as part of advisory and asset</w:t>
      </w:r>
      <w:r>
        <w:t xml:space="preserve"> </w:t>
      </w:r>
      <w:r>
        <w:t xml:space="preserve">management portfolio services. Following the inducement ban, banks began to also advise</w:t>
      </w:r>
      <w:r>
        <w:t xml:space="preserve"> </w:t>
      </w:r>
      <w:r>
        <w:t xml:space="preserve">on index trackers. Several large Dutch banks sold or divested their in-house asset managers</w:t>
      </w:r>
      <w:r>
        <w:t xml:space="preserve"> </w:t>
      </w:r>
      <w:r>
        <w:t xml:space="preserve">(e.g. Robeco, previously owned by Rabobank349, as well as ING who sold their Investment</w:t>
      </w:r>
      <w:r>
        <w:t xml:space="preserve"> </w:t>
      </w:r>
      <w:r>
        <w:t xml:space="preserve">Management services to Nationale Nederlanden in 2013350, who sold it on to Goldman</w:t>
      </w:r>
      <w:r>
        <w:t xml:space="preserve"> </w:t>
      </w:r>
      <w:r>
        <w:t xml:space="preserve">Sachs in 2022). In some cases, those asset managers started their own direct distribution</w:t>
      </w:r>
      <w:r>
        <w:t xml:space="preserve"> </w:t>
      </w:r>
      <w:r>
        <w:t xml:space="preserve">models.</w:t>
      </w:r>
      <w:r>
        <w:br/>
      </w:r>
      <w:r>
        <w:t xml:space="preserve">Economies of scale have become a more important factor in an increasingly competitive</w:t>
      </w:r>
      <w:r>
        <w:t xml:space="preserve"> </w:t>
      </w:r>
      <w:r>
        <w:t xml:space="preserve">environment, also considering the high cost of investing in digital systems. Market</w:t>
      </w:r>
      <w:r>
        <w:t xml:space="preserve"> </w:t>
      </w:r>
      <w:r>
        <w:t xml:space="preserve">consolidation is ongoing, both through larger, international mergers and at national level</w:t>
      </w:r>
      <w:r>
        <w:t xml:space="preserve"> </w:t>
      </w:r>
      <w:r>
        <w:t xml:space="preserve">for smaller firms.</w:t>
      </w:r>
      <w:r>
        <w:br/>
      </w:r>
      <w:r>
        <w:t xml:space="preserve">Evaluation</w:t>
      </w:r>
      <w:r>
        <w:br/>
      </w:r>
      <w:r>
        <w:t xml:space="preserve">In an evaluation of the ban on inducement carried out in 2018 the Dutch Ministry of</w:t>
      </w:r>
      <w:r>
        <w:t xml:space="preserve"> </w:t>
      </w:r>
      <w:r>
        <w:t xml:space="preserve">Finance found that a mitigation of the conflicts of interest had taken place. Other findings</w:t>
      </w:r>
      <w:r>
        <w:t xml:space="preserve"> </w:t>
      </w:r>
      <w:r>
        <w:t xml:space="preserve">included: an increase of the quality of advice and a better focus on the objectives of the</w:t>
      </w:r>
      <w:r>
        <w:t xml:space="preserve"> </w:t>
      </w:r>
      <w:r>
        <w:t xml:space="preserve">clients. There were no major constraints to access advice, while at the same time consumers</w:t>
      </w:r>
      <w:r>
        <w:t xml:space="preserve"> </w:t>
      </w:r>
      <w:r>
        <w:t xml:space="preserve">tended to underestimate the costs of advice prior to the reform. Once advisors get the</w:t>
      </w:r>
      <w:r>
        <w:t xml:space="preserve"> </w:t>
      </w:r>
      <w:r>
        <w:t xml:space="preserve">opportunity to explain the value added of their services, the acceptance to pay for such fee-</w:t>
      </w:r>
      <w:r>
        <w:t xml:space="preserve"> </w:t>
      </w:r>
      <w:r>
        <w:t xml:space="preserve">based services increases351.</w:t>
      </w:r>
    </w:p>
    <w:p>
      <w:pPr>
        <w:pStyle w:val="BodyText"/>
      </w:pPr>
      <w:r>
        <w:t xml:space="preserve">349 https://www.orix.co.jp/grp/en/newsrelease/pdf/130701_ORIXE1.pdf</w:t>
      </w:r>
      <w:r>
        <w:t xml:space="preserve"> </w:t>
      </w:r>
      <w:r>
        <w:t xml:space="preserve">350 https://www.ing.com/Newsroom/News/Press-releases/PR/ING-announces-rebranding-of-ING-</w:t>
      </w:r>
      <w:r>
        <w:t xml:space="preserve"> </w:t>
      </w:r>
      <w:r>
        <w:t xml:space="preserve">Insurance-operations-to-NN-testarticle.htm https://www.goldmansachs.com/media-relations/press-</w:t>
      </w:r>
      <w:r>
        <w:t xml:space="preserve"> </w:t>
      </w:r>
      <w:r>
        <w:t xml:space="preserve">releases/2022/announcement-11-apr-2022.html</w:t>
      </w:r>
      <w:r>
        <w:t xml:space="preserve"> </w:t>
      </w:r>
      <w:r>
        <w:t xml:space="preserve">351</w:t>
      </w:r>
      <w:r>
        <w:t xml:space="preserve"> </w:t>
      </w:r>
      <w:r>
        <w:t xml:space="preserve">https://www.researchgate.net/publication/328754959_Invoering_van_het_provisieverbod_in_de_financi</w:t>
      </w:r>
      <w:r>
        <w:t xml:space="preserve"> </w:t>
      </w:r>
      <w:r>
        <w:t xml:space="preserve">ele_dienstverlening Wet- en regelgeving financiële markten | Tweede Kamer der Staten-Generaal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Part B : third country jurisdictions</w:t>
      </w:r>
      <w:r>
        <w:t xml:space="preserve"> </w:t>
      </w:r>
      <w:r>
        <w:t xml:space="preserve">There are also a number of third country jurisdictions that have banned the payment of</w:t>
      </w:r>
      <w:r>
        <w:t xml:space="preserve"> </w:t>
      </w:r>
      <w:r>
        <w:t xml:space="preserve">inducements, either fully or for certain products and services (e.g. India, Canada, South</w:t>
      </w:r>
      <w:r>
        <w:t xml:space="preserve"> </w:t>
      </w:r>
      <w:r>
        <w:t xml:space="preserve">Korea, Taiwan, South Africa, Australia and the UK). This chapter looks at the effects of</w:t>
      </w:r>
      <w:r>
        <w:t xml:space="preserve"> </w:t>
      </w:r>
      <w:r>
        <w:t xml:space="preserve">the bans on inducements in Australia and the UK, as their markets structures can be most</w:t>
      </w:r>
      <w:r>
        <w:t xml:space="preserve"> </w:t>
      </w:r>
      <w:r>
        <w:t xml:space="preserve">easily compared to the EU.</w:t>
      </w:r>
      <w:r>
        <w:br/>
      </w:r>
      <w:r>
        <w:t xml:space="preserve">Australia</w:t>
      </w:r>
      <w:r>
        <w:t xml:space="preserve"> </w:t>
      </w:r>
      <w:r>
        <w:t xml:space="preserve">Commissions and incentives for ‘product pushing’, (i.e. selling products that offer high</w:t>
      </w:r>
      <w:r>
        <w:t xml:space="preserve"> </w:t>
      </w:r>
      <w:r>
        <w:t xml:space="preserve">commissions often aligned with a certain marketing campaign or product launches), were</w:t>
      </w:r>
      <w:r>
        <w:t xml:space="preserve"> </w:t>
      </w:r>
      <w:r>
        <w:t xml:space="preserve">banned by Australia’s Future of Financial Advice reforms in 2012. The reform also</w:t>
      </w:r>
      <w:r>
        <w:t xml:space="preserve"> </w:t>
      </w:r>
      <w:r>
        <w:t xml:space="preserve">imposed a client’s best interest duty and mandated annual fee disclosures for investment</w:t>
      </w:r>
      <w:r>
        <w:t xml:space="preserve"> </w:t>
      </w:r>
      <w:r>
        <w:t xml:space="preserve">services providers.</w:t>
      </w:r>
      <w:r>
        <w:br/>
      </w:r>
      <w:r>
        <w:t xml:space="preserve">Following the reform, a shift towards new charging models was observed such as pay-for-</w:t>
      </w:r>
      <w:r>
        <w:t xml:space="preserve"> </w:t>
      </w:r>
      <w:r>
        <w:t xml:space="preserve">advice, percentage-based fees and trailer fees (the latter which can no longer be levied</w:t>
      </w:r>
      <w:r>
        <w:t xml:space="preserve"> </w:t>
      </w:r>
      <w:r>
        <w:t xml:space="preserve">since 2013). The Australian Securities and Investments Commission is conducting an</w:t>
      </w:r>
      <w:r>
        <w:t xml:space="preserve"> </w:t>
      </w:r>
      <w:r>
        <w:t xml:space="preserve">extensive evaluation on the inducement ban and intends to publish its report in December</w:t>
      </w:r>
      <w:r>
        <w:t xml:space="preserve"> </w:t>
      </w:r>
      <w:r>
        <w:t xml:space="preserve">2022. It will examine a number observed trends, notably that a large number of financial</w:t>
      </w:r>
      <w:r>
        <w:t xml:space="preserve"> </w:t>
      </w:r>
      <w:r>
        <w:t xml:space="preserve">advice firms switched to platform fees following the ban, with a view to assessing whether</w:t>
      </w:r>
      <w:r>
        <w:t xml:space="preserve"> </w:t>
      </w:r>
      <w:r>
        <w:t xml:space="preserve">they could be considered to circumvent the inducement ban. Such fees offer consumers</w:t>
      </w:r>
      <w:r>
        <w:t xml:space="preserve"> </w:t>
      </w:r>
      <w:r>
        <w:t xml:space="preserve">access to a range of different products in one place, with the idea of portfolio simplification.</w:t>
      </w:r>
      <w:r>
        <w:br/>
      </w:r>
      <w:r>
        <w:t xml:space="preserve">United Kingdom</w:t>
      </w:r>
      <w:r>
        <w:br/>
      </w:r>
      <w:r>
        <w:t xml:space="preserve">In the United Kingdom, the ban on inducements was introduced to address a number of</w:t>
      </w:r>
      <w:r>
        <w:t xml:space="preserve"> </w:t>
      </w:r>
      <w:r>
        <w:t xml:space="preserve">market failures on the market for retail investment products identified by the Retail</w:t>
      </w:r>
      <w:r>
        <w:t xml:space="preserve"> </w:t>
      </w:r>
      <w:r>
        <w:t xml:space="preserve">Distribution Review (“RDR Review”) in 2006/2007 (complex charging structures and lack</w:t>
      </w:r>
      <w:r>
        <w:t xml:space="preserve"> </w:t>
      </w:r>
      <w:r>
        <w:t xml:space="preserve">of clarity as to how benefits accrue for retail clients were identified as a driver for a low</w:t>
      </w:r>
      <w:r>
        <w:t xml:space="preserve"> </w:t>
      </w:r>
      <w:r>
        <w:t xml:space="preserve">retail participation). Inducements combined with retail clients’ reliance on advisors were</w:t>
      </w:r>
      <w:r>
        <w:t xml:space="preserve"> </w:t>
      </w:r>
      <w:r>
        <w:t xml:space="preserve">seen as a strong conflict of interest and source of consumer detriment. Low consumer trust</w:t>
      </w:r>
      <w:r>
        <w:t xml:space="preserve"> </w:t>
      </w:r>
      <w:r>
        <w:t xml:space="preserve">was seen as an issue to be addressed352.</w:t>
      </w:r>
      <w:r>
        <w:t xml:space="preserve"> </w:t>
      </w:r>
      <w:r>
        <w:t xml:space="preserve">The UK’s ban on inducements was implemented in two main stages and through two</w:t>
      </w:r>
      <w:r>
        <w:t xml:space="preserve"> </w:t>
      </w:r>
      <w:r>
        <w:t xml:space="preserve">distinguishable frameworks, as part of a comprehensive Retail Distribution Review:</w:t>
      </w:r>
      <w:r>
        <w:t xml:space="preserve"> </w:t>
      </w:r>
      <w:r>
        <w:t xml:space="preserve">1.</w:t>
      </w:r>
      <w:r>
        <w:t xml:space="preserve"> </w:t>
      </w:r>
      <w:r>
        <w:t xml:space="preserve">A ban on inducements for advised services was effective as of 1 January 2013.</w:t>
      </w:r>
      <w:r>
        <w:t xml:space="preserve"> </w:t>
      </w:r>
      <w:r>
        <w:t xml:space="preserve">Grandfathering for trailing commissions and existing transactions entered into</w:t>
      </w:r>
      <w:r>
        <w:t xml:space="preserve"> </w:t>
      </w:r>
      <w:r>
        <w:t xml:space="preserve">effect prior to 1 January 2013.</w:t>
      </w:r>
      <w:r>
        <w:br/>
      </w:r>
      <w:r>
        <w:t xml:space="preserve">2.</w:t>
      </w:r>
      <w:r>
        <w:t xml:space="preserve"> </w:t>
      </w:r>
      <w:r>
        <w:t xml:space="preserve">The ban was extended to non-advised business or direct-to-consumer platforms,</w:t>
      </w:r>
      <w:r>
        <w:t xml:space="preserve"> </w:t>
      </w:r>
      <w:r>
        <w:t xml:space="preserve">effective as of 6 April 2014, with a 2-year transitional period. Legacy rebates were</w:t>
      </w:r>
      <w:r>
        <w:t xml:space="preserve"> </w:t>
      </w:r>
      <w:r>
        <w:t xml:space="preserve">receivable by platforms during the transitional period.</w:t>
      </w:r>
    </w:p>
    <w:p>
      <w:pPr>
        <w:pStyle w:val="BodyText"/>
      </w:pPr>
      <w:r>
        <w:t xml:space="preserve">352 FSA DP 07/1: Retail Distribution Review, pages 16-17.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The ban was evaluated primarily in the following reports:</w:t>
      </w:r>
      <w:r>
        <w:br/>
      </w:r>
      <w:r>
        <w:t xml:space="preserve">1.</w:t>
      </w:r>
      <w:r>
        <w:t xml:space="preserve"> </w:t>
      </w:r>
      <w:r>
        <w:t xml:space="preserve">FCA, Post-implementation Review of the RDR - Phase 1, 2014 -</w:t>
      </w:r>
      <w:r>
        <w:t xml:space="preserve"> </w:t>
      </w:r>
      <w:r>
        <w:t xml:space="preserve">https://www.fca.org.uk/publication/research/post-implementation-review-rdr-</w:t>
      </w:r>
      <w:r>
        <w:t xml:space="preserve"> </w:t>
      </w:r>
      <w:r>
        <w:t xml:space="preserve">phase-1.pdf (“FCA 2014”);</w:t>
      </w:r>
      <w:r>
        <w:t xml:space="preserve"> </w:t>
      </w:r>
      <w:r>
        <w:t xml:space="preserve">2.</w:t>
      </w:r>
      <w:r>
        <w:t xml:space="preserve"> </w:t>
      </w:r>
      <w:r>
        <w:t xml:space="preserve">Europe</w:t>
      </w:r>
      <w:r>
        <w:t xml:space="preserve"> </w:t>
      </w:r>
      <w:r>
        <w:t xml:space="preserve">Economics,</w:t>
      </w:r>
      <w:r>
        <w:t xml:space="preserve"> </w:t>
      </w:r>
      <w:r>
        <w:t xml:space="preserve">RDR</w:t>
      </w:r>
      <w:r>
        <w:t xml:space="preserve"> </w:t>
      </w:r>
      <w:r>
        <w:t xml:space="preserve">Post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Review,</w:t>
      </w:r>
      <w:r>
        <w:t xml:space="preserve"> </w:t>
      </w:r>
      <w:r>
        <w:t xml:space="preserve">2014</w:t>
      </w:r>
      <w:r>
        <w:t xml:space="preserve"> </w:t>
      </w:r>
      <w:r>
        <w:t xml:space="preserve">-</w:t>
      </w:r>
      <w:r>
        <w:t xml:space="preserve"> </w:t>
      </w:r>
      <w:r>
        <w:t xml:space="preserve">https://www.fca.org.uk/publication/research/rdr-post-implementation-review-</w:t>
      </w:r>
      <w:r>
        <w:t xml:space="preserve"> </w:t>
      </w:r>
      <w:r>
        <w:t xml:space="preserve">europe-economics.pdf (“Europe Economics, 2014”);</w:t>
      </w:r>
      <w:r>
        <w:br/>
      </w:r>
      <w:r>
        <w:t xml:space="preserve">3.</w:t>
      </w:r>
      <w:r>
        <w:t xml:space="preserve"> </w:t>
      </w:r>
      <w:r>
        <w:t xml:space="preserve">FCA, Evaluation of the impact of the Retail Distribution Review and the Financial</w:t>
      </w:r>
      <w:r>
        <w:t xml:space="preserve"> </w:t>
      </w:r>
      <w:r>
        <w:t xml:space="preserve">Advice</w:t>
      </w:r>
      <w:r>
        <w:t xml:space="preserve"> </w:t>
      </w:r>
      <w:r>
        <w:t xml:space="preserve">Market</w:t>
      </w:r>
      <w:r>
        <w:t xml:space="preserve"> </w:t>
      </w:r>
      <w:r>
        <w:t xml:space="preserve">Review,</w:t>
      </w:r>
      <w:r>
        <w:t xml:space="preserve"> </w:t>
      </w:r>
      <w:r>
        <w:t xml:space="preserve">2020</w:t>
      </w:r>
      <w:r>
        <w:t xml:space="preserve"> </w:t>
      </w:r>
      <w:r>
        <w:t xml:space="preserve">-</w:t>
      </w:r>
      <w:r>
        <w:t xml:space="preserve"> </w:t>
      </w:r>
      <w:r>
        <w:t xml:space="preserve">https://www.fca.org.uk/publication/corporate/evaluation-of-the-impact-of-the-rdr-</w:t>
      </w:r>
      <w:r>
        <w:t xml:space="preserve"> </w:t>
      </w:r>
      <w:r>
        <w:t xml:space="preserve">and-famr.pdf (“FCA 2020”).</w:t>
      </w:r>
    </w:p>
    <w:p>
      <w:pPr>
        <w:pStyle w:val="BodyText"/>
      </w:pPr>
      <w:r>
        <w:t xml:space="preserve">Impact on retail clients</w:t>
      </w:r>
      <w:r>
        <w:t xml:space="preserve"> </w:t>
      </w:r>
      <w:r>
        <w:t xml:space="preserve">Reduced product bias, and shift toward low-cost investment products and self-directed</w:t>
      </w:r>
      <w:r>
        <w:t xml:space="preserve"> </w:t>
      </w:r>
      <w:r>
        <w:t xml:space="preserve">investments</w:t>
      </w:r>
      <w:r>
        <w:br/>
      </w:r>
      <w:r>
        <w:t xml:space="preserve">Evidence from the reviews show that prices of financial products declined following the</w:t>
      </w:r>
      <w:r>
        <w:t xml:space="preserve"> </w:t>
      </w:r>
      <w:r>
        <w:t xml:space="preserve">inducement ban, by at least the amount of commissions previously incurred. The ban on</w:t>
      </w:r>
      <w:r>
        <w:t xml:space="preserve"> </w:t>
      </w:r>
      <w:r>
        <w:t xml:space="preserve">third-party commissions has also reduced product bias. In particular, the sales of high-</w:t>
      </w:r>
      <w:r>
        <w:t xml:space="preserve"> </w:t>
      </w:r>
      <w:r>
        <w:t xml:space="preserve">commission products fell, while the sales of products which had little or no commission</w:t>
      </w:r>
      <w:r>
        <w:t xml:space="preserve"> </w:t>
      </w:r>
      <w:r>
        <w:t xml:space="preserve">pre-ban rose (no data available on overall cost reduction for all products). Although other</w:t>
      </w:r>
      <w:r>
        <w:t xml:space="preserve"> </w:t>
      </w:r>
      <w:r>
        <w:t xml:space="preserve">factors, such as the trend towards increased platform-based sales (online execution only),</w:t>
      </w:r>
      <w:r>
        <w:t xml:space="preserve"> </w:t>
      </w:r>
      <w:r>
        <w:t xml:space="preserve">also have contributed to the change of product mix, that trend does not fully explain the</w:t>
      </w:r>
      <w:r>
        <w:t xml:space="preserve"> </w:t>
      </w:r>
      <w:r>
        <w:t xml:space="preserve">steep changes in the relative size of sales of commission vs. sales of non-commission</w:t>
      </w:r>
      <w:r>
        <w:t xml:space="preserve"> </w:t>
      </w:r>
      <w:r>
        <w:t xml:space="preserve">products just after the reform. The Europe Economics 2014 report concluded that there</w:t>
      </w:r>
      <w:r>
        <w:t xml:space="preserve"> </w:t>
      </w:r>
      <w:r>
        <w:t xml:space="preserve">was a strong correlation between high-commission products and advised sales353.</w:t>
      </w:r>
      <w:r>
        <w:br/>
      </w:r>
      <w:r>
        <w:t xml:space="preserve">The decline in the proportion of investment products sold in the highest charging share</w:t>
      </w:r>
      <w:r>
        <w:t xml:space="preserve"> </w:t>
      </w:r>
      <w:r>
        <w:t xml:space="preserve">classes is shown in the figure below. In January 2012, 60 per cent of all gross retail flows</w:t>
      </w:r>
      <w:r>
        <w:t xml:space="preserve"> </w:t>
      </w:r>
      <w:r>
        <w:t xml:space="preserve">was through the highest charging share classes. As of May 2014, 80 per cent of flows were</w:t>
      </w:r>
      <w:r>
        <w:t xml:space="preserve"> </w:t>
      </w:r>
      <w:r>
        <w:t xml:space="preserve">through shares classes other than the highest-charging classes354.</w:t>
      </w:r>
    </w:p>
    <w:p>
      <w:pPr>
        <w:pStyle w:val="BodyText"/>
      </w:pPr>
      <w:r>
        <w:t xml:space="preserve">353 Europe Economics 2014, pages 3 and 73 to 76.</w:t>
      </w:r>
      <w:r>
        <w:t xml:space="preserve"> </w:t>
      </w:r>
      <w:r>
        <w:t xml:space="preserve">354 Europe Economics 2014, page 74.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Figure 7.7</w:t>
      </w:r>
    </w:p>
    <w:p>
      <w:pPr>
        <w:pStyle w:val="BodyText"/>
      </w:pPr>
      <w:r>
        <w:t xml:space="preserve">A sharp spike in sales of typically low-cost tracker funds was also observed after the ban355</w:t>
      </w:r>
      <w:r>
        <w:br/>
      </w:r>
      <w:r>
        <w:t xml:space="preserve">from 4 percent in 2012 to 12 percent the following year:</w:t>
      </w:r>
    </w:p>
    <w:p>
      <w:pPr>
        <w:pStyle w:val="BodyText"/>
      </w:pPr>
      <w:r>
        <w:t xml:space="preserve">Figure 7.8</w:t>
      </w:r>
    </w:p>
    <w:p>
      <w:pPr>
        <w:pStyle w:val="BodyText"/>
      </w:pPr>
      <w:r>
        <w:t xml:space="preserve">Following the ban, there was a significant increase in the proportion of execution-only</w:t>
      </w:r>
      <w:r>
        <w:t xml:space="preserve"> </w:t>
      </w:r>
      <w:r>
        <w:t xml:space="preserve">(non-advised) sales in comparison to advised sales across virtually all investment product</w:t>
      </w:r>
    </w:p>
    <w:p>
      <w:pPr>
        <w:pStyle w:val="BodyText"/>
      </w:pPr>
      <w:r>
        <w:t xml:space="preserve">355 Europe Economics 2014, page 75.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segments, and as a consequence, non-advised sales have become the largest portion of total</w:t>
      </w:r>
      <w:r>
        <w:t xml:space="preserve"> </w:t>
      </w:r>
      <w:r>
        <w:t xml:space="preserve">unit sales:</w:t>
      </w:r>
    </w:p>
    <w:p>
      <w:pPr>
        <w:pStyle w:val="BodyText"/>
      </w:pPr>
      <w:r>
        <w:t xml:space="preserve">Source: FCA Product Sales Data, https://www.fca.org.uk/data/product-sales-data/psd-archive</w:t>
      </w:r>
      <w:r>
        <w:t xml:space="preserve"> </w:t>
      </w:r>
      <w:r>
        <w:t xml:space="preserve">When assessing possible reasons for this shift, the FCA observed that consumers “who</w:t>
      </w:r>
      <w:r>
        <w:t xml:space="preserve"> </w:t>
      </w:r>
      <w:r>
        <w:t xml:space="preserve">would previously have paid for full regulated advice are increasingly turning to</w:t>
      </w:r>
      <w:r>
        <w:t xml:space="preserve"> </w:t>
      </w:r>
      <w:r>
        <w:t xml:space="preserve">alternatives such as investing on a non-advised basis, e.g. via platforms”. This is because</w:t>
      </w:r>
      <w:r>
        <w:t xml:space="preserve"> </w:t>
      </w:r>
      <w:r>
        <w:t xml:space="preserve">“consumers have become more confident at directing their own financial affairs. [In fact]</w:t>
      </w:r>
      <w:r>
        <w:t xml:space="preserve"> </w:t>
      </w:r>
      <w:r>
        <w:t xml:space="preserve">74 per cent thought that it is better to research financial products before considering</w:t>
      </w:r>
      <w:r>
        <w:t xml:space="preserve"> </w:t>
      </w:r>
      <w:r>
        <w:t xml:space="preserve">financial advice, and 44 per cent thought that it is actually better to make the investment</w:t>
      </w:r>
      <w:r>
        <w:t xml:space="preserve"> </w:t>
      </w:r>
      <w:r>
        <w:t xml:space="preserve">decisions without obtaining professional advice.”356. More recent FCA consumer surveys</w:t>
      </w:r>
      <w:r>
        <w:t xml:space="preserve"> </w:t>
      </w:r>
      <w:r>
        <w:t xml:space="preserve">have shown that, “Most respondents […] hadn’t sought out advice because it was not</w:t>
      </w:r>
      <w:r>
        <w:t xml:space="preserve"> </w:t>
      </w:r>
      <w:r>
        <w:t xml:space="preserve">needed, or that they felt they could make these decisions themselves (66%) and 22% had</w:t>
      </w:r>
      <w:r>
        <w:t xml:space="preserve"> </w:t>
      </w:r>
      <w:r>
        <w:t xml:space="preserve">simply not thought about it.”357</w:t>
      </w:r>
      <w:r>
        <w:br/>
      </w:r>
      <w:r>
        <w:t xml:space="preserve">Constant investment volumes since the ban</w:t>
      </w:r>
      <w:r>
        <w:br/>
      </w:r>
      <w:r>
        <w:t xml:space="preserve">Retail sales (volumes) of units of investment products experienced a decline post-2008 and</w:t>
      </w:r>
      <w:r>
        <w:t xml:space="preserve"> </w:t>
      </w:r>
      <w:r>
        <w:t xml:space="preserve">pre-ban, recovered to 2007 levels in 2013, and have since remained stable within the same</w:t>
      </w:r>
      <w:r>
        <w:t xml:space="preserve"> </w:t>
      </w:r>
      <w:r>
        <w:t xml:space="preserve">bandwidth until 2020. Notably, sales volumes do not include transactions concluded via</w:t>
      </w:r>
      <w:r>
        <w:t xml:space="preserve"> </w:t>
      </w:r>
      <w:r>
        <w:t xml:space="preserve">nominee accounts, such as those used in platforms, and as a result actual sales figures</w:t>
      </w:r>
      <w:r>
        <w:t xml:space="preserve"> </w:t>
      </w:r>
      <w:r>
        <w:t xml:space="preserve">would be higher. These sales trends were clearly not only influenced by the ban, but also</w:t>
      </w:r>
      <w:r>
        <w:t xml:space="preserve"> </w:t>
      </w:r>
      <w:r>
        <w:t xml:space="preserve">by other factors such as the global financial crisis.</w:t>
      </w:r>
      <w:r>
        <w:br/>
      </w:r>
      <w:r>
        <w:t xml:space="preserve">Year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Total</w:t>
      </w:r>
      <w:r>
        <w:t xml:space="preserve"> </w:t>
      </w:r>
      <w:r>
        <w:t xml:space="preserve">Sales</w:t>
      </w:r>
      <w:r>
        <w:t xml:space="preserve"> </w:t>
      </w:r>
      <w:r>
        <w:t xml:space="preserve">3.145.</w:t>
      </w:r>
      <w:r>
        <w:t xml:space="preserve"> </w:t>
      </w:r>
      <w:r>
        <w:t xml:space="preserve">274</w:t>
      </w:r>
      <w:r>
        <w:t xml:space="preserve"> </w:t>
      </w:r>
      <w:r>
        <w:t xml:space="preserve">2,963.</w:t>
      </w:r>
      <w:r>
        <w:t xml:space="preserve"> </w:t>
      </w:r>
      <w:r>
        <w:t xml:space="preserve">686</w:t>
      </w:r>
      <w:r>
        <w:t xml:space="preserve"> </w:t>
      </w:r>
      <w:r>
        <w:t xml:space="preserve">2.641.</w:t>
      </w:r>
      <w:r>
        <w:t xml:space="preserve"> </w:t>
      </w:r>
      <w:r>
        <w:t xml:space="preserve">737</w:t>
      </w:r>
      <w:r>
        <w:t xml:space="preserve"> </w:t>
      </w:r>
      <w:r>
        <w:t xml:space="preserve">2.802.</w:t>
      </w:r>
      <w:r>
        <w:t xml:space="preserve"> </w:t>
      </w:r>
      <w:r>
        <w:t xml:space="preserve">856</w:t>
      </w:r>
      <w:r>
        <w:t xml:space="preserve"> </w:t>
      </w:r>
      <w:r>
        <w:t xml:space="preserve">2.609.</w:t>
      </w:r>
      <w:r>
        <w:t xml:space="preserve"> </w:t>
      </w:r>
      <w:r>
        <w:t xml:space="preserve">826</w:t>
      </w:r>
      <w:r>
        <w:t xml:space="preserve"> </w:t>
      </w:r>
      <w:r>
        <w:t xml:space="preserve">2.345.</w:t>
      </w:r>
      <w:r>
        <w:t xml:space="preserve"> </w:t>
      </w:r>
      <w:r>
        <w:t xml:space="preserve">234</w:t>
      </w:r>
      <w:r>
        <w:t xml:space="preserve"> </w:t>
      </w:r>
      <w:r>
        <w:t xml:space="preserve">3.122.</w:t>
      </w:r>
      <w:r>
        <w:t xml:space="preserve"> </w:t>
      </w:r>
      <w:r>
        <w:t xml:space="preserve">683</w:t>
      </w:r>
    </w:p>
    <w:p>
      <w:pPr>
        <w:pStyle w:val="BodyText"/>
      </w:pPr>
      <w:r>
        <w:t xml:space="preserve">356 Europe Economics 2014, page 42.</w:t>
      </w:r>
      <w:r>
        <w:t xml:space="preserve"> </w:t>
      </w:r>
      <w:r>
        <w:t xml:space="preserve">357 FCA 2020, page 35.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Total</w:t>
      </w:r>
      <w:r>
        <w:t xml:space="preserve"> </w:t>
      </w:r>
      <w:r>
        <w:t xml:space="preserve">Sales</w:t>
      </w:r>
      <w:r>
        <w:t xml:space="preserve"> </w:t>
      </w:r>
      <w:r>
        <w:t xml:space="preserve">3.418.</w:t>
      </w:r>
      <w:r>
        <w:t xml:space="preserve"> </w:t>
      </w:r>
      <w:r>
        <w:t xml:space="preserve">694</w:t>
      </w:r>
      <w:r>
        <w:t xml:space="preserve"> </w:t>
      </w:r>
      <w:r>
        <w:t xml:space="preserve">2.881.</w:t>
      </w:r>
      <w:r>
        <w:t xml:space="preserve"> </w:t>
      </w:r>
      <w:r>
        <w:t xml:space="preserve">773</w:t>
      </w:r>
      <w:r>
        <w:t xml:space="preserve"> </w:t>
      </w:r>
      <w:r>
        <w:t xml:space="preserve">2.967.</w:t>
      </w:r>
      <w:r>
        <w:t xml:space="preserve"> </w:t>
      </w:r>
      <w:r>
        <w:t xml:space="preserve">444</w:t>
      </w:r>
      <w:r>
        <w:t xml:space="preserve"> </w:t>
      </w:r>
      <w:r>
        <w:t xml:space="preserve">3.478.</w:t>
      </w:r>
      <w:r>
        <w:t xml:space="preserve"> </w:t>
      </w:r>
      <w:r>
        <w:t xml:space="preserve">903</w:t>
      </w:r>
      <w:r>
        <w:t xml:space="preserve"> </w:t>
      </w:r>
      <w:r>
        <w:t xml:space="preserve">3.310.</w:t>
      </w:r>
      <w:r>
        <w:t xml:space="preserve"> </w:t>
      </w:r>
      <w:r>
        <w:t xml:space="preserve">966</w:t>
      </w:r>
      <w:r>
        <w:t xml:space="preserve"> </w:t>
      </w:r>
      <w:r>
        <w:t xml:space="preserve">3.194.</w:t>
      </w:r>
      <w:r>
        <w:t xml:space="preserve"> </w:t>
      </w:r>
      <w:r>
        <w:t xml:space="preserve">029</w:t>
      </w:r>
      <w:r>
        <w:t xml:space="preserve"> </w:t>
      </w:r>
      <w:r>
        <w:t xml:space="preserve">2.914.</w:t>
      </w:r>
      <w:r>
        <w:t xml:space="preserve"> </w:t>
      </w:r>
      <w:r>
        <w:t xml:space="preserve">101</w:t>
      </w:r>
      <w:r>
        <w:t xml:space="preserve"> </w:t>
      </w:r>
      <w:r>
        <w:t xml:space="preserve">Units sold including Bonds, Decumulation Products, Endowments, Individual Savings Accounts (ISA),</w:t>
      </w:r>
      <w:r>
        <w:t xml:space="preserve"> </w:t>
      </w:r>
      <w:r>
        <w:t xml:space="preserve">Long-term Care Insurance, Occupational Pensions, Personal Pensions, Structured capital-at-risk Products</w:t>
      </w:r>
      <w:r>
        <w:t xml:space="preserve"> </w:t>
      </w:r>
      <w:r>
        <w:t xml:space="preserve">(SCARPs), Trusts and Open-ended Investment Companies (OEICs) Source: FCA Product Sales Data,</w:t>
      </w:r>
      <w:r>
        <w:t xml:space="preserve"> </w:t>
      </w:r>
      <w:r>
        <w:t xml:space="preserve">https://www.fca.org.uk/data/product-sales-data/psd-archive</w:t>
      </w:r>
      <w:r>
        <w:t xml:space="preserve"> </w:t>
      </w:r>
      <w:r>
        <w:t xml:space="preserve">Developments in the advice market</w:t>
      </w:r>
      <w:r>
        <w:br/>
      </w:r>
      <w:r>
        <w:t xml:space="preserve">In 2016, the FCA358 underlined that the RDR review (which, among other things,</w:t>
      </w:r>
      <w:r>
        <w:t xml:space="preserve"> </w:t>
      </w:r>
      <w:r>
        <w:t xml:space="preserve">introduced the ban on inducements) had resulted in a high-quality financial advice market</w:t>
      </w:r>
      <w:r>
        <w:t xml:space="preserve"> </w:t>
      </w:r>
      <w:r>
        <w:t xml:space="preserve">in the UK and that the ban on inducements had improved transparency and ended conflicts</w:t>
      </w:r>
      <w:r>
        <w:t xml:space="preserve"> </w:t>
      </w:r>
      <w:r>
        <w:t xml:space="preserve">of interest caused by a mainly commission-driven model. However, FCA also expressed</w:t>
      </w:r>
      <w:r>
        <w:t xml:space="preserve"> </w:t>
      </w:r>
      <w:r>
        <w:t xml:space="preserve">concerns about the existence of an “advice gap” in the UK, as advice was not always cost-</w:t>
      </w:r>
      <w:r>
        <w:t xml:space="preserve"> </w:t>
      </w:r>
      <w:r>
        <w:t xml:space="preserve">effective for consumers, particularly those with smaller amounts of money to invest or with</w:t>
      </w:r>
      <w:r>
        <w:t xml:space="preserve"> </w:t>
      </w:r>
      <w:r>
        <w:t xml:space="preserve">simpler needs. When examining the reasons for such a gap, the report identified different</w:t>
      </w:r>
      <w:r>
        <w:t xml:space="preserve"> </w:t>
      </w:r>
      <w:r>
        <w:t xml:space="preserve">underlying issues, both on the supply and demand side (including high costs, limited</w:t>
      </w:r>
      <w:r>
        <w:t xml:space="preserve"> </w:t>
      </w:r>
      <w:r>
        <w:t xml:space="preserve">confidence of consumers to engage with financial issues, a lack of trust following past</w:t>
      </w:r>
      <w:r>
        <w:t xml:space="preserve"> </w:t>
      </w:r>
      <w:r>
        <w:t xml:space="preserve">instances of mis-selling, etc.).</w:t>
      </w:r>
      <w:r>
        <w:br/>
      </w:r>
      <w:r>
        <w:t xml:space="preserve">Advice services in the UK were already decreasing before introduction of the ban (a decline</w:t>
      </w:r>
      <w:r>
        <w:t xml:space="preserve"> </w:t>
      </w:r>
      <w:r>
        <w:t xml:space="preserve">from 25% of the adult population receiving advice in 2008 to 13 per cent in 2012 just prior</w:t>
      </w:r>
      <w:r>
        <w:t xml:space="preserve"> </w:t>
      </w:r>
      <w:r>
        <w:t xml:space="preserve">to the ban).359 The more recent reports show a renewed upward trend in the percentage of</w:t>
      </w:r>
      <w:r>
        <w:t xml:space="preserve"> </w:t>
      </w:r>
      <w:r>
        <w:t xml:space="preserve">the population receiving regulated advice. In 2019, 8% of UK adults received regulated</w:t>
      </w:r>
      <w:r>
        <w:t xml:space="preserve"> </w:t>
      </w:r>
      <w:r>
        <w:t xml:space="preserve">advice on investments, a rise of 2% since 2017.360</w:t>
      </w:r>
      <w:r>
        <w:br/>
      </w:r>
      <w:r>
        <w:t xml:space="preserve">Post RDR research which examined the risk of clients being left without advice, showed</w:t>
      </w:r>
      <w:r>
        <w:t xml:space="preserve"> </w:t>
      </w:r>
      <w:r>
        <w:t xml:space="preserve">that some firms were segmenting clients, and some were specialising in high net-worth</w:t>
      </w:r>
      <w:r>
        <w:t xml:space="preserve"> </w:t>
      </w:r>
      <w:r>
        <w:t xml:space="preserve">clients or introducing minimum investor thresholds.361 A very small number of investors</w:t>
      </w:r>
      <w:r>
        <w:t xml:space="preserve"> </w:t>
      </w:r>
      <w:r>
        <w:t xml:space="preserve">appeared to have been impacted negatively. Client-uptake by advisors increased shortly</w:t>
      </w:r>
      <w:r>
        <w:t xml:space="preserve"> </w:t>
      </w:r>
      <w:r>
        <w:t xml:space="preserve">after the ban, while the segmentation of customer bases appeared to be aimed at offering</w:t>
      </w:r>
      <w:r>
        <w:t xml:space="preserve"> </w:t>
      </w:r>
      <w:r>
        <w:t xml:space="preserve">more tailored advice for different groups in the long-term.362</w:t>
      </w:r>
      <w:r>
        <w:t xml:space="preserve"> </w:t>
      </w:r>
      <w:r>
        <w:t xml:space="preserve">As regards minimum investment amounts, the evidence is contradictory. Some sources</w:t>
      </w:r>
      <w:r>
        <w:t xml:space="preserve"> </w:t>
      </w:r>
      <w:r>
        <w:t xml:space="preserve">examined in the 2014 Europe Economics report suggested minimum thresholds varied by</w:t>
      </w:r>
      <w:r>
        <w:t xml:space="preserve"> </w:t>
      </w:r>
      <w:r>
        <w:t xml:space="preserve">firm, some firms had moved to accepting minimum wealth levels of between £50,000 and</w:t>
      </w:r>
      <w:r>
        <w:t xml:space="preserve"> </w:t>
      </w:r>
      <w:r>
        <w:t xml:space="preserve">£100,000. However, much of this evidence relates to what firms were planning pre-ban but</w:t>
      </w:r>
    </w:p>
    <w:p>
      <w:pPr>
        <w:pStyle w:val="BodyText"/>
      </w:pPr>
      <w:r>
        <w:t xml:space="preserve">358 FCA, Financial Advice Market Review, Final report, March 2016.</w:t>
      </w:r>
      <w:r>
        <w:t xml:space="preserve"> </w:t>
      </w:r>
      <w:r>
        <w:t xml:space="preserve">359 Europe Economics 2014, page 41.</w:t>
      </w:r>
      <w:r>
        <w:t xml:space="preserve"> </w:t>
      </w:r>
      <w:r>
        <w:t xml:space="preserve">360 Evaluation of the impact of the Retail Distribution Review and the Financial Advice Market Review,</w:t>
      </w:r>
      <w:r>
        <w:t xml:space="preserve"> </w:t>
      </w:r>
      <w:r>
        <w:t xml:space="preserve">page 34.</w:t>
      </w:r>
      <w:r>
        <w:br/>
      </w:r>
      <w:r>
        <w:t xml:space="preserve">361 Evaluation of the impact of the Retail Distribution Review and the Financial Advice Market Review,</w:t>
      </w:r>
      <w:r>
        <w:t xml:space="preserve"> </w:t>
      </w:r>
      <w:r>
        <w:t xml:space="preserve">page 50.</w:t>
      </w:r>
      <w:r>
        <w:t xml:space="preserve"> </w:t>
      </w:r>
      <w:r>
        <w:t xml:space="preserve">362 Evaluation of the impact of the Retail Distribution Review and the Financial Advice Market Review,</w:t>
      </w:r>
      <w:r>
        <w:t xml:space="preserve"> </w:t>
      </w:r>
      <w:r>
        <w:t xml:space="preserve">page 51.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not corresponding to actual minimum investment limits. In the evaluation that followed the</w:t>
      </w:r>
      <w:r>
        <w:t xml:space="preserve"> </w:t>
      </w:r>
      <w:r>
        <w:t xml:space="preserve">ban, there was no clear conclusion about whether limits apply and if so, what they are.363</w:t>
      </w:r>
      <w:r>
        <w:br/>
      </w:r>
      <w:r>
        <w:t xml:space="preserve">Eight years after the reform, the FCA observed that only 40% of firms declared having</w:t>
      </w:r>
      <w:r>
        <w:t xml:space="preserve"> </w:t>
      </w:r>
      <w:r>
        <w:t xml:space="preserve">formal minimum thresholds for pensions/investments, but there was no indication that</w:t>
      </w:r>
      <w:r>
        <w:t xml:space="preserve"> </w:t>
      </w:r>
      <w:r>
        <w:t xml:space="preserve">firms without a formal minimum investment size targeted or served less affluent</w:t>
      </w:r>
      <w:r>
        <w:t xml:space="preserve"> </w:t>
      </w:r>
      <w:r>
        <w:t xml:space="preserve">customers.364</w:t>
      </w:r>
    </w:p>
    <w:p>
      <w:pPr>
        <w:pStyle w:val="BodyText"/>
      </w:pPr>
      <w:r>
        <w:t xml:space="preserve">Figure 7.9</w:t>
      </w:r>
    </w:p>
    <w:p>
      <w:pPr>
        <w:pStyle w:val="BodyText"/>
      </w:pPr>
      <w:r>
        <w:t xml:space="preserve">The Europe Economics report365 also analysed a potential advice gap distinguishing</w:t>
      </w:r>
      <w:r>
        <w:t xml:space="preserve"> </w:t>
      </w:r>
      <w:r>
        <w:t xml:space="preserve">between three groups of consumers who may have a need for investment advice but who</w:t>
      </w:r>
      <w:r>
        <w:t xml:space="preserve"> </w:t>
      </w:r>
      <w:r>
        <w:t xml:space="preserve">may not be receiving it for different reasons: (a) those not engaged in the investment</w:t>
      </w:r>
      <w:r>
        <w:t xml:space="preserve"> </w:t>
      </w:r>
      <w:r>
        <w:t xml:space="preserve">market; (b) those unwilling to pay for advice at true cost; and (c) those seeking advice but</w:t>
      </w:r>
      <w:r>
        <w:t xml:space="preserve"> </w:t>
      </w:r>
      <w:r>
        <w:t xml:space="preserve">where firms are unable or unwilling to provide them advice. For each of these segments it</w:t>
      </w:r>
      <w:r>
        <w:t xml:space="preserve"> </w:t>
      </w:r>
      <w:r>
        <w:t xml:space="preserve">was concluded that there was no evidence to suggest that the ban had created or enhanced</w:t>
      </w:r>
      <w:r>
        <w:t xml:space="preserve"> </w:t>
      </w:r>
      <w:r>
        <w:t xml:space="preserve">the gap, for the following reasons</w:t>
      </w:r>
    </w:p>
    <w:p>
      <w:pPr>
        <w:pStyle w:val="BodyText"/>
      </w:pPr>
      <w:r>
        <w:t xml:space="preserve">363 Europe Economics, 2014, page 50 “The research is also varied in its conclusions as to what this level is:</w:t>
      </w:r>
      <w:r>
        <w:t xml:space="preserve"> </w:t>
      </w:r>
      <w:r>
        <w:t xml:space="preserve">a report by Fundscape states that most financial advisers seemed to have settled on a minimum of</w:t>
      </w:r>
      <w:r>
        <w:t xml:space="preserve"> </w:t>
      </w:r>
      <w:r>
        <w:t xml:space="preserve">£100,000 in investable assets, whilst other sources suggest a threshold of £50,000. This contrasts with</w:t>
      </w:r>
      <w:r>
        <w:t xml:space="preserve"> </w:t>
      </w:r>
      <w:r>
        <w:t xml:space="preserve">research from Schroders which shows that for the majority of firms the minimum levels are lower. In their</w:t>
      </w:r>
      <w:r>
        <w:t xml:space="preserve"> </w:t>
      </w:r>
      <w:r>
        <w:t xml:space="preserve">survey 50 per cent of advisers reported that their cut-off level for investment, which was used to</w:t>
      </w:r>
      <w:r>
        <w:t xml:space="preserve"> </w:t>
      </w:r>
      <w:r>
        <w:t xml:space="preserve">determine which clients were asked to leave, was below £25,000, and over 30 per cent saying it was</w:t>
      </w:r>
      <w:r>
        <w:t xml:space="preserve"> </w:t>
      </w:r>
      <w:r>
        <w:t xml:space="preserve">below £50,000. Mintel contends that the availability of advice has declined post-RDR especially for</w:t>
      </w:r>
      <w:r>
        <w:t xml:space="preserve"> </w:t>
      </w:r>
      <w:r>
        <w:t xml:space="preserve">customers with less than £20,000 to invest.”.</w:t>
      </w:r>
      <w:r>
        <w:t xml:space="preserve"> </w:t>
      </w:r>
      <w:r>
        <w:t xml:space="preserve">364 Evaluation of the impact of the Retail Distribution Review and the Financial Advice Market Review,</w:t>
      </w:r>
      <w:r>
        <w:t xml:space="preserve"> </w:t>
      </w:r>
      <w:r>
        <w:t xml:space="preserve">(Europe Economics 2014, page 39).</w:t>
      </w:r>
      <w:r>
        <w:br/>
      </w:r>
      <w:r>
        <w:t xml:space="preserve">365 Europe Economics, 2014, page 3.</w:t>
      </w:r>
    </w:p>
    <w:p>
      <w:pPr>
        <w:pStyle w:val="BodyText"/>
      </w:pPr>
      <w:r>
        <w:t xml:space="preserve">160</w:t>
      </w:r>
    </w:p>
    <w:p>
      <w:pPr>
        <w:numPr>
          <w:ilvl w:val="0"/>
          <w:numId w:val="1039"/>
        </w:numPr>
      </w:pPr>
      <w:r>
        <w:t xml:space="preserve">“The first group (a), though important, does not constitute an ‘advice gap’ in that the</w:t>
      </w:r>
      <w:r>
        <w:t xml:space="preserve"> </w:t>
      </w:r>
      <w:r>
        <w:t xml:space="preserve">affected consumers are not actively looking for investment advice (they might, of</w:t>
      </w:r>
      <w:r>
        <w:t xml:space="preserve"> </w:t>
      </w:r>
      <w:r>
        <w:t xml:space="preserve">course, benefit from unregulated, generic advice). [..]</w:t>
      </w:r>
    </w:p>
    <w:p>
      <w:pPr>
        <w:numPr>
          <w:ilvl w:val="0"/>
          <w:numId w:val="1039"/>
        </w:numPr>
      </w:pPr>
      <w:r>
        <w:t xml:space="preserve">The second group (b) is driven by consumer choice about value for money and existed</w:t>
      </w:r>
      <w:r>
        <w:t xml:space="preserve"> </w:t>
      </w:r>
      <w:r>
        <w:t xml:space="preserve">to a degree prior to the RDR. To the extent that this is a choice by consumers as to</w:t>
      </w:r>
      <w:r>
        <w:t xml:space="preserve"> </w:t>
      </w:r>
      <w:r>
        <w:t xml:space="preserve">whether they are willing to pay for investment advice, whether this group is a ‘gap’ is</w:t>
      </w:r>
      <w:r>
        <w:t xml:space="preserve"> </w:t>
      </w:r>
      <w:r>
        <w:t xml:space="preserve">arguable. By revealing the true cost of advice, the RDR is likely to have increased the</w:t>
      </w:r>
      <w:r>
        <w:t xml:space="preserve"> </w:t>
      </w:r>
      <w:r>
        <w:t xml:space="preserve">size of this group, although the evidence suggests the size of this increase has been</w:t>
      </w:r>
      <w:r>
        <w:t xml:space="preserve"> </w:t>
      </w:r>
      <w:r>
        <w:t xml:space="preserve">limited by the move by the majority of firms to adopt contingent charging structures</w:t>
      </w:r>
      <w:r>
        <w:t xml:space="preserve"> </w:t>
      </w:r>
      <w:r>
        <w:t xml:space="preserve">rather than up-front fees. This group includes consumers who would pay for cheaper</w:t>
      </w:r>
      <w:r>
        <w:t xml:space="preserve"> </w:t>
      </w:r>
      <w:r>
        <w:t xml:space="preserve">forms than the full advice model - the absence of these cheaper models therefore</w:t>
      </w:r>
      <w:r>
        <w:t xml:space="preserve"> </w:t>
      </w:r>
      <w:r>
        <w:t xml:space="preserve">creates a forced choice for this group. There are signs that in time the market will</w:t>
      </w:r>
      <w:r>
        <w:t xml:space="preserve"> </w:t>
      </w:r>
      <w:r>
        <w:t xml:space="preserve">adjust to address at least part of this gap by developing cheaper advice offerings that</w:t>
      </w:r>
      <w:r>
        <w:t xml:space="preserve"> </w:t>
      </w:r>
      <w:r>
        <w:t xml:space="preserve">these consumers may consider value for money.</w:t>
      </w:r>
    </w:p>
    <w:p>
      <w:pPr>
        <w:numPr>
          <w:ilvl w:val="0"/>
          <w:numId w:val="1039"/>
        </w:numPr>
      </w:pPr>
      <w:r>
        <w:t xml:space="preserve">The third group (c) is firm-driven. This group of consumers is likely to have increased</w:t>
      </w:r>
      <w:r>
        <w:t xml:space="preserve"> </w:t>
      </w:r>
      <w:r>
        <w:t xml:space="preserve">under the RDR as a result of firms moving to target higher wealth, higher margin</w:t>
      </w:r>
      <w:r>
        <w:t xml:space="preserve"> </w:t>
      </w:r>
      <w:r>
        <w:t xml:space="preserve">consumers. Some firms are segmenting their client books and focusing on wealthier</w:t>
      </w:r>
      <w:r>
        <w:t xml:space="preserve"> </w:t>
      </w:r>
      <w:r>
        <w:t xml:space="preserve">customers. Where this is the case, the evidence suggests the number of consumers</w:t>
      </w:r>
      <w:r>
        <w:t xml:space="preserve"> </w:t>
      </w:r>
      <w:r>
        <w:t xml:space="preserve">affected is generally small and that these consumers are likely to have been picked up</w:t>
      </w:r>
      <w:r>
        <w:t xml:space="preserve"> </w:t>
      </w:r>
      <w:r>
        <w:t xml:space="preserve">by other adviser firms. Advisers have capacity and have been taking on new clients.</w:t>
      </w:r>
      <w:r>
        <w:t xml:space="preserve"> </w:t>
      </w:r>
      <w:r>
        <w:t xml:space="preserve">There is little evidence that consumers perceive themselves to have been abandoned by</w:t>
      </w:r>
      <w:r>
        <w:t xml:space="preserve"> </w:t>
      </w:r>
      <w:r>
        <w:t xml:space="preserve">advisers. As this gap is likely to be small, to the extent there are firms willing to provide</w:t>
      </w:r>
      <w:r>
        <w:t xml:space="preserve"> </w:t>
      </w:r>
      <w:r>
        <w:t xml:space="preserve">advice to lower wealth consumers, the market should be able to resolve this in time.”</w:t>
      </w:r>
    </w:p>
    <w:p>
      <w:pPr>
        <w:pStyle w:val="FirstParagraph"/>
      </w:pPr>
      <w:r>
        <w:t xml:space="preserve">Finally, the reform (including the ban) appears to have contributed to a long-term trend of</w:t>
      </w:r>
      <w:r>
        <w:t xml:space="preserve"> </w:t>
      </w:r>
      <w:r>
        <w:t xml:space="preserve">increased consumer trust. According to the FCA’s 2020 research report, the majority (72%)</w:t>
      </w:r>
      <w:r>
        <w:t xml:space="preserve"> </w:t>
      </w:r>
      <w:r>
        <w:t xml:space="preserve">of consumers who had received advice in the past year reported being satisfied with the</w:t>
      </w:r>
      <w:r>
        <w:t xml:space="preserve"> </w:t>
      </w:r>
      <w:r>
        <w:t xml:space="preserve">charges they paid. An increase in the trust in advisors amongst retail clients was observed.</w:t>
      </w:r>
      <w:r>
        <w:t xml:space="preserve"> </w:t>
      </w:r>
      <w:r>
        <w:t xml:space="preserve">66% of adults in 2020 who had received regulated advice in the past 12 months trusted that</w:t>
      </w:r>
      <w:r>
        <w:t xml:space="preserve"> </w:t>
      </w:r>
      <w:r>
        <w:t xml:space="preserve">advisors were acting in the best interest of their clients, compared to 58% in 2017.366</w:t>
      </w:r>
      <w:r>
        <w:br/>
      </w:r>
      <w:r>
        <w:t xml:space="preserve">Impacts on industry</w:t>
      </w:r>
      <w:r>
        <w:t xml:space="preserve"> </w:t>
      </w:r>
      <w:r>
        <w:t xml:space="preserve">Various impacts on industry have been evaluated, in particular:</w:t>
      </w:r>
      <w:r>
        <w:br/>
      </w:r>
      <w:r>
        <w:t xml:space="preserve">The initial decline of advisory services following the ban was reversed with the re-entry</w:t>
      </w:r>
      <w:r>
        <w:t xml:space="preserve"> </w:t>
      </w:r>
      <w:r>
        <w:t xml:space="preserve">into the market of retail banks, facilitated by technological developments (digitalisation)</w:t>
      </w:r>
      <w:r>
        <w:br/>
      </w:r>
      <w:r>
        <w:t xml:space="preserve">The number of advisors initially declined in the immediate aftermath of the ban. This was</w:t>
      </w:r>
      <w:r>
        <w:t xml:space="preserve"> </w:t>
      </w:r>
      <w:r>
        <w:t xml:space="preserve">attributed to the exit of retail banks, something which was already occurring before the</w:t>
      </w:r>
    </w:p>
    <w:p>
      <w:pPr>
        <w:pStyle w:val="BodyText"/>
      </w:pPr>
      <w:r>
        <w:t xml:space="preserve">366 FCA 2020, page 31.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ban.367 The number of retail advisors increased by 4% between 2012 and 2019368. Retail</w:t>
      </w:r>
      <w:r>
        <w:t xml:space="preserve"> </w:t>
      </w:r>
      <w:r>
        <w:t xml:space="preserve">banks re-entered the market through the channel of technology-based advice and</w:t>
      </w:r>
      <w:r>
        <w:t xml:space="preserve"> </w:t>
      </w:r>
      <w:r>
        <w:t xml:space="preserve">guidance.369 Since 2016, the FCA has also observed an increase in advice firms’ revenues,</w:t>
      </w:r>
      <w:r>
        <w:t xml:space="preserve"> </w:t>
      </w:r>
      <w:r>
        <w:t xml:space="preserve">with a 21% growth in per adviser revenue and 37% increase in total revenue per firm.370.</w:t>
      </w:r>
      <w:r>
        <w:br/>
      </w:r>
      <w:r>
        <w:t xml:space="preserve">There has also been a significant shift towards execution-only services over platforms</w:t>
      </w:r>
      <w:r>
        <w:t xml:space="preserve"> </w:t>
      </w:r>
      <w:r>
        <w:t xml:space="preserve">offering execution only services. There has also been significant growth in the direct (i.e. </w:t>
      </w:r>
      <w:r>
        <w:t xml:space="preserve"> </w:t>
      </w:r>
      <w:r>
        <w:t xml:space="preserve">non advised) sales, and specifically via platforms. In a 2017 study the FCA has observed</w:t>
      </w:r>
      <w:r>
        <w:t xml:space="preserve"> </w:t>
      </w:r>
      <w:r>
        <w:t xml:space="preserve">that the investment platforms market has more than doubled between 2013 and 2017, from</w:t>
      </w:r>
      <w:r>
        <w:t xml:space="preserve"> </w:t>
      </w:r>
      <w:r>
        <w:t xml:space="preserve">£250bn to £500bn AUM respectively. Platforms formed a large share of the retail equity</w:t>
      </w:r>
      <w:r>
        <w:t xml:space="preserve"> </w:t>
      </w:r>
      <w:r>
        <w:t xml:space="preserve">market, and 20% of AUM on platforms was in directly owned equities. Crucially, the FCA</w:t>
      </w:r>
      <w:r>
        <w:t xml:space="preserve"> </w:t>
      </w:r>
      <w:r>
        <w:t xml:space="preserve">also concluded that the number of consumers using platforms has increased, with about 2.2</w:t>
      </w:r>
      <w:r>
        <w:t xml:space="preserve"> </w:t>
      </w:r>
      <w:r>
        <w:t xml:space="preserve">million more customer accounts created between 2013 and 2017.371</w:t>
      </w:r>
      <w:r>
        <w:br/>
      </w:r>
      <w:r>
        <w:t xml:space="preserve">A sustained decline in commission revenues followed by uptake of fee-based remuneration</w:t>
      </w:r>
      <w:r>
        <w:t xml:space="preserve"> </w:t>
      </w:r>
      <w:r>
        <w:t xml:space="preserve">and an overall increase of retail investment business turnover</w:t>
      </w:r>
      <w:r>
        <w:t xml:space="preserve"> </w:t>
      </w:r>
      <w:r>
        <w:t xml:space="preserve">Research into remuneration structures in the UK in the years shortly after the ban showed</w:t>
      </w:r>
      <w:r>
        <w:t xml:space="preserve"> </w:t>
      </w:r>
      <w:r>
        <w:t xml:space="preserve">a sustained decline in the proportion of revenue stemming from commissions, coupled with</w:t>
      </w:r>
      <w:r>
        <w:t xml:space="preserve"> </w:t>
      </w:r>
      <w:r>
        <w:t xml:space="preserve">an increase in advisor charges.372 In 2012, advisor charges accounted for less than 20% of</w:t>
      </w:r>
      <w:r>
        <w:t xml:space="preserve"> </w:t>
      </w:r>
      <w:r>
        <w:t xml:space="preserve">revenue and they were around 35% in 2013.373 In contrast, in 2019 ongoing advice alone</w:t>
      </w:r>
      <w:r>
        <w:t xml:space="preserve"> </w:t>
      </w:r>
      <w:r>
        <w:t xml:space="preserve">represented 70% of firms’ revenue.374 Although not analysed in relation specifically to the</w:t>
      </w:r>
      <w:r>
        <w:t xml:space="preserve"> </w:t>
      </w:r>
      <w:r>
        <w:t xml:space="preserve">impacts of the ban in 2013, total reported annual revenue from retail investment business</w:t>
      </w:r>
      <w:r>
        <w:t xml:space="preserve"> </w:t>
      </w:r>
      <w:r>
        <w:t xml:space="preserve">has increased by approximately 71% between the period 2013 to 2019, with average</w:t>
      </w:r>
      <w:r>
        <w:t xml:space="preserve"> </w:t>
      </w:r>
      <w:r>
        <w:t xml:space="preserve">reported revenues for firms increasing by approximately 54% during the same period.375</w:t>
      </w:r>
      <w:r>
        <w:t xml:space="preserve"> </w:t>
      </w:r>
      <w:r>
        <w:t xml:space="preserve">PART C1 – Cost estimates of a ban on inducements for administration and</w:t>
      </w:r>
      <w:r>
        <w:t xml:space="preserve"> </w:t>
      </w:r>
      <w:r>
        <w:t xml:space="preserve">compliance for firms</w:t>
      </w:r>
      <w:r>
        <w:t xml:space="preserve"> </w:t>
      </w:r>
      <w:r>
        <w:t xml:space="preserve">This section presents two different inducement ban related cost estimations that were</w:t>
      </w:r>
      <w:r>
        <w:t xml:space="preserve"> </w:t>
      </w:r>
      <w:r>
        <w:t xml:space="preserve">performed in the UK and in the Netherlands between 2010 and 2014. The methodological</w:t>
      </w:r>
      <w:r>
        <w:t xml:space="preserve"> </w:t>
      </w:r>
      <w:r>
        <w:t xml:space="preserve">approaches for assessing compliance costs differ in these two jurisdictions, making it</w:t>
      </w:r>
      <w:r>
        <w:t xml:space="preserve"> </w:t>
      </w:r>
      <w:r>
        <w:t xml:space="preserve">difficult to compare estimates. Furthermore, this section includes an extrapolation on the</w:t>
      </w:r>
      <w:r>
        <w:t xml:space="preserve"> </w:t>
      </w:r>
      <w:r>
        <w:t xml:space="preserve">basis of the two cost estimates to illustrate the possible EU wide impact of an inducement</w:t>
      </w:r>
      <w:r>
        <w:t xml:space="preserve"> </w:t>
      </w:r>
      <w:r>
        <w:t xml:space="preserve">ban.</w:t>
      </w:r>
      <w:r>
        <w:br/>
      </w:r>
      <w:r>
        <w:t xml:space="preserve">UK</w:t>
      </w:r>
    </w:p>
    <w:p>
      <w:pPr>
        <w:pStyle w:val="BodyText"/>
      </w:pPr>
      <w:r>
        <w:t xml:space="preserve">367 Europe Economics, 2014, page 54.</w:t>
      </w:r>
      <w:r>
        <w:t xml:space="preserve"> </w:t>
      </w:r>
      <w:r>
        <w:t xml:space="preserve">368 FCA 2020, page 37.</w:t>
      </w:r>
      <w:r>
        <w:t xml:space="preserve"> </w:t>
      </w:r>
      <w:r>
        <w:t xml:space="preserve">369 FCA 2020, page 41.</w:t>
      </w:r>
      <w:r>
        <w:t xml:space="preserve"> </w:t>
      </w:r>
      <w:r>
        <w:t xml:space="preserve">370 FCA 2020, page 31.</w:t>
      </w:r>
      <w:r>
        <w:t xml:space="preserve"> </w:t>
      </w:r>
      <w:r>
        <w:t xml:space="preserve">371 FCA, Investment Platforms Market Study 2019, pages. 4 and 46.</w:t>
      </w:r>
      <w:r>
        <w:t xml:space="preserve"> </w:t>
      </w:r>
      <w:r>
        <w:t xml:space="preserve">372 Europe Economics 2014, page 46.</w:t>
      </w:r>
      <w:r>
        <w:t xml:space="preserve"> </w:t>
      </w:r>
      <w:r>
        <w:t xml:space="preserve">373 Europe Economics 2014, page 47.</w:t>
      </w:r>
      <w:r>
        <w:t xml:space="preserve"> </w:t>
      </w:r>
      <w:r>
        <w:t xml:space="preserve">374 FCA 2020, page 19.</w:t>
      </w:r>
      <w:r>
        <w:t xml:space="preserve"> </w:t>
      </w:r>
      <w:r>
        <w:t xml:space="preserve">375 FCA 2020, page 53.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FCA compliance cost estimates of 2010 for the inducement ban were informed by a multi-</w:t>
      </w:r>
      <w:r>
        <w:t xml:space="preserve"> </w:t>
      </w:r>
      <w:r>
        <w:t xml:space="preserve">stage process, involving surveys, interviews and industry consultations. Compliance cost</w:t>
      </w:r>
      <w:r>
        <w:t xml:space="preserve"> </w:t>
      </w:r>
      <w:r>
        <w:t xml:space="preserve">estimates were separated into one-off and ongoing costs for each of the three firm groups</w:t>
      </w:r>
      <w:r>
        <w:t xml:space="preserve"> </w:t>
      </w:r>
      <w:r>
        <w:t xml:space="preserve">– intermediaries, providers and platforms. Intermediaries included Directly Authorised</w:t>
      </w:r>
      <w:r>
        <w:t xml:space="preserve"> </w:t>
      </w:r>
      <w:r>
        <w:t xml:space="preserve">(DA) and Appointed Representative (AR) firms, banks, stockbrokers, network providers,</w:t>
      </w:r>
      <w:r>
        <w:t xml:space="preserve"> </w:t>
      </w:r>
      <w:r>
        <w:t xml:space="preserve">financial services conglomerates, and insurer and asset manager distribution arms.</w:t>
      </w:r>
      <w:r>
        <w:t xml:space="preserve"> </w:t>
      </w:r>
      <w:r>
        <w:t xml:space="preserve">Providers included conglomerates, insurers and asset managers (excluding their</w:t>
      </w:r>
      <w:r>
        <w:t xml:space="preserve"> </w:t>
      </w:r>
      <w:r>
        <w:t xml:space="preserve">distribution arms).</w:t>
      </w:r>
      <w:r>
        <w:br/>
      </w:r>
      <w:r>
        <w:t xml:space="preserve">Additional professional qualification costs formed a significant part of the one-off cost</w:t>
      </w:r>
      <w:r>
        <w:t xml:space="preserve"> </w:t>
      </w:r>
      <w:r>
        <w:t xml:space="preserve">estimate for intermediaries (£115m–£165m), together with the introduction of the adviser-</w:t>
      </w:r>
      <w:r>
        <w:t xml:space="preserve"> </w:t>
      </w:r>
      <w:r>
        <w:t xml:space="preserve">charging model (£140m–£160m). Disclosure documents and marketing (£20m–£45m),</w:t>
      </w:r>
      <w:r>
        <w:t xml:space="preserve"> </w:t>
      </w:r>
      <w:r>
        <w:t xml:space="preserve">and costs for introducing independence requirements (£5m) were also included. Ongoing</w:t>
      </w:r>
      <w:r>
        <w:t xml:space="preserve"> </w:t>
      </w:r>
      <w:r>
        <w:t xml:space="preserve">intermediary costs are related to up-keeping adviser charging (£40m–£60m), satisfying</w:t>
      </w:r>
      <w:r>
        <w:t xml:space="preserve"> </w:t>
      </w:r>
      <w:r>
        <w:t xml:space="preserve">disclosure requirement (£25m), and additional search costs incurred due to independence</w:t>
      </w:r>
      <w:r>
        <w:t xml:space="preserve"> </w:t>
      </w:r>
      <w:r>
        <w:t xml:space="preserve">requirements (£35m).</w:t>
      </w:r>
      <w:r>
        <w:br/>
      </w:r>
      <w:r>
        <w:t xml:space="preserve">In relation to providers, one-off costs mainly consist of those for IT and systems, including</w:t>
      </w:r>
      <w:r>
        <w:t xml:space="preserve"> </w:t>
      </w:r>
      <w:r>
        <w:t xml:space="preserve">the introduction of multiple share classes, product redesign and additional product</w:t>
      </w:r>
      <w:r>
        <w:t xml:space="preserve"> </w:t>
      </w:r>
      <w:r>
        <w:t xml:space="preserve">disclosures (£330m–£385m). Ongoing costs include annual changes to IT systems and the</w:t>
      </w:r>
      <w:r>
        <w:t xml:space="preserve"> </w:t>
      </w:r>
      <w:r>
        <w:t xml:space="preserve">costs of administering additional share classes, or other measures to facilitate adviser</w:t>
      </w:r>
      <w:r>
        <w:t xml:space="preserve"> </w:t>
      </w:r>
      <w:r>
        <w:t xml:space="preserve">charging (£70m–£85m).</w:t>
      </w:r>
      <w:r>
        <w:t xml:space="preserve"> </w:t>
      </w:r>
      <w:r>
        <w:t xml:space="preserve">The table below summarises the original cost categories as identified by the FSA for</w:t>
      </w:r>
      <w:r>
        <w:t xml:space="preserve"> </w:t>
      </w:r>
      <w:r>
        <w:t xml:space="preserve">intermediaries and provider firms, broken down into one-off and ongoing costs.</w:t>
      </w:r>
      <w:r>
        <w:t xml:space="preserve"> </w:t>
      </w:r>
      <w:r>
        <w:t xml:space="preserve">Type of firm</w:t>
      </w:r>
      <w:r>
        <w:t xml:space="preserve"> </w:t>
      </w:r>
      <w:r>
        <w:t xml:space="preserve">One-off incremental costs</w:t>
      </w:r>
      <w:r>
        <w:t xml:space="preserve"> </w:t>
      </w:r>
      <w:r>
        <w:t xml:space="preserve">Ongoing incremental costs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Clarity of service: cost of updating firm</w:t>
      </w:r>
      <w:r>
        <w:t xml:space="preserve"> </w:t>
      </w:r>
      <w:r>
        <w:t xml:space="preserve">marketing material and updating service</w:t>
      </w:r>
      <w:r>
        <w:t xml:space="preserve"> </w:t>
      </w:r>
      <w:r>
        <w:t xml:space="preserve">and cost disclosure materials.</w:t>
      </w:r>
      <w:r>
        <w:t xml:space="preserve"> </w:t>
      </w:r>
      <w:r>
        <w:t xml:space="preserve">Clarity of service: cost of explaining the firm’s</w:t>
      </w:r>
      <w:r>
        <w:t xml:space="preserve"> </w:t>
      </w:r>
      <w:r>
        <w:t xml:space="preserve">status and charging structure to clients.</w:t>
      </w:r>
      <w:r>
        <w:t xml:space="preserve"> </w:t>
      </w:r>
      <w:r>
        <w:t xml:space="preserve">Adviser charging: cost of amending or</w:t>
      </w:r>
      <w:r>
        <w:t xml:space="preserve"> </w:t>
      </w:r>
      <w:r>
        <w:t xml:space="preserve">creating a price tariff for services</w:t>
      </w:r>
      <w:r>
        <w:t xml:space="preserve"> </w:t>
      </w:r>
      <w:r>
        <w:t xml:space="preserve">offered, updating systems to deal with</w:t>
      </w:r>
      <w:r>
        <w:t xml:space="preserve"> </w:t>
      </w:r>
      <w:r>
        <w:t xml:space="preserve">Adviser Charging and training advisers</w:t>
      </w:r>
      <w:r>
        <w:t xml:space="preserve"> </w:t>
      </w:r>
      <w:r>
        <w:t xml:space="preserve">on new systems.</w:t>
      </w:r>
      <w:r>
        <w:t xml:space="preserve"> </w:t>
      </w:r>
      <w:r>
        <w:t xml:space="preserve">Adviser charging: costs resulting from</w:t>
      </w:r>
      <w:r>
        <w:t xml:space="preserve"> </w:t>
      </w:r>
      <w:r>
        <w:t xml:space="preserve">updating price tariffs periodically as necessary,</w:t>
      </w:r>
      <w:r>
        <w:t xml:space="preserve"> </w:t>
      </w:r>
      <w:r>
        <w:t xml:space="preserve">administering Adviser Charging and running</w:t>
      </w:r>
      <w:r>
        <w:t xml:space="preserve"> </w:t>
      </w:r>
      <w:r>
        <w:t xml:space="preserve">new IT systems.</w:t>
      </w:r>
      <w:r>
        <w:t xml:space="preserve"> </w:t>
      </w:r>
      <w:r>
        <w:t xml:space="preserve">Qualifications: cost of training advisers</w:t>
      </w:r>
      <w:r>
        <w:t xml:space="preserve"> </w:t>
      </w:r>
      <w:r>
        <w:t xml:space="preserve">from their current qualification level to</w:t>
      </w:r>
      <w:r>
        <w:t xml:space="preserve"> </w:t>
      </w:r>
      <w:r>
        <w:t xml:space="preserve">QCF Level 4 (or equivalent), including</w:t>
      </w:r>
      <w:r>
        <w:t xml:space="preserve"> </w:t>
      </w:r>
      <w:r>
        <w:t xml:space="preserve">study time.</w:t>
      </w:r>
      <w:r>
        <w:t xml:space="preserve"> </w:t>
      </w:r>
      <w:r>
        <w:t xml:space="preserve">Independence: ongoing costs associated with</w:t>
      </w:r>
      <w:r>
        <w:t xml:space="preserve"> </w:t>
      </w:r>
      <w:r>
        <w:t xml:space="preserve">the revised definition of independence, e.g. </w:t>
      </w:r>
      <w:r>
        <w:t xml:space="preserve"> </w:t>
      </w:r>
      <w:r>
        <w:t xml:space="preserve">market search costs, product due diligence</w:t>
      </w:r>
      <w:r>
        <w:t xml:space="preserve"> </w:t>
      </w:r>
      <w:r>
        <w:t xml:space="preserve">costs and adviser product training.</w:t>
      </w:r>
      <w:r>
        <w:t xml:space="preserve"> </w:t>
      </w:r>
      <w:r>
        <w:t xml:space="preserve">Independence: one-off costs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independence,</w:t>
      </w:r>
      <w:r>
        <w:t xml:space="preserve"> </w:t>
      </w:r>
      <w:r>
        <w:t xml:space="preserve">e.g. </w:t>
      </w:r>
      <w:r>
        <w:t xml:space="preserve"> </w:t>
      </w:r>
      <w:r>
        <w:t xml:space="preserve">redrafting investment procedures.</w:t>
      </w:r>
    </w:p>
    <w:p>
      <w:pPr>
        <w:pStyle w:val="BodyText"/>
      </w:pPr>
      <w:r>
        <w:t xml:space="preserve">Providers</w:t>
      </w:r>
      <w:r>
        <w:t xml:space="preserve"> </w:t>
      </w:r>
      <w:r>
        <w:t xml:space="preserve">Systems: systems costs associated with</w:t>
      </w:r>
      <w:r>
        <w:t xml:space="preserve"> </w:t>
      </w:r>
      <w:r>
        <w:t xml:space="preserve">moving to factory gate pricing, including</w:t>
      </w:r>
      <w:r>
        <w:t xml:space="preserve"> </w:t>
      </w:r>
      <w:r>
        <w:t xml:space="preserve">the costs associated with offering a</w:t>
      </w:r>
      <w:r>
        <w:t xml:space="preserve"> </w:t>
      </w:r>
      <w:r>
        <w:t xml:space="preserve">Share classes: costs associated with the</w:t>
      </w:r>
      <w:r>
        <w:t xml:space="preserve"> </w:t>
      </w:r>
      <w:r>
        <w:t xml:space="preserve">ongoing administration of new share classes.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service for collecting and passing on</w:t>
      </w:r>
      <w:r>
        <w:t xml:space="preserve"> </w:t>
      </w:r>
      <w:r>
        <w:t xml:space="preserve">adviser charges.</w:t>
      </w:r>
      <w:r>
        <w:t xml:space="preserve"> </w:t>
      </w:r>
      <w:r>
        <w:t xml:space="preserve">Product redesign: costs associated with</w:t>
      </w:r>
      <w:r>
        <w:t xml:space="preserve"> </w:t>
      </w:r>
      <w:r>
        <w:t xml:space="preserve">redesigning existing products on a</w:t>
      </w:r>
      <w:r>
        <w:t xml:space="preserve"> </w:t>
      </w:r>
      <w:r>
        <w:t xml:space="preserve">factory gate priced basis, i.e. without</w:t>
      </w:r>
      <w:r>
        <w:t xml:space="preserve"> </w:t>
      </w:r>
      <w:r>
        <w:t xml:space="preserve">commission built in.</w:t>
      </w:r>
      <w:r>
        <w:t xml:space="preserve"> </w:t>
      </w:r>
      <w:r>
        <w:t xml:space="preserve">Other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Adviser</w:t>
      </w:r>
      <w:r>
        <w:t xml:space="preserve"> </w:t>
      </w:r>
      <w:r>
        <w:t xml:space="preserve">Charging: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measures to support Adviser Charging, such as</w:t>
      </w:r>
      <w:r>
        <w:t xml:space="preserve"> </w:t>
      </w:r>
      <w:r>
        <w:t xml:space="preserve">cancellation of units.</w:t>
      </w:r>
      <w:r>
        <w:t xml:space="preserve"> </w:t>
      </w:r>
      <w:r>
        <w:t xml:space="preserve">Additional</w:t>
      </w:r>
      <w:r>
        <w:t xml:space="preserve"> </w:t>
      </w:r>
      <w:r>
        <w:t xml:space="preserve">share</w:t>
      </w:r>
      <w:r>
        <w:t xml:space="preserve"> </w:t>
      </w:r>
      <w:r>
        <w:t xml:space="preserve">classes:</w:t>
      </w:r>
      <w:r>
        <w:t xml:space="preserve"> </w:t>
      </w:r>
      <w:r>
        <w:t xml:space="preserve">cost</w:t>
      </w:r>
      <w:r>
        <w:t xml:space="preserve"> </w:t>
      </w:r>
      <w:r>
        <w:t xml:space="preserve">associated with creating new share</w:t>
      </w:r>
      <w:r>
        <w:t xml:space="preserve"> </w:t>
      </w:r>
      <w:r>
        <w:t xml:space="preserve">classes to support Adviser Charging</w:t>
      </w:r>
      <w:r>
        <w:t xml:space="preserve"> </w:t>
      </w:r>
      <w:r>
        <w:t xml:space="preserve">where this is felt to be necessary.</w:t>
      </w:r>
      <w:r>
        <w:t xml:space="preserve"> </w:t>
      </w:r>
      <w:r>
        <w:t xml:space="preserve">Systems: incremental costs associated with</w:t>
      </w:r>
      <w:r>
        <w:t xml:space="preserve"> </w:t>
      </w:r>
      <w:r>
        <w:t xml:space="preserve">maintaining new systems on an ongoing basis.</w:t>
      </w:r>
      <w:r>
        <w:t xml:space="preserve"> </w:t>
      </w:r>
      <w:r>
        <w:t xml:space="preserve">Disclosure documents: cost of updating</w:t>
      </w:r>
      <w:r>
        <w:t xml:space="preserve"> </w:t>
      </w:r>
      <w:r>
        <w:t xml:space="preserve">disclosure documents.</w:t>
      </w:r>
    </w:p>
    <w:p>
      <w:pPr>
        <w:pStyle w:val="BodyText"/>
      </w:pPr>
      <w:r>
        <w:t xml:space="preserve">Table 1 below provides a detailed breakdown of incremental costs faced by different types</w:t>
      </w:r>
      <w:r>
        <w:t xml:space="preserve"> </w:t>
      </w:r>
      <w:r>
        <w:t xml:space="preserve">of intermediaries and providers according to the FSA estimate of incremental compliance</w:t>
      </w:r>
      <w:r>
        <w:t xml:space="preserve"> </w:t>
      </w:r>
      <w:r>
        <w:t xml:space="preserve">costs for Retail Distribution Review proposals376:</w:t>
      </w:r>
      <w:r>
        <w:t xml:space="preserve"> </w:t>
      </w:r>
      <w:r>
        <w:t xml:space="preserve">Table 1.1 Incremental compliance costs for intermediaries*</w:t>
      </w:r>
      <w:r>
        <w:t xml:space="preserve"> </w:t>
      </w:r>
      <w:r>
        <w:t xml:space="preserve">Table 1.2 Incremental compliance costs for providers*</w:t>
      </w:r>
      <w:r>
        <w:t xml:space="preserve"> </w:t>
      </w:r>
      <w:r>
        <w:t xml:space="preserve">*source: FSA 03/2010, page 9</w:t>
      </w:r>
    </w:p>
    <w:p>
      <w:pPr>
        <w:pStyle w:val="BodyText"/>
      </w:pPr>
      <w:r>
        <w:t xml:space="preserve">Further to the ex-ante estimation of 2010, Europe Economics performed an ex-post cost</w:t>
      </w:r>
      <w:r>
        <w:t xml:space="preserve"> </w:t>
      </w:r>
      <w:r>
        <w:t xml:space="preserve">analysis of compliance cost in 2014. The following table shows how pre-RDR estimates</w:t>
      </w:r>
      <w:r>
        <w:t xml:space="preserve"> </w:t>
      </w:r>
      <w:r>
        <w:t xml:space="preserve">compared to post-RDR estimated costs, per type of provider, with hindsight that the overall</w:t>
      </w:r>
      <w:r>
        <w:t xml:space="preserve"> </w:t>
      </w:r>
      <w:r>
        <w:t xml:space="preserve">costs were lower than anticipated.</w:t>
      </w:r>
      <w:r>
        <w:br/>
      </w:r>
      <w:r>
        <w:t xml:space="preserve">The analysis of Europe Economics indicated an overestimation of compliance costs at the</w:t>
      </w:r>
      <w:r>
        <w:t xml:space="preserve"> </w:t>
      </w:r>
      <w:r>
        <w:t xml:space="preserve">level of intermediaries of 60% and 31% with respect to expected one-off costs and ongoing</w:t>
      </w:r>
    </w:p>
    <w:p>
      <w:pPr>
        <w:pStyle w:val="BodyText"/>
      </w:pPr>
      <w:r>
        <w:t xml:space="preserve">376 FSA estimate of incremental compliance costs for Retail Distribution Review proposals, March 2010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costs, whereas one-off costs compliance costs of provider firms fell short by 37%, while</w:t>
      </w:r>
      <w:r>
        <w:t xml:space="preserve"> </w:t>
      </w:r>
      <w:r>
        <w:t xml:space="preserve">ongoing costs turned out 30% lower than initially estimates.</w:t>
      </w:r>
    </w:p>
    <w:p>
      <w:pPr>
        <w:pStyle w:val="BodyText"/>
      </w:pPr>
      <w:r>
        <w:t xml:space="preserve">Source: Europe Economics (2014), page 95</w:t>
      </w:r>
      <w:r>
        <w:t xml:space="preserve"> </w:t>
      </w:r>
      <w:r>
        <w:t xml:space="preserve">Netherlands</w:t>
      </w:r>
      <w:r>
        <w:t xml:space="preserve"> </w:t>
      </w:r>
      <w:r>
        <w:t xml:space="preserve">The introduction of the inducement ban in the Netherlands was complemented by a cost</w:t>
      </w:r>
      <w:r>
        <w:t xml:space="preserve"> </w:t>
      </w:r>
      <w:r>
        <w:t xml:space="preserve">estimation in 2014.377 While the ban was presumed not to create any direct administrative</w:t>
      </w:r>
      <w:r>
        <w:t xml:space="preserve"> </w:t>
      </w:r>
      <w:r>
        <w:t xml:space="preserve">costs, the industry was expected to face considerable one-off compliance costs while</w:t>
      </w:r>
      <w:r>
        <w:t xml:space="preserve"> </w:t>
      </w:r>
      <w:r>
        <w:t xml:space="preserve">transitioning to commission-free services and products. These one-off costs were estimated</w:t>
      </w:r>
      <w:r>
        <w:t xml:space="preserve"> </w:t>
      </w:r>
      <w:r>
        <w:t xml:space="preserve">at EUR 3.5 million at that time. At investment firm level, costs associated with</w:t>
      </w:r>
      <w:r>
        <w:t xml:space="preserve"> </w:t>
      </w:r>
      <w:r>
        <w:t xml:space="preserve">communicating the ban towards clients were identified as key cost driver comprising one-</w:t>
      </w:r>
      <w:r>
        <w:t xml:space="preserve"> </w:t>
      </w:r>
      <w:r>
        <w:t xml:space="preserve">off cost of EUR 2.6 million, whereas the costs for the migration of clients’ positions to</w:t>
      </w:r>
      <w:r>
        <w:t xml:space="preserve"> </w:t>
      </w:r>
      <w:r>
        <w:t xml:space="preserve">commission-free versions as well as ICT-related changes were estimated at EUR 720,000.</w:t>
      </w:r>
      <w:r>
        <w:t xml:space="preserve"> </w:t>
      </w:r>
      <w:r>
        <w:t xml:space="preserve">Direct billing to customers had to be enabled and the business models of firms, including</w:t>
      </w:r>
      <w:r>
        <w:t xml:space="preserve"> </w:t>
      </w:r>
      <w:r>
        <w:t xml:space="preserve">the fee schedule, had to be adjusted. UCIT management companies and managers of AIFs</w:t>
      </w:r>
      <w:r>
        <w:t xml:space="preserve"> </w:t>
      </w:r>
      <w:r>
        <w:t xml:space="preserve">were expected to face compliance costs stemming from the setup of commission-free units,</w:t>
      </w:r>
      <w:r>
        <w:t xml:space="preserve"> </w:t>
      </w:r>
      <w:r>
        <w:t xml:space="preserve">including the establishment of clean share classes and the migration of client portfolios</w:t>
      </w:r>
      <w:r>
        <w:t xml:space="preserve"> </w:t>
      </w:r>
      <w:r>
        <w:t xml:space="preserve">into those share classes we expected to cost a total of EUR 115,000.</w:t>
      </w:r>
      <w:r>
        <w:br/>
      </w:r>
      <w:r>
        <w:t xml:space="preserve">A separate cost estimation was initiated in 2012378 to support the inducements ban for</w:t>
      </w:r>
      <w:r>
        <w:t xml:space="preserve"> </w:t>
      </w:r>
      <w:r>
        <w:t xml:space="preserve">insurance/complex products in the Dutch market. One-off compliance cost were estimated</w:t>
      </w:r>
      <w:r>
        <w:t xml:space="preserve"> </w:t>
      </w:r>
      <w:r>
        <w:t xml:space="preserve">at EUR 18.7 million in the first seven years, while ongoing compliance costs of EUR 3.4</w:t>
      </w:r>
      <w:r>
        <w:t xml:space="preserve"> </w:t>
      </w:r>
      <w:r>
        <w:t xml:space="preserve">million per year had been identified. One-off costs were mainly driven by the one-off</w:t>
      </w:r>
      <w:r>
        <w:t xml:space="preserve"> </w:t>
      </w:r>
      <w:r>
        <w:t xml:space="preserve">development of required procedures and the periodic review of new products relating in</w:t>
      </w:r>
      <w:r>
        <w:t xml:space="preserve"> </w:t>
      </w:r>
      <w:r>
        <w:t xml:space="preserve">the initial establishment phase of five years. It was further estimated that the costs</w:t>
      </w:r>
      <w:r>
        <w:t xml:space="preserve"> </w:t>
      </w:r>
      <w:r>
        <w:t xml:space="preserve">associated with business model adaptations would result in EUR 14.9 million in the advisor</w:t>
      </w:r>
      <w:r>
        <w:t xml:space="preserve"> </w:t>
      </w:r>
      <w:r>
        <w:t xml:space="preserve">community over a period of seven years. In terms of ongoing costs, it was observed that</w:t>
      </w:r>
      <w:r>
        <w:t xml:space="preserve"> </w:t>
      </w:r>
      <w:r>
        <w:t xml:space="preserve">insurance undertakings would likely be confronted with EUR 3.4 million annually in</w:t>
      </w:r>
      <w:r>
        <w:t xml:space="preserve"> </w:t>
      </w:r>
      <w:r>
        <w:t xml:space="preserve">structural compliance costs from testing of new products against procedures.</w:t>
      </w:r>
    </w:p>
    <w:p>
      <w:pPr>
        <w:pStyle w:val="BodyText"/>
      </w:pPr>
      <w:r>
        <w:t xml:space="preserve">377 https://zoek.officielebekendmakingen.nl/stb-2013-537.pdf</w:t>
      </w:r>
      <w:r>
        <w:t xml:space="preserve"> </w:t>
      </w:r>
      <w:r>
        <w:t xml:space="preserve">378 Staatsblad 2012, 695 | Overheid.nl &gt; Officiële bekendmakingen (officielebekendmakingen.nl)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Table 2 summarises the result of the cost estimations carried out in the Netherlands in 2012</w:t>
      </w:r>
      <w:r>
        <w:t xml:space="preserve"> </w:t>
      </w:r>
      <w:r>
        <w:t xml:space="preserve">and 2014:</w:t>
      </w:r>
    </w:p>
    <w:p>
      <w:pPr>
        <w:pStyle w:val="BodyText"/>
      </w:pPr>
      <w:r>
        <w:t xml:space="preserve">Summary based on cost estimates of the Royal Dutch Decrees 2012 &amp; 2014</w:t>
      </w:r>
      <w:r>
        <w:t xml:space="preserve"> </w:t>
      </w:r>
      <w:r>
        <w:t xml:space="preserve">The cost estimates in the Royal Dutch Decree were provided on an ex-ante basis. The</w:t>
      </w:r>
      <w:r>
        <w:t xml:space="preserve"> </w:t>
      </w:r>
      <w:r>
        <w:t xml:space="preserve">Commission reached out to different financial institutions in the Netherlands to gather</w:t>
      </w:r>
      <w:r>
        <w:t xml:space="preserve"> </w:t>
      </w:r>
      <w:r>
        <w:t xml:space="preserve">information on the actual (ex-post) level of costs incurred for the implementation of the</w:t>
      </w:r>
      <w:r>
        <w:t xml:space="preserve"> </w:t>
      </w:r>
      <w:r>
        <w:t xml:space="preserve">ban on inducements, however most institutions could not provide such information, mainly</w:t>
      </w:r>
      <w:r>
        <w:t xml:space="preserve"> </w:t>
      </w:r>
      <w:r>
        <w:t xml:space="preserve">due to the fact that the costs were absorbed by the institutions long time ago and factual</w:t>
      </w:r>
      <w:r>
        <w:t xml:space="preserve"> </w:t>
      </w:r>
      <w:r>
        <w:t xml:space="preserve">information was not readily available. One institution was able to collect such information,</w:t>
      </w:r>
      <w:r>
        <w:t xml:space="preserve"> </w:t>
      </w:r>
      <w:r>
        <w:t xml:space="preserve">which is presented in the below case study. The case study is presented for illustration</w:t>
      </w:r>
      <w:r>
        <w:t xml:space="preserve"> </w:t>
      </w:r>
      <w:r>
        <w:t xml:space="preserve">purposes; while rich in details, given the limited sample, it was not considered possible to</w:t>
      </w:r>
      <w:r>
        <w:t xml:space="preserve"> </w:t>
      </w:r>
      <w:r>
        <w:t xml:space="preserve">use this as a reliable basis for extrapolations at the EU level.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Case study</w:t>
      </w:r>
      <w:r>
        <w:br/>
      </w:r>
      <w:r>
        <w:t xml:space="preserve">The impact of the ban on inducements in the Netherlands can be showcased through an example of the</w:t>
      </w:r>
      <w:r>
        <w:t xml:space="preserve"> </w:t>
      </w:r>
      <w:r>
        <w:t xml:space="preserve">impact on one Dutch bank which has a significant share of the retail market.</w:t>
      </w:r>
      <w:r>
        <w:br/>
      </w:r>
      <w:r>
        <w:t xml:space="preserve">The implementation of the ban on inducements carried certain implementation costs and costs savings for</w:t>
      </w:r>
      <w:r>
        <w:t xml:space="preserve"> </w:t>
      </w:r>
      <w:r>
        <w:t xml:space="preserve">the bank and brought about key changes to the revenue model and the services used by clients.</w:t>
      </w:r>
      <w:r>
        <w:br/>
      </w:r>
      <w:r>
        <w:t xml:space="preserve">Costs for implementing the ban</w:t>
      </w:r>
      <w:r>
        <w:t xml:space="preserve"> </w:t>
      </w:r>
      <w:r>
        <w:t xml:space="preserve">Type of Costs</w:t>
      </w:r>
      <w:r>
        <w:t xml:space="preserve"> </w:t>
      </w:r>
      <w:r>
        <w:t xml:space="preserve">One-off</w:t>
      </w:r>
      <w:r>
        <w:t xml:space="preserve"> </w:t>
      </w:r>
      <w:r>
        <w:t xml:space="preserve">Ongoing</w:t>
      </w:r>
      <w:r>
        <w:t xml:space="preserve"> </w:t>
      </w:r>
      <w:r>
        <w:t xml:space="preserve">Providing information to existing</w:t>
      </w:r>
      <w:r>
        <w:t xml:space="preserve"> </w:t>
      </w:r>
      <w:r>
        <w:t xml:space="preserve">clients on the changes to the model</w:t>
      </w:r>
      <w:r>
        <w:t xml:space="preserve"> </w:t>
      </w:r>
      <w:r>
        <w:t xml:space="preserve">(conversations with clients under</w:t>
      </w:r>
      <w:r>
        <w:t xml:space="preserve"> </w:t>
      </w:r>
      <w:r>
        <w:t xml:space="preserve">advice, explanation of fees,</w:t>
      </w:r>
      <w:r>
        <w:t xml:space="preserve"> </w:t>
      </w:r>
      <w:r>
        <w:t xml:space="preserve">information materials, calls to</w:t>
      </w:r>
      <w:r>
        <w:t xml:space="preserve"> </w:t>
      </w:r>
      <w:r>
        <w:t xml:space="preserve">advised clients, etc.)</w:t>
      </w:r>
      <w:r>
        <w:t xml:space="preserve"> </w:t>
      </w:r>
      <w:r>
        <w:t xml:space="preserve">ca. EUR 200 per client (costs for</w:t>
      </w:r>
      <w:r>
        <w:t xml:space="preserve"> </w:t>
      </w:r>
      <w:r>
        <w:t xml:space="preserve">providing information per client,</w:t>
      </w:r>
      <w:r>
        <w:t xml:space="preserve"> </w:t>
      </w:r>
      <w:r>
        <w:t xml:space="preserve">including 1h of conversation for</w:t>
      </w:r>
      <w:r>
        <w:t xml:space="preserve"> </w:t>
      </w:r>
      <w:r>
        <w:t xml:space="preserve">clients who needed more</w:t>
      </w:r>
      <w:r>
        <w:t xml:space="preserve"> </w:t>
      </w:r>
      <w:r>
        <w:t xml:space="preserve">information than just a letter).</w:t>
      </w:r>
      <w:r>
        <w:br/>
      </w:r>
      <w:r>
        <w:t xml:space="preserve">none</w:t>
      </w:r>
      <w:r>
        <w:t xml:space="preserve"> </w:t>
      </w:r>
      <w:r>
        <w:t xml:space="preserve">Legal and marketing costs</w:t>
      </w:r>
      <w:r>
        <w:t xml:space="preserve"> </w:t>
      </w:r>
      <w:r>
        <w:t xml:space="preserve">EUR 1.5-2 million</w:t>
      </w:r>
      <w:r>
        <w:t xml:space="preserve"> </w:t>
      </w:r>
      <w:r>
        <w:t xml:space="preserve">none</w:t>
      </w:r>
      <w:r>
        <w:t xml:space="preserve"> </w:t>
      </w:r>
      <w:r>
        <w:t xml:space="preserve">IT Costs – fee model</w:t>
      </w:r>
      <w:r>
        <w:t xml:space="preserve"> </w:t>
      </w:r>
      <w:r>
        <w:t xml:space="preserve">EUR 1 million</w:t>
      </w:r>
      <w:r>
        <w:t xml:space="preserve"> </w:t>
      </w:r>
      <w:r>
        <w:t xml:space="preserve">none</w:t>
      </w:r>
      <w:r>
        <w:t xml:space="preserve"> </w:t>
      </w:r>
      <w:r>
        <w:t xml:space="preserve">Costs for coordination of transition</w:t>
      </w:r>
      <w:r>
        <w:t xml:space="preserve"> </w:t>
      </w:r>
      <w:r>
        <w:t xml:space="preserve">project</w:t>
      </w:r>
      <w:r>
        <w:br/>
      </w:r>
      <w:r>
        <w:t xml:space="preserve">EUR 1-2 million (8 FTEs working</w:t>
      </w:r>
      <w:r>
        <w:t xml:space="preserve"> </w:t>
      </w:r>
      <w:r>
        <w:t xml:space="preserve">on the project for 1,5 years)</w:t>
      </w:r>
      <w:r>
        <w:t xml:space="preserve"> </w:t>
      </w:r>
      <w:r>
        <w:t xml:space="preserve">none</w:t>
      </w:r>
      <w:r>
        <w:t xml:space="preserve"> </w:t>
      </w:r>
      <w:r>
        <w:t xml:space="preserve">Costs savings</w:t>
      </w:r>
    </w:p>
    <w:p>
      <w:pPr>
        <w:pStyle w:val="BodyText"/>
      </w:pPr>
      <w:r>
        <w:t xml:space="preserve">Lower legal costs because of</w:t>
      </w:r>
      <w:r>
        <w:t xml:space="preserve"> </w:t>
      </w:r>
      <w:r>
        <w:t xml:space="preserve">simplified relationship with pro</w:t>
      </w:r>
      <w:r>
        <w:t xml:space="preserve"> </w:t>
      </w:r>
      <w:r>
        <w:t xml:space="preserve">manufacturers (not quantified)</w:t>
      </w:r>
    </w:p>
    <w:p>
      <w:pPr>
        <w:pStyle w:val="BodyText"/>
      </w:pPr>
      <w:r>
        <w:t xml:space="preserve">Impact on the revenue model and services used by clients</w:t>
      </w:r>
      <w:r>
        <w:t xml:space="preserve"> </w:t>
      </w:r>
      <w:r>
        <w:t xml:space="preserve">Prior to the ban, inducements made up 40% of the revenue of the investment arm of the bank, while</w:t>
      </w:r>
      <w:r>
        <w:t xml:space="preserve"> </w:t>
      </w:r>
      <w:r>
        <w:t xml:space="preserve">overall the investment arm of the bank was not profitable. As the bank switched to a fee-based model, the</w:t>
      </w:r>
      <w:r>
        <w:t xml:space="preserve"> </w:t>
      </w:r>
      <w:r>
        <w:t xml:space="preserve">revenues from commissions on investment products declined and needed to be compensated.</w:t>
      </w:r>
      <w:r>
        <w:br/>
      </w:r>
      <w:r>
        <w:t xml:space="preserve">The bank developed and focused on certain services and fee structures: for clients under advice, a (flat) fee</w:t>
      </w:r>
      <w:r>
        <w:t xml:space="preserve"> </w:t>
      </w:r>
      <w:r>
        <w:t xml:space="preserve">of about 1% of assets under management (AUM) was introduced. There was a significant reduction of</w:t>
      </w:r>
      <w:r>
        <w:t xml:space="preserve"> </w:t>
      </w:r>
      <w:r>
        <w:t xml:space="preserve">commissions on investment products held by execution-only clients. The bank developed new services,</w:t>
      </w:r>
      <w:r>
        <w:t xml:space="preserve"> </w:t>
      </w:r>
      <w:r>
        <w:t xml:space="preserve">such as online discretionary portfolio management which made this service also available for small</w:t>
      </w:r>
      <w:r>
        <w:t xml:space="preserve"> </w:t>
      </w:r>
      <w:r>
        <w:t xml:space="preserve">investors. Existing discretionary portfolio management (DPM) clients did not see significant adjustments, as</w:t>
      </w:r>
      <w:r>
        <w:t xml:space="preserve"> </w:t>
      </w:r>
      <w:r>
        <w:t xml:space="preserve">annual fees based on AUM were already a part of the service.</w:t>
      </w:r>
      <w:r>
        <w:br/>
      </w:r>
      <w:r>
        <w:t xml:space="preserve">On the client side, at the time of introduction of the ban as well as in subsequent years, the bank observed</w:t>
      </w:r>
      <w:r>
        <w:t xml:space="preserve"> </w:t>
      </w:r>
      <w:r>
        <w:t xml:space="preserve">a large decline in the number of advised clients, with today only approximately 10% of the total number</w:t>
      </w:r>
      <w:r>
        <w:t xml:space="preserve"> </w:t>
      </w:r>
      <w:r>
        <w:t xml:space="preserve">clients still being advice-clients compared to the pre-ban situation. A large number of clients previously</w:t>
      </w:r>
      <w:r>
        <w:t xml:space="preserve"> </w:t>
      </w:r>
      <w:r>
        <w:t xml:space="preserve">receiving advice, switched to DPM and execution-only services. According to the bank, the ban allowed for</w:t>
      </w:r>
      <w:r>
        <w:t xml:space="preserve"> </w:t>
      </w:r>
      <w:r>
        <w:t xml:space="preserve">a cultural shift within the institution to put the clients’ needs first as the conflicts of interests were</w:t>
      </w:r>
      <w:r>
        <w:t xml:space="preserve"> </w:t>
      </w:r>
      <w:r>
        <w:t xml:space="preserve">removed.</w:t>
      </w:r>
      <w:r>
        <w:br/>
      </w:r>
      <w:r>
        <w:t xml:space="preserve">The new services developed by the bank with asset-based fees, which could be scaled-up easily, in</w:t>
      </w:r>
      <w:r>
        <w:t xml:space="preserve"> </w:t>
      </w:r>
      <w:r>
        <w:t xml:space="preserve">combination with a stronger negotiating power by the bank towards product manufacturers (this was a</w:t>
      </w:r>
      <w:r>
        <w:t xml:space="preserve"> </w:t>
      </w:r>
      <w:r>
        <w:t xml:space="preserve">result of the growth in DPM), resulted in higher levels of revenue, allowing the bank – over a period of</w:t>
      </w:r>
      <w:r>
        <w:t xml:space="preserve"> </w:t>
      </w:r>
      <w:r>
        <w:t xml:space="preserve">several years after the introduction of the ban – to make its investment arm profitable.</w:t>
      </w:r>
      <w:r>
        <w:br/>
      </w:r>
      <w:r>
        <w:t xml:space="preserve">The choices that the bank made for its business model resulted also in an internal restructuring, where the</w:t>
      </w:r>
      <w:r>
        <w:t xml:space="preserve"> </w:t>
      </w:r>
      <w:r>
        <w:t xml:space="preserve">bank had to let go 75% of its employed advisors. While this created an estimated one-off cost of, on</w:t>
      </w:r>
      <w:r>
        <w:t xml:space="preserve"> </w:t>
      </w:r>
      <w:r>
        <w:t xml:space="preserve">average, one annual benefit per advisor, it also resulted in an overall structural cost savings of the same</w:t>
      </w:r>
      <w:r>
        <w:t xml:space="preserve"> </w:t>
      </w:r>
      <w:r>
        <w:t xml:space="preserve">amount per year on an on-going basis.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Extrapolation of costs on the basis of Dutch and UK figures</w:t>
      </w:r>
      <w:r>
        <w:t xml:space="preserve"> </w:t>
      </w:r>
      <w:r>
        <w:t xml:space="preserve">With a view to obtaining orders of magnitudes of the expected compliance costs incurred</w:t>
      </w:r>
      <w:r>
        <w:t xml:space="preserve"> </w:t>
      </w:r>
      <w:r>
        <w:t xml:space="preserve">by the EU industry of investment products, this section provides extrapolations on the basis</w:t>
      </w:r>
      <w:r>
        <w:t xml:space="preserve"> </w:t>
      </w:r>
      <w:r>
        <w:t xml:space="preserve">of the two cost estimations performed in the Netherlands and UK.</w:t>
      </w:r>
      <w:r>
        <w:br/>
      </w:r>
      <w:r>
        <w:t xml:space="preserve">The analysis is based on the information and methodological assumptions provided in the</w:t>
      </w:r>
      <w:r>
        <w:t xml:space="preserve"> </w:t>
      </w:r>
      <w:r>
        <w:t xml:space="preserve">Royal Dutch Decree379 and the FSA estimate of incremental compliance costs for Retail</w:t>
      </w:r>
      <w:r>
        <w:t xml:space="preserve"> </w:t>
      </w:r>
      <w:r>
        <w:t xml:space="preserve">Distribution Review proposals380. Original cost estimates have been adjusted to align the</w:t>
      </w:r>
      <w:r>
        <w:t xml:space="preserve"> </w:t>
      </w:r>
      <w:r>
        <w:t xml:space="preserve">analysis closer to the planned policy proposal subject to different assumptions that are</w:t>
      </w:r>
      <w:r>
        <w:t xml:space="preserve"> </w:t>
      </w:r>
      <w:r>
        <w:t xml:space="preserve">further described below. All results are expressed to EUR and reflect latest available price</w:t>
      </w:r>
      <w:r>
        <w:t xml:space="preserve"> </w:t>
      </w:r>
      <w:r>
        <w:t xml:space="preserve">levels.</w:t>
      </w:r>
      <w:r>
        <w:br/>
      </w:r>
      <w:r>
        <w:t xml:space="preserve">1. Netherlands</w:t>
      </w:r>
      <w:r>
        <w:t xml:space="preserve"> </w:t>
      </w:r>
      <w:r>
        <w:t xml:space="preserve">Cost estimates in the Netherlands were calculated per investment firm and investment fund</w:t>
      </w:r>
      <w:r>
        <w:t xml:space="preserve"> </w:t>
      </w:r>
      <w:r>
        <w:t xml:space="preserve">manager based on the estimated workload and costs required to complete different</w:t>
      </w:r>
      <w:r>
        <w:t xml:space="preserve"> </w:t>
      </w:r>
      <w:r>
        <w:t xml:space="preserve">compliance related tasks (a summary of the activities and calculations carried out in the</w:t>
      </w:r>
      <w:r>
        <w:t xml:space="preserve"> </w:t>
      </w:r>
      <w:r>
        <w:t xml:space="preserve">context of the Dutch cost estimation is presented above).</w:t>
      </w:r>
      <w:r>
        <w:t xml:space="preserve"> </w:t>
      </w:r>
      <w:r>
        <w:t xml:space="preserve">For the purpose of extrapolating, firm level estimates from the Netherlands were applied</w:t>
      </w:r>
      <w:r>
        <w:t xml:space="preserve"> </w:t>
      </w:r>
      <w:r>
        <w:t xml:space="preserve">to firms in the EU-27, excluding the Netherlands (in the following defined as EU-26). The</w:t>
      </w:r>
      <w:r>
        <w:t xml:space="preserve"> </w:t>
      </w:r>
      <w:r>
        <w:t xml:space="preserve">perimeter of relevant EU firms is based on the ESMA’s register of investment firms,</w:t>
      </w:r>
      <w:r>
        <w:t xml:space="preserve"> </w:t>
      </w:r>
      <w:r>
        <w:t xml:space="preserve">selecting those firms that are active in the EU-26 and which hold a MiFID license for</w:t>
      </w:r>
      <w:r>
        <w:t xml:space="preserve"> </w:t>
      </w:r>
      <w:r>
        <w:t xml:space="preserve">providing investment advice. The scope of asset managers on the other hand is determined</w:t>
      </w:r>
      <w:r>
        <w:t xml:space="preserve"> </w:t>
      </w:r>
      <w:r>
        <w:t xml:space="preserve">based on the number of UCITS management companies and Alternative Investment Fund</w:t>
      </w:r>
      <w:r>
        <w:t xml:space="preserve"> </w:t>
      </w:r>
      <w:r>
        <w:t xml:space="preserve">Managers. While UCITS typically are generally retail oriented, Alternative Investment</w:t>
      </w:r>
      <w:r>
        <w:t xml:space="preserve"> </w:t>
      </w:r>
      <w:r>
        <w:t xml:space="preserve">Funds are offered primarily to professional clients. To account for this segmentation, a</w:t>
      </w:r>
      <w:r>
        <w:t xml:space="preserve"> </w:t>
      </w:r>
      <w:r>
        <w:t xml:space="preserve">range of 15-25% is applied to determine the number of relevant AIF managers, instead of</w:t>
      </w:r>
      <w:r>
        <w:t xml:space="preserve"> </w:t>
      </w:r>
      <w:r>
        <w:t xml:space="preserve">taking the full population of AIF managers.381 Concerning UCITS fund managers, the full</w:t>
      </w:r>
      <w:r>
        <w:t xml:space="preserve"> </w:t>
      </w:r>
      <w:r>
        <w:t xml:space="preserve">sample i.e. 100% are taken into account. This is considered to be an overestimation, as not</w:t>
      </w:r>
      <w:r>
        <w:t xml:space="preserve"> </w:t>
      </w:r>
      <w:r>
        <w:t xml:space="preserve">all UCITS fund managers are expected to be equally impacted.</w:t>
      </w:r>
      <w:r>
        <w:br/>
      </w:r>
      <w:r>
        <w:t xml:space="preserve">The result of this extrapolation is provided below:</w:t>
      </w:r>
      <w:r>
        <w:t xml:space="preserve"> </w:t>
      </w:r>
      <w:r>
        <w:t xml:space="preserve">Juris</w:t>
      </w:r>
      <w:r>
        <w:t xml:space="preserve"> </w:t>
      </w:r>
      <w:r>
        <w:t xml:space="preserve">dictio</w:t>
      </w:r>
      <w:r>
        <w:t xml:space="preserve"> </w:t>
      </w:r>
      <w:r>
        <w:t xml:space="preserve">n</w:t>
      </w:r>
      <w:r>
        <w:t xml:space="preserve"> </w:t>
      </w:r>
      <w:r>
        <w:t xml:space="preserve">Numbe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invest</w:t>
      </w:r>
      <w:r>
        <w:t xml:space="preserve"> </w:t>
      </w:r>
      <w:r>
        <w:t xml:space="preserve">ment</w:t>
      </w:r>
      <w:r>
        <w:t xml:space="preserve"> </w:t>
      </w:r>
      <w:r>
        <w:t xml:space="preserve">firms</w:t>
      </w:r>
      <w:r>
        <w:t xml:space="preserve"> </w:t>
      </w:r>
      <w:r>
        <w:t xml:space="preserve">Numbe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UCITS</w:t>
      </w:r>
      <w:r>
        <w:t xml:space="preserve"> </w:t>
      </w:r>
      <w:r>
        <w:t xml:space="preserve">manag</w:t>
      </w:r>
      <w:r>
        <w:t xml:space="preserve"> </w:t>
      </w:r>
      <w:r>
        <w:t xml:space="preserve">ement</w:t>
      </w:r>
      <w:r>
        <w:t xml:space="preserve"> </w:t>
      </w:r>
      <w:r>
        <w:t xml:space="preserve">Numbe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AIF</w:t>
      </w:r>
      <w:r>
        <w:t xml:space="preserve"> </w:t>
      </w:r>
      <w:r>
        <w:t xml:space="preserve">manag</w:t>
      </w:r>
      <w:r>
        <w:t xml:space="preserve"> </w:t>
      </w:r>
      <w:r>
        <w:t xml:space="preserve">ers</w:t>
      </w:r>
      <w:r>
        <w:t xml:space="preserve"> </w:t>
      </w:r>
      <w:r>
        <w:t xml:space="preserve">(100%)</w:t>
      </w:r>
      <w:r>
        <w:t xml:space="preserve"> </w:t>
      </w:r>
      <w:r>
        <w:t xml:space="preserve">Costs faced by investment firms</w:t>
      </w:r>
      <w:r>
        <w:t xml:space="preserve"> </w:t>
      </w:r>
      <w:r>
        <w:t xml:space="preserve">(1,000 EUR)</w:t>
      </w:r>
      <w:r>
        <w:t xml:space="preserve"> </w:t>
      </w:r>
      <w:r>
        <w:t xml:space="preserve">Costs faced</w:t>
      </w:r>
      <w:r>
        <w:t xml:space="preserve"> </w:t>
      </w:r>
      <w:r>
        <w:t xml:space="preserve">by</w:t>
      </w:r>
      <w:r>
        <w:t xml:space="preserve"> </w:t>
      </w:r>
      <w:r>
        <w:t xml:space="preserve">asset</w:t>
      </w:r>
      <w:r>
        <w:t xml:space="preserve"> </w:t>
      </w:r>
      <w:r>
        <w:t xml:space="preserve">managers</w:t>
      </w:r>
      <w:r>
        <w:t xml:space="preserve"> </w:t>
      </w:r>
      <w:r>
        <w:t xml:space="preserve">(1,000 EUR)</w:t>
      </w:r>
      <w:r>
        <w:t xml:space="preserve"> </w:t>
      </w:r>
      <w:r>
        <w:t xml:space="preserve">Sum</w:t>
      </w:r>
      <w:r>
        <w:t xml:space="preserve"> </w:t>
      </w:r>
      <w:r>
        <w:t xml:space="preserve">(1,000 EUR)</w:t>
      </w:r>
      <w:r>
        <w:t xml:space="preserve"> </w:t>
      </w:r>
      <w:r>
        <w:t xml:space="preserve">Clien</w:t>
      </w:r>
      <w:r>
        <w:t xml:space="preserve"> </w:t>
      </w:r>
      <w:r>
        <w:t xml:space="preserve">t</w:t>
      </w:r>
      <w:r>
        <w:t xml:space="preserve"> </w:t>
      </w:r>
      <w:r>
        <w:t xml:space="preserve">Transitional</w:t>
      </w:r>
      <w:r>
        <w:t xml:space="preserve"> </w:t>
      </w:r>
      <w:r>
        <w:t xml:space="preserve">ICT</w:t>
      </w:r>
      <w:r>
        <w:t xml:space="preserve"> </w:t>
      </w:r>
      <w:r>
        <w:t xml:space="preserve">Clean share</w:t>
      </w:r>
      <w:r>
        <w:t xml:space="preserve"> </w:t>
      </w:r>
      <w:r>
        <w:t xml:space="preserve">classes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</w:p>
    <w:p>
      <w:pPr>
        <w:pStyle w:val="BodyText"/>
      </w:pPr>
      <w:r>
        <w:t xml:space="preserve">379 stb-2013-537.pdf (officielebekendmakingen.nl)</w:t>
      </w:r>
      <w:r>
        <w:br/>
      </w:r>
      <w:r>
        <w:t xml:space="preserve">380 FSA estimate of incremental compliance costs for Retail Distribution Review proposals, March 2010</w:t>
      </w:r>
      <w:r>
        <w:t xml:space="preserve"> </w:t>
      </w:r>
      <w:r>
        <w:t xml:space="preserve">381 This assumption is based on the share of 14% of retail investors in AIFs. According to ESMA figures, EUR</w:t>
      </w:r>
      <w:r>
        <w:t xml:space="preserve"> </w:t>
      </w:r>
      <w:r>
        <w:t xml:space="preserve">700bn of a total of EUR 5tn were held by retail investors in 2022 (cf. ESMA Cost and Performance Report 2022,</w:t>
      </w:r>
      <w:r>
        <w:t xml:space="preserve"> </w:t>
      </w:r>
      <w:r>
        <w:t xml:space="preserve">page 28).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Commu</w:t>
      </w:r>
      <w:r>
        <w:t xml:space="preserve"> </w:t>
      </w:r>
      <w:r>
        <w:t xml:space="preserve">nication</w:t>
      </w:r>
      <w:r>
        <w:t xml:space="preserve"> </w:t>
      </w:r>
      <w:r>
        <w:t xml:space="preserve">costs</w:t>
      </w:r>
      <w:r>
        <w:t xml:space="preserve"> </w:t>
      </w:r>
      <w:r>
        <w:t xml:space="preserve">migr</w:t>
      </w:r>
      <w:r>
        <w:t xml:space="preserve"> </w:t>
      </w:r>
      <w:r>
        <w:t xml:space="preserve">ation</w:t>
      </w:r>
      <w:r>
        <w:t xml:space="preserve"> </w:t>
      </w:r>
      <w:r>
        <w:t xml:space="preserve">costs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EU-</w:t>
      </w:r>
      <w:r>
        <w:t xml:space="preserve"> </w:t>
      </w:r>
      <w:r>
        <w:t xml:space="preserve">26</w:t>
      </w:r>
      <w:r>
        <w:t xml:space="preserve"> </w:t>
      </w:r>
      <w:r>
        <w:t xml:space="preserve">4.597</w:t>
      </w:r>
      <w:r>
        <w:t xml:space="preserve"> </w:t>
      </w:r>
      <w:r>
        <w:t xml:space="preserve">1.318</w:t>
      </w:r>
      <w:r>
        <w:t xml:space="preserve"> </w:t>
      </w:r>
      <w:r>
        <w:t xml:space="preserve">2.627</w:t>
      </w:r>
      <w:r>
        <w:t xml:space="preserve"> </w:t>
      </w:r>
      <w:r>
        <w:t xml:space="preserve">47.869</w:t>
      </w:r>
      <w:r>
        <w:t xml:space="preserve"> </w:t>
      </w:r>
      <w:r>
        <w:t xml:space="preserve">€</w:t>
      </w:r>
      <w:r>
        <w:t xml:space="preserve"> </w:t>
      </w:r>
      <w:r>
        <w:t xml:space="preserve">5.166</w:t>
      </w:r>
      <w:r>
        <w:t xml:space="preserve"> </w:t>
      </w:r>
      <w:r>
        <w:t xml:space="preserve">€</w:t>
      </w:r>
      <w:r>
        <w:t xml:space="preserve"> </w:t>
      </w:r>
      <w:r>
        <w:t xml:space="preserve">2.583</w:t>
      </w:r>
      <w:r>
        <w:t xml:space="preserve"> </w:t>
      </w:r>
      <w:r>
        <w:t xml:space="preserve">€</w:t>
      </w:r>
      <w:r>
        <w:t xml:space="preserve"> </w:t>
      </w:r>
      <w:r>
        <w:t xml:space="preserve">12.91</w:t>
      </w:r>
      <w:r>
        <w:t xml:space="preserve"> </w:t>
      </w:r>
      <w:r>
        <w:t xml:space="preserve">5 €</w:t>
      </w:r>
      <w:r>
        <w:t xml:space="preserve"> </w:t>
      </w:r>
      <w:r>
        <w:t xml:space="preserve">2.37</w:t>
      </w:r>
      <w:r>
        <w:t xml:space="preserve"> </w:t>
      </w:r>
      <w:r>
        <w:t xml:space="preserve">7 €</w:t>
      </w:r>
      <w:r>
        <w:t xml:space="preserve"> </w:t>
      </w:r>
      <w:r>
        <w:t xml:space="preserve">2.74</w:t>
      </w:r>
      <w:r>
        <w:t xml:space="preserve"> </w:t>
      </w:r>
      <w:r>
        <w:t xml:space="preserve">2 €</w:t>
      </w:r>
      <w:r>
        <w:t xml:space="preserve"> </w:t>
      </w:r>
      <w:r>
        <w:t xml:space="preserve">57.99</w:t>
      </w:r>
      <w:r>
        <w:t xml:space="preserve"> </w:t>
      </w:r>
      <w:r>
        <w:t xml:space="preserve">5 €</w:t>
      </w:r>
      <w:r>
        <w:t xml:space="preserve"> </w:t>
      </w:r>
      <w:r>
        <w:t xml:space="preserve">68.692 €</w:t>
      </w:r>
    </w:p>
    <w:p>
      <w:pPr>
        <w:pStyle w:val="Compact"/>
        <w:numPr>
          <w:ilvl w:val="0"/>
          <w:numId w:val="1040"/>
        </w:numPr>
      </w:pPr>
      <w:r>
        <w:t xml:space="preserve">United Kingdom</w:t>
      </w:r>
      <w:r>
        <w:t xml:space="preserve"> </w:t>
      </w:r>
      <w:r>
        <w:t xml:space="preserve">For the purposes of this extrapolation, the UK costs estimates (in the relevant market</w:t>
      </w:r>
      <w:r>
        <w:t xml:space="preserve"> </w:t>
      </w:r>
      <w:r>
        <w:t xml:space="preserve">segments as identified by the FCA) have been applied to licensed investment firms,</w:t>
      </w:r>
      <w:r>
        <w:t xml:space="preserve"> </w:t>
      </w:r>
      <w:r>
        <w:t xml:space="preserve">insurance undertakings and insurance intermediaries in the EU. The over- and under-</w:t>
      </w:r>
      <w:r>
        <w:t xml:space="preserve"> </w:t>
      </w:r>
      <w:r>
        <w:t xml:space="preserve">estimations that were signalled in the post-RDR review undertaken in 2014 by Europe</w:t>
      </w:r>
      <w:r>
        <w:t xml:space="preserve"> </w:t>
      </w:r>
      <w:r>
        <w:t xml:space="preserve">Economics have been taken into account. These extrapolations are provided for illustration</w:t>
      </w:r>
      <w:r>
        <w:t xml:space="preserve"> </w:t>
      </w:r>
      <w:r>
        <w:t xml:space="preserve">purposes and rely on a series of assumptions and caveats (further explained in the</w:t>
      </w:r>
      <w:r>
        <w:t xml:space="preserve"> </w:t>
      </w:r>
      <w:r>
        <w:t xml:space="preserve">paragraphs below). Information and data on the number of firms in the EU were in some</w:t>
      </w:r>
      <w:r>
        <w:t xml:space="preserve"> </w:t>
      </w:r>
      <w:r>
        <w:t xml:space="preserve">cases limited to Euro area firms. In order to extrapolate cost estimates for the rest of the</w:t>
      </w:r>
      <w:r>
        <w:t xml:space="preserve"> </w:t>
      </w:r>
      <w:r>
        <w:t xml:space="preserve">EU (i.e. the EU-26, excluding the Netherlands), results were multiplied by a scale factor</w:t>
      </w:r>
      <w:r>
        <w:t xml:space="preserve"> </w:t>
      </w:r>
      <w:r>
        <w:t xml:space="preserve">of 1.25, which broadly reflects the size of the MiFID retail market in the missing countries.</w:t>
      </w:r>
      <w:r>
        <w:br/>
      </w:r>
      <w:r>
        <w:t xml:space="preserve">The ban on inducements in the UK was introduced as part of a broader set of measures</w:t>
      </w:r>
      <w:r>
        <w:t xml:space="preserve"> </w:t>
      </w:r>
      <w:r>
        <w:t xml:space="preserve">prior to the implementation of MiFID II and IDD. The FSA’s cost estimates also include</w:t>
      </w:r>
      <w:r>
        <w:t xml:space="preserve"> </w:t>
      </w:r>
      <w:r>
        <w:t xml:space="preserve">other measures which are irrelevant in the context of a ban on inducements (e.g. </w:t>
      </w:r>
      <w:r>
        <w:t xml:space="preserve"> </w:t>
      </w:r>
      <w:r>
        <w:t xml:space="preserve">professional qualifications requirements) or that have in part already been implemented in</w:t>
      </w:r>
      <w:r>
        <w:t xml:space="preserve"> </w:t>
      </w:r>
      <w:r>
        <w:t xml:space="preserve">the EU through previous legislation (e.g. certain disclosure obligations). Considering the</w:t>
      </w:r>
      <w:r>
        <w:t xml:space="preserve"> </w:t>
      </w:r>
      <w:r>
        <w:t xml:space="preserve">broader scope of the RDR and reflecting current conditions, several cost drivers included</w:t>
      </w:r>
      <w:r>
        <w:t xml:space="preserve"> </w:t>
      </w:r>
      <w:r>
        <w:t xml:space="preserve">in the FCA estimates have been discarded or only partially taken into account:</w:t>
      </w:r>
      <w:r>
        <w:br/>
      </w:r>
      <w:r>
        <w:t xml:space="preserve"> Professional qualifications: the RDR reform set out qualifications requirements</w:t>
      </w:r>
      <w:r>
        <w:t xml:space="preserve"> </w:t>
      </w:r>
      <w:r>
        <w:t xml:space="preserve">which were also part of the cost estimates. These costs are excluded from the</w:t>
      </w:r>
      <w:r>
        <w:t xml:space="preserve"> </w:t>
      </w:r>
      <w:r>
        <w:t xml:space="preserve">extrapolation.</w:t>
      </w:r>
    </w:p>
    <w:p>
      <w:pPr>
        <w:pStyle w:val="FirstParagraph"/>
      </w:pPr>
      <w:r>
        <w:t xml:space="preserve"> ICT costs: ICT systems costs were estimated to be on the higher end in 2010, however,</w:t>
      </w:r>
      <w:r>
        <w:t xml:space="preserve"> </w:t>
      </w:r>
      <w:r>
        <w:t xml:space="preserve">in today’s context those estimates do not necessarily reflect market realities after a</w:t>
      </w:r>
      <w:r>
        <w:t xml:space="preserve"> </w:t>
      </w:r>
      <w:r>
        <w:t xml:space="preserve">decade of digital transformation by the industry. Against this background, a haircut of</w:t>
      </w:r>
      <w:r>
        <w:t xml:space="preserve"> </w:t>
      </w:r>
      <w:r>
        <w:t xml:space="preserve">50% is applied with respect to all system costs.</w:t>
      </w:r>
    </w:p>
    <w:p>
      <w:pPr>
        <w:pStyle w:val="BodyText"/>
      </w:pPr>
      <w:r>
        <w:t xml:space="preserve"> Ongoing costs: A fair part of the described ongoing costs would apply equally in</w:t>
      </w:r>
      <w:r>
        <w:t xml:space="preserve"> </w:t>
      </w:r>
      <w:r>
        <w:t xml:space="preserve">environment where inducement would be allowed and can be considered to be part of</w:t>
      </w:r>
      <w:r>
        <w:t xml:space="preserve"> </w:t>
      </w:r>
      <w:r>
        <w:t xml:space="preserve">a firm’s overheads in business as usual (e.g. product diligence costs, ongoing client</w:t>
      </w:r>
      <w:r>
        <w:t xml:space="preserve"> </w:t>
      </w:r>
      <w:r>
        <w:t xml:space="preserve">communication and the update of new documents and IT systems). Furthermore, most</w:t>
      </w:r>
      <w:r>
        <w:t xml:space="preserve"> </w:t>
      </w:r>
      <w:r>
        <w:t xml:space="preserve">disclosure related compliance obligations already came into effect with MiFID II and</w:t>
      </w:r>
      <w:r>
        <w:t xml:space="preserve"> </w:t>
      </w:r>
      <w:r>
        <w:t xml:space="preserve">IDD. In consequence, ongoing cost as per the FSA approach are disregarded from the</w:t>
      </w:r>
      <w:r>
        <w:t xml:space="preserve"> </w:t>
      </w:r>
      <w:r>
        <w:t xml:space="preserve">analysis as they are deemed not to represent incremental costs.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The table below summarizes the main results of the extrapolation of cost estimates for the</w:t>
      </w:r>
      <w:r>
        <w:t xml:space="preserve"> </w:t>
      </w:r>
      <w:r>
        <w:t xml:space="preserve">EU-26. The details of the calculations across the various segments are presented in the</w:t>
      </w:r>
      <w:r>
        <w:t xml:space="preserve"> </w:t>
      </w:r>
      <w:r>
        <w:t xml:space="preserve">following parts.</w:t>
      </w:r>
      <w:r>
        <w:t xml:space="preserve"> </w:t>
      </w:r>
      <w:r>
        <w:t xml:space="preserve">Type</w:t>
      </w:r>
      <w:r>
        <w:t xml:space="preserve"> </w:t>
      </w:r>
      <w:r>
        <w:t xml:space="preserve">Segmentation</w:t>
      </w:r>
      <w:r>
        <w:t xml:space="preserve"> </w:t>
      </w:r>
      <w:r>
        <w:t xml:space="preserve">EU-26 costs (million)</w:t>
      </w:r>
      <w:r>
        <w:t xml:space="preserve"> </w:t>
      </w:r>
      <w:r>
        <w:t xml:space="preserve">Intermediaries</w:t>
      </w:r>
      <w:r>
        <w:br/>
      </w:r>
      <w:r>
        <w:t xml:space="preserve">Banks</w:t>
      </w:r>
      <w:r>
        <w:t xml:space="preserve"> </w:t>
      </w:r>
      <w:r>
        <w:t xml:space="preserve">372 €</w:t>
      </w:r>
      <w:r>
        <w:t xml:space="preserve"> </w:t>
      </w:r>
      <w:r>
        <w:t xml:space="preserve">Stockbrokers</w:t>
      </w:r>
      <w:r>
        <w:t xml:space="preserve"> </w:t>
      </w:r>
      <w:r>
        <w:t xml:space="preserve">48 €</w:t>
      </w:r>
      <w:r>
        <w:t xml:space="preserve"> </w:t>
      </w:r>
      <w:r>
        <w:t xml:space="preserve">Financial advisors</w:t>
      </w:r>
      <w:r>
        <w:t xml:space="preserve"> </w:t>
      </w:r>
      <w:r>
        <w:t xml:space="preserve">3,231 €</w:t>
      </w:r>
      <w:r>
        <w:t xml:space="preserve"> </w:t>
      </w:r>
      <w:r>
        <w:t xml:space="preserve">Providers</w:t>
      </w:r>
      <w:r>
        <w:t xml:space="preserve"> </w:t>
      </w:r>
      <w:r>
        <w:t xml:space="preserve">Insurance undertakings</w:t>
      </w:r>
      <w:r>
        <w:t xml:space="preserve"> </w:t>
      </w:r>
      <w:r>
        <w:t xml:space="preserve">2,986 €</w:t>
      </w:r>
      <w:r>
        <w:t xml:space="preserve"> </w:t>
      </w:r>
      <w:r>
        <w:t xml:space="preserve">Asset managers</w:t>
      </w:r>
      <w:r>
        <w:t xml:space="preserve"> </w:t>
      </w:r>
      <w:r>
        <w:t xml:space="preserve">7,273 €</w:t>
      </w:r>
      <w:r>
        <w:t xml:space="preserve"> </w:t>
      </w:r>
      <w:r>
        <w:t xml:space="preserve">8,399 €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13,910 €</w:t>
      </w:r>
      <w:r>
        <w:t xml:space="preserve"> </w:t>
      </w:r>
      <w:r>
        <w:t xml:space="preserve">15,036 €</w:t>
      </w:r>
    </w:p>
    <w:p>
      <w:pPr>
        <w:pStyle w:val="BodyText"/>
      </w:pPr>
      <w:r>
        <w:t xml:space="preserve">EU intermediaries</w:t>
      </w:r>
      <w:r>
        <w:t xml:space="preserve"> </w:t>
      </w:r>
      <w:r>
        <w:t xml:space="preserve">1) Banks</w:t>
      </w:r>
      <w:r>
        <w:t xml:space="preserve"> </w:t>
      </w:r>
      <w:r>
        <w:t xml:space="preserve">The population of banks comprises all directly and indirectly supervised entities by the</w:t>
      </w:r>
      <w:r>
        <w:t xml:space="preserve"> </w:t>
      </w:r>
      <w:r>
        <w:t xml:space="preserve">SSM that hold a MiFID license for investment advice. While there are 346 credit</w:t>
      </w:r>
      <w:r>
        <w:t xml:space="preserve"> </w:t>
      </w:r>
      <w:r>
        <w:t xml:space="preserve">institutions offering advice that are deemed significant in terms of their size and risk, the</w:t>
      </w:r>
      <w:r>
        <w:t xml:space="preserve"> </w:t>
      </w:r>
      <w:r>
        <w:t xml:space="preserve">vast majority of credit institutions in the population are so-called less-significant</w:t>
      </w:r>
      <w:r>
        <w:t xml:space="preserve"> </w:t>
      </w:r>
      <w:r>
        <w:t xml:space="preserve">institutions (1,418 firms).</w:t>
      </w:r>
      <w:r>
        <w:br/>
      </w:r>
      <w:r>
        <w:t xml:space="preserve">The extrapolation is based on the UK cost estimates of an average bank (arithmetic mean),</w:t>
      </w:r>
      <w:r>
        <w:t xml:space="preserve"> </w:t>
      </w:r>
      <w:r>
        <w:t xml:space="preserve">which is applied over 346 significant institutions in the EU-26. The average costs reflect</w:t>
      </w:r>
      <w:r>
        <w:t xml:space="preserve"> </w:t>
      </w:r>
      <w:r>
        <w:t xml:space="preserve">the post RDR review (i.e. certain under- and over-estimations) and exclude professional</w:t>
      </w:r>
      <w:r>
        <w:t xml:space="preserve"> </w:t>
      </w:r>
      <w:r>
        <w:t xml:space="preserve">qualifications costs as well as certain ICT charges as described further above.</w:t>
      </w:r>
      <w:r>
        <w:t xml:space="preserve"> </w:t>
      </w:r>
      <w:r>
        <w:t xml:space="preserve">Below table summarizes the cost extrapolation for the euro area (significant banks),</w:t>
      </w:r>
      <w:r>
        <w:t xml:space="preserve"> </w:t>
      </w:r>
      <w:r>
        <w:t xml:space="preserve">excluding the NL, and an estimation of expected costs in the EU-26.</w:t>
      </w:r>
      <w:r>
        <w:br/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bank</w:t>
      </w:r>
      <w:r>
        <w:t xml:space="preserve"> </w:t>
      </w:r>
      <w:r>
        <w:t xml:space="preserve">Euro Area, excl. NL</w:t>
      </w:r>
      <w:r>
        <w:t xml:space="preserve"> </w:t>
      </w:r>
      <w:r>
        <w:t xml:space="preserve">EU-26</w:t>
      </w:r>
      <w:r>
        <w:t xml:space="preserve"> </w:t>
      </w:r>
      <w:r>
        <w:t xml:space="preserve">EUR 860.000</w:t>
      </w:r>
      <w:r>
        <w:t xml:space="preserve"> </w:t>
      </w:r>
      <w:r>
        <w:t xml:space="preserve">EUR 298 million =</w:t>
      </w:r>
      <w:r>
        <w:br/>
      </w:r>
      <w:r>
        <w:t xml:space="preserve">0.86 million x 346 banks</w:t>
      </w:r>
      <w:r>
        <w:t xml:space="preserve"> </w:t>
      </w:r>
      <w:r>
        <w:t xml:space="preserve">EUR 372 million =</w:t>
      </w:r>
      <w:r>
        <w:t xml:space="preserve"> </w:t>
      </w:r>
      <w:r>
        <w:t xml:space="preserve">EUR 298 million x 1.25 (scale</w:t>
      </w:r>
      <w:r>
        <w:t xml:space="preserve"> </w:t>
      </w:r>
      <w:r>
        <w:t xml:space="preserve">factor)</w:t>
      </w:r>
    </w:p>
    <w:p>
      <w:pPr>
        <w:pStyle w:val="Compact"/>
        <w:numPr>
          <w:ilvl w:val="0"/>
          <w:numId w:val="1041"/>
        </w:numPr>
      </w:pPr>
      <w:r>
        <w:t xml:space="preserve">Financial advisors</w:t>
      </w:r>
      <w:r>
        <w:t xml:space="preserve"> </w:t>
      </w:r>
      <w:r>
        <w:t xml:space="preserve">The segment of companies providing financial advice in the euro area (excl. NL) covers</w:t>
      </w:r>
      <w:r>
        <w:t xml:space="preserve"> </w:t>
      </w:r>
      <w:r>
        <w:t xml:space="preserve">all MiFID firms (2,428 firms) with a license for offering investment advice that are neither</w:t>
      </w:r>
    </w:p>
    <w:p>
      <w:pPr>
        <w:pStyle w:val="FirstParagraph"/>
      </w:pPr>
      <w:r>
        <w:t xml:space="preserve">170</w:t>
      </w:r>
    </w:p>
    <w:p>
      <w:pPr>
        <w:pStyle w:val="BodyText"/>
      </w:pPr>
      <w:r>
        <w:t xml:space="preserve">banks nor defined as brokers and beyond that includes smaller credit institutions382 that</w:t>
      </w:r>
      <w:r>
        <w:t xml:space="preserve"> </w:t>
      </w:r>
      <w:r>
        <w:t xml:space="preserve">were disregarded from the analysis under point 1. (1,418 LSIs). In addition, 815,000</w:t>
      </w:r>
      <w:r>
        <w:t xml:space="preserve"> </w:t>
      </w:r>
      <w:r>
        <w:t xml:space="preserve">licensed insurance intermediaries in the Union are considered (which is overestimate as</w:t>
      </w:r>
      <w:r>
        <w:t xml:space="preserve"> </w:t>
      </w:r>
      <w:r>
        <w:t xml:space="preserve">the number also would cover intermediaries in the NL).</w:t>
      </w:r>
      <w:r>
        <w:br/>
      </w:r>
      <w:r>
        <w:t xml:space="preserve">In terms of firm-level cost estimates, a simple average between the compliance costs of a</w:t>
      </w:r>
      <w:r>
        <w:t xml:space="preserve"> </w:t>
      </w:r>
      <w:r>
        <w:t xml:space="preserve">commission-based directly authorised (DA) financial advisory firm and an appointed</w:t>
      </w:r>
      <w:r>
        <w:t xml:space="preserve"> </w:t>
      </w:r>
      <w:r>
        <w:t xml:space="preserve">representative (AR) financial advisory firm is taken. Firms are categorised into three size</w:t>
      </w:r>
      <w:r>
        <w:t xml:space="preserve"> </w:t>
      </w:r>
      <w:r>
        <w:t xml:space="preserve">bands (small: 1 - 3 advisors, medium: 4 - 19 advisors and large: 20 and more advisors.</w:t>
      </w:r>
    </w:p>
    <w:p>
      <w:pPr>
        <w:pStyle w:val="BodyText"/>
      </w:pP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DA financial advisors</w:t>
      </w:r>
      <w:r>
        <w:t xml:space="preserve"> </w:t>
      </w:r>
      <w:r>
        <w:t xml:space="preserve">EUR 4,194</w:t>
      </w:r>
      <w:r>
        <w:t xml:space="preserve"> </w:t>
      </w:r>
      <w:r>
        <w:t xml:space="preserve">EUR 10,543</w:t>
      </w:r>
      <w:r>
        <w:t xml:space="preserve"> </w:t>
      </w:r>
      <w:r>
        <w:t xml:space="preserve">EUR 47,125</w:t>
      </w:r>
      <w:r>
        <w:t xml:space="preserve"> </w:t>
      </w:r>
      <w:r>
        <w:t xml:space="preserve">AR financial advisors</w:t>
      </w:r>
      <w:r>
        <w:t xml:space="preserve"> </w:t>
      </w:r>
      <w:r>
        <w:t xml:space="preserve">EUR 3,513</w:t>
      </w:r>
      <w:r>
        <w:t xml:space="preserve"> </w:t>
      </w:r>
      <w:r>
        <w:t xml:space="preserve">EUR 9,378</w:t>
      </w:r>
      <w:r>
        <w:t xml:space="preserve"> </w:t>
      </w:r>
      <w:r>
        <w:t xml:space="preserve">EUR 47,125</w:t>
      </w:r>
      <w:r>
        <w:t xml:space="preserve"> </w:t>
      </w:r>
      <w:r>
        <w:t xml:space="preserve">Average</w:t>
      </w:r>
      <w:r>
        <w:t xml:space="preserve"> </w:t>
      </w:r>
      <w:r>
        <w:t xml:space="preserve">EUR 3,853</w:t>
      </w:r>
      <w:r>
        <w:t xml:space="preserve"> </w:t>
      </w:r>
      <w:r>
        <w:t xml:space="preserve">EUR 9,961</w:t>
      </w:r>
      <w:r>
        <w:t xml:space="preserve"> </w:t>
      </w:r>
      <w:r>
        <w:t xml:space="preserve">EUR 47,125</w:t>
      </w:r>
    </w:p>
    <w:p>
      <w:pPr>
        <w:pStyle w:val="BodyText"/>
      </w:pPr>
      <w:r>
        <w:t xml:space="preserve">For the purpose of extrapolating the cost estimates to EU-26 level, a scale factor of 1.25 is</w:t>
      </w:r>
      <w:r>
        <w:t xml:space="preserve"> </w:t>
      </w:r>
      <w:r>
        <w:t xml:space="preserve">applied to the number of MiFID investment advisors and smaller credit institutions (LSIs)</w:t>
      </w:r>
      <w:r>
        <w:t xml:space="preserve"> </w:t>
      </w:r>
      <w:r>
        <w:t xml:space="preserve">in the euro area, while selecting respectively the medium category and large category to</w:t>
      </w:r>
      <w:r>
        <w:t xml:space="preserve"> </w:t>
      </w:r>
      <w:r>
        <w:t xml:space="preserve">quantify total costs. Concerning the insurance sector, the smallest cost category is used for</w:t>
      </w:r>
      <w:r>
        <w:t xml:space="preserve"> </w:t>
      </w:r>
      <w:r>
        <w:t xml:space="preserve">reference, acknowledging the circumstance that more than 50% of the IDD universe are</w:t>
      </w:r>
      <w:r>
        <w:t xml:space="preserve"> </w:t>
      </w:r>
      <w:r>
        <w:t xml:space="preserve">one-person businesses.</w:t>
      </w:r>
      <w:r>
        <w:br/>
      </w:r>
      <w:r>
        <w:t xml:space="preserve">Type of advisor</w:t>
      </w:r>
      <w:r>
        <w:t xml:space="preserve"> </w:t>
      </w:r>
      <w:r>
        <w:t xml:space="preserve">Average cost per firm</w:t>
      </w:r>
      <w:r>
        <w:t xml:space="preserve"> </w:t>
      </w:r>
      <w:r>
        <w:t xml:space="preserve">Costs EU-26</w:t>
      </w:r>
      <w:r>
        <w:t xml:space="preserve"> </w:t>
      </w:r>
      <w:r>
        <w:t xml:space="preserve">Firm</w:t>
      </w:r>
      <w:r>
        <w:t xml:space="preserve"> </w:t>
      </w:r>
      <w:r>
        <w:t xml:space="preserve">providing</w:t>
      </w:r>
      <w:r>
        <w:t xml:space="preserve"> </w:t>
      </w:r>
      <w:r>
        <w:t xml:space="preserve">investment advisory</w:t>
      </w:r>
      <w:r>
        <w:t xml:space="preserve"> </w:t>
      </w:r>
      <w:r>
        <w:t xml:space="preserve">EUR 9,961</w:t>
      </w:r>
      <w:r>
        <w:t xml:space="preserve"> </w:t>
      </w:r>
      <w:r>
        <w:t xml:space="preserve">(Medium advisory firm)</w:t>
      </w:r>
      <w:r>
        <w:t xml:space="preserve"> </w:t>
      </w:r>
      <w:r>
        <w:t xml:space="preserve">EUR 24 million</w:t>
      </w:r>
      <w:r>
        <w:t xml:space="preserve"> </w:t>
      </w:r>
      <w:r>
        <w:t xml:space="preserve">=</w:t>
      </w:r>
      <w:r>
        <w:t xml:space="preserve"> </w:t>
      </w:r>
      <w:r>
        <w:t xml:space="preserve">EUR 9,961 x 2,428 firms</w:t>
      </w:r>
      <w:r>
        <w:t xml:space="preserve"> </w:t>
      </w:r>
      <w:r>
        <w:t xml:space="preserve">Less significant credit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EUR 47,125</w:t>
      </w:r>
      <w:r>
        <w:t xml:space="preserve"> </w:t>
      </w:r>
      <w:r>
        <w:t xml:space="preserve">(large advisory firm)</w:t>
      </w:r>
      <w:r>
        <w:t xml:space="preserve"> </w:t>
      </w:r>
      <w:r>
        <w:t xml:space="preserve">EUR 67 million</w:t>
      </w:r>
      <w:r>
        <w:t xml:space="preserve"> </w:t>
      </w:r>
      <w:r>
        <w:t xml:space="preserve">=</w:t>
      </w:r>
      <w:r>
        <w:t xml:space="preserve"> </w:t>
      </w:r>
      <w:r>
        <w:t xml:space="preserve">EUR 47,125 x 1,418 firms</w:t>
      </w:r>
      <w:r>
        <w:t xml:space="preserve"> </w:t>
      </w:r>
      <w:r>
        <w:t xml:space="preserve">Insurance</w:t>
      </w:r>
      <w:r>
        <w:t xml:space="preserve"> </w:t>
      </w:r>
      <w:r>
        <w:t xml:space="preserve">intermediary</w:t>
      </w:r>
      <w:r>
        <w:t xml:space="preserve"> </w:t>
      </w:r>
      <w:r>
        <w:t xml:space="preserve">EUR 3,853</w:t>
      </w:r>
      <w:r>
        <w:t xml:space="preserve"> </w:t>
      </w:r>
      <w:r>
        <w:t xml:space="preserve">(small advisory firm)</w:t>
      </w:r>
      <w:r>
        <w:t xml:space="preserve"> </w:t>
      </w:r>
      <w:r>
        <w:t xml:space="preserve">EUR 3,140 million</w:t>
      </w:r>
      <w:r>
        <w:t xml:space="preserve"> </w:t>
      </w:r>
      <w:r>
        <w:t xml:space="preserve">=</w:t>
      </w:r>
      <w:r>
        <w:t xml:space="preserve"> </w:t>
      </w:r>
      <w:r>
        <w:t xml:space="preserve">EUR 3,853 x 815,000 firms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EUR 3,231 million</w:t>
      </w:r>
    </w:p>
    <w:p>
      <w:pPr>
        <w:pStyle w:val="Compact"/>
        <w:numPr>
          <w:ilvl w:val="0"/>
          <w:numId w:val="1042"/>
        </w:numPr>
      </w:pPr>
      <w:r>
        <w:t xml:space="preserve">Stockbrokers</w:t>
      </w:r>
      <w:r>
        <w:t xml:space="preserve"> </w:t>
      </w:r>
      <w:r>
        <w:t xml:space="preserve">Brokers are defined as MiFID firms with a license for the receipt and transmission of</w:t>
      </w:r>
      <w:r>
        <w:t xml:space="preserve"> </w:t>
      </w:r>
      <w:r>
        <w:t xml:space="preserve">clients’ orders or the execution of orders, but who do not offer investment advice to clients.</w:t>
      </w:r>
      <w:r>
        <w:t xml:space="preserve"> </w:t>
      </w:r>
      <w:r>
        <w:t xml:space="preserve">The population in the euro area (excluding NL) is estimated to be 427 firms.</w:t>
      </w:r>
      <w:r>
        <w:t xml:space="preserve"> </w:t>
      </w:r>
      <w:r>
        <w:t xml:space="preserve">The extrapolation is based on the UK cost estimates of an average stockbroker (arithmetic</w:t>
      </w:r>
      <w:r>
        <w:t xml:space="preserve"> </w:t>
      </w:r>
      <w:r>
        <w:t xml:space="preserve">mean), which is applied over 427 companies that offer brokerage services in the EU-26.</w:t>
      </w:r>
      <w:r>
        <w:t xml:space="preserve"> </w:t>
      </w:r>
      <w:r>
        <w:t xml:space="preserve">The average costs take into account the post RDR review (i.e. certain under- and over-</w:t>
      </w:r>
    </w:p>
    <w:p>
      <w:pPr>
        <w:pStyle w:val="FirstParagraph"/>
      </w:pPr>
      <w:r>
        <w:t xml:space="preserve">382 They are taken into account in the category of financial advisors (rather than in the previous category of</w:t>
      </w:r>
      <w:r>
        <w:t xml:space="preserve"> </w:t>
      </w:r>
      <w:r>
        <w:t xml:space="preserve">banks) because their compliance costs are expected to be closer to those of large financial advisors rather than</w:t>
      </w:r>
      <w:r>
        <w:t xml:space="preserve"> </w:t>
      </w:r>
      <w:r>
        <w:t xml:space="preserve">significant banks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estimations) and exclude professional qualifications costs as well as certain ICT charges</w:t>
      </w:r>
      <w:r>
        <w:t xml:space="preserve"> </w:t>
      </w:r>
      <w:r>
        <w:t xml:space="preserve">as described further above.</w:t>
      </w:r>
      <w:r>
        <w:t xml:space="preserve"> </w:t>
      </w:r>
      <w:r>
        <w:t xml:space="preserve">Below table summarizes the cost extrapolation for the euro area, excluding the NL and</w:t>
      </w:r>
      <w:r>
        <w:t xml:space="preserve"> </w:t>
      </w:r>
      <w:r>
        <w:t xml:space="preserve">EU-26.</w:t>
      </w:r>
      <w:r>
        <w:br/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brokerage firm</w:t>
      </w:r>
      <w:r>
        <w:t xml:space="preserve"> </w:t>
      </w:r>
      <w:r>
        <w:t xml:space="preserve">Euro Area, excl. NL</w:t>
      </w:r>
      <w:r>
        <w:t xml:space="preserve"> </w:t>
      </w:r>
      <w:r>
        <w:t xml:space="preserve">EU-26</w:t>
      </w:r>
      <w:r>
        <w:t xml:space="preserve"> </w:t>
      </w:r>
      <w:r>
        <w:t xml:space="preserve">EUR 89,600</w:t>
      </w:r>
      <w:r>
        <w:t xml:space="preserve"> </w:t>
      </w:r>
      <w:r>
        <w:t xml:space="preserve">EUR 38 million =</w:t>
      </w:r>
      <w:r>
        <w:br/>
      </w:r>
      <w:r>
        <w:t xml:space="preserve">89,600 x 427 firms</w:t>
      </w:r>
      <w:r>
        <w:t xml:space="preserve"> </w:t>
      </w:r>
      <w:r>
        <w:t xml:space="preserve">EUR 48 million =</w:t>
      </w:r>
      <w:r>
        <w:t xml:space="preserve"> </w:t>
      </w:r>
      <w:r>
        <w:t xml:space="preserve">EUR 38 million x 1.25 (scale</w:t>
      </w:r>
      <w:r>
        <w:t xml:space="preserve"> </w:t>
      </w:r>
      <w:r>
        <w:t xml:space="preserve">factor)</w:t>
      </w:r>
    </w:p>
    <w:p>
      <w:pPr>
        <w:pStyle w:val="BodyText"/>
      </w:pPr>
      <w:r>
        <w:t xml:space="preserve">EU provider firms</w:t>
      </w:r>
      <w:r>
        <w:t xml:space="preserve"> </w:t>
      </w:r>
      <w:r>
        <w:t xml:space="preserve">4) Insurance companies</w:t>
      </w:r>
      <w:r>
        <w:t xml:space="preserve"> </w:t>
      </w:r>
      <w:r>
        <w:t xml:space="preserve">The segment of insurance companies consists of insurance undertakings that write unit-</w:t>
      </w:r>
      <w:r>
        <w:t xml:space="preserve"> </w:t>
      </w:r>
      <w:r>
        <w:t xml:space="preserve">linked products, profit participation products or undertakings that sell both types of</w:t>
      </w:r>
      <w:r>
        <w:t xml:space="preserve"> </w:t>
      </w:r>
      <w:r>
        <w:t xml:space="preserve">products. The population of these insurers is comprised of approximately 552 firms in the</w:t>
      </w:r>
      <w:r>
        <w:t xml:space="preserve"> </w:t>
      </w:r>
      <w:r>
        <w:t xml:space="preserve">EU-26.</w:t>
      </w:r>
      <w:r>
        <w:t xml:space="preserve"> </w:t>
      </w:r>
      <w:r>
        <w:t xml:space="preserve">For the purpose of extrapolating, the median cost estimates for a medium size insurance</w:t>
      </w:r>
      <w:r>
        <w:t xml:space="preserve"> </w:t>
      </w:r>
      <w:r>
        <w:t xml:space="preserve">company is selected, subject to deducting half of ICT related charges and accounting for</w:t>
      </w:r>
      <w:r>
        <w:t xml:space="preserve"> </w:t>
      </w:r>
      <w:r>
        <w:t xml:space="preserve">the post RDR review.</w:t>
      </w:r>
      <w:r>
        <w:br/>
      </w:r>
      <w:r>
        <w:t xml:space="preserve">Below table summarizes the cost extrapolation for the EU-26 with regard to insurance</w:t>
      </w:r>
      <w:r>
        <w:t xml:space="preserve"> </w:t>
      </w:r>
      <w:r>
        <w:t xml:space="preserve">undertaking offering IBIPs.</w:t>
      </w:r>
      <w:r>
        <w:br/>
      </w:r>
      <w:r>
        <w:t xml:space="preserve">Number of insurance</w:t>
      </w:r>
      <w:r>
        <w:t xml:space="preserve"> </w:t>
      </w:r>
      <w:r>
        <w:t xml:space="preserve">undertakings</w:t>
      </w:r>
      <w:r>
        <w:t xml:space="preserve"> </w:t>
      </w:r>
      <w:r>
        <w:t xml:space="preserve">Expected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medium size insurer</w:t>
      </w:r>
      <w:r>
        <w:br/>
      </w:r>
      <w:r>
        <w:t xml:space="preserve">Costs EU-26</w:t>
      </w:r>
      <w:r>
        <w:t xml:space="preserve"> </w:t>
      </w:r>
      <w:r>
        <w:t xml:space="preserve">552</w:t>
      </w:r>
      <w:r>
        <w:t xml:space="preserve"> </w:t>
      </w:r>
      <w:r>
        <w:t xml:space="preserve">EUR 5.41 million</w:t>
      </w:r>
      <w:r>
        <w:t xml:space="preserve"> </w:t>
      </w:r>
      <w:r>
        <w:t xml:space="preserve">EUR 2,986 million</w:t>
      </w:r>
    </w:p>
    <w:p>
      <w:pPr>
        <w:pStyle w:val="Compact"/>
        <w:numPr>
          <w:ilvl w:val="0"/>
          <w:numId w:val="1043"/>
        </w:numPr>
      </w:pPr>
      <w:r>
        <w:t xml:space="preserve">Asset managers</w:t>
      </w:r>
      <w:r>
        <w:t xml:space="preserve"> </w:t>
      </w:r>
      <w:r>
        <w:t xml:space="preserve">The segment of asset managers is being defined as UCITS management companies and</w:t>
      </w:r>
      <w:r>
        <w:t xml:space="preserve"> </w:t>
      </w:r>
      <w:r>
        <w:t xml:space="preserve">Alternative Investment Fund Managers. As UCITS typically are retail oriented, we are</w:t>
      </w:r>
      <w:r>
        <w:t xml:space="preserve"> </w:t>
      </w:r>
      <w:r>
        <w:t xml:space="preserve">taking all asset managers into account, therefore overestimating the potential effect.</w:t>
      </w:r>
      <w:r>
        <w:t xml:space="preserve"> </w:t>
      </w:r>
      <w:r>
        <w:t xml:space="preserve">Alternative Investment Funds are offered mainly to professional clients and to account for</w:t>
      </w:r>
      <w:r>
        <w:t xml:space="preserve"> </w:t>
      </w:r>
      <w:r>
        <w:t xml:space="preserve">this segmentation, not the full population but a range of 15-25% is applied to determine</w:t>
      </w:r>
      <w:r>
        <w:t xml:space="preserve"> </w:t>
      </w:r>
      <w:r>
        <w:t xml:space="preserve">the relevant market of AIFs.</w:t>
      </w:r>
      <w:r>
        <w:br/>
      </w:r>
      <w:r>
        <w:t xml:space="preserve">In terms of firm level costs, the median cost estimates for a medium size asset manager is</w:t>
      </w:r>
      <w:r>
        <w:t xml:space="preserve"> </w:t>
      </w:r>
      <w:r>
        <w:t xml:space="preserve">selected, subject to deducting half of ICT related charges and accounting for the findings</w:t>
      </w:r>
      <w:r>
        <w:t xml:space="preserve"> </w:t>
      </w:r>
      <w:r>
        <w:t xml:space="preserve">of the post RDR review.</w:t>
      </w:r>
      <w:r>
        <w:br/>
      </w:r>
      <w:r>
        <w:t xml:space="preserve">Below table summarizes the cost extrapolation for EU-26 with regard to asset managers.</w:t>
      </w:r>
    </w:p>
    <w:p>
      <w:pPr>
        <w:pStyle w:val="FirstParagraph"/>
      </w:pPr>
      <w:r>
        <w:t xml:space="preserve">172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asset</w:t>
      </w:r>
      <w:r>
        <w:t xml:space="preserve"> </w:t>
      </w:r>
      <w:r>
        <w:t xml:space="preserve">management firm</w:t>
      </w:r>
      <w:r>
        <w:t xml:space="preserve"> </w:t>
      </w:r>
      <w:r>
        <w:t xml:space="preserve">Expected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medium size asset manager</w:t>
      </w:r>
      <w:r>
        <w:br/>
      </w:r>
      <w:r>
        <w:t xml:space="preserve">Costs EU-26</w:t>
      </w:r>
      <w:r>
        <w:t xml:space="preserve"> </w:t>
      </w:r>
      <w:r>
        <w:t xml:space="preserve">1,318 UCITS MC</w:t>
      </w:r>
      <w:r>
        <w:t xml:space="preserve"> </w:t>
      </w:r>
      <w:r>
        <w:t xml:space="preserve">EUR 4.25 million</w:t>
      </w:r>
      <w:r>
        <w:t xml:space="preserve"> </w:t>
      </w:r>
      <w:r>
        <w:t xml:space="preserve">EUR 5,602 million</w:t>
      </w:r>
      <w:r>
        <w:t xml:space="preserve"> </w:t>
      </w:r>
      <w:r>
        <w:t xml:space="preserve">394 – 657 AIFs</w:t>
      </w:r>
      <w:r>
        <w:t xml:space="preserve"> </w:t>
      </w:r>
      <w:r>
        <w:t xml:space="preserve">EUR 1,671 million – 2,797 million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EUR 7,273 million – 8,399 million</w:t>
      </w:r>
    </w:p>
    <w:p>
      <w:pPr>
        <w:pStyle w:val="BodyText"/>
      </w:pPr>
      <w:r>
        <w:t xml:space="preserve">PART C2 – Quantification of expected benefits of the ban on inducements</w:t>
      </w:r>
      <w:r>
        <w:t xml:space="preserve"> </w:t>
      </w:r>
      <w:r>
        <w:t xml:space="preserve">This section illustrates in quantitative terms the expected benefits of the ban on</w:t>
      </w:r>
      <w:r>
        <w:t xml:space="preserve"> </w:t>
      </w:r>
      <w:r>
        <w:t xml:space="preserve">inducements, by providing a summary of the benefits calculated by the UK at the time of</w:t>
      </w:r>
      <w:r>
        <w:t xml:space="preserve"> </w:t>
      </w:r>
      <w:r>
        <w:t xml:space="preserve">introduction of the ban, as well as an illustration prepared by the Commission services for</w:t>
      </w:r>
      <w:r>
        <w:t xml:space="preserve"> </w:t>
      </w:r>
      <w:r>
        <w:t xml:space="preserve">the possible benefits in the EU.</w:t>
      </w:r>
      <w:r>
        <w:br/>
      </w:r>
      <w:r>
        <w:t xml:space="preserve">UK</w:t>
      </w:r>
      <w:r>
        <w:t xml:space="preserve"> </w:t>
      </w:r>
      <w:r>
        <w:t xml:space="preserve">The FSA carried out an evaluation of the benefits expected from the ban on inducement.</w:t>
      </w:r>
      <w:r>
        <w:t xml:space="preserve"> </w:t>
      </w:r>
      <w:r>
        <w:t xml:space="preserve">Particular attention was paid to benefits stemming from the potential elimination of</w:t>
      </w:r>
      <w:r>
        <w:t xml:space="preserve"> </w:t>
      </w:r>
      <w:r>
        <w:t xml:space="preserve">consumer detriment as a result of the ban, especially in relation to mis-selling resulting</w:t>
      </w:r>
      <w:r>
        <w:t xml:space="preserve"> </w:t>
      </w:r>
      <w:r>
        <w:t xml:space="preserve">from commission bias. In 2010 the FSA provided an estimate of the detriment to consumers</w:t>
      </w:r>
      <w:r>
        <w:t xml:space="preserve"> </w:t>
      </w:r>
      <w:r>
        <w:t xml:space="preserve">based on a number of mis-selling case examples.</w:t>
      </w:r>
      <w:r>
        <w:br/>
      </w:r>
      <w:r>
        <w:t xml:space="preserve">The following estimates were provided:</w:t>
      </w:r>
      <w:r>
        <w:t xml:space="preserve"> </w:t>
      </w:r>
      <w:r>
        <w:t xml:space="preserve">Example</w:t>
      </w:r>
      <w:r>
        <w:br/>
      </w:r>
      <w:r>
        <w:t xml:space="preserve">Annual Detriment Estimates</w:t>
      </w:r>
    </w:p>
    <w:p>
      <w:pPr>
        <w:pStyle w:val="BodyText"/>
      </w:pPr>
      <w:r>
        <w:t xml:space="preserve">mm GBP (2010 prices)</w:t>
      </w:r>
      <w:r>
        <w:t xml:space="preserve"> </w:t>
      </w:r>
      <w:r>
        <w:t xml:space="preserve">mm EUR (latest price levels)</w:t>
      </w:r>
      <w:r>
        <w:t xml:space="preserve"> </w:t>
      </w:r>
      <w:r>
        <w:t xml:space="preserve">Pension Switching</w:t>
      </w:r>
      <w:r>
        <w:br/>
      </w:r>
      <w:r>
        <w:t xml:space="preserve">£43</w:t>
      </w:r>
      <w:r>
        <w:t xml:space="preserve"> </w:t>
      </w:r>
      <w:r>
        <w:t xml:space="preserve">60 €</w:t>
      </w:r>
      <w:r>
        <w:t xml:space="preserve"> </w:t>
      </w:r>
      <w:r>
        <w:t xml:space="preserve">Unit Trust Market</w:t>
      </w:r>
      <w:r>
        <w:br/>
      </w:r>
      <w:r>
        <w:t xml:space="preserve">£70</w:t>
      </w:r>
      <w:r>
        <w:t xml:space="preserve"> </w:t>
      </w:r>
      <w:r>
        <w:t xml:space="preserve">98 €</w:t>
      </w:r>
      <w:r>
        <w:t xml:space="preserve"> </w:t>
      </w:r>
      <w:r>
        <w:t xml:space="preserve">Investment Bond Market</w:t>
      </w:r>
      <w:r>
        <w:br/>
      </w:r>
      <w:r>
        <w:t xml:space="preserve">£92</w:t>
      </w:r>
      <w:r>
        <w:t xml:space="preserve"> </w:t>
      </w:r>
      <w:r>
        <w:t xml:space="preserve">129 €</w:t>
      </w:r>
      <w:r>
        <w:t xml:space="preserve"> </w:t>
      </w:r>
      <w:r>
        <w:t xml:space="preserve">Personal Pensions</w:t>
      </w:r>
      <w:r>
        <w:br/>
      </w:r>
      <w:r>
        <w:t xml:space="preserve">£18</w:t>
      </w:r>
      <w:r>
        <w:t xml:space="preserve"> </w:t>
      </w:r>
      <w:r>
        <w:t xml:space="preserve">25 €</w:t>
      </w:r>
      <w:r>
        <w:t xml:space="preserve"> </w:t>
      </w:r>
      <w:r>
        <w:t xml:space="preserve">Total:</w:t>
      </w:r>
      <w:r>
        <w:t xml:space="preserve"> </w:t>
      </w:r>
      <w:r>
        <w:t xml:space="preserve">£223</w:t>
      </w:r>
      <w:r>
        <w:t xml:space="preserve"> </w:t>
      </w:r>
      <w:r>
        <w:t xml:space="preserve">314 €</w:t>
      </w:r>
      <w:r>
        <w:t xml:space="preserve"> </w:t>
      </w:r>
      <w:r>
        <w:t xml:space="preserve">(FSA 10/06, A1:10)</w:t>
      </w:r>
      <w:r>
        <w:t xml:space="preserve"> </w:t>
      </w:r>
      <w:r>
        <w:t xml:space="preserve">Overall, benefits from the reforms for both consumers and the industry appeared to</w:t>
      </w:r>
      <w:r>
        <w:t xml:space="preserve"> </w:t>
      </w:r>
      <w:r>
        <w:t xml:space="preserve">outweigh the costs incurred by the transition.</w:t>
      </w:r>
      <w:r>
        <w:br/>
      </w:r>
      <w:r>
        <w:t xml:space="preserve">Expected benefits at an EU level</w:t>
      </w:r>
      <w:r>
        <w:t xml:space="preserve"> </w:t>
      </w:r>
      <w:r>
        <w:t xml:space="preserve">The expected benefits for consumer of a ban at an EU level can be illustrated by estimating</w:t>
      </w:r>
      <w:r>
        <w:t xml:space="preserve"> </w:t>
      </w:r>
      <w:r>
        <w:t xml:space="preserve">the total value of inducements charged to investors on an annual basis. An accurate</w:t>
      </w:r>
      <w:r>
        <w:t xml:space="preserve"> </w:t>
      </w:r>
      <w:r>
        <w:t xml:space="preserve">estimation of the amount of inducements is difficult to establish, due to strong data</w:t>
      </w:r>
      <w:r>
        <w:t xml:space="preserve"> </w:t>
      </w:r>
      <w:r>
        <w:t xml:space="preserve">limitations regarding the share of inducements in total product costs and the exact number</w:t>
      </w:r>
      <w:r>
        <w:t xml:space="preserve"> </w:t>
      </w:r>
      <w:r>
        <w:t xml:space="preserve">of products in the market that carry inducements.</w:t>
      </w:r>
      <w:r>
        <w:br/>
      </w:r>
      <w:r>
        <w:t xml:space="preserve">On the basis of a series of assumptions, the value of inducements can be illustrated for</w:t>
      </w:r>
      <w:r>
        <w:t xml:space="preserve"> </w:t>
      </w:r>
      <w:r>
        <w:t xml:space="preserve">certain products and market segments (e.g. actively managed UCITS funds which are</w:t>
      </w:r>
      <w:r>
        <w:t xml:space="preserve"> </w:t>
      </w:r>
      <w:r>
        <w:t xml:space="preserve">directly held by retail investors).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Data from Eurostat383 shows that the direct holdings of investment funds by retail investors</w:t>
      </w:r>
      <w:r>
        <w:t xml:space="preserve"> </w:t>
      </w:r>
      <w:r>
        <w:t xml:space="preserve">equalled EUR 2,785 billion in 2019, EUR 2,834 billion in 2020 and EUR 3,357 billion in</w:t>
      </w:r>
      <w:r>
        <w:t xml:space="preserve"> </w:t>
      </w:r>
      <w:r>
        <w:t xml:space="preserve">2021. The likelihood that a fund will be induced is highest for actively managed UCITS</w:t>
      </w:r>
      <w:r>
        <w:t xml:space="preserve"> </w:t>
      </w:r>
      <w:r>
        <w:t xml:space="preserve">funds. According to ESMA’s 2022 Cost and performance report, UCITS funds (at EUR 4</w:t>
      </w:r>
      <w:r>
        <w:t xml:space="preserve"> </w:t>
      </w:r>
      <w:r>
        <w:t xml:space="preserve">trillion) represent approximately 85% of the EU retail fund holdings. Active UCITS</w:t>
      </w:r>
      <w:r>
        <w:t xml:space="preserve"> </w:t>
      </w:r>
      <w:r>
        <w:t xml:space="preserve">accounted for around 67% of the overall market, from 71% in 2019 (rounded up to 70%</w:t>
      </w:r>
      <w:r>
        <w:t xml:space="preserve"> </w:t>
      </w:r>
      <w:r>
        <w:t xml:space="preserve">for the purposes of this calculation). Applying these percentages to the level of direct</w:t>
      </w:r>
      <w:r>
        <w:t xml:space="preserve"> </w:t>
      </w:r>
      <w:r>
        <w:t xml:space="preserve">holdings of investment funds and taking (i) as an assumption an average of the total annual</w:t>
      </w:r>
      <w:r>
        <w:t xml:space="preserve"> </w:t>
      </w:r>
      <w:r>
        <w:t xml:space="preserve">costs for UCITS fund (equity, bonds and mixed UCITS funds) with a 10-year investment</w:t>
      </w:r>
      <w:r>
        <w:t xml:space="preserve"> </w:t>
      </w:r>
      <w:r>
        <w:t xml:space="preserve">horizon as reported by ESMA384 (e.g. 1.65% in 2019, 1.61% in 2020 and 1.58% in 2021)</w:t>
      </w:r>
      <w:r>
        <w:t xml:space="preserve"> </w:t>
      </w:r>
      <w:r>
        <w:t xml:space="preserve">and (ii) as a conservative assumption that products carrying inducements are on average</w:t>
      </w:r>
      <w:r>
        <w:t xml:space="preserve"> </w:t>
      </w:r>
      <w:r>
        <w:t xml:space="preserve">25% more expensive than non-induced products, the total annual costs of inducements at</w:t>
      </w:r>
      <w:r>
        <w:t xml:space="preserve"> </w:t>
      </w:r>
      <w:r>
        <w:t xml:space="preserve">an EU level for these UCITS funds would represent EUR 5.13 billion (2019), EUR 5.25</w:t>
      </w:r>
      <w:r>
        <w:t xml:space="preserve"> </w:t>
      </w:r>
      <w:r>
        <w:t xml:space="preserve">billion (2020) and EUR 6.1 billion (2021). For previous years the calculations would be</w:t>
      </w:r>
      <w:r>
        <w:t xml:space="preserve"> </w:t>
      </w:r>
      <w:r>
        <w:t xml:space="preserve">in a similar order of magnitude.</w:t>
      </w:r>
      <w:r>
        <w:t xml:space="preserve"> </w:t>
      </w:r>
      <w:r>
        <w:t xml:space="preserve">As indicated in chapter 3, the conflicts of interest that arise from inducements create</w:t>
      </w:r>
      <w:r>
        <w:t xml:space="preserve"> </w:t>
      </w:r>
      <w:r>
        <w:t xml:space="preserve">product bias and lead to the sale of more expensive products to retail investors. The above</w:t>
      </w:r>
      <w:r>
        <w:t xml:space="preserve"> </w:t>
      </w:r>
      <w:r>
        <w:t xml:space="preserve">estimates do not take into account the dynamic effects of a ban, which would imply that a</w:t>
      </w:r>
      <w:r>
        <w:t xml:space="preserve"> </w:t>
      </w:r>
      <w:r>
        <w:t xml:space="preserve">certain percentage of retail investors would switch to cheaper products (as experiences in</w:t>
      </w:r>
      <w:r>
        <w:t xml:space="preserve"> </w:t>
      </w:r>
      <w:r>
        <w:t xml:space="preserve">the NL and the UK have shown). If these dynamic effects were taken into account, the</w:t>
      </w:r>
      <w:r>
        <w:t xml:space="preserve"> </w:t>
      </w:r>
      <w:r>
        <w:t xml:space="preserve">actual detriment of inducements for investors would be even higher. For example,</w:t>
      </w:r>
      <w:r>
        <w:t xml:space="preserve"> </w:t>
      </w:r>
      <w:r>
        <w:t xml:space="preserve">assuming that 5% of investments in the EU would shift to low-cost investment products</w:t>
      </w:r>
      <w:r>
        <w:t xml:space="preserve"> </w:t>
      </w:r>
      <w:r>
        <w:t xml:space="preserve">(such as ETFs), this could generate further aggregated cost savings of EUR 0.5 billion</w:t>
      </w:r>
      <w:r>
        <w:t xml:space="preserve"> </w:t>
      </w:r>
      <w:r>
        <w:t xml:space="preserve">(2019), EUR 0.6 billion (2020) and EUR 0.8 billion (2021)385.</w:t>
      </w:r>
      <w:r>
        <w:t xml:space="preserve"> </w:t>
      </w:r>
      <w:r>
        <w:t xml:space="preserve">The above estimates of the value of inducements are limited to only one market segment</w:t>
      </w:r>
      <w:r>
        <w:t xml:space="preserve"> </w:t>
      </w:r>
      <w:r>
        <w:t xml:space="preserve">and should therefore be seen as a significant underestimation of the overall impact.</w:t>
      </w:r>
      <w:r>
        <w:t xml:space="preserve"> </w:t>
      </w:r>
      <w:r>
        <w:t xml:space="preserve">Insurance based investment products, which have a significant market share and carry high</w:t>
      </w:r>
      <w:r>
        <w:t xml:space="preserve"> </w:t>
      </w:r>
      <w:r>
        <w:t xml:space="preserve">level of inducements, as well as other retail investment products, are not included in this</w:t>
      </w:r>
      <w:r>
        <w:t xml:space="preserve"> </w:t>
      </w:r>
      <w:r>
        <w:t xml:space="preserve">calculation.</w:t>
      </w:r>
      <w:r>
        <w:br/>
      </w:r>
      <w:r>
        <w:t xml:space="preserve">As a consequence of a ban on inducements, retail investors would have to pay separately</w:t>
      </w:r>
      <w:r>
        <w:t xml:space="preserve"> </w:t>
      </w:r>
      <w:r>
        <w:t xml:space="preserve">for investment services, including financial advice, as these costs would no longer be</w:t>
      </w:r>
      <w:r>
        <w:t xml:space="preserve"> </w:t>
      </w:r>
      <w:r>
        <w:t xml:space="preserve">incorporated in the overall fees. The costs of such payments could not be quantified, but it</w:t>
      </w:r>
      <w:r>
        <w:t xml:space="preserve"> </w:t>
      </w:r>
      <w:r>
        <w:t xml:space="preserve">is expected that they would be significantly lower than the cost of inducements.</w:t>
      </w:r>
    </w:p>
    <w:p>
      <w:pPr>
        <w:pStyle w:val="BodyText"/>
      </w:pPr>
      <w:r>
        <w:t xml:space="preserve">383 Financial balance sheets annual data extracted from Eurostat:</w:t>
      </w:r>
      <w:r>
        <w:br/>
      </w:r>
      <w:r>
        <w:t xml:space="preserve">https://ec.europa.eu/eurostat/databrowser/view/NASA_10_F_BS/default/table?lang=en .</w:t>
      </w:r>
      <w:r>
        <w:t xml:space="preserve"> </w:t>
      </w:r>
      <w:r>
        <w:t xml:space="preserve">384 Based on average total costs for the UCITS market published by ESMA in its 2023 Market Report on Costs</w:t>
      </w:r>
      <w:r>
        <w:t xml:space="preserve"> </w:t>
      </w:r>
      <w:r>
        <w:t xml:space="preserve">and Performance of EU Retail Investment Products.</w:t>
      </w:r>
      <w:r>
        <w:t xml:space="preserve"> </w:t>
      </w:r>
      <w:r>
        <w:t xml:space="preserve">385 Based on total annual costs of ETF UCITS provided by ESMA: 0.7% in 2019 (2021 costs and performance</w:t>
      </w:r>
      <w:r>
        <w:t xml:space="preserve"> </w:t>
      </w:r>
      <w:r>
        <w:t xml:space="preserve">report), 0.5% in 2020 (2022 costs and performance report) and 0.43% in 2021 (2023 costs and performance</w:t>
      </w:r>
      <w:r>
        <w:t xml:space="preserve"> </w:t>
      </w:r>
      <w:r>
        <w:t xml:space="preserve">report).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Finally, it should be noted that for the calculation, the same proportion of inducements was</w:t>
      </w:r>
      <w:r>
        <w:t xml:space="preserve"> </w:t>
      </w:r>
      <w:r>
        <w:t xml:space="preserve">applied across all Member States, whereas in reality, the average level of inducements</w:t>
      </w:r>
      <w:r>
        <w:t xml:space="preserve"> </w:t>
      </w:r>
      <w:r>
        <w:t xml:space="preserve">charged in each Member State varies. Nevertheless, it is evident that inducements amount</w:t>
      </w:r>
      <w:r>
        <w:t xml:space="preserve"> </w:t>
      </w:r>
      <w:r>
        <w:t xml:space="preserve">to sizeable costs for retail investors in the EU, in the order of billions of Euros. They</w:t>
      </w:r>
      <w:r>
        <w:t xml:space="preserve"> </w:t>
      </w:r>
      <w:r>
        <w:t xml:space="preserve">represent a wealth extraction which lowers market efficiencies. If these cost savings were</w:t>
      </w:r>
      <w:r>
        <w:t xml:space="preserve"> </w:t>
      </w:r>
      <w:r>
        <w:t xml:space="preserve">made available to households, they could contribute to wealth creation for retail investors</w:t>
      </w:r>
      <w:r>
        <w:t xml:space="preserve"> </w:t>
      </w:r>
      <w:r>
        <w:t xml:space="preserve">and be used for further investments in the economy. Furthermore, while these illustrations</w:t>
      </w:r>
      <w:r>
        <w:t xml:space="preserve"> </w:t>
      </w:r>
      <w:r>
        <w:t xml:space="preserve">show the level of inducements charged, the main benefit to retail investors will relate to</w:t>
      </w:r>
      <w:r>
        <w:t xml:space="preserve"> </w:t>
      </w:r>
      <w:r>
        <w:t xml:space="preserve">the removal of conflicts of interest and biased advice. This would make it less likely that</w:t>
      </w:r>
      <w:r>
        <w:t xml:space="preserve"> </w:t>
      </w:r>
      <w:r>
        <w:t xml:space="preserve">retail investors, in particular those that are less financially literate, are recommended</w:t>
      </w:r>
      <w:r>
        <w:t xml:space="preserve"> </w:t>
      </w:r>
      <w:r>
        <w:t xml:space="preserve">products that are overly risky or expensive, considering their needs and objectives.</w:t>
      </w:r>
      <w:r>
        <w:t xml:space="preserve"> </w:t>
      </w:r>
      <w:r>
        <w:t xml:space="preserve">Illustration of impact on individual investors</w:t>
      </w:r>
      <w:r>
        <w:br/>
      </w:r>
      <w:r>
        <w:t xml:space="preserve">The impact of inducements can be illustrated along the return a retail investor can earn on a</w:t>
      </w:r>
      <w:r>
        <w:t xml:space="preserve"> </w:t>
      </w:r>
      <w:r>
        <w:t xml:space="preserve">typical EUR 10,000 investment with different combinations of the size and timing of fees paid</w:t>
      </w:r>
      <w:r>
        <w:t xml:space="preserve"> </w:t>
      </w:r>
      <w:r>
        <w:t xml:space="preserve">to the provider of the financial instrument, when using either a commission-based or a fee-</w:t>
      </w:r>
      <w:r>
        <w:t xml:space="preserve"> </w:t>
      </w:r>
      <w:r>
        <w:t xml:space="preserve">based investment product. This illustration is based on a series of assumptions relating to the</w:t>
      </w:r>
      <w:r>
        <w:t xml:space="preserve"> </w:t>
      </w:r>
      <w:r>
        <w:t xml:space="preserve">gross return on the investment and the magnitude of the fees. The numbers in ESMA’s cost</w:t>
      </w:r>
      <w:r>
        <w:t xml:space="preserve"> </w:t>
      </w:r>
      <w:r>
        <w:t xml:space="preserve">and performance reports of EU retail investments provide suitable benchmarks for such</w:t>
      </w:r>
      <w:r>
        <w:t xml:space="preserve"> </w:t>
      </w:r>
      <w:r>
        <w:t xml:space="preserve">assumptions.</w:t>
      </w:r>
      <w:r>
        <w:br/>
      </w:r>
      <w:r>
        <w:t xml:space="preserve">The calculations assume a gross annual return would be 5%, which is slightly lower than the</w:t>
      </w:r>
      <w:r>
        <w:t xml:space="preserve"> </w:t>
      </w:r>
      <w:r>
        <w:t xml:space="preserve">average gross performance of EU UCITS funds over an investment horizon of 10 years in</w:t>
      </w:r>
      <w:r>
        <w:t xml:space="preserve"> </w:t>
      </w:r>
      <w:r>
        <w:t xml:space="preserve">2017-2021386. The actual return was somewhat higher (at 9%) for equity UCITS. Second, we</w:t>
      </w:r>
      <w:r>
        <w:t xml:space="preserve"> </w:t>
      </w:r>
      <w:r>
        <w:t xml:space="preserve">assumed a hypothetical level of 1.6% annual costs for the commission-based model. This is in</w:t>
      </w:r>
      <w:r>
        <w:t xml:space="preserve"> </w:t>
      </w:r>
      <w:r>
        <w:t xml:space="preserve">line with the average fee charged on equity UCITS, which was 1.57% annual ongoing charge</w:t>
      </w:r>
      <w:r>
        <w:t xml:space="preserve"> </w:t>
      </w:r>
      <w:r>
        <w:t xml:space="preserve">plus 0.16% subscription and redemption fee in 2021 according to the ESMA report. To remain</w:t>
      </w:r>
      <w:r>
        <w:t xml:space="preserve"> </w:t>
      </w:r>
      <w:r>
        <w:t xml:space="preserve">consistent with the quantification of aggregate benefits, which assumed that ongoing costs of</w:t>
      </w:r>
      <w:r>
        <w:t xml:space="preserve"> </w:t>
      </w:r>
      <w:r>
        <w:t xml:space="preserve">commission-based investment products include a 25% surcharge to pay for inducements, i.e. </w:t>
      </w:r>
      <w:r>
        <w:t xml:space="preserve"> </w:t>
      </w:r>
      <w:r>
        <w:t xml:space="preserve">ongoing costs in the fee-based model are 80% of those in the commission based model (i.e. </w:t>
      </w:r>
      <w:r>
        <w:t xml:space="preserve"> </w:t>
      </w:r>
      <w:r>
        <w:t xml:space="preserve">1.28%).</w:t>
      </w:r>
      <w:r>
        <w:br/>
      </w:r>
      <w:r>
        <w:t xml:space="preserve">Simulations were carried out for two different types of fee-based models. The first model</w:t>
      </w:r>
      <w:r>
        <w:t xml:space="preserve"> </w:t>
      </w:r>
      <w:r>
        <w:t xml:space="preserve">assumes that the investor does not need any advice, while the second assumes that the investor</w:t>
      </w:r>
      <w:r>
        <w:t xml:space="preserve"> </w:t>
      </w:r>
      <w:r>
        <w:t xml:space="preserve">needs an hour of advice and is charged EUR 130. This amount was reported by industry</w:t>
      </w:r>
      <w:r>
        <w:t xml:space="preserve"> </w:t>
      </w:r>
      <w:r>
        <w:t xml:space="preserve">stakeholders as representative. It is higher than the labour costs of 85 EUR that the Kantar</w:t>
      </w:r>
      <w:r>
        <w:t xml:space="preserve"> </w:t>
      </w:r>
      <w:r>
        <w:t xml:space="preserve">study used as benchmark and much higher than the average hourly salary in the financial sector.</w:t>
      </w:r>
      <w:r>
        <w:t xml:space="preserve"> </w:t>
      </w:r>
      <w:r>
        <w:t xml:space="preserve">Hence it includes contributions to the fixed costs and profit margin of the provider. In these</w:t>
      </w:r>
      <w:r>
        <w:t xml:space="preserve"> </w:t>
      </w:r>
      <w:r>
        <w:t xml:space="preserve">two models, the investor is charged 1.28% in annual costs. The advice fees are paid upfront</w:t>
      </w:r>
    </w:p>
    <w:p>
      <w:pPr>
        <w:pStyle w:val="BodyText"/>
      </w:pPr>
      <w:r>
        <w:t xml:space="preserve">386 The average gross performance for equity, bonds and mixed UCITS for a 10-year investment horizon over</w:t>
      </w:r>
      <w:r>
        <w:t xml:space="preserve"> </w:t>
      </w:r>
      <w:r>
        <w:t xml:space="preserve">the period 2017-2021 was 4.92%, calculated based on data in ESMA’s 2023 Market Report on Costs and</w:t>
      </w:r>
      <w:r>
        <w:t xml:space="preserve"> </w:t>
      </w:r>
      <w:r>
        <w:t xml:space="preserve">Performance of EU Retail Investment Products.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and are deducted from the investment amount of EUR 10,000. The impact of other entry and</w:t>
      </w:r>
      <w:r>
        <w:t xml:space="preserve"> </w:t>
      </w:r>
      <w:r>
        <w:t xml:space="preserve">exit costs has not been considered in any of the models.</w:t>
      </w:r>
      <w:r>
        <w:t xml:space="preserve"> </w:t>
      </w:r>
      <w:r>
        <w:t xml:space="preserve">When applying an annual gross return of 5%, the fee-based model without advice immediately</w:t>
      </w:r>
      <w:r>
        <w:t xml:space="preserve"> </w:t>
      </w:r>
      <w:r>
        <w:t xml:space="preserve">outperforms the commission-based model. The fee-based model with advice only does so after</w:t>
      </w:r>
      <w:r>
        <w:t xml:space="preserve"> </w:t>
      </w:r>
      <w:r>
        <w:t xml:space="preserve">five years. In the longer term, however, the commission-based model is evidently lagging</w:t>
      </w:r>
      <w:r>
        <w:t xml:space="preserve"> </w:t>
      </w:r>
      <w:r>
        <w:t xml:space="preserve">behind both of the fee-based models.</w:t>
      </w:r>
      <w:r>
        <w:br/>
      </w:r>
      <w:r>
        <w:t xml:space="preserve">After 10 years, the commission-based model is outperformed:</w:t>
      </w:r>
      <w:r>
        <w:t xml:space="preserve"> </w:t>
      </w:r>
      <w:r>
        <w:t xml:space="preserve"> by EUR 438 (fee-based model without advice);</w:t>
      </w:r>
      <w:r>
        <w:t xml:space="preserve"> </w:t>
      </w:r>
      <w:r>
        <w:t xml:space="preserve"> by EUR 251 (fee-based model with an upfront advice fee).</w:t>
      </w:r>
      <w:r>
        <w:br/>
      </w:r>
      <w:r>
        <w:t xml:space="preserve">These gaps become increasingly wider as time passes. After 25 years, the commission-based</w:t>
      </w:r>
      <w:r>
        <w:t xml:space="preserve"> </w:t>
      </w:r>
      <w:r>
        <w:t xml:space="preserve">model is outperformed:</w:t>
      </w:r>
      <w:r>
        <w:t xml:space="preserve"> </w:t>
      </w:r>
      <w:r>
        <w:t xml:space="preserve"> by EUR 1,853 (fee-based model without advice);</w:t>
      </w:r>
      <w:r>
        <w:t xml:space="preserve"> </w:t>
      </w:r>
      <w:r>
        <w:t xml:space="preserve"> by EUR 1,529 (fee-based model with an upfront advice fee).</w:t>
      </w:r>
      <w:r>
        <w:t xml:space="preserve"> </w:t>
      </w:r>
      <w:r>
        <w:t xml:space="preserve">Year</w:t>
      </w:r>
      <w:r>
        <w:t xml:space="preserve"> </w:t>
      </w:r>
      <w:r>
        <w:t xml:space="preserve">Commission-based</w:t>
      </w:r>
      <w:r>
        <w:t xml:space="preserve"> </w:t>
      </w:r>
      <w:r>
        <w:t xml:space="preserve">model</w:t>
      </w:r>
      <w:r>
        <w:t xml:space="preserve"> </w:t>
      </w:r>
      <w:r>
        <w:t xml:space="preserve">(1.6% annual costs)</w:t>
      </w:r>
      <w:r>
        <w:t xml:space="preserve"> </w:t>
      </w:r>
      <w:r>
        <w:t xml:space="preserve">Fee-based</w:t>
      </w:r>
      <w:r>
        <w:t xml:space="preserve"> </w:t>
      </w:r>
      <w:r>
        <w:t xml:space="preserve">model</w:t>
      </w:r>
      <w:r>
        <w:t xml:space="preserve"> </w:t>
      </w:r>
      <w:r>
        <w:t xml:space="preserve">without</w:t>
      </w:r>
      <w:r>
        <w:t xml:space="preserve"> </w:t>
      </w:r>
      <w:r>
        <w:t xml:space="preserve">advice (1.28% annual costs)</w:t>
      </w:r>
      <w:r>
        <w:t xml:space="preserve"> </w:t>
      </w:r>
      <w:r>
        <w:t xml:space="preserve">Fee-based</w:t>
      </w:r>
      <w:r>
        <w:t xml:space="preserve"> </w:t>
      </w:r>
      <w:r>
        <w:t xml:space="preserve">model</w:t>
      </w:r>
      <w:r>
        <w:t xml:space="preserve"> </w:t>
      </w:r>
      <w:r>
        <w:t xml:space="preserve">(1.28%</w:t>
      </w:r>
      <w:r>
        <w:t xml:space="preserve"> </w:t>
      </w:r>
      <w:r>
        <w:t xml:space="preserve">annual costs, 130 EUR advice</w:t>
      </w:r>
      <w:r>
        <w:t xml:space="preserve"> </w:t>
      </w:r>
      <w:r>
        <w:t xml:space="preserve">fee upfront)</w:t>
      </w:r>
      <w:r>
        <w:t xml:space="preserve"> </w:t>
      </w:r>
      <w:r>
        <w:t xml:space="preserve">10000.00</w:t>
      </w:r>
      <w:r>
        <w:t xml:space="preserve"> </w:t>
      </w:r>
      <w:r>
        <w:t xml:space="preserve">10000.00</w:t>
      </w:r>
      <w:r>
        <w:t xml:space="preserve"> </w:t>
      </w:r>
      <w:r>
        <w:t xml:space="preserve">9870.00</w:t>
      </w:r>
      <w:r>
        <w:t xml:space="preserve"> </w:t>
      </w:r>
      <w:r>
        <w:t xml:space="preserve">1</w:t>
      </w:r>
      <w:r>
        <w:t xml:space="preserve"> </w:t>
      </w:r>
      <w:r>
        <w:t xml:space="preserve">10340.00</w:t>
      </w:r>
      <w:r>
        <w:t xml:space="preserve"> </w:t>
      </w:r>
      <w:r>
        <w:t xml:space="preserve">10372.00</w:t>
      </w:r>
      <w:r>
        <w:t xml:space="preserve"> </w:t>
      </w:r>
      <w:r>
        <w:t xml:space="preserve">10237.16</w:t>
      </w:r>
      <w:r>
        <w:t xml:space="preserve"> </w:t>
      </w:r>
      <w:r>
        <w:t xml:space="preserve">2</w:t>
      </w:r>
      <w:r>
        <w:t xml:space="preserve"> </w:t>
      </w:r>
      <w:r>
        <w:t xml:space="preserve">10691.56</w:t>
      </w:r>
      <w:r>
        <w:t xml:space="preserve"> </w:t>
      </w:r>
      <w:r>
        <w:t xml:space="preserve">10757.84</w:t>
      </w:r>
      <w:r>
        <w:t xml:space="preserve"> </w:t>
      </w:r>
      <w:r>
        <w:t xml:space="preserve">10617.99</w:t>
      </w:r>
      <w:r>
        <w:t xml:space="preserve"> </w:t>
      </w:r>
      <w:r>
        <w:t xml:space="preserve">3</w:t>
      </w:r>
      <w:r>
        <w:t xml:space="preserve"> </w:t>
      </w:r>
      <w:r>
        <w:t xml:space="preserve">11055.07</w:t>
      </w:r>
      <w:r>
        <w:t xml:space="preserve"> </w:t>
      </w:r>
      <w:r>
        <w:t xml:space="preserve">11158.03</w:t>
      </w:r>
      <w:r>
        <w:t xml:space="preserve"> </w:t>
      </w:r>
      <w:r>
        <w:t xml:space="preserve">11012.98</w:t>
      </w:r>
      <w:r>
        <w:t xml:space="preserve"> </w:t>
      </w:r>
      <w:r>
        <w:t xml:space="preserve">4</w:t>
      </w:r>
      <w:r>
        <w:t xml:space="preserve"> </w:t>
      </w:r>
      <w:r>
        <w:t xml:space="preserve">11430.95</w:t>
      </w:r>
      <w:r>
        <w:t xml:space="preserve"> </w:t>
      </w:r>
      <w:r>
        <w:t xml:space="preserve">11573.11</w:t>
      </w:r>
      <w:r>
        <w:t xml:space="preserve"> </w:t>
      </w:r>
      <w:r>
        <w:t xml:space="preserve">11422.66</w:t>
      </w:r>
      <w:r>
        <w:t xml:space="preserve"> </w:t>
      </w:r>
      <w:r>
        <w:t xml:space="preserve">5</w:t>
      </w:r>
      <w:r>
        <w:t xml:space="preserve"> </w:t>
      </w:r>
      <w:r>
        <w:t xml:space="preserve">11819.60</w:t>
      </w:r>
      <w:r>
        <w:t xml:space="preserve"> </w:t>
      </w:r>
      <w:r>
        <w:t xml:space="preserve">12003.63</w:t>
      </w:r>
      <w:r>
        <w:t xml:space="preserve"> </w:t>
      </w:r>
      <w:r>
        <w:t xml:space="preserve">11847.58</w:t>
      </w:r>
      <w:r>
        <w:t xml:space="preserve"> </w:t>
      </w:r>
      <w:r>
        <w:t xml:space="preserve">6</w:t>
      </w:r>
      <w:r>
        <w:t xml:space="preserve"> </w:t>
      </w:r>
      <w:r>
        <w:t xml:space="preserve">12221.46</w:t>
      </w:r>
      <w:r>
        <w:t xml:space="preserve"> </w:t>
      </w:r>
      <w:r>
        <w:t xml:space="preserve">12450.16</w:t>
      </w:r>
      <w:r>
        <w:t xml:space="preserve"> </w:t>
      </w:r>
      <w:r>
        <w:t xml:space="preserve">12288.31</w:t>
      </w:r>
      <w:r>
        <w:t xml:space="preserve"> </w:t>
      </w:r>
      <w:r>
        <w:t xml:space="preserve">7</w:t>
      </w:r>
      <w:r>
        <w:t xml:space="preserve"> </w:t>
      </w:r>
      <w:r>
        <w:t xml:space="preserve">12636.99</w:t>
      </w:r>
      <w:r>
        <w:t xml:space="preserve"> </w:t>
      </w:r>
      <w:r>
        <w:t xml:space="preserve">12913.31</w:t>
      </w:r>
      <w:r>
        <w:t xml:space="preserve"> </w:t>
      </w:r>
      <w:r>
        <w:t xml:space="preserve">12745.44</w:t>
      </w:r>
      <w:r>
        <w:t xml:space="preserve"> </w:t>
      </w:r>
      <w:r>
        <w:t xml:space="preserve">8</w:t>
      </w:r>
      <w:r>
        <w:t xml:space="preserve"> </w:t>
      </w:r>
      <w:r>
        <w:t xml:space="preserve">13066.65</w:t>
      </w:r>
      <w:r>
        <w:t xml:space="preserve"> </w:t>
      </w:r>
      <w:r>
        <w:t xml:space="preserve">13393.68</w:t>
      </w:r>
      <w:r>
        <w:t xml:space="preserve"> </w:t>
      </w:r>
      <w:r>
        <w:t xml:space="preserve">13219.57</w:t>
      </w:r>
      <w:r>
        <w:t xml:space="preserve"> </w:t>
      </w:r>
      <w:r>
        <w:t xml:space="preserve">9</w:t>
      </w:r>
      <w:r>
        <w:t xml:space="preserve"> </w:t>
      </w:r>
      <w:r>
        <w:t xml:space="preserve">13510.92</w:t>
      </w:r>
      <w:r>
        <w:t xml:space="preserve"> </w:t>
      </w:r>
      <w:r>
        <w:t xml:space="preserve">13891.93</w:t>
      </w:r>
      <w:r>
        <w:t xml:space="preserve"> </w:t>
      </w:r>
      <w:r>
        <w:t xml:space="preserve">13711.33</w:t>
      </w:r>
      <w:r>
        <w:t xml:space="preserve"> </w:t>
      </w:r>
      <w:r>
        <w:t xml:space="preserve">10</w:t>
      </w:r>
      <w:r>
        <w:t xml:space="preserve"> </w:t>
      </w:r>
      <w:r>
        <w:t xml:space="preserve">13970.29</w:t>
      </w:r>
      <w:r>
        <w:t xml:space="preserve"> </w:t>
      </w:r>
      <w:r>
        <w:t xml:space="preserve">14408.71</w:t>
      </w:r>
      <w:r>
        <w:t xml:space="preserve"> </w:t>
      </w:r>
      <w:r>
        <w:t xml:space="preserve">14221.40</w:t>
      </w:r>
      <w:r>
        <w:t xml:space="preserve"> </w:t>
      </w:r>
      <w:r>
        <w:t xml:space="preserve">11</w:t>
      </w:r>
      <w:r>
        <w:t xml:space="preserve"> </w:t>
      </w:r>
      <w:r>
        <w:t xml:space="preserve">14445.28</w:t>
      </w:r>
      <w:r>
        <w:t xml:space="preserve"> </w:t>
      </w:r>
      <w:r>
        <w:t xml:space="preserve">14944.71</w:t>
      </w:r>
      <w:r>
        <w:t xml:space="preserve"> </w:t>
      </w:r>
      <w:r>
        <w:t xml:space="preserve">14750.43</w:t>
      </w:r>
      <w:r>
        <w:t xml:space="preserve"> </w:t>
      </w:r>
      <w:r>
        <w:t xml:space="preserve">12</w:t>
      </w:r>
      <w:r>
        <w:t xml:space="preserve"> </w:t>
      </w:r>
      <w:r>
        <w:t xml:space="preserve">14936.42</w:t>
      </w:r>
      <w:r>
        <w:t xml:space="preserve"> </w:t>
      </w:r>
      <w:r>
        <w:t xml:space="preserve">15500.66</w:t>
      </w:r>
      <w:r>
        <w:t xml:space="preserve"> </w:t>
      </w:r>
      <w:r>
        <w:t xml:space="preserve">15299.15</w:t>
      </w:r>
      <w:r>
        <w:t xml:space="preserve"> </w:t>
      </w:r>
      <w:r>
        <w:t xml:space="preserve">13</w:t>
      </w:r>
      <w:r>
        <w:t xml:space="preserve"> </w:t>
      </w:r>
      <w:r>
        <w:t xml:space="preserve">15444.26</w:t>
      </w:r>
      <w:r>
        <w:t xml:space="preserve"> </w:t>
      </w:r>
      <w:r>
        <w:t xml:space="preserve">16077.28</w:t>
      </w:r>
      <w:r>
        <w:t xml:space="preserve"> </w:t>
      </w:r>
      <w:r>
        <w:t xml:space="preserve">15868.28</w:t>
      </w:r>
      <w:r>
        <w:t xml:space="preserve"> </w:t>
      </w:r>
      <w:r>
        <w:t xml:space="preserve">14</w:t>
      </w:r>
      <w:r>
        <w:t xml:space="preserve"> </w:t>
      </w:r>
      <w:r>
        <w:t xml:space="preserve">15969.36</w:t>
      </w:r>
      <w:r>
        <w:t xml:space="preserve"> </w:t>
      </w:r>
      <w:r>
        <w:t xml:space="preserve">16675.36</w:t>
      </w:r>
      <w:r>
        <w:t xml:space="preserve"> </w:t>
      </w:r>
      <w:r>
        <w:t xml:space="preserve">16458.58</w:t>
      </w:r>
      <w:r>
        <w:t xml:space="preserve"> </w:t>
      </w:r>
      <w:r>
        <w:t xml:space="preserve">15</w:t>
      </w:r>
      <w:r>
        <w:t xml:space="preserve"> </w:t>
      </w:r>
      <w:r>
        <w:t xml:space="preserve">16512.32</w:t>
      </w:r>
      <w:r>
        <w:t xml:space="preserve"> </w:t>
      </w:r>
      <w:r>
        <w:t xml:space="preserve">17295.68</w:t>
      </w:r>
      <w:r>
        <w:t xml:space="preserve"> </w:t>
      </w:r>
      <w:r>
        <w:t xml:space="preserve">17070.84</w:t>
      </w:r>
      <w:r>
        <w:t xml:space="preserve"> </w:t>
      </w:r>
      <w:r>
        <w:t xml:space="preserve">16</w:t>
      </w:r>
      <w:r>
        <w:t xml:space="preserve"> </w:t>
      </w:r>
      <w:r>
        <w:t xml:space="preserve">17073.74</w:t>
      </w:r>
      <w:r>
        <w:t xml:space="preserve"> </w:t>
      </w:r>
      <w:r>
        <w:t xml:space="preserve">17939.08</w:t>
      </w:r>
      <w:r>
        <w:t xml:space="preserve"> </w:t>
      </w:r>
      <w:r>
        <w:t xml:space="preserve">17705.87</w:t>
      </w:r>
      <w:r>
        <w:t xml:space="preserve"> </w:t>
      </w:r>
      <w:r>
        <w:t xml:space="preserve">17</w:t>
      </w:r>
      <w:r>
        <w:t xml:space="preserve"> </w:t>
      </w:r>
      <w:r>
        <w:t xml:space="preserve">17654.25</w:t>
      </w:r>
      <w:r>
        <w:t xml:space="preserve"> </w:t>
      </w:r>
      <w:r>
        <w:t xml:space="preserve">18606.41</w:t>
      </w:r>
      <w:r>
        <w:t xml:space="preserve"> </w:t>
      </w:r>
      <w:r>
        <w:t xml:space="preserve">18364.53</w:t>
      </w:r>
      <w:r>
        <w:t xml:space="preserve"> </w:t>
      </w:r>
      <w:r>
        <w:t xml:space="preserve">18</w:t>
      </w:r>
      <w:r>
        <w:t xml:space="preserve"> </w:t>
      </w:r>
      <w:r>
        <w:t xml:space="preserve">18254.49</w:t>
      </w:r>
      <w:r>
        <w:t xml:space="preserve"> </w:t>
      </w:r>
      <w:r>
        <w:t xml:space="preserve">19298.57</w:t>
      </w:r>
      <w:r>
        <w:t xml:space="preserve"> </w:t>
      </w:r>
      <w:r>
        <w:t xml:space="preserve">19047.69</w:t>
      </w:r>
      <w:r>
        <w:t xml:space="preserve"> </w:t>
      </w:r>
      <w:r>
        <w:t xml:space="preserve">19</w:t>
      </w:r>
      <w:r>
        <w:t xml:space="preserve"> </w:t>
      </w:r>
      <w:r>
        <w:t xml:space="preserve">18875.14</w:t>
      </w:r>
      <w:r>
        <w:t xml:space="preserve"> </w:t>
      </w:r>
      <w:r>
        <w:t xml:space="preserve">20016.48</w:t>
      </w:r>
      <w:r>
        <w:t xml:space="preserve"> </w:t>
      </w:r>
      <w:r>
        <w:t xml:space="preserve">19756.26</w:t>
      </w:r>
      <w:r>
        <w:t xml:space="preserve"> </w:t>
      </w:r>
      <w:r>
        <w:t xml:space="preserve">20</w:t>
      </w:r>
      <w:r>
        <w:t xml:space="preserve"> </w:t>
      </w:r>
      <w:r>
        <w:t xml:space="preserve">19516.90</w:t>
      </w:r>
      <w:r>
        <w:t xml:space="preserve"> </w:t>
      </w:r>
      <w:r>
        <w:t xml:space="preserve">20761.09</w:t>
      </w:r>
      <w:r>
        <w:t xml:space="preserve"> </w:t>
      </w:r>
      <w:r>
        <w:t xml:space="preserve">20491.20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20180.47</w:t>
      </w:r>
      <w:r>
        <w:t xml:space="preserve"> </w:t>
      </w:r>
      <w:r>
        <w:t xml:space="preserve">21533.40</w:t>
      </w:r>
      <w:r>
        <w:t xml:space="preserve"> </w:t>
      </w:r>
      <w:r>
        <w:t xml:space="preserve">21253.47</w:t>
      </w:r>
      <w:r>
        <w:t xml:space="preserve"> </w:t>
      </w:r>
      <w:r>
        <w:t xml:space="preserve">22</w:t>
      </w:r>
      <w:r>
        <w:t xml:space="preserve"> </w:t>
      </w:r>
      <w:r>
        <w:t xml:space="preserve">20866.61</w:t>
      </w:r>
      <w:r>
        <w:t xml:space="preserve"> </w:t>
      </w:r>
      <w:r>
        <w:t xml:space="preserve">22334.45</w:t>
      </w:r>
      <w:r>
        <w:t xml:space="preserve"> </w:t>
      </w:r>
      <w:r>
        <w:t xml:space="preserve">22044.10</w:t>
      </w:r>
      <w:r>
        <w:t xml:space="preserve"> </w:t>
      </w:r>
      <w:r>
        <w:t xml:space="preserve">23</w:t>
      </w:r>
      <w:r>
        <w:t xml:space="preserve"> </w:t>
      </w:r>
      <w:r>
        <w:t xml:space="preserve">21576.07</w:t>
      </w:r>
      <w:r>
        <w:t xml:space="preserve"> </w:t>
      </w:r>
      <w:r>
        <w:t xml:space="preserve">23165.29</w:t>
      </w:r>
      <w:r>
        <w:t xml:space="preserve"> </w:t>
      </w:r>
      <w:r>
        <w:t xml:space="preserve">22864.14</w:t>
      </w:r>
      <w:r>
        <w:t xml:space="preserve"> </w:t>
      </w:r>
      <w:r>
        <w:t xml:space="preserve">24</w:t>
      </w:r>
      <w:r>
        <w:t xml:space="preserve"> </w:t>
      </w:r>
      <w:r>
        <w:t xml:space="preserve">22309.66</w:t>
      </w:r>
      <w:r>
        <w:t xml:space="preserve"> </w:t>
      </w:r>
      <w:r>
        <w:t xml:space="preserve">24027.04</w:t>
      </w:r>
      <w:r>
        <w:t xml:space="preserve"> </w:t>
      </w:r>
      <w:r>
        <w:t xml:space="preserve">23714.68</w:t>
      </w:r>
      <w:r>
        <w:t xml:space="preserve"> </w:t>
      </w:r>
      <w:r>
        <w:t xml:space="preserve">25</w:t>
      </w:r>
      <w:r>
        <w:t xml:space="preserve"> </w:t>
      </w:r>
      <w:r>
        <w:t xml:space="preserve">23068.19</w:t>
      </w:r>
      <w:r>
        <w:t xml:space="preserve"> </w:t>
      </w:r>
      <w:r>
        <w:t xml:space="preserve">24920.84</w:t>
      </w:r>
      <w:r>
        <w:t xml:space="preserve"> </w:t>
      </w:r>
      <w:r>
        <w:t xml:space="preserve">24596.87</w:t>
      </w:r>
    </w:p>
    <w:p>
      <w:pPr>
        <w:pStyle w:val="BodyText"/>
      </w:pPr>
      <w:r>
        <w:t xml:space="preserve">In the example above, the commission-based model is consistently outperformed by the fee-</w:t>
      </w:r>
      <w:r>
        <w:t xml:space="preserve"> </w:t>
      </w:r>
      <w:r>
        <w:t xml:space="preserve">based models in the medium and long term. However, the example is focused on a single type</w:t>
      </w:r>
      <w:r>
        <w:t xml:space="preserve"> </w:t>
      </w:r>
      <w:r>
        <w:t xml:space="preserve">of product, bearing relatively high costs. It is well possible that, if the commission-based model</w:t>
      </w:r>
      <w:r>
        <w:t xml:space="preserve"> </w:t>
      </w:r>
      <w:r>
        <w:t xml:space="preserve">was no longer available consumers would (be advised to) switch to different types of products</w:t>
      </w:r>
      <w:r>
        <w:t xml:space="preserve"> </w:t>
      </w:r>
      <w:r>
        <w:t xml:space="preserve">altogether. Exchange Traded Funds (ETFs) are a close substitute to actively managed UCITS.</w:t>
      </w:r>
      <w:r>
        <w:br/>
      </w:r>
      <w:r>
        <w:t xml:space="preserve">ETFs are significantly cheaper than other investment products. Based on data for retail share</w:t>
      </w:r>
      <w:r>
        <w:t xml:space="preserve"> </w:t>
      </w:r>
      <w:r>
        <w:t xml:space="preserve">classes provided by ESMA for the period 2011-2020, ETF ongoing costs were 4 to 6 times</w:t>
      </w:r>
      <w:r>
        <w:t xml:space="preserve"> </w:t>
      </w:r>
      <w:r>
        <w:t xml:space="preserve">lower than ongoing costs for equity UCITS. The calculations below use the historical</w:t>
      </w:r>
      <w:r>
        <w:t xml:space="preserve"> </w:t>
      </w:r>
      <w:r>
        <w:t xml:space="preserve">performance and costs of equity UCITS and equity ETFs of the last 10 years387, demonstrating</w:t>
      </w:r>
      <w:r>
        <w:t xml:space="preserve"> </w:t>
      </w:r>
      <w:r>
        <w:t xml:space="preserve">the return investors would have accomplished had they invested EUR 10,000 into either of</w:t>
      </w:r>
      <w:r>
        <w:t xml:space="preserve"> </w:t>
      </w:r>
      <w:r>
        <w:t xml:space="preserve">these instruments 10 years ago. The return and cost numbers are those that ESMA reported.</w:t>
      </w:r>
      <w:r>
        <w:t xml:space="preserve"> </w:t>
      </w:r>
      <w:r>
        <w:t xml:space="preserve">Considering the performance of these two categories of products, an investor with a EUR</w:t>
      </w:r>
      <w:r>
        <w:t xml:space="preserve"> </w:t>
      </w:r>
      <w:r>
        <w:t xml:space="preserve">10,000 investment in 2011 would have earned almost EUR 2,000 more by investing in ETFs</w:t>
      </w:r>
      <w:r>
        <w:t xml:space="preserve"> </w:t>
      </w:r>
      <w:r>
        <w:t xml:space="preserve">after 10 years, compared to equity UCITS (one-off costs have not been taken into consideration</w:t>
      </w:r>
      <w:r>
        <w:t xml:space="preserve"> </w:t>
      </w:r>
      <w:r>
        <w:t xml:space="preserve">in any of the scenarios). This is not because ETFs achieved consistently higher performance</w:t>
      </w:r>
      <w:r>
        <w:t xml:space="preserve"> </w:t>
      </w:r>
      <w:r>
        <w:t xml:space="preserve">over the 10 years, but because of the large differences in costs. As ESMA has concluded in its</w:t>
      </w:r>
      <w:r>
        <w:t xml:space="preserve"> </w:t>
      </w:r>
      <w:r>
        <w:t xml:space="preserve">2023 Costs and performance report,</w:t>
      </w:r>
      <w:r>
        <w:t xml:space="preserve"> </w:t>
      </w:r>
      <w:r>
        <w:t xml:space="preserve">‘Costs for active equity and bond UCITS were higher than</w:t>
      </w:r>
      <w:r>
        <w:t xml:space="preserve"> </w:t>
      </w:r>
      <w:r>
        <w:t xml:space="preserve">for passive and UCITS exchange traded funds (ETF), leading to net underperformance of</w:t>
      </w:r>
      <w:r>
        <w:t xml:space="preserve"> </w:t>
      </w:r>
      <w:r>
        <w:t xml:space="preserve">active funds compared to passive and UCITS ETFs’</w:t>
      </w:r>
      <w:r>
        <w:t xml:space="preserve">.</w:t>
      </w:r>
    </w:p>
    <w:p>
      <w:pPr>
        <w:pStyle w:val="BodyText"/>
      </w:pPr>
      <w:r>
        <w:t xml:space="preserve">Equity UCITS</w:t>
      </w:r>
      <w:r>
        <w:t xml:space="preserve"> </w:t>
      </w:r>
      <w:r>
        <w:t xml:space="preserve">Equity UCITS (no inducements)</w:t>
      </w:r>
      <w:r>
        <w:t xml:space="preserve"> </w:t>
      </w:r>
      <w:r>
        <w:t xml:space="preserve">ETF</w:t>
      </w:r>
      <w:r>
        <w:t xml:space="preserve"> </w:t>
      </w:r>
      <w:r>
        <w:t xml:space="preserve">Year</w:t>
      </w:r>
      <w:r>
        <w:t xml:space="preserve"> </w:t>
      </w:r>
      <w:r>
        <w:t xml:space="preserve">Net</w:t>
      </w:r>
      <w:r>
        <w:t xml:space="preserve"> </w:t>
      </w:r>
      <w:r>
        <w:t xml:space="preserve">investment</w:t>
      </w:r>
      <w:r>
        <w:t xml:space="preserve"> </w:t>
      </w:r>
      <w:r>
        <w:t xml:space="preserve">amount</w:t>
      </w:r>
      <w:r>
        <w:t xml:space="preserve"> </w:t>
      </w:r>
      <w:r>
        <w:t xml:space="preserve">(EUR)</w:t>
      </w:r>
      <w:r>
        <w:t xml:space="preserve"> </w:t>
      </w:r>
      <w:r>
        <w:t xml:space="preserve">Gross</w:t>
      </w:r>
      <w:r>
        <w:t xml:space="preserve"> </w:t>
      </w:r>
      <w:r>
        <w:t xml:space="preserve">performan</w:t>
      </w:r>
      <w:r>
        <w:t xml:space="preserve"> </w:t>
      </w:r>
      <w:r>
        <w:t xml:space="preserve">ce (%)</w:t>
      </w:r>
      <w:r>
        <w:t xml:space="preserve"> </w:t>
      </w:r>
      <w:r>
        <w:t xml:space="preserve">Ongoing</w:t>
      </w:r>
      <w:r>
        <w:t xml:space="preserve"> </w:t>
      </w:r>
      <w:r>
        <w:t xml:space="preserve">costs (%)</w:t>
      </w:r>
      <w:r>
        <w:t xml:space="preserve"> </w:t>
      </w:r>
      <w:r>
        <w:t xml:space="preserve">Net investment</w:t>
      </w:r>
      <w:r>
        <w:t xml:space="preserve"> </w:t>
      </w:r>
      <w:r>
        <w:t xml:space="preserve">amount (EUR)</w:t>
      </w:r>
      <w:r>
        <w:t xml:space="preserve"> </w:t>
      </w:r>
      <w:r>
        <w:t xml:space="preserve">Gross</w:t>
      </w:r>
      <w:r>
        <w:t xml:space="preserve"> </w:t>
      </w:r>
      <w:r>
        <w:t xml:space="preserve">performance</w:t>
      </w:r>
      <w:r>
        <w:t xml:space="preserve"> </w:t>
      </w:r>
      <w:r>
        <w:t xml:space="preserve">(%)</w:t>
      </w:r>
      <w:r>
        <w:t xml:space="preserve"> </w:t>
      </w:r>
      <w:r>
        <w:t xml:space="preserve">Ongoing</w:t>
      </w:r>
      <w:r>
        <w:t xml:space="preserve"> </w:t>
      </w:r>
      <w:r>
        <w:t xml:space="preserve">costs (%)</w:t>
      </w:r>
      <w:r>
        <w:t xml:space="preserve"> </w:t>
      </w:r>
      <w:r>
        <w:t xml:space="preserve">Net</w:t>
      </w:r>
      <w:r>
        <w:t xml:space="preserve"> </w:t>
      </w:r>
      <w:r>
        <w:t xml:space="preserve">investment</w:t>
      </w:r>
      <w:r>
        <w:t xml:space="preserve"> </w:t>
      </w:r>
      <w:r>
        <w:t xml:space="preserve">amount</w:t>
      </w:r>
      <w:r>
        <w:t xml:space="preserve"> </w:t>
      </w:r>
      <w:r>
        <w:t xml:space="preserve">(EUR)</w:t>
      </w:r>
      <w:r>
        <w:t xml:space="preserve"> </w:t>
      </w:r>
      <w:r>
        <w:t xml:space="preserve">Gross</w:t>
      </w:r>
      <w:r>
        <w:t xml:space="preserve"> </w:t>
      </w:r>
      <w:r>
        <w:t xml:space="preserve">performa</w:t>
      </w:r>
      <w:r>
        <w:t xml:space="preserve"> </w:t>
      </w:r>
      <w:r>
        <w:t xml:space="preserve">nce (%)</w:t>
      </w:r>
      <w:r>
        <w:t xml:space="preserve"> </w:t>
      </w:r>
      <w:r>
        <w:t xml:space="preserve">Ongoin</w:t>
      </w:r>
      <w:r>
        <w:t xml:space="preserve"> </w:t>
      </w:r>
      <w:r>
        <w:t xml:space="preserve">g costs</w:t>
      </w:r>
      <w:r>
        <w:t xml:space="preserve"> </w:t>
      </w:r>
      <w:r>
        <w:t xml:space="preserve">(%)</w:t>
      </w:r>
      <w:r>
        <w:t xml:space="preserve"> </w:t>
      </w:r>
      <w:r>
        <w:t xml:space="preserve">10000.00</w:t>
      </w:r>
    </w:p>
    <w:p>
      <w:pPr>
        <w:pStyle w:val="BodyText"/>
      </w:pPr>
      <w:r>
        <w:t xml:space="preserve">10000.00</w:t>
      </w:r>
    </w:p>
    <w:p>
      <w:pPr>
        <w:pStyle w:val="BodyText"/>
      </w:pPr>
      <w:r>
        <w:t xml:space="preserve">10000.00</w:t>
      </w:r>
    </w:p>
    <w:p>
      <w:pPr>
        <w:pStyle w:val="BodyText"/>
      </w:pPr>
      <w:r>
        <w:t xml:space="preserve">2011</w:t>
      </w:r>
      <w:r>
        <w:t xml:space="preserve"> </w:t>
      </w:r>
      <w:r>
        <w:t xml:space="preserve">8893.33</w:t>
      </w:r>
      <w:r>
        <w:t xml:space="preserve"> </w:t>
      </w:r>
      <w:r>
        <w:t xml:space="preserve">-9.33</w:t>
      </w:r>
      <w:r>
        <w:br/>
      </w:r>
      <w:r>
        <w:t xml:space="preserve">1.74</w:t>
      </w:r>
      <w:r>
        <w:t xml:space="preserve"> </w:t>
      </w:r>
      <w:r>
        <w:t xml:space="preserve">8928.07</w:t>
      </w:r>
      <w:r>
        <w:t xml:space="preserve"> </w:t>
      </w:r>
      <w:r>
        <w:t xml:space="preserve">-9.33</w:t>
      </w:r>
      <w:r>
        <w:br/>
      </w:r>
      <w:r>
        <w:t xml:space="preserve">1.39</w:t>
      </w:r>
      <w:r>
        <w:t xml:space="preserve"> </w:t>
      </w:r>
      <w:r>
        <w:t xml:space="preserve">9067.95</w:t>
      </w:r>
      <w:r>
        <w:t xml:space="preserve"> </w:t>
      </w:r>
      <w:r>
        <w:t xml:space="preserve">-8.90</w:t>
      </w:r>
      <w:r>
        <w:br/>
      </w:r>
      <w:r>
        <w:t xml:space="preserve">0.43</w:t>
      </w:r>
      <w:r>
        <w:t xml:space="preserve"> </w:t>
      </w:r>
      <w:r>
        <w:t xml:space="preserve">2012</w:t>
      </w:r>
      <w:r>
        <w:t xml:space="preserve"> </w:t>
      </w:r>
      <w:r>
        <w:t xml:space="preserve">10270.01</w:t>
      </w:r>
      <w:r>
        <w:t xml:space="preserve"> </w:t>
      </w:r>
      <w:r>
        <w:t xml:space="preserve">17.18</w:t>
      </w:r>
      <w:r>
        <w:br/>
      </w:r>
      <w:r>
        <w:t xml:space="preserve">1.70</w:t>
      </w:r>
      <w:r>
        <w:t xml:space="preserve"> </w:t>
      </w:r>
      <w:r>
        <w:t xml:space="preserve">10340.54</w:t>
      </w:r>
      <w:r>
        <w:t xml:space="preserve"> </w:t>
      </w:r>
      <w:r>
        <w:t xml:space="preserve">17.18</w:t>
      </w:r>
      <w:r>
        <w:br/>
      </w:r>
      <w:r>
        <w:t xml:space="preserve">1.36</w:t>
      </w:r>
      <w:r>
        <w:t xml:space="preserve"> </w:t>
      </w:r>
      <w:r>
        <w:t xml:space="preserve">10727.05</w:t>
      </w:r>
      <w:r>
        <w:t xml:space="preserve"> </w:t>
      </w:r>
      <w:r>
        <w:t xml:space="preserve">18.67</w:t>
      </w:r>
      <w:r>
        <w:br/>
      </w:r>
      <w:r>
        <w:t xml:space="preserve">0.37</w:t>
      </w:r>
      <w:r>
        <w:t xml:space="preserve"> </w:t>
      </w:r>
      <w:r>
        <w:t xml:space="preserve">2013</w:t>
      </w:r>
      <w:r>
        <w:t xml:space="preserve"> </w:t>
      </w:r>
      <w:r>
        <w:t xml:space="preserve">11733.31</w:t>
      </w:r>
      <w:r>
        <w:t xml:space="preserve"> </w:t>
      </w:r>
      <w:r>
        <w:t xml:space="preserve">15.93</w:t>
      </w:r>
      <w:r>
        <w:br/>
      </w:r>
      <w:r>
        <w:t xml:space="preserve">1.68</w:t>
      </w:r>
      <w:r>
        <w:t xml:space="preserve"> </w:t>
      </w:r>
      <w:r>
        <w:t xml:space="preserve">11848.73</w:t>
      </w:r>
      <w:r>
        <w:t xml:space="preserve"> </w:t>
      </w:r>
      <w:r>
        <w:t xml:space="preserve">15.93</w:t>
      </w:r>
      <w:r>
        <w:br/>
      </w:r>
      <w:r>
        <w:t xml:space="preserve">1.35</w:t>
      </w:r>
      <w:r>
        <w:t xml:space="preserve"> </w:t>
      </w:r>
      <w:r>
        <w:t xml:space="preserve">12423.19</w:t>
      </w:r>
      <w:r>
        <w:t xml:space="preserve"> </w:t>
      </w:r>
      <w:r>
        <w:t xml:space="preserve">16.20</w:t>
      </w:r>
      <w:r>
        <w:br/>
      </w:r>
      <w:r>
        <w:t xml:space="preserve">0.39</w:t>
      </w:r>
      <w:r>
        <w:t xml:space="preserve"> </w:t>
      </w:r>
      <w:r>
        <w:t xml:space="preserve">2014</w:t>
      </w:r>
      <w:r>
        <w:t xml:space="preserve"> </w:t>
      </w:r>
      <w:r>
        <w:t xml:space="preserve">13135.19</w:t>
      </w:r>
      <w:r>
        <w:t xml:space="preserve"> </w:t>
      </w:r>
      <w:r>
        <w:t xml:space="preserve">13.58</w:t>
      </w:r>
      <w:r>
        <w:br/>
      </w:r>
      <w:r>
        <w:t xml:space="preserve">1.64</w:t>
      </w:r>
      <w:r>
        <w:t xml:space="preserve"> </w:t>
      </w:r>
      <w:r>
        <w:t xml:space="preserve">13303.15</w:t>
      </w:r>
      <w:r>
        <w:t xml:space="preserve"> </w:t>
      </w:r>
      <w:r>
        <w:t xml:space="preserve">13.58</w:t>
      </w:r>
      <w:r>
        <w:br/>
      </w:r>
      <w:r>
        <w:t xml:space="preserve">1.31</w:t>
      </w:r>
      <w:r>
        <w:t xml:space="preserve"> </w:t>
      </w:r>
      <w:r>
        <w:t xml:space="preserve">13960.28</w:t>
      </w:r>
      <w:r>
        <w:t xml:space="preserve"> </w:t>
      </w:r>
      <w:r>
        <w:t xml:space="preserve">12.73</w:t>
      </w:r>
      <w:r>
        <w:br/>
      </w:r>
      <w:r>
        <w:t xml:space="preserve">0.36</w:t>
      </w:r>
      <w:r>
        <w:t xml:space="preserve"> </w:t>
      </w:r>
      <w:r>
        <w:t xml:space="preserve">2015</w:t>
      </w:r>
      <w:r>
        <w:t xml:space="preserve"> </w:t>
      </w:r>
      <w:r>
        <w:t xml:space="preserve">14310.81</w:t>
      </w:r>
      <w:r>
        <w:t xml:space="preserve"> </w:t>
      </w:r>
      <w:r>
        <w:t xml:space="preserve">10.57</w:t>
      </w:r>
      <w:r>
        <w:br/>
      </w:r>
      <w:r>
        <w:t xml:space="preserve">1.62</w:t>
      </w:r>
      <w:r>
        <w:t xml:space="preserve"> </w:t>
      </w:r>
      <w:r>
        <w:t xml:space="preserve">14536.91</w:t>
      </w:r>
      <w:r>
        <w:t xml:space="preserve"> </w:t>
      </w:r>
      <w:r>
        <w:t xml:space="preserve">10.57</w:t>
      </w:r>
      <w:r>
        <w:br/>
      </w:r>
      <w:r>
        <w:t xml:space="preserve">1.30</w:t>
      </w:r>
      <w:r>
        <w:t xml:space="preserve"> </w:t>
      </w:r>
      <w:r>
        <w:t xml:space="preserve">15179.74</w:t>
      </w:r>
      <w:r>
        <w:t xml:space="preserve"> </w:t>
      </w:r>
      <w:r>
        <w:t xml:space="preserve">9.07</w:t>
      </w:r>
      <w:r>
        <w:br/>
      </w:r>
      <w:r>
        <w:t xml:space="preserve">0.34</w:t>
      </w:r>
      <w:r>
        <w:t xml:space="preserve"> </w:t>
      </w:r>
      <w:r>
        <w:t xml:space="preserve">2016</w:t>
      </w:r>
      <w:r>
        <w:t xml:space="preserve"> </w:t>
      </w:r>
      <w:r>
        <w:t xml:space="preserve">14946.92</w:t>
      </w:r>
      <w:r>
        <w:t xml:space="preserve"> </w:t>
      </w:r>
      <w:r>
        <w:t xml:space="preserve">6.02</w:t>
      </w:r>
      <w:r>
        <w:br/>
      </w:r>
      <w:r>
        <w:t xml:space="preserve">1.57</w:t>
      </w:r>
      <w:r>
        <w:t xml:space="preserve"> </w:t>
      </w:r>
      <w:r>
        <w:t xml:space="preserve">15228.76</w:t>
      </w:r>
      <w:r>
        <w:t xml:space="preserve"> </w:t>
      </w:r>
      <w:r>
        <w:t xml:space="preserve">6.02</w:t>
      </w:r>
      <w:r>
        <w:br/>
      </w:r>
      <w:r>
        <w:t xml:space="preserve">1.26</w:t>
      </w:r>
      <w:r>
        <w:t xml:space="preserve"> </w:t>
      </w:r>
      <w:r>
        <w:t xml:space="preserve">16356.42</w:t>
      </w:r>
      <w:r>
        <w:t xml:space="preserve"> </w:t>
      </w:r>
      <w:r>
        <w:t xml:space="preserve">8.04</w:t>
      </w:r>
      <w:r>
        <w:br/>
      </w:r>
      <w:r>
        <w:t xml:space="preserve">0.29</w:t>
      </w:r>
      <w:r>
        <w:t xml:space="preserve"> </w:t>
      </w:r>
      <w:r>
        <w:t xml:space="preserve">2017</w:t>
      </w:r>
      <w:r>
        <w:t xml:space="preserve"> </w:t>
      </w:r>
      <w:r>
        <w:t xml:space="preserve">16513.46</w:t>
      </w:r>
      <w:r>
        <w:t xml:space="preserve"> </w:t>
      </w:r>
      <w:r>
        <w:t xml:space="preserve">12.01</w:t>
      </w:r>
      <w:r>
        <w:br/>
      </w:r>
      <w:r>
        <w:t xml:space="preserve">1.53</w:t>
      </w:r>
      <w:r>
        <w:t xml:space="preserve"> </w:t>
      </w:r>
      <w:r>
        <w:t xml:space="preserve">16871.46</w:t>
      </w:r>
      <w:r>
        <w:t xml:space="preserve"> </w:t>
      </w:r>
      <w:r>
        <w:t xml:space="preserve">12.01</w:t>
      </w:r>
      <w:r>
        <w:br/>
      </w:r>
      <w:r>
        <w:t xml:space="preserve">1.22</w:t>
      </w:r>
      <w:r>
        <w:t xml:space="preserve"> </w:t>
      </w:r>
      <w:r>
        <w:t xml:space="preserve">17912.11</w:t>
      </w:r>
      <w:r>
        <w:t xml:space="preserve"> </w:t>
      </w:r>
      <w:r>
        <w:t xml:space="preserve">9.78</w:t>
      </w:r>
      <w:r>
        <w:br/>
      </w:r>
      <w:r>
        <w:t xml:space="preserve">0.27</w:t>
      </w:r>
      <w:r>
        <w:t xml:space="preserve"> </w:t>
      </w:r>
      <w:r>
        <w:t xml:space="preserve">2018</w:t>
      </w:r>
      <w:r>
        <w:t xml:space="preserve"> </w:t>
      </w:r>
      <w:r>
        <w:t xml:space="preserve">14882.31</w:t>
      </w:r>
      <w:r>
        <w:t xml:space="preserve"> </w:t>
      </w:r>
      <w:r>
        <w:t xml:space="preserve">-8.38</w:t>
      </w:r>
      <w:r>
        <w:br/>
      </w:r>
      <w:r>
        <w:t xml:space="preserve">1.50</w:t>
      </w:r>
      <w:r>
        <w:t xml:space="preserve"> </w:t>
      </w:r>
      <w:r>
        <w:t xml:space="preserve">15255.61</w:t>
      </w:r>
      <w:r>
        <w:t xml:space="preserve"> </w:t>
      </w:r>
      <w:r>
        <w:t xml:space="preserve">-8.38</w:t>
      </w:r>
      <w:r>
        <w:br/>
      </w:r>
      <w:r>
        <w:t xml:space="preserve">1.20</w:t>
      </w:r>
      <w:r>
        <w:t xml:space="preserve"> </w:t>
      </w:r>
      <w:r>
        <w:t xml:space="preserve">16505.45</w:t>
      </w:r>
      <w:r>
        <w:t xml:space="preserve"> </w:t>
      </w:r>
      <w:r>
        <w:t xml:space="preserve">-7.59</w:t>
      </w:r>
      <w:r>
        <w:br/>
      </w:r>
      <w:r>
        <w:t xml:space="preserve">0.26</w:t>
      </w:r>
    </w:p>
    <w:p>
      <w:pPr>
        <w:pStyle w:val="BodyText"/>
      </w:pPr>
      <w:r>
        <w:t xml:space="preserve">387 Cost and performance figures from 2011-2020 used for this example were provided by ESMA. They are end-</w:t>
      </w:r>
      <w:r>
        <w:t xml:space="preserve"> </w:t>
      </w:r>
      <w:r>
        <w:t xml:space="preserve">of-year values computed as weighted averages from a sample of retail share classes based on Refinitiv Lipper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18715.97</w:t>
      </w:r>
      <w:r>
        <w:t xml:space="preserve"> </w:t>
      </w:r>
      <w:r>
        <w:t xml:space="preserve">27.22</w:t>
      </w:r>
      <w:r>
        <w:br/>
      </w:r>
      <w:r>
        <w:t xml:space="preserve">1.46</w:t>
      </w:r>
      <w:r>
        <w:t xml:space="preserve"> </w:t>
      </w:r>
      <w:r>
        <w:t xml:space="preserve">19230.00</w:t>
      </w:r>
      <w:r>
        <w:t xml:space="preserve"> </w:t>
      </w:r>
      <w:r>
        <w:t xml:space="preserve">27.22</w:t>
      </w:r>
      <w:r>
        <w:br/>
      </w:r>
      <w:r>
        <w:t xml:space="preserve">1.17</w:t>
      </w:r>
      <w:r>
        <w:t xml:space="preserve"> </w:t>
      </w:r>
      <w:r>
        <w:t xml:space="preserve">21119.84</w:t>
      </w:r>
      <w:r>
        <w:t xml:space="preserve"> </w:t>
      </w:r>
      <w:r>
        <w:t xml:space="preserve">28.21</w:t>
      </w:r>
      <w:r>
        <w:br/>
      </w:r>
      <w:r>
        <w:t xml:space="preserve">0.26</w:t>
      </w:r>
      <w:r>
        <w:t xml:space="preserve"> </w:t>
      </w:r>
      <w:r>
        <w:t xml:space="preserve">2020</w:t>
      </w:r>
      <w:r>
        <w:t xml:space="preserve"> </w:t>
      </w:r>
      <w:r>
        <w:t xml:space="preserve">19901.04</w:t>
      </w:r>
      <w:r>
        <w:t xml:space="preserve"> </w:t>
      </w:r>
      <w:r>
        <w:t xml:space="preserve">7.76</w:t>
      </w:r>
      <w:r>
        <w:br/>
      </w:r>
      <w:r>
        <w:t xml:space="preserve">1.43</w:t>
      </w:r>
      <w:r>
        <w:t xml:space="preserve"> </w:t>
      </w:r>
      <w:r>
        <w:t xml:space="preserve">20502.47</w:t>
      </w:r>
      <w:r>
        <w:t xml:space="preserve"> </w:t>
      </w:r>
      <w:r>
        <w:t xml:space="preserve">7.76</w:t>
      </w:r>
      <w:r>
        <w:br/>
      </w:r>
      <w:r>
        <w:t xml:space="preserve">1.14</w:t>
      </w:r>
      <w:r>
        <w:t xml:space="preserve"> </w:t>
      </w:r>
      <w:r>
        <w:t xml:space="preserve">21888.03</w:t>
      </w:r>
      <w:r>
        <w:t xml:space="preserve"> </w:t>
      </w:r>
      <w:r>
        <w:t xml:space="preserve">3.87</w:t>
      </w:r>
      <w:r>
        <w:br/>
      </w:r>
      <w:r>
        <w:t xml:space="preserve">0.24</w:t>
      </w:r>
    </w:p>
    <w:p>
      <w:pPr>
        <w:pStyle w:val="BodyText"/>
      </w:pPr>
      <w:r>
        <w:t xml:space="preserve">This simplified analysis comes with some limitations. In particular, performance and cost rates</w:t>
      </w:r>
      <w:r>
        <w:t xml:space="preserve"> </w:t>
      </w:r>
      <w:r>
        <w:t xml:space="preserve">are specific to the time period and might look very different in the future. However, the lower</w:t>
      </w:r>
      <w:r>
        <w:t xml:space="preserve"> </w:t>
      </w:r>
      <w:r>
        <w:t xml:space="preserve">costs provide a useful buffer for investors even when performance is lagging behind. More</w:t>
      </w:r>
      <w:r>
        <w:t xml:space="preserve"> </w:t>
      </w:r>
      <w:r>
        <w:t xml:space="preserve">expensive, actively-managed products are from the start setting the bar higher for their</w:t>
      </w:r>
      <w:r>
        <w:t xml:space="preserve"> </w:t>
      </w:r>
      <w:r>
        <w:t xml:space="preserve">managers, who need to achieve higher returns just to offset the higher costs.</w:t>
      </w:r>
      <w:r>
        <w:br/>
      </w:r>
      <w:r>
        <w:t xml:space="preserve">Keeping in mind that equity UCITS share classes sold to retail investors often carry</w:t>
      </w:r>
      <w:r>
        <w:t xml:space="preserve"> </w:t>
      </w:r>
      <w:r>
        <w:t xml:space="preserve">inducements, a further scenario shows the outcome of the investment if the costs of the equity</w:t>
      </w:r>
      <w:r>
        <w:t xml:space="preserve"> </w:t>
      </w:r>
      <w:r>
        <w:t xml:space="preserve">UCITS would have been 25% lower (corresponding to an absence of inducements). This</w:t>
      </w:r>
      <w:r>
        <w:t xml:space="preserve"> </w:t>
      </w:r>
      <w:r>
        <w:t xml:space="preserve">reduction in costs would have improved the investment outcome by around EUR 600 at the</w:t>
      </w:r>
      <w:r>
        <w:t xml:space="preserve"> </w:t>
      </w:r>
      <w:r>
        <w:t xml:space="preserve">end of the investment period relative to an equity UCITS that carried inducements. The</w:t>
      </w:r>
      <w:r>
        <w:t xml:space="preserve"> </w:t>
      </w:r>
      <w:r>
        <w:t xml:space="preserve">investment return would still be almost 1400 EUR below those of the corresponding equity</w:t>
      </w:r>
      <w:r>
        <w:t xml:space="preserve"> </w:t>
      </w:r>
      <w:r>
        <w:t xml:space="preserve">ETF.</w:t>
      </w:r>
      <w:r>
        <w:t xml:space="preserve"> </w:t>
      </w:r>
      <w:r>
        <w:t xml:space="preserve">PART D – Market Structure Overview</w:t>
      </w:r>
      <w:r>
        <w:br/>
      </w:r>
      <w:r>
        <w:t xml:space="preserve">1. Overview Markets in financial instruments</w:t>
      </w:r>
      <w:r>
        <w:br/>
      </w:r>
      <w:r>
        <w:t xml:space="preserve">The Markets in Financial Instruments Directive11 (MiFID) governs securities markets, the</w:t>
      </w:r>
      <w:r>
        <w:t xml:space="preserve"> </w:t>
      </w:r>
      <w:r>
        <w:t xml:space="preserve">provision of investment services in the EU and the authorization of investment firms.</w:t>
      </w:r>
      <w:r>
        <w:br/>
      </w:r>
      <w:r>
        <w:t xml:space="preserve">Investment firms</w:t>
      </w:r>
      <w:r>
        <w:br/>
      </w:r>
      <w:r>
        <w:t xml:space="preserve">Investment firms are authorized entities that perform various services for investors in</w:t>
      </w:r>
      <w:r>
        <w:t xml:space="preserve"> </w:t>
      </w:r>
      <w:r>
        <w:t xml:space="preserve">financial instruments. These firms operate in a diverse universe in which there are</w:t>
      </w:r>
      <w:r>
        <w:t xml:space="preserve"> </w:t>
      </w:r>
      <w:r>
        <w:t xml:space="preserve">differences in terms of size, business model and complexity. The EU market for investment</w:t>
      </w:r>
      <w:r>
        <w:t xml:space="preserve"> </w:t>
      </w:r>
      <w:r>
        <w:t xml:space="preserve">firms is large with 5,494 registered investment firms, some of them being banks. The chart</w:t>
      </w:r>
      <w:r>
        <w:t xml:space="preserve"> </w:t>
      </w:r>
      <w:r>
        <w:t xml:space="preserve">below provides an overview of the number investment firms in the EU per Member State.</w:t>
      </w:r>
    </w:p>
    <w:p>
      <w:pPr>
        <w:pStyle w:val="BodyText"/>
      </w:pPr>
      <w:r>
        <w:t xml:space="preserve">Figure 7.10 Source: ESMA Registers – list auf authorised investment firms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In terms of geographical distribution, the market is asymmetric, with most investment</w:t>
      </w:r>
      <w:r>
        <w:t xml:space="preserve"> </w:t>
      </w:r>
      <w:r>
        <w:t xml:space="preserve">firms concentrated in only a few countries. While over 2,000 firms are registered in</w:t>
      </w:r>
      <w:r>
        <w:t xml:space="preserve"> </w:t>
      </w:r>
      <w:r>
        <w:t xml:space="preserve">Germany, Austria is the second largest host with 514 investment firms, followed by Italy,</w:t>
      </w:r>
      <w:r>
        <w:t xml:space="preserve"> </w:t>
      </w:r>
      <w:r>
        <w:t xml:space="preserve">Spain and France, where 497, 352 and 294 companies are domiciled respectively. The</w:t>
      </w:r>
      <w:r>
        <w:t xml:space="preserve"> </w:t>
      </w:r>
      <w:r>
        <w:t xml:space="preserve">smallest number of authorized investment firms is in Slovenia, Estonia, and Lithuania</w:t>
      </w:r>
      <w:r>
        <w:t xml:space="preserve"> </w:t>
      </w:r>
      <w:r>
        <w:t xml:space="preserve">which count altogether 37 registered companies.</w:t>
      </w:r>
    </w:p>
    <w:p>
      <w:pPr>
        <w:pStyle w:val="BodyText"/>
      </w:pPr>
      <w:r>
        <w:t xml:space="preserve">Figure 7.11 Source: ESMA Registers – list auf authorised investment firms</w:t>
      </w:r>
      <w:r>
        <w:t xml:space="preserve"> </w:t>
      </w:r>
      <w:r>
        <w:t xml:space="preserve">The number of authorized investment firms grew on average by 170 companies per year</w:t>
      </w:r>
      <w:r>
        <w:t xml:space="preserve"> </w:t>
      </w:r>
      <w:r>
        <w:t xml:space="preserve">(Figure 7.11). The highest number of registrations occurred in 2018 and 2019, when 282</w:t>
      </w:r>
      <w:r>
        <w:t xml:space="preserve"> </w:t>
      </w:r>
      <w:r>
        <w:t xml:space="preserve">and 198 companies respectively applied for a MiFID license.</w:t>
      </w:r>
      <w:r>
        <w:br/>
      </w:r>
      <w:r>
        <w:t xml:space="preserve">Investments in MiFID products</w:t>
      </w:r>
      <w:r>
        <w:br/>
      </w:r>
      <w:r>
        <w:t xml:space="preserve">MiFID II covers investment services relating to many asset classes, ranging from stocks</w:t>
      </w:r>
      <w:r>
        <w:t xml:space="preserve"> </w:t>
      </w:r>
      <w:r>
        <w:t xml:space="preserve">and bonds to investment funds and derivatives. The chart below shows the size of the</w:t>
      </w:r>
      <w:r>
        <w:t xml:space="preserve"> </w:t>
      </w:r>
      <w:r>
        <w:t xml:space="preserve">MiFID market in the EU 27 by country, including its evolution between 2017-2021.388 In</w:t>
      </w:r>
      <w:r>
        <w:t xml:space="preserve"> </w:t>
      </w:r>
      <w:r>
        <w:t xml:space="preserve">2021, investments in MiFID products were valued at EUR 54.453 billion in the EU. This</w:t>
      </w:r>
      <w:r>
        <w:t xml:space="preserve"> </w:t>
      </w:r>
      <w:r>
        <w:t xml:space="preserve">number increased by 10% against the previous year, in line with the positive trends in 2020</w:t>
      </w:r>
      <w:r>
        <w:t xml:space="preserve"> </w:t>
      </w:r>
      <w:r>
        <w:t xml:space="preserve">and 2019 when the stock grew 4% and 12% respectively.</w:t>
      </w:r>
      <w:r>
        <w:br/>
      </w:r>
      <w:r>
        <w:t xml:space="preserve">At national level, the largest market by some way is Italy, where EUR 14,734 billion in</w:t>
      </w:r>
      <w:r>
        <w:t xml:space="preserve"> </w:t>
      </w:r>
      <w:r>
        <w:t xml:space="preserve">assets are held. Compared to the rest of the EU, the Italian market accounts for 27% of all</w:t>
      </w:r>
      <w:r>
        <w:t xml:space="preserve"> </w:t>
      </w:r>
      <w:r>
        <w:t xml:space="preserve">MiFID assets. The other major markets are Germany, France, Spain and Sweden, which</w:t>
      </w:r>
      <w:r>
        <w:t xml:space="preserve"> </w:t>
      </w:r>
      <w:r>
        <w:t xml:space="preserve">account for approximately 50% of the EU market. The value of MiFID assets in those</w:t>
      </w:r>
      <w:r>
        <w:t xml:space="preserve"> </w:t>
      </w:r>
      <w:r>
        <w:t xml:space="preserve">countries comprised respectively EUR 9,772 billion EUR 6,539 billion, EUR 6,505 billion</w:t>
      </w:r>
      <w:r>
        <w:t xml:space="preserve"> </w:t>
      </w:r>
      <w:r>
        <w:t xml:space="preserve">and EUR 5,486 billion. The smallest markets in terms of absolute holdings in MiFID assets</w:t>
      </w:r>
      <w:r>
        <w:t xml:space="preserve"> </w:t>
      </w:r>
      <w:r>
        <w:t xml:space="preserve">are Cyprus (EUR 30 billion) and the Malta (EUR 28 billion)389.</w:t>
      </w:r>
    </w:p>
    <w:p>
      <w:pPr>
        <w:pStyle w:val="BodyText"/>
      </w:pPr>
      <w:r>
        <w:t xml:space="preserve">Financial assets: MiFID products (total economy)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  <w:r>
        <w:t xml:space="preserve"> </w:t>
      </w:r>
      <w:r>
        <w:t xml:space="preserve">2018</w:t>
      </w:r>
      <w:r>
        <w:t xml:space="preserve"> </w:t>
      </w:r>
      <w:r>
        <w:t xml:space="preserve">2017</w:t>
      </w:r>
      <w:r>
        <w:t xml:space="preserve"> </w:t>
      </w:r>
      <w:r>
        <w:t xml:space="preserve">EU - 27</w:t>
      </w:r>
      <w:r>
        <w:t xml:space="preserve"> </w:t>
      </w:r>
      <w:r>
        <w:t xml:space="preserve">54.452.803</w:t>
      </w:r>
      <w:r>
        <w:t xml:space="preserve"> </w:t>
      </w:r>
      <w:r>
        <w:t xml:space="preserve">49.264.054</w:t>
      </w:r>
      <w:r>
        <w:t xml:space="preserve"> </w:t>
      </w:r>
      <w:r>
        <w:t xml:space="preserve">47.245.598</w:t>
      </w:r>
      <w:r>
        <w:t xml:space="preserve"> </w:t>
      </w:r>
      <w:r>
        <w:t xml:space="preserve">41.981.968</w:t>
      </w:r>
      <w:r>
        <w:t xml:space="preserve"> </w:t>
      </w:r>
      <w:r>
        <w:t xml:space="preserve">42.397.940</w:t>
      </w:r>
    </w:p>
    <w:p>
      <w:pPr>
        <w:pStyle w:val="BodyText"/>
      </w:pPr>
      <w:r>
        <w:t xml:space="preserve">388 X-axis: 1 = year 2016, 7 = year 2021</w:t>
      </w:r>
      <w:r>
        <w:t xml:space="preserve"> </w:t>
      </w:r>
      <w:r>
        <w:t xml:space="preserve">389 Data sourced from Eurostat – financial balance sheets.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IT</w:t>
      </w:r>
      <w:r>
        <w:t xml:space="preserve"> </w:t>
      </w:r>
      <w:r>
        <w:t xml:space="preserve">14.734.409</w:t>
      </w:r>
      <w:r>
        <w:t xml:space="preserve"> </w:t>
      </w:r>
      <w:r>
        <w:t xml:space="preserve">13.436.341</w:t>
      </w:r>
      <w:r>
        <w:t xml:space="preserve"> </w:t>
      </w:r>
      <w:r>
        <w:t xml:space="preserve">12.330.496</w:t>
      </w:r>
      <w:r>
        <w:t xml:space="preserve"> </w:t>
      </w:r>
      <w:r>
        <w:t xml:space="preserve">10.808.504</w:t>
      </w:r>
      <w:r>
        <w:t xml:space="preserve"> </w:t>
      </w:r>
      <w:r>
        <w:t xml:space="preserve">10.628.464</w:t>
      </w:r>
      <w:r>
        <w:t xml:space="preserve"> </w:t>
      </w:r>
      <w:r>
        <w:t xml:space="preserve">DE</w:t>
      </w:r>
      <w:r>
        <w:t xml:space="preserve"> </w:t>
      </w:r>
      <w:r>
        <w:t xml:space="preserve">9.772.021</w:t>
      </w:r>
      <w:r>
        <w:t xml:space="preserve"> </w:t>
      </w:r>
      <w:r>
        <w:t xml:space="preserve">8.730.257</w:t>
      </w:r>
      <w:r>
        <w:t xml:space="preserve"> </w:t>
      </w:r>
      <w:r>
        <w:t xml:space="preserve">8.716.851</w:t>
      </w:r>
      <w:r>
        <w:t xml:space="preserve"> </w:t>
      </w:r>
      <w:r>
        <w:t xml:space="preserve">8.107.777</w:t>
      </w:r>
      <w:r>
        <w:t xml:space="preserve"> </w:t>
      </w:r>
      <w:r>
        <w:t xml:space="preserve">8.407.123</w:t>
      </w:r>
      <w:r>
        <w:t xml:space="preserve"> </w:t>
      </w:r>
      <w:r>
        <w:t xml:space="preserve">FR</w:t>
      </w:r>
      <w:r>
        <w:t xml:space="preserve"> </w:t>
      </w:r>
      <w:r>
        <w:t xml:space="preserve">6.539.223</w:t>
      </w:r>
      <w:r>
        <w:t xml:space="preserve"> </w:t>
      </w:r>
      <w:r>
        <w:t xml:space="preserve">6.343.626</w:t>
      </w:r>
      <w:r>
        <w:t xml:space="preserve"> </w:t>
      </w:r>
      <w:r>
        <w:t xml:space="preserve">6.439.875</w:t>
      </w:r>
      <w:r>
        <w:t xml:space="preserve"> </w:t>
      </w:r>
      <w:r>
        <w:t xml:space="preserve">5.820.112</w:t>
      </w:r>
      <w:r>
        <w:t xml:space="preserve"> </w:t>
      </w:r>
      <w:r>
        <w:t xml:space="preserve">5.991.771</w:t>
      </w:r>
      <w:r>
        <w:t xml:space="preserve"> </w:t>
      </w:r>
      <w:r>
        <w:t xml:space="preserve">ES</w:t>
      </w:r>
      <w:r>
        <w:t xml:space="preserve"> </w:t>
      </w:r>
      <w:r>
        <w:t xml:space="preserve">6.505.778</w:t>
      </w:r>
      <w:r>
        <w:t xml:space="preserve"> </w:t>
      </w:r>
      <w:r>
        <w:t xml:space="preserve">5.327.009</w:t>
      </w:r>
      <w:r>
        <w:t xml:space="preserve"> </w:t>
      </w:r>
      <w:r>
        <w:t xml:space="preserve">4.972.817</w:t>
      </w:r>
      <w:r>
        <w:t xml:space="preserve"> </w:t>
      </w:r>
      <w:r>
        <w:t xml:space="preserve">3.999.807</w:t>
      </w:r>
      <w:r>
        <w:t xml:space="preserve"> </w:t>
      </w:r>
      <w:r>
        <w:t xml:space="preserve">3.930.405</w:t>
      </w:r>
      <w:r>
        <w:t xml:space="preserve"> </w:t>
      </w:r>
      <w:r>
        <w:t xml:space="preserve">SE</w:t>
      </w:r>
      <w:r>
        <w:t xml:space="preserve"> </w:t>
      </w:r>
      <w:r>
        <w:t xml:space="preserve">5.486.992</w:t>
      </w:r>
      <w:r>
        <w:t xml:space="preserve"> </w:t>
      </w:r>
      <w:r>
        <w:t xml:space="preserve">5.043.030</w:t>
      </w:r>
      <w:r>
        <w:t xml:space="preserve"> </w:t>
      </w:r>
      <w:r>
        <w:t xml:space="preserve">4.860.483</w:t>
      </w:r>
      <w:r>
        <w:t xml:space="preserve"> </w:t>
      </w:r>
      <w:r>
        <w:t xml:space="preserve">4.414.723</w:t>
      </w:r>
      <w:r>
        <w:t xml:space="preserve"> </w:t>
      </w:r>
      <w:r>
        <w:t xml:space="preserve">4.491.499</w:t>
      </w:r>
      <w:r>
        <w:t xml:space="preserve"> </w:t>
      </w:r>
      <w:r>
        <w:t xml:space="preserve">BE</w:t>
      </w:r>
      <w:r>
        <w:t xml:space="preserve"> </w:t>
      </w:r>
      <w:r>
        <w:t xml:space="preserve">2.473.563</w:t>
      </w:r>
      <w:r>
        <w:t xml:space="preserve"> </w:t>
      </w:r>
      <w:r>
        <w:t xml:space="preserve">2.267.220</w:t>
      </w:r>
      <w:r>
        <w:t xml:space="preserve"> </w:t>
      </w:r>
      <w:r>
        <w:t xml:space="preserve">2.166.443</w:t>
      </w:r>
      <w:r>
        <w:t xml:space="preserve"> </w:t>
      </w:r>
      <w:r>
        <w:t xml:space="preserve">1.961.724</w:t>
      </w:r>
      <w:r>
        <w:t xml:space="preserve"> </w:t>
      </w:r>
      <w:r>
        <w:t xml:space="preserve">1.968.126</w:t>
      </w:r>
      <w:r>
        <w:t xml:space="preserve"> </w:t>
      </w:r>
      <w:r>
        <w:t xml:space="preserve">DK</w:t>
      </w:r>
      <w:r>
        <w:t xml:space="preserve"> </w:t>
      </w:r>
      <w:r>
        <w:t xml:space="preserve">1.529.268</w:t>
      </w:r>
      <w:r>
        <w:t xml:space="preserve"> </w:t>
      </w:r>
      <w:r>
        <w:t xml:space="preserve">1.403.296</w:t>
      </w:r>
      <w:r>
        <w:t xml:space="preserve"> </w:t>
      </w:r>
      <w:r>
        <w:t xml:space="preserve">1.369.534</w:t>
      </w:r>
      <w:r>
        <w:t xml:space="preserve"> </w:t>
      </w:r>
      <w:r>
        <w:t xml:space="preserve">1.208.871</w:t>
      </w:r>
      <w:r>
        <w:t xml:space="preserve"> </w:t>
      </w:r>
      <w:r>
        <w:t xml:space="preserve">1.323.225</w:t>
      </w:r>
      <w:r>
        <w:t xml:space="preserve"> </w:t>
      </w:r>
      <w:r>
        <w:t xml:space="preserve">NL</w:t>
      </w:r>
      <w:r>
        <w:t xml:space="preserve"> </w:t>
      </w:r>
      <w:r>
        <w:t xml:space="preserve">1.657.308</w:t>
      </w:r>
      <w:r>
        <w:t xml:space="preserve"> </w:t>
      </w:r>
      <w:r>
        <w:t xml:space="preserve">1.511.078</w:t>
      </w:r>
      <w:r>
        <w:t xml:space="preserve"> </w:t>
      </w:r>
      <w:r>
        <w:t xml:space="preserve">1.484.561</w:t>
      </w:r>
      <w:r>
        <w:t xml:space="preserve"> </w:t>
      </w:r>
      <w:r>
        <w:t xml:space="preserve">1.366.437</w:t>
      </w:r>
      <w:r>
        <w:t xml:space="preserve"> </w:t>
      </w:r>
      <w:r>
        <w:t xml:space="preserve">1.312.058</w:t>
      </w:r>
      <w:r>
        <w:t xml:space="preserve"> </w:t>
      </w:r>
      <w:r>
        <w:t xml:space="preserve">AT</w:t>
      </w:r>
      <w:r>
        <w:t xml:space="preserve"> </w:t>
      </w:r>
      <w:r>
        <w:t xml:space="preserve">1.259.408</w:t>
      </w:r>
      <w:r>
        <w:t xml:space="preserve"> </w:t>
      </w:r>
      <w:r>
        <w:t xml:space="preserve">1.089.942</w:t>
      </w:r>
      <w:r>
        <w:t xml:space="preserve"> </w:t>
      </w:r>
      <w:r>
        <w:t xml:space="preserve">1.012.199</w:t>
      </w:r>
      <w:r>
        <w:t xml:space="preserve"> </w:t>
      </w:r>
      <w:r>
        <w:t xml:space="preserve">877.726</w:t>
      </w:r>
      <w:r>
        <w:t xml:space="preserve"> </w:t>
      </w:r>
      <w:r>
        <w:t xml:space="preserve">945.246</w:t>
      </w:r>
      <w:r>
        <w:t xml:space="preserve"> </w:t>
      </w:r>
      <w:r>
        <w:t xml:space="preserve">FI</w:t>
      </w:r>
      <w:r>
        <w:t xml:space="preserve"> </w:t>
      </w:r>
      <w:r>
        <w:t xml:space="preserve">1.003.122</w:t>
      </w:r>
      <w:r>
        <w:t xml:space="preserve"> </w:t>
      </w:r>
      <w:r>
        <w:t xml:space="preserve">926.434</w:t>
      </w:r>
      <w:r>
        <w:t xml:space="preserve"> </w:t>
      </w:r>
      <w:r>
        <w:t xml:space="preserve">832.292</w:t>
      </w:r>
      <w:r>
        <w:t xml:space="preserve"> </w:t>
      </w:r>
      <w:r>
        <w:t xml:space="preserve">688.163</w:t>
      </w:r>
      <w:r>
        <w:t xml:space="preserve"> </w:t>
      </w:r>
      <w:r>
        <w:t xml:space="preserve">674.933</w:t>
      </w:r>
      <w:r>
        <w:t xml:space="preserve"> </w:t>
      </w:r>
      <w:r>
        <w:t xml:space="preserve">PL</w:t>
      </w:r>
      <w:r>
        <w:t xml:space="preserve"> </w:t>
      </w:r>
      <w:r>
        <w:t xml:space="preserve">605.417</w:t>
      </w:r>
      <w:r>
        <w:t xml:space="preserve"> </w:t>
      </w:r>
      <w:r>
        <w:t xml:space="preserve">552.068</w:t>
      </w:r>
      <w:r>
        <w:t xml:space="preserve"> </w:t>
      </w:r>
      <w:r>
        <w:t xml:space="preserve">550.534</w:t>
      </w:r>
      <w:r>
        <w:t xml:space="preserve"> </w:t>
      </w:r>
      <w:r>
        <w:t xml:space="preserve">498.111</w:t>
      </w:r>
      <w:r>
        <w:t xml:space="preserve"> </w:t>
      </w:r>
      <w:r>
        <w:t xml:space="preserve">459.431</w:t>
      </w:r>
      <w:r>
        <w:t xml:space="preserve"> </w:t>
      </w:r>
      <w:r>
        <w:t xml:space="preserve">PT</w:t>
      </w:r>
      <w:r>
        <w:t xml:space="preserve"> </w:t>
      </w:r>
      <w:r>
        <w:t xml:space="preserve">612.220</w:t>
      </w:r>
      <w:r>
        <w:t xml:space="preserve"> </w:t>
      </w:r>
      <w:r>
        <w:t xml:space="preserve">549.219</w:t>
      </w:r>
      <w:r>
        <w:t xml:space="preserve"> </w:t>
      </w:r>
      <w:r>
        <w:t xml:space="preserve">540.101</w:t>
      </w:r>
      <w:r>
        <w:t xml:space="preserve"> </w:t>
      </w:r>
      <w:r>
        <w:t xml:space="preserve">510.407</w:t>
      </w:r>
      <w:r>
        <w:t xml:space="preserve"> </w:t>
      </w:r>
      <w:r>
        <w:t xml:space="preserve">553.957</w:t>
      </w:r>
      <w:r>
        <w:t xml:space="preserve"> </w:t>
      </w:r>
      <w:r>
        <w:t xml:space="preserve">CY</w:t>
      </w:r>
      <w:r>
        <w:t xml:space="preserve"> </w:t>
      </w:r>
      <w:r>
        <w:t xml:space="preserve">352.826</w:t>
      </w:r>
      <w:r>
        <w:t xml:space="preserve"> </w:t>
      </w:r>
      <w:r>
        <w:t xml:space="preserve">381.083</w:t>
      </w:r>
      <w:r>
        <w:t xml:space="preserve"> </w:t>
      </w:r>
      <w:r>
        <w:t xml:space="preserve">422.890</w:t>
      </w:r>
      <w:r>
        <w:t xml:space="preserve"> </w:t>
      </w:r>
      <w:r>
        <w:t xml:space="preserve">391.861</w:t>
      </w:r>
      <w:r>
        <w:t xml:space="preserve"> </w:t>
      </w:r>
      <w:r>
        <w:t xml:space="preserve">398.053</w:t>
      </w:r>
      <w:r>
        <w:t xml:space="preserve"> </w:t>
      </w:r>
      <w:r>
        <w:t xml:space="preserve">EL</w:t>
      </w:r>
      <w:r>
        <w:t xml:space="preserve"> </w:t>
      </w:r>
      <w:r>
        <w:t xml:space="preserve">287.391</w:t>
      </w:r>
      <w:r>
        <w:t xml:space="preserve"> </w:t>
      </w:r>
      <w:r>
        <w:t xml:space="preserve">257.395</w:t>
      </w:r>
      <w:r>
        <w:t xml:space="preserve"> </w:t>
      </w:r>
      <w:r>
        <w:t xml:space="preserve">194.793</w:t>
      </w:r>
      <w:r>
        <w:t xml:space="preserve"> </w:t>
      </w:r>
      <w:r>
        <w:t xml:space="preserve">136.572</w:t>
      </w:r>
      <w:r>
        <w:t xml:space="preserve"> </w:t>
      </w:r>
      <w:r>
        <w:t xml:space="preserve">193.957</w:t>
      </w:r>
      <w:r>
        <w:t xml:space="preserve"> </w:t>
      </w:r>
      <w:r>
        <w:t xml:space="preserve">HU</w:t>
      </w:r>
      <w:r>
        <w:t xml:space="preserve"> </w:t>
      </w:r>
      <w:r>
        <w:t xml:space="preserve">187.554</w:t>
      </w:r>
      <w:r>
        <w:t xml:space="preserve"> </w:t>
      </w:r>
      <w:r>
        <w:t xml:space="preserve">173.381</w:t>
      </w:r>
      <w:r>
        <w:t xml:space="preserve"> </w:t>
      </w:r>
      <w:r>
        <w:t xml:space="preserve">166.983</w:t>
      </w:r>
      <w:r>
        <w:t xml:space="preserve"> </w:t>
      </w:r>
      <w:r>
        <w:t xml:space="preserve">158.646</w:t>
      </w:r>
      <w:r>
        <w:t xml:space="preserve"> </w:t>
      </w:r>
      <w:r>
        <w:t xml:space="preserve">153.054</w:t>
      </w:r>
      <w:r>
        <w:t xml:space="preserve"> </w:t>
      </w:r>
      <w:r>
        <w:t xml:space="preserve">IE</w:t>
      </w:r>
      <w:r>
        <w:t xml:space="preserve"> </w:t>
      </w:r>
      <w:r>
        <w:t xml:space="preserve">233.937</w:t>
      </w:r>
      <w:r>
        <w:t xml:space="preserve"> </w:t>
      </w:r>
      <w:r>
        <w:t xml:space="preserve">223.164</w:t>
      </w:r>
      <w:r>
        <w:t xml:space="preserve"> </w:t>
      </w:r>
      <w:r>
        <w:t xml:space="preserve">218.851</w:t>
      </w:r>
      <w:r>
        <w:t xml:space="preserve"> </w:t>
      </w:r>
      <w:r>
        <w:t xml:space="preserve">196.324</w:t>
      </w:r>
      <w:r>
        <w:t xml:space="preserve"> </w:t>
      </w:r>
      <w:r>
        <w:t xml:space="preserve">198.692</w:t>
      </w:r>
      <w:r>
        <w:t xml:space="preserve"> </w:t>
      </w:r>
      <w:r>
        <w:t xml:space="preserve">BG</w:t>
      </w:r>
      <w:r>
        <w:t xml:space="preserve"> </w:t>
      </w:r>
      <w:r>
        <w:t xml:space="preserve">189.323</w:t>
      </w:r>
      <w:r>
        <w:t xml:space="preserve"> </w:t>
      </w:r>
      <w:r>
        <w:t xml:space="preserve">169.139</w:t>
      </w:r>
      <w:r>
        <w:t xml:space="preserve"> </w:t>
      </w:r>
      <w:r>
        <w:t xml:space="preserve">147.418</w:t>
      </w:r>
      <w:r>
        <w:t xml:space="preserve"> </w:t>
      </w:r>
      <w:r>
        <w:t xml:space="preserve">128.237</w:t>
      </w:r>
      <w:r>
        <w:t xml:space="preserve"> </w:t>
      </w:r>
      <w:r>
        <w:t xml:space="preserve">115.767</w:t>
      </w:r>
      <w:r>
        <w:t xml:space="preserve"> </w:t>
      </w:r>
      <w:r>
        <w:t xml:space="preserve">RO</w:t>
      </w:r>
      <w:r>
        <w:t xml:space="preserve"> </w:t>
      </w:r>
      <w:r>
        <w:t xml:space="preserve">215.438</w:t>
      </w:r>
      <w:r>
        <w:t xml:space="preserve"> </w:t>
      </w:r>
      <w:r>
        <w:t xml:space="preserve">165.152</w:t>
      </w:r>
      <w:r>
        <w:t xml:space="preserve"> </w:t>
      </w:r>
      <w:r>
        <w:t xml:space="preserve">152.511</w:t>
      </w:r>
      <w:r>
        <w:t xml:space="preserve"> </w:t>
      </w:r>
      <w:r>
        <w:t xml:space="preserve">139.216</w:t>
      </w:r>
      <w:r>
        <w:t xml:space="preserve"> </w:t>
      </w:r>
      <w:r>
        <w:t xml:space="preserve">129.411</w:t>
      </w:r>
      <w:r>
        <w:t xml:space="preserve"> </w:t>
      </w:r>
      <w:r>
        <w:t xml:space="preserve">LU</w:t>
      </w:r>
      <w:r>
        <w:t xml:space="preserve"> </w:t>
      </w:r>
      <w:r>
        <w:t xml:space="preserve">86.551</w:t>
      </w:r>
      <w:r>
        <w:t xml:space="preserve"> </w:t>
      </w:r>
      <w:r>
        <w:t xml:space="preserve">79.466</w:t>
      </w:r>
      <w:r>
        <w:t xml:space="preserve"> </w:t>
      </w:r>
      <w:r>
        <w:t xml:space="preserve">80.130</w:t>
      </w:r>
      <w:r>
        <w:t xml:space="preserve"> </w:t>
      </w:r>
      <w:r>
        <w:t xml:space="preserve">71.149</w:t>
      </w:r>
      <w:r>
        <w:t xml:space="preserve"> </w:t>
      </w:r>
      <w:r>
        <w:t xml:space="preserve">67.540</w:t>
      </w:r>
      <w:r>
        <w:t xml:space="preserve"> </w:t>
      </w:r>
      <w:r>
        <w:t xml:space="preserve">EE</w:t>
      </w:r>
      <w:r>
        <w:t xml:space="preserve"> </w:t>
      </w:r>
      <w:r>
        <w:t xml:space="preserve">181.604</w:t>
      </w:r>
      <w:r>
        <w:t xml:space="preserve"> </w:t>
      </w:r>
      <w:r>
        <w:t xml:space="preserve">150.063</w:t>
      </w:r>
      <w:r>
        <w:t xml:space="preserve"> </w:t>
      </w:r>
      <w:r>
        <w:t xml:space="preserve">143.346</w:t>
      </w:r>
      <w:r>
        <w:t xml:space="preserve"> </w:t>
      </w:r>
      <w:r>
        <w:t xml:space="preserve">134.652</w:t>
      </w:r>
      <w:r>
        <w:t xml:space="preserve"> </w:t>
      </w:r>
      <w:r>
        <w:t xml:space="preserve">134.333</w:t>
      </w:r>
      <w:r>
        <w:t xml:space="preserve"> </w:t>
      </w:r>
      <w:r>
        <w:t xml:space="preserve">LT</w:t>
      </w:r>
      <w:r>
        <w:t xml:space="preserve"> </w:t>
      </w:r>
      <w:r>
        <w:t xml:space="preserve">211.175</w:t>
      </w:r>
      <w:r>
        <w:t xml:space="preserve"> </w:t>
      </w:r>
      <w:r>
        <w:t xml:space="preserve">182.538</w:t>
      </w:r>
      <w:r>
        <w:t xml:space="preserve"> </w:t>
      </w:r>
      <w:r>
        <w:t xml:space="preserve">158.768</w:t>
      </w:r>
      <w:r>
        <w:t xml:space="preserve"> </w:t>
      </w:r>
      <w:r>
        <w:t xml:space="preserve">129.932</w:t>
      </w:r>
      <w:r>
        <w:t xml:space="preserve"> </w:t>
      </w:r>
      <w:r>
        <w:t xml:space="preserve">128.952</w:t>
      </w:r>
      <w:r>
        <w:t xml:space="preserve"> </w:t>
      </w:r>
      <w:r>
        <w:t xml:space="preserve">SI</w:t>
      </w:r>
      <w:r>
        <w:t xml:space="preserve"> </w:t>
      </w:r>
      <w:r>
        <w:t xml:space="preserve">62.306</w:t>
      </w:r>
      <w:r>
        <w:t xml:space="preserve"> </w:t>
      </w:r>
      <w:r>
        <w:t xml:space="preserve">53.924</w:t>
      </w:r>
      <w:r>
        <w:t xml:space="preserve"> </w:t>
      </w:r>
      <w:r>
        <w:t xml:space="preserve">47.341</w:t>
      </w:r>
      <w:r>
        <w:t xml:space="preserve"> </w:t>
      </w:r>
      <w:r>
        <w:t xml:space="preserve">41.377</w:t>
      </w:r>
      <w:r>
        <w:t xml:space="preserve"> </w:t>
      </w:r>
      <w:r>
        <w:t xml:space="preserve">36.152</w:t>
      </w:r>
      <w:r>
        <w:t xml:space="preserve"> </w:t>
      </w:r>
      <w:r>
        <w:t xml:space="preserve">SK</w:t>
      </w:r>
      <w:r>
        <w:t xml:space="preserve"> </w:t>
      </w:r>
      <w:r>
        <w:t xml:space="preserve">31.548</w:t>
      </w:r>
      <w:r>
        <w:t xml:space="preserve"> </w:t>
      </w:r>
      <w:r>
        <w:t xml:space="preserve">28.253</w:t>
      </w:r>
      <w:r>
        <w:t xml:space="preserve"> </w:t>
      </w:r>
      <w:r>
        <w:t xml:space="preserve">24.854</w:t>
      </w:r>
      <w:r>
        <w:t xml:space="preserve"> </w:t>
      </w:r>
      <w:r>
        <w:t xml:space="preserve">22.931</w:t>
      </w:r>
      <w:r>
        <w:t xml:space="preserve"> </w:t>
      </w:r>
      <w:r>
        <w:t xml:space="preserve">20.175</w:t>
      </w:r>
      <w:r>
        <w:t xml:space="preserve"> </w:t>
      </w:r>
      <w:r>
        <w:t xml:space="preserve">HR</w:t>
      </w:r>
      <w:r>
        <w:t xml:space="preserve"> </w:t>
      </w:r>
      <w:r>
        <w:t xml:space="preserve">34.666</w:t>
      </w:r>
      <w:r>
        <w:t xml:space="preserve"> </w:t>
      </w:r>
      <w:r>
        <w:t xml:space="preserve">32.033</w:t>
      </w:r>
      <w:r>
        <w:t xml:space="preserve"> </w:t>
      </w:r>
      <w:r>
        <w:t xml:space="preserve">30.141</w:t>
      </w:r>
      <w:r>
        <w:t xml:space="preserve"> </w:t>
      </w:r>
      <w:r>
        <w:t xml:space="preserve">27.051</w:t>
      </w:r>
      <w:r>
        <w:t xml:space="preserve"> </w:t>
      </w:r>
      <w:r>
        <w:t xml:space="preserve">26.721</w:t>
      </w:r>
      <w:r>
        <w:t xml:space="preserve"> </w:t>
      </w:r>
      <w:r>
        <w:t xml:space="preserve">LV</w:t>
      </w:r>
      <w:r>
        <w:t xml:space="preserve"> </w:t>
      </w:r>
      <w:r>
        <w:t xml:space="preserve">32.176</w:t>
      </w:r>
      <w:r>
        <w:t xml:space="preserve"> </w:t>
      </w:r>
      <w:r>
        <w:t xml:space="preserve">27.537</w:t>
      </w:r>
      <w:r>
        <w:t xml:space="preserve"> </w:t>
      </w:r>
      <w:r>
        <w:t xml:space="preserve">21.969</w:t>
      </w:r>
      <w:r>
        <w:t xml:space="preserve"> </w:t>
      </w:r>
      <w:r>
        <w:t xml:space="preserve">18.561</w:t>
      </w:r>
      <w:r>
        <w:t xml:space="preserve"> </w:t>
      </w:r>
      <w:r>
        <w:t xml:space="preserve">17.378</w:t>
      </w:r>
      <w:r>
        <w:t xml:space="preserve"> </w:t>
      </w:r>
      <w:r>
        <w:t xml:space="preserve">CY</w:t>
      </w:r>
      <w:r>
        <w:t xml:space="preserve"> </w:t>
      </w:r>
      <w:r>
        <w:t xml:space="preserve">29.845</w:t>
      </w:r>
      <w:r>
        <w:t xml:space="preserve"> </w:t>
      </w:r>
      <w:r>
        <w:t xml:space="preserve">24.997</w:t>
      </w:r>
      <w:r>
        <w:t xml:space="preserve"> </w:t>
      </w:r>
      <w:r>
        <w:t xml:space="preserve">21.178</w:t>
      </w:r>
      <w:r>
        <w:t xml:space="preserve"> </w:t>
      </w:r>
      <w:r>
        <w:t xml:space="preserve">19.845</w:t>
      </w:r>
      <w:r>
        <w:t xml:space="preserve"> </w:t>
      </w:r>
      <w:r>
        <w:t xml:space="preserve">20.774</w:t>
      </w:r>
      <w:r>
        <w:t xml:space="preserve"> </w:t>
      </w:r>
      <w:r>
        <w:t xml:space="preserve">MT</w:t>
      </w:r>
      <w:r>
        <w:t xml:space="preserve"> </w:t>
      </w:r>
      <w:r>
        <w:t xml:space="preserve">27.582</w:t>
      </w:r>
      <w:r>
        <w:t xml:space="preserve"> </w:t>
      </w:r>
      <w:r>
        <w:t xml:space="preserve">26.256</w:t>
      </w:r>
      <w:r>
        <w:t xml:space="preserve"> </w:t>
      </w:r>
      <w:r>
        <w:t xml:space="preserve">28.089</w:t>
      </w:r>
      <w:r>
        <w:t xml:space="preserve"> </w:t>
      </w:r>
      <w:r>
        <w:t xml:space="preserve">23.687</w:t>
      </w:r>
      <w:r>
        <w:t xml:space="preserve"> </w:t>
      </w:r>
      <w:r>
        <w:t xml:space="preserve">21.360</w:t>
      </w:r>
      <w:r>
        <w:t xml:space="preserve"> </w:t>
      </w:r>
      <w:r>
        <w:t xml:space="preserve">Source: Eurostat, Financial balance sheets – total economy, MiFID assets defined as F3, F5 and F7</w:t>
      </w:r>
      <w:r>
        <w:t xml:space="preserve"> </w:t>
      </w:r>
      <w:r>
        <w:t xml:space="preserve">Retail investors</w:t>
      </w:r>
      <w:r>
        <w:br/>
      </w:r>
      <w:r>
        <w:t xml:space="preserve">Investments in MiFID products by EU households comprised EUR 11,728 billion in 2021.</w:t>
      </w:r>
      <w:r>
        <w:t xml:space="preserve"> </w:t>
      </w:r>
      <w:r>
        <w:t xml:space="preserve">The value expanded steadily during in recent years (EUR 8,719bn in 2018, EUR 9,719bn</w:t>
      </w:r>
      <w:r>
        <w:t xml:space="preserve"> </w:t>
      </w:r>
      <w:r>
        <w:t xml:space="preserve">in 2019, EUR 10,201bn in 2020). The share of retail investors in MiFID assets compared</w:t>
      </w:r>
      <w:r>
        <w:t xml:space="preserve"> </w:t>
      </w:r>
      <w:r>
        <w:t xml:space="preserve">to professional MiFID investors is 21.5%.</w:t>
      </w:r>
      <w:r>
        <w:br/>
      </w:r>
      <w:r>
        <w:t xml:space="preserve">As regards the size of domestic markets, the retail sector is equally concentrated, however,</w:t>
      </w:r>
      <w:r>
        <w:t xml:space="preserve"> </w:t>
      </w:r>
      <w:r>
        <w:t xml:space="preserve">the top three markets in Italy, Germany and France are more closely aligned. While Italian</w:t>
      </w:r>
      <w:r>
        <w:t xml:space="preserve"> </w:t>
      </w:r>
      <w:r>
        <w:t xml:space="preserve">retail investors own EUR 2,233bn in MiFID assets, the German market is second largest</w:t>
      </w:r>
      <w:r>
        <w:t xml:space="preserve"> </w:t>
      </w:r>
      <w:r>
        <w:t xml:space="preserve">with EUR 2,011bn. Retail clients in France on the other hand own EUR 1,922bn in MiFID</w:t>
      </w:r>
      <w:r>
        <w:t xml:space="preserve"> </w:t>
      </w:r>
      <w:r>
        <w:t xml:space="preserve">assets.</w:t>
      </w:r>
      <w:r>
        <w:br/>
      </w:r>
      <w:r>
        <w:t xml:space="preserve">While these markets are large in absolute terms, they are small in comparison to the</w:t>
      </w:r>
      <w:r>
        <w:t xml:space="preserve"> </w:t>
      </w:r>
      <w:r>
        <w:t xml:space="preserve">domestic market of all MiFID assets. Analysing the level of retail participation13, the</w:t>
      </w:r>
      <w:r>
        <w:t xml:space="preserve"> </w:t>
      </w:r>
      <w:r>
        <w:t xml:space="preserve">highest retail participation rates are observed in Slovakia, Hungary and Luxembourg. In</w:t>
      </w:r>
      <w:r>
        <w:t xml:space="preserve"> </w:t>
      </w:r>
      <w:r>
        <w:t xml:space="preserve">those countries, the share of households MiFID assets / total economy MiFID assets</w:t>
      </w:r>
      <w:r>
        <w:t xml:space="preserve"> </w:t>
      </w:r>
      <w:r>
        <w:t xml:space="preserve">amounts to 73%, 63% and 53% of MiFID investment are held by the retail sector.</w:t>
      </w:r>
      <w:r>
        <w:br/>
      </w:r>
      <w:r>
        <w:t xml:space="preserve">Asset classes</w:t>
      </w:r>
      <w:r>
        <w:br/>
      </w:r>
      <w:r>
        <w:t xml:space="preserve">Stocks and shares in investment funds represent the largest asset class among MiFID</w:t>
      </w:r>
      <w:r>
        <w:t xml:space="preserve"> </w:t>
      </w:r>
      <w:r>
        <w:t xml:space="preserve">investors, with a value of EUR 36,656bn or 67% of all investments. Debt securities</w:t>
      </w:r>
      <w:r>
        <w:t xml:space="preserve"> </w:t>
      </w:r>
      <w:r>
        <w:t xml:space="preserve">comprised EUR 15,348bn (26%), whereas financial derivatives, including stock options</w:t>
      </w:r>
      <w:r>
        <w:t xml:space="preserve"> </w:t>
      </w:r>
      <w:r>
        <w:t xml:space="preserve">totalled EUR 2,449bn (5%). The preference for equity and investment funds is even more</w:t>
      </w:r>
      <w:r>
        <w:t xml:space="preserve"> </w:t>
      </w:r>
      <w:r>
        <w:t xml:space="preserve">pronounced for retail investors. This asset classed comprised EUR 11,219bn, or 96% of all</w:t>
      </w:r>
      <w:r>
        <w:t xml:space="preserve"> </w:t>
      </w:r>
      <w:r>
        <w:t xml:space="preserve">retail investments.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Figure 7.12 – Eurostat data</w:t>
      </w:r>
      <w:r>
        <w:t xml:space="preserve"> </w:t>
      </w:r>
      <w:r>
        <w:t xml:space="preserve">Figure 7.13 gives a more detailed view on EU retail investors’ MiFID holdings and</w:t>
      </w:r>
      <w:r>
        <w:t xml:space="preserve"> </w:t>
      </w:r>
      <w:r>
        <w:t xml:space="preserve">different asset classes, including a country-by-country overview. For the EU as a whole,</w:t>
      </w:r>
      <w:r>
        <w:t xml:space="preserve"> </w:t>
      </w:r>
      <w:r>
        <w:t xml:space="preserve">shares or units in investment funds and unlisted shares represent the two largest asset</w:t>
      </w:r>
      <w:r>
        <w:t xml:space="preserve"> </w:t>
      </w:r>
      <w:r>
        <w:t xml:space="preserve">classes and are of comparable size - EUR 3,357bn and EUR 3,248bn, respectively (&gt; 50%).</w:t>
      </w:r>
      <w:r>
        <w:t xml:space="preserve"> </w:t>
      </w:r>
      <w:r>
        <w:t xml:space="preserve">Other forms of equity are valued at EUR 2,871bn and unlisted shares also take a substantial</w:t>
      </w:r>
      <w:r>
        <w:t xml:space="preserve"> </w:t>
      </w:r>
      <w:r>
        <w:t xml:space="preserve">share (EUR 1,742bn). Long-term debt holdings are comparably low (EUR 479bn), whereas</w:t>
      </w:r>
      <w:r>
        <w:t xml:space="preserve"> </w:t>
      </w:r>
      <w:r>
        <w:t xml:space="preserve">the position of financial derivatives are negligible. The distribution of these asset classes</w:t>
      </w:r>
      <w:r>
        <w:t xml:space="preserve"> </w:t>
      </w:r>
      <w:r>
        <w:t xml:space="preserve">differs considerably across national markets.</w:t>
      </w:r>
    </w:p>
    <w:p>
      <w:pPr>
        <w:pStyle w:val="BodyText"/>
      </w:pPr>
      <w:r>
        <w:t xml:space="preserve">Figure 7.13 - Eurostat data</w:t>
      </w:r>
      <w:r>
        <w:br/>
      </w:r>
      <w:r>
        <w:t xml:space="preserve">Comparison of EU retail investors at global level</w:t>
      </w:r>
      <w:r>
        <w:br/>
      </w:r>
      <w:r>
        <w:t xml:space="preserve">As described above, the product offering to retail clients in the EU can be broken down in</w:t>
      </w:r>
      <w:r>
        <w:t xml:space="preserve"> </w:t>
      </w:r>
      <w:r>
        <w:t xml:space="preserve">different categories, of which open-ended regulated funds form the largest product group</w:t>
      </w:r>
      <w:r>
        <w:t xml:space="preserve"> </w:t>
      </w:r>
      <w:r>
        <w:t xml:space="preserve">sold to retail clients. The EU is the second largest market globally in terms of open-ended</w:t>
      </w:r>
      <w:r>
        <w:t xml:space="preserve"> </w:t>
      </w:r>
      <w:r>
        <w:t xml:space="preserve">regulated funds, following the United States (US), with, respectively, 30% and 48% of</w:t>
      </w:r>
      <w:r>
        <w:t xml:space="preserve"> </w:t>
      </w:r>
      <w:r>
        <w:t xml:space="preserve">global net assets. At the end of 2021, the EU UCITS segment remained the largest fund</w:t>
      </w:r>
      <w:r>
        <w:t xml:space="preserve"> </w:t>
      </w:r>
      <w:r>
        <w:t xml:space="preserve">investment sector in the EU, with more than EUR 12tn. of which EUR 6tn held by retail</w:t>
      </w:r>
      <w:r>
        <w:t xml:space="preserve"> </w:t>
      </w:r>
      <w:r>
        <w:t xml:space="preserve">investors. At the end of 2021, US households held 88% of the total net assets of US mutual</w:t>
      </w:r>
      <w:r>
        <w:t xml:space="preserve"> </w:t>
      </w:r>
      <w:r>
        <w:t xml:space="preserve">funds. In the EU, this share remains at 60%.</w:t>
      </w:r>
      <w:r>
        <w:br/>
      </w:r>
      <w:r>
        <w:t xml:space="preserve">EU UCITS and ETF market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The EU UCITS market is highly concentrated: 90% of retail investment assets were</w:t>
      </w:r>
      <w:r>
        <w:t xml:space="preserve"> </w:t>
      </w:r>
      <w:r>
        <w:t xml:space="preserve">managed by 15% of managers. More than 90% of retail investment centres on equity, bond</w:t>
      </w:r>
      <w:r>
        <w:t xml:space="preserve"> </w:t>
      </w:r>
      <w:r>
        <w:t xml:space="preserve">and mixed assets. The distribution of retail investment across these assets is heterogeneous</w:t>
      </w:r>
      <w:r>
        <w:t xml:space="preserve"> </w:t>
      </w:r>
      <w:r>
        <w:t xml:space="preserve">in the EU. For example, in 2021, the share of investment mainly focusing on equity was</w:t>
      </w:r>
      <w:r>
        <w:t xml:space="preserve"> </w:t>
      </w:r>
      <w:r>
        <w:t xml:space="preserve">10% in Italy, while it was around 65% in the Netherlands and Sweden.</w:t>
      </w:r>
      <w:r>
        <w:br/>
      </w:r>
      <w:r>
        <w:t xml:space="preserve">The EU UCITS ETF segment grew to EUR 1.2tn in 4Q21 from 908bn in 4Q20, or 13% of</w:t>
      </w:r>
      <w:r>
        <w:t xml:space="preserve"> </w:t>
      </w:r>
      <w:r>
        <w:t xml:space="preserve">the total EU UCITS market. At the end of 2021, net annual inflows in equity ETFs were</w:t>
      </w:r>
      <w:r>
        <w:t xml:space="preserve"> </w:t>
      </w:r>
      <w:r>
        <w:t xml:space="preserve">equal to EUR 92bn and to EUR 26bn in the case of ETFs mainly focused on bonds.</w:t>
      </w:r>
      <w:r>
        <w:br/>
      </w:r>
      <w:r>
        <w:t xml:space="preserve">Passive equity and bond UCITS non-ETFs accounted for, respectively, EUR 637bn and</w:t>
      </w:r>
      <w:r>
        <w:t xml:space="preserve"> </w:t>
      </w:r>
      <w:r>
        <w:t xml:space="preserve">EUR 198bn, in ESMA’s sample, this also includes institutional clients.</w:t>
      </w:r>
      <w:r>
        <w:br/>
      </w:r>
      <w:r>
        <w:t xml:space="preserve">Structured retail products</w:t>
      </w:r>
      <w:r>
        <w:br/>
      </w:r>
      <w:r>
        <w:t xml:space="preserve">The total outstanding volume of SRPs held by EU retail investors at the end of 2021 was a</w:t>
      </w:r>
      <w:r>
        <w:t xml:space="preserve"> </w:t>
      </w:r>
      <w:r>
        <w:t xml:space="preserve">little over EUR 300bn, making up around 2% of the financial net worth of EU households</w:t>
      </w:r>
      <w:r>
        <w:t xml:space="preserve"> </w:t>
      </w:r>
      <w:r>
        <w:t xml:space="preserve">in 2021.</w:t>
      </w:r>
      <w:r>
        <w:br/>
      </w:r>
      <w:r>
        <w:t xml:space="preserve">There has been a continually declining trend in the total value of outstanding SRPs.</w:t>
      </w:r>
      <w:r>
        <w:t xml:space="preserve"> </w:t>
      </w:r>
      <w:r>
        <w:t xml:space="preserve">Recently, the total number of outstanding products has seen a major increase, reaching</w:t>
      </w:r>
      <w:r>
        <w:t xml:space="preserve"> </w:t>
      </w:r>
      <w:r>
        <w:t xml:space="preserve">over 11million at the end of 2021, up from around 9 million the previous year. Across</w:t>
      </w:r>
      <w:r>
        <w:t xml:space="preserve"> </w:t>
      </w:r>
      <w:r>
        <w:t xml:space="preserve">Member States, considerable heterogeneity in terms of distribution channels, types of</w:t>
      </w:r>
      <w:r>
        <w:t xml:space="preserve"> </w:t>
      </w:r>
      <w:r>
        <w:t xml:space="preserve">products issued and the size of the market persisted. Sales volumes in 2021 were highest</w:t>
      </w:r>
      <w:r>
        <w:t xml:space="preserve"> </w:t>
      </w:r>
      <w:r>
        <w:t xml:space="preserve">in France, followed by Germany and Italy.</w:t>
      </w:r>
    </w:p>
    <w:p>
      <w:pPr>
        <w:pStyle w:val="BodyText"/>
      </w:pPr>
      <w:r>
        <w:t xml:space="preserve">Digital distribution</w:t>
      </w:r>
      <w:r>
        <w:t xml:space="preserve"> </w:t>
      </w:r>
      <w:r>
        <w:t xml:space="preserve">Digitalisation has changed the way financial products and services are accessed by retail</w:t>
      </w:r>
      <w:r>
        <w:t xml:space="preserve"> </w:t>
      </w:r>
      <w:r>
        <w:t xml:space="preserve">clients. There is a strong trend of increased usage of online banking services across all age</w:t>
      </w:r>
      <w:r>
        <w:t xml:space="preserve"> </w:t>
      </w:r>
      <w:r>
        <w:t xml:space="preserve">groups, which was boosted even more by the outbreak of the COVID 19 pandemic.</w:t>
      </w:r>
      <w:r>
        <w:t xml:space="preserve"> </w:t>
      </w:r>
      <w:r>
        <w:t xml:space="preserve">Financial service providers adjusted their business to be able to automate historically</w:t>
      </w:r>
      <w:r>
        <w:t xml:space="preserve"> </w:t>
      </w:r>
      <w:r>
        <w:t xml:space="preserve">personalized interactions with clients and/or introduced software update to enable online</w:t>
      </w:r>
      <w:r>
        <w:t xml:space="preserve"> </w:t>
      </w:r>
      <w:r>
        <w:t xml:space="preserve">and hybrid meeting structures. The below charts illustrate in the case of Germany bank</w:t>
      </w:r>
      <w:r>
        <w:t xml:space="preserve"> </w:t>
      </w:r>
      <w:r>
        <w:t xml:space="preserve">clients how the total usage of online banking has increased (first chart) and for all age</w:t>
      </w:r>
      <w:r>
        <w:t xml:space="preserve"> </w:t>
      </w:r>
      <w:r>
        <w:t xml:space="preserve">groups (second chart, x-axis) although chart two was surveyed prior to outbreak of the</w:t>
      </w:r>
      <w:r>
        <w:t xml:space="preserve"> </w:t>
      </w:r>
      <w:r>
        <w:t xml:space="preserve">COVID 19 pandemic390.</w:t>
      </w:r>
    </w:p>
    <w:p>
      <w:pPr>
        <w:pStyle w:val="BodyText"/>
      </w:pPr>
      <w:r>
        <w:t xml:space="preserve">390 BVI, Kantar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This development goes in hand in hand with the decline of physical branches as the below</w:t>
      </w:r>
      <w:r>
        <w:t xml:space="preserve"> </w:t>
      </w:r>
      <w:r>
        <w:t xml:space="preserve">ECB chart shows. The number of physical bank branches in the EU has decreased from</w:t>
      </w:r>
      <w:r>
        <w:t xml:space="preserve"> </w:t>
      </w:r>
      <w:r>
        <w:t xml:space="preserve">about 220,000 in 2008 down to 140,000 in 2022391. As banks and other financial</w:t>
      </w:r>
      <w:r>
        <w:t xml:space="preserve"> </w:t>
      </w:r>
      <w:r>
        <w:t xml:space="preserve">intermediaries move more services online, online solutions, such as robo–advice or online</w:t>
      </w:r>
      <w:r>
        <w:t xml:space="preserve"> </w:t>
      </w:r>
      <w:r>
        <w:t xml:space="preserve">portfolio management and the scalability of these services are likely to influences the</w:t>
      </w:r>
      <w:r>
        <w:t xml:space="preserve"> </w:t>
      </w:r>
      <w:r>
        <w:t xml:space="preserve">profitability of the sector going forward compared to traditional face to face advice.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Robo/automated advice</w:t>
      </w:r>
      <w:r>
        <w:br/>
      </w:r>
      <w:r>
        <w:t xml:space="preserve">Robo advisors are on-demand technology solutions based on complex algorithms</w:t>
      </w:r>
      <w:r>
        <w:t xml:space="preserve"> </w:t>
      </w:r>
      <w:r>
        <w:t xml:space="preserve">leveraging client data, that provide customised financial plans and asset management.</w:t>
      </w:r>
      <w:r>
        <w:t xml:space="preserve"> </w:t>
      </w:r>
      <w:r>
        <w:t xml:space="preserve">Usually, they cover all parts of the client experience, from onboarding and investor risk</w:t>
      </w:r>
      <w:r>
        <w:t xml:space="preserve"> </w:t>
      </w:r>
      <w:r>
        <w:t xml:space="preserve">profiling to investment allocation. Hybrid and fully automated models can be present, as</w:t>
      </w:r>
      <w:r>
        <w:t xml:space="preserve"> </w:t>
      </w:r>
      <w:r>
        <w:t xml:space="preserve">well as different types of services such as discretionary and advisory-based investment</w:t>
      </w:r>
      <w:r>
        <w:t xml:space="preserve"> </w:t>
      </w:r>
      <w:r>
        <w:t xml:space="preserve">management. There are different levels of automation and complexity of the advice that</w:t>
      </w:r>
      <w:r>
        <w:t xml:space="preserve"> </w:t>
      </w:r>
      <w:r>
        <w:t xml:space="preserve">can be provided by robo-advisors, ranging from questionnaire-based product and portfolio</w:t>
      </w:r>
      <w:r>
        <w:t xml:space="preserve"> </w:t>
      </w:r>
      <w:r>
        <w:t xml:space="preserve">proposals to fully automated investments based on self-improving algorithms.</w:t>
      </w:r>
      <w:r>
        <w:t xml:space="preserve"> </w:t>
      </w:r>
      <w:r>
        <w:t xml:space="preserve">Across Europe, robo-advisory services have a differing level of uptake by consumers and</w:t>
      </w:r>
      <w:r>
        <w:t xml:space="preserve"> </w:t>
      </w:r>
      <w:r>
        <w:t xml:space="preserve">different offerings. Based on assets under management, the market appears most developed</w:t>
      </w:r>
      <w:r>
        <w:t xml:space="preserve"> </w:t>
      </w:r>
      <w:r>
        <w:t xml:space="preserve">in Germany.</w:t>
      </w:r>
      <w:r>
        <w:br/>
      </w:r>
      <w:r>
        <w:t xml:space="preserve">In relation to fees, robo-advisory services usually include an annual portfolio management</w:t>
      </w:r>
      <w:r>
        <w:t xml:space="preserve"> </w:t>
      </w:r>
      <w:r>
        <w:t xml:space="preserve">fee and a fee based on underlying investment funds. Annual management fees vary across</w:t>
      </w:r>
      <w:r>
        <w:t xml:space="preserve"> </w:t>
      </w:r>
      <w:r>
        <w:t xml:space="preserve">countries, as demonstrated in the following graph, which shows the situation in 2017: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Variations of fees charged on the basis of the underlying ETFs or other funds can also be</w:t>
      </w:r>
      <w:r>
        <w:t xml:space="preserve"> </w:t>
      </w:r>
      <w:r>
        <w:t xml:space="preserve">observed across Europe:</w:t>
      </w:r>
    </w:p>
    <w:p>
      <w:pPr>
        <w:pStyle w:val="BodyText"/>
      </w:pPr>
      <w:r>
        <w:t xml:space="preserve">It can be expected that robo advice or semi-automated portfolio management will continue</w:t>
      </w:r>
      <w:r>
        <w:t xml:space="preserve"> </w:t>
      </w:r>
      <w:r>
        <w:t xml:space="preserve">to increase. Such automated services still only represent a minor portion of total investment</w:t>
      </w:r>
      <w:r>
        <w:t xml:space="preserve"> </w:t>
      </w:r>
      <w:r>
        <w:t xml:space="preserve">services but is increasing and is likely to replace at least partially the traditional physical</w:t>
      </w:r>
      <w:r>
        <w:t xml:space="preserve"> </w:t>
      </w:r>
      <w:r>
        <w:t xml:space="preserve">advice.</w:t>
      </w:r>
      <w:r>
        <w:br/>
      </w:r>
      <w:r>
        <w:t xml:space="preserve">As described in the section on the experience with the inducement ban in the Netherlands</w:t>
      </w:r>
      <w:r>
        <w:t xml:space="preserve"> </w:t>
      </w:r>
      <w:r>
        <w:t xml:space="preserve">(7.A), portfolio management through robo-advice/ semi-automated portfolio management</w:t>
      </w:r>
      <w:r>
        <w:t xml:space="preserve"> </w:t>
      </w:r>
      <w:r>
        <w:t xml:space="preserve">is a cost efficient alternative to advice and has strongly increased in the Netherlands and</w:t>
      </w:r>
      <w:r>
        <w:t xml:space="preserve"> </w:t>
      </w:r>
      <w:r>
        <w:t xml:space="preserve">has compensated for the decrease in advice. It will support retail clients and thus retail</w:t>
      </w:r>
      <w:r>
        <w:t xml:space="preserve"> </w:t>
      </w:r>
      <w:r>
        <w:t xml:space="preserve">participation in the case of further reductions in the number of physical branches. In the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case of the Netherlands, the decline in advised services should be seen in the context of the</w:t>
      </w:r>
      <w:r>
        <w:t xml:space="preserve"> </w:t>
      </w:r>
      <w:r>
        <w:t xml:space="preserve">increase of (online) portfolio management services through robo-advice.</w:t>
      </w:r>
    </w:p>
    <w:p>
      <w:pPr>
        <w:pStyle w:val="BodyText"/>
      </w:pPr>
      <w:r>
        <w:t xml:space="preserve">D.2 Overview Market for IBIPs</w:t>
      </w:r>
      <w:r>
        <w:br/>
      </w:r>
      <w:r>
        <w:t xml:space="preserve">Summary overview of markets</w:t>
      </w:r>
      <w:r>
        <w:br/>
      </w:r>
      <w:r>
        <w:t xml:space="preserve">IBIPs are exclusively a retail product. They consist of an insurance wrapper with</w:t>
      </w:r>
      <w:r>
        <w:t xml:space="preserve"> </w:t>
      </w:r>
      <w:r>
        <w:t xml:space="preserve">underlying investment assets usually in funds and may also have biometric risk coverage</w:t>
      </w:r>
      <w:r>
        <w:t xml:space="preserve"> </w:t>
      </w:r>
      <w:r>
        <w:t xml:space="preserve">(unit linked, profit participation or hybrid). Sales of IBIPs vary greatly across member</w:t>
      </w:r>
      <w:r>
        <w:t xml:space="preserve"> </w:t>
      </w:r>
      <w:r>
        <w:t xml:space="preserve">states and represent a large portion of retail investments in FR, IT, ES and PT.</w:t>
      </w:r>
      <w:r>
        <w:br/>
      </w:r>
      <w:r>
        <w:t xml:space="preserve">In terms of market size, there is no IBIP-specific data, but a relevant proxy is life insurance</w:t>
      </w:r>
      <w:r>
        <w:t xml:space="preserve"> </w:t>
      </w:r>
      <w:r>
        <w:t xml:space="preserve">data. In 2020, the life insurance Gross Written Premium (GWP) was 670.6 bn €, of which</w:t>
      </w:r>
      <w:r>
        <w:t xml:space="preserve"> </w:t>
      </w:r>
      <w:r>
        <w:t xml:space="preserve">206.1 bn € represent unit-linked type of IBIPs (the rest is profit participation and hybrid</w:t>
      </w:r>
      <w:r>
        <w:t xml:space="preserve"> </w:t>
      </w:r>
      <w:r>
        <w:t xml:space="preserve">products). Within the total financial assets of EU households, insurance and pension</w:t>
      </w:r>
      <w:r>
        <w:t xml:space="preserve"> </w:t>
      </w:r>
      <w:r>
        <w:t xml:space="preserve">products represent around 35%.</w:t>
      </w:r>
      <w:r>
        <w:br/>
      </w:r>
      <w:r>
        <w:t xml:space="preserve">Distribution structures also varies greatly among member states. The channels are direct</w:t>
      </w:r>
      <w:r>
        <w:t xml:space="preserve"> </w:t>
      </w:r>
      <w:r>
        <w:t xml:space="preserve">distribution by insurers, banks as intermediaries, brokers and tied agents.</w:t>
      </w:r>
      <w:r>
        <w:br/>
      </w:r>
      <w:r>
        <w:t xml:space="preserve">There are about 815000 licensed insurance intermediaries in the Union. Of these about</w:t>
      </w:r>
      <w:r>
        <w:t xml:space="preserve"> </w:t>
      </w:r>
      <w:r>
        <w:t xml:space="preserve">467,000 are physical one-person businesses, meaning that the split between one-person</w:t>
      </w:r>
      <w:r>
        <w:t xml:space="preserve"> </w:t>
      </w:r>
      <w:r>
        <w:t xml:space="preserve">businesses and legal persons (of varying size) is 80%/20%. There is a significant</w:t>
      </w:r>
      <w:r>
        <w:t xml:space="preserve"> </w:t>
      </w:r>
      <w:r>
        <w:t xml:space="preserve">continuous trend towards consolidation (in 2016 there were about 1 million intermediaries</w:t>
      </w:r>
      <w:r>
        <w:t xml:space="preserve"> </w:t>
      </w:r>
      <w:r>
        <w:t xml:space="preserve">in total 670,000 one-person intermediaries), partially due to ageing structures.</w:t>
      </w:r>
      <w:r>
        <w:br/>
      </w:r>
      <w:r>
        <w:t xml:space="preserve">At Union level, credit institutions constitute the largest channel and distribute about 44%,</w:t>
      </w:r>
      <w:r>
        <w:t xml:space="preserve"> </w:t>
      </w:r>
      <w:r>
        <w:t xml:space="preserve">other insurance intermediaries 44% and insurers themselves through direct distribution</w:t>
      </w:r>
      <w:r>
        <w:t xml:space="preserve"> </w:t>
      </w:r>
      <w:r>
        <w:t xml:space="preserve">16%. As noted, the relative importance of distribution channels vary greatly across the</w:t>
      </w:r>
      <w:r>
        <w:t xml:space="preserve"> </w:t>
      </w:r>
      <w:r>
        <w:t xml:space="preserve">Union but one can distinguish between three categories: Member States with an important</w:t>
      </w:r>
      <w:r>
        <w:t xml:space="preserve"> </w:t>
      </w:r>
      <w:r>
        <w:t xml:space="preserve">“bancassurance model” (i.e. France, Italy, Spain and Portugal) where credit institutions are</w:t>
      </w:r>
      <w:r>
        <w:t xml:space="preserve"> </w:t>
      </w:r>
      <w:r>
        <w:t xml:space="preserve">the major distribution category, Member States with main distribution by intermediaries or</w:t>
      </w:r>
      <w:r>
        <w:t xml:space="preserve"> </w:t>
      </w:r>
      <w:r>
        <w:t xml:space="preserve">tied agents other than banks (e.g. Germany, Poland, Bulgaria, Greece) and a few countries</w:t>
      </w:r>
      <w:r>
        <w:t xml:space="preserve"> </w:t>
      </w:r>
      <w:r>
        <w:t xml:space="preserve">where direct distribution by insurers is the largest or available channel (Estonia, Hungary).</w:t>
      </w:r>
      <w:r>
        <w:br/>
      </w:r>
      <w:r>
        <w:t xml:space="preserve">There is no data available on digital direct sales of IBIPs specifically, but the proportion of</w:t>
      </w:r>
      <w:r>
        <w:t xml:space="preserve"> </w:t>
      </w:r>
      <w:r>
        <w:t xml:space="preserve">online sales for insurance products generally in terms of total volume of GWP is still</w:t>
      </w:r>
      <w:r>
        <w:t xml:space="preserve"> </w:t>
      </w:r>
      <w:r>
        <w:t xml:space="preserve">relatively low in many Member States, ranging mostly from 0.2% to 2%. At the same time,</w:t>
      </w:r>
      <w:r>
        <w:t xml:space="preserve"> </w:t>
      </w:r>
      <w:r>
        <w:t xml:space="preserve">in Denmark and Estonia, it is estimated that online sales account for 80% of the total</w:t>
      </w:r>
      <w:r>
        <w:t xml:space="preserve"> </w:t>
      </w:r>
      <w:r>
        <w:t xml:space="preserve">volume of GWP and the proportion of online sales in LV is relatively high as well (70%</w:t>
      </w:r>
      <w:r>
        <w:t xml:space="preserve"> </w:t>
      </w:r>
      <w:r>
        <w:t xml:space="preserve">for life insurance).</w:t>
      </w:r>
      <w:r>
        <w:br/>
      </w:r>
      <w:r>
        <w:t xml:space="preserve">Facts and Figures IBIPs EU</w:t>
      </w:r>
      <w:r>
        <w:br/>
      </w:r>
      <w:r>
        <w:t xml:space="preserve">This Section sets out the following data and information</w:t>
      </w:r>
    </w:p>
    <w:p>
      <w:pPr>
        <w:pStyle w:val="BodyText"/>
      </w:pPr>
      <w:r>
        <w:t xml:space="preserve">186</w:t>
      </w:r>
    </w:p>
    <w:p>
      <w:pPr>
        <w:pStyle w:val="Compact"/>
        <w:numPr>
          <w:ilvl w:val="0"/>
          <w:numId w:val="1044"/>
        </w:numPr>
      </w:pPr>
      <w:r>
        <w:t xml:space="preserve">Number of registered insurance intermediaries- Decreasing number of intermediaries</w:t>
      </w:r>
      <w:r>
        <w:t xml:space="preserve"> </w:t>
      </w:r>
      <w:r>
        <w:t xml:space="preserve">registered as natural persons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Market developments with regard to specific IBIPs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Costs and charges for the distribution of IBIPs, in particular commission rates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Growth in the market for online distribution of IBIPs</w:t>
      </w:r>
    </w:p>
    <w:p>
      <w:pPr>
        <w:pStyle w:val="FirstParagraph"/>
      </w:pPr>
      <w:r>
        <w:t xml:space="preserve">Number of registered insurance intermediaries</w:t>
      </w:r>
      <w:r>
        <w:br/>
      </w:r>
      <w:r>
        <w:t xml:space="preserve">Based on data from 25 NCAs392 there were 815,219 registered insurance intermediaries393</w:t>
      </w:r>
      <w:r>
        <w:t xml:space="preserve"> </w:t>
      </w:r>
      <w:r>
        <w:t xml:space="preserve">in those markets at the end of 2020. In terms of the level of change in the number of</w:t>
      </w:r>
      <w:r>
        <w:t xml:space="preserve"> </w:t>
      </w:r>
      <w:r>
        <w:t xml:space="preserve">registered intermediaries, the blue trend line of Figure 7.14 below shows that the total</w:t>
      </w:r>
      <w:r>
        <w:t xml:space="preserve"> </w:t>
      </w:r>
      <w:r>
        <w:t xml:space="preserve">number of registered insurance intermediaries decreased significantly from 2016 to 2020,</w:t>
      </w:r>
      <w:r>
        <w:t xml:space="preserve"> </w:t>
      </w:r>
      <w:r>
        <w:t xml:space="preserve">a trend which has been going on for several years394.</w:t>
      </w:r>
      <w:r>
        <w:br/>
      </w:r>
      <w:r>
        <w:t xml:space="preserve">Figure 7.14: Total number of registered insurance intermediaries over the period 2016-2020</w:t>
      </w:r>
    </w:p>
    <w:p>
      <w:pPr>
        <w:pStyle w:val="BodyText"/>
      </w:pPr>
      <w:r>
        <w:t xml:space="preserve">In order to have a better comparison across Member States of the data over the period from</w:t>
      </w:r>
      <w:r>
        <w:t xml:space="preserve"> </w:t>
      </w:r>
      <w:r>
        <w:t xml:space="preserve">2016-2020, the amber columns of the figure exclude the number of CZ and LU insurance</w:t>
      </w:r>
      <w:r>
        <w:t xml:space="preserve"> </w:t>
      </w:r>
      <w:r>
        <w:t xml:space="preserve">intermediaries. As illustrated in the chart, there was a significant decrease in the number</w:t>
      </w:r>
    </w:p>
    <w:p>
      <w:pPr>
        <w:pStyle w:val="BodyText"/>
      </w:pPr>
      <w:r>
        <w:t xml:space="preserve">392 GR, HU, IE and NL have provided information on the number of insurance intermediaries for 2019 and 2020 only. LT has provided only</w:t>
      </w:r>
      <w:r>
        <w:t xml:space="preserve"> </w:t>
      </w:r>
      <w:r>
        <w:t xml:space="preserve">limited information for 2016-201</w:t>
      </w:r>
      <w:r>
        <w:t xml:space="preserve"> </w:t>
      </w:r>
      <w:r>
        <w:t xml:space="preserve">393 This includes registered ancillary insurance intermediaries and excludes ancillary insurance intermediaries exempt from the IDD</w:t>
      </w:r>
      <w:r>
        <w:t xml:space="preserve"> </w:t>
      </w:r>
      <w:r>
        <w:t xml:space="preserve">394 See EIOPA’s report on the Structure of Insurance Intermediaries Markets in Europe:</w:t>
      </w:r>
      <w:r>
        <w:t xml:space="preserve"> </w:t>
      </w:r>
      <w:r>
        <w:t xml:space="preserve">https://www.eiopa.europa.eu/media/news/eiopa-evaluates-european-insurance-intermediaries-markets_en. It is important to note that,</w:t>
      </w:r>
      <w:r>
        <w:t xml:space="preserve"> </w:t>
      </w:r>
      <w:r>
        <w:t xml:space="preserve">following the deletion of inactive insurance intermediaries from the national registers, the number of registered insurance intermediaries</w:t>
      </w:r>
      <w:r>
        <w:t xml:space="preserve"> </w:t>
      </w:r>
      <w:r>
        <w:t xml:space="preserve">in CZ decreased sharply from 162,791 to 38,481 in 2018/2019 and in LU from 10,019 to 6,905 in 2019/2020. This has had a significant</w:t>
      </w:r>
      <w:r>
        <w:t xml:space="preserve"> </w:t>
      </w:r>
      <w:r>
        <w:t xml:space="preserve">impact on the overall decrease in the number of insurance intermediaries. It is important that NCAs regularly identify and delete inactive</w:t>
      </w:r>
      <w:r>
        <w:t xml:space="preserve"> </w:t>
      </w:r>
      <w:r>
        <w:t xml:space="preserve">intermediaries from their registers in order to have a correct overview of the number of intermediaries included in their registers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of registered insurance intermediaries from 2016 to 2018, followed by an increase since</w:t>
      </w:r>
      <w:r>
        <w:t xml:space="preserve"> </w:t>
      </w:r>
      <w:r>
        <w:t xml:space="preserve">2018395.</w:t>
      </w:r>
      <w:r>
        <w:br/>
      </w:r>
      <w:r>
        <w:t xml:space="preserve">Decreasing number of intermediaries registered as natural persons</w:t>
      </w:r>
      <w:r>
        <w:br/>
      </w:r>
      <w:r>
        <w:t xml:space="preserve">24 NCAs396 provided information on the number of registered insurance intermediaries</w:t>
      </w:r>
      <w:r>
        <w:t xml:space="preserve"> </w:t>
      </w:r>
      <w:r>
        <w:t xml:space="preserve">split between natural persons and legal persons for 2016 and 2020. Figure 7.15 below</w:t>
      </w:r>
      <w:r>
        <w:t xml:space="preserve"> </w:t>
      </w:r>
      <w:r>
        <w:t xml:space="preserve">shows that, in 2020, insurance intermediaries registered as natural person</w:t>
      </w:r>
      <w:r>
        <w:t xml:space="preserve"> </w:t>
      </w:r>
      <w:r>
        <w:t xml:space="preserve">represented 79% of the total number of insurance intermediaries, hence small</w:t>
      </w:r>
      <w:r>
        <w:t xml:space="preserve"> </w:t>
      </w:r>
      <w:r>
        <w:t xml:space="preserve">intermediaries represent the majority of market participants. However, it should be</w:t>
      </w:r>
      <w:r>
        <w:t xml:space="preserve"> </w:t>
      </w:r>
      <w:r>
        <w:t xml:space="preserve">noted that the number of intermediaries registered as natural persons decreased from</w:t>
      </w:r>
      <w:r>
        <w:t xml:space="preserve"> </w:t>
      </w:r>
      <w:r>
        <w:t xml:space="preserve">669,670 (2016) to 466,942 (2020). Over the same period, the number of intermediaries</w:t>
      </w:r>
      <w:r>
        <w:t xml:space="preserve"> </w:t>
      </w:r>
      <w:r>
        <w:t xml:space="preserve">registered as legal persons increased from 123,007 (2016) to 123,278 (2020).</w:t>
      </w:r>
    </w:p>
    <w:p>
      <w:pPr>
        <w:pStyle w:val="BodyText"/>
      </w:pPr>
      <w:r>
        <w:t xml:space="preserve">Figure 7.15: Intermediaries registered as natural and legal persons in 2016 and 2020</w:t>
      </w:r>
    </w:p>
    <w:p>
      <w:pPr>
        <w:pStyle w:val="BodyText"/>
      </w:pPr>
      <w:r>
        <w:t xml:space="preserve">Bancassurers remain dominant in the life sector</w:t>
      </w:r>
      <w:r>
        <w:br/>
      </w:r>
      <w:r>
        <w:t xml:space="preserve">For the purpose of developing its IDD application report397, EIOPA gathered information</w:t>
      </w:r>
      <w:r>
        <w:t xml:space="preserve"> </w:t>
      </w:r>
      <w:r>
        <w:t xml:space="preserve">from NCAs and some industry bodies on the total volume of gross written premiums</w:t>
      </w:r>
      <w:r>
        <w:t xml:space="preserve"> </w:t>
      </w:r>
      <w:r>
        <w:t xml:space="preserve">(GWP) by the following distribution channels, split in life and non-life:</w:t>
      </w:r>
      <w:r>
        <w:br/>
      </w:r>
      <w:r>
        <w:t xml:space="preserve">1.</w:t>
      </w:r>
      <w:r>
        <w:t xml:space="preserve"> </w:t>
      </w:r>
      <w:r>
        <w:t xml:space="preserve">Direct business</w:t>
      </w:r>
      <w:r>
        <w:br/>
      </w:r>
      <w:r>
        <w:t xml:space="preserve">2.</w:t>
      </w:r>
      <w:r>
        <w:t xml:space="preserve"> </w:t>
      </w:r>
      <w:r>
        <w:t xml:space="preserve">Credit institutions acting as insurance intermediaries</w:t>
      </w:r>
      <w:r>
        <w:br/>
      </w:r>
      <w:r>
        <w:t xml:space="preserve">3.</w:t>
      </w:r>
      <w:r>
        <w:t xml:space="preserve"> </w:t>
      </w:r>
      <w:r>
        <w:t xml:space="preserve">Insurance intermediaries other than credit institutions</w:t>
      </w:r>
    </w:p>
    <w:p>
      <w:pPr>
        <w:pStyle w:val="BodyText"/>
      </w:pPr>
      <w:r>
        <w:t xml:space="preserve">395 This can be explained by an increase in the number of insurance intermediaries registered in RO from 40,402 to 69,932 over the</w:t>
      </w:r>
      <w:r>
        <w:t xml:space="preserve"> </w:t>
      </w:r>
      <w:r>
        <w:t xml:space="preserve">period from 2018 to 2020</w:t>
      </w:r>
      <w:r>
        <w:br/>
      </w:r>
      <w:r>
        <w:t xml:space="preserve">396 AT, BE, BG, CY, CZ, DK, ES, FI, FR, HR, IS, IT, LI, LT, LU, LV, MT, NO, PL, PT, RO, SE, SI, SK</w:t>
      </w:r>
    </w:p>
    <w:p>
      <w:pPr>
        <w:pStyle w:val="BodyText"/>
      </w:pPr>
      <w:r>
        <w:t xml:space="preserve">397 https://www.eiopa.europa.eu/media/news/eiopa-publishes-report-application-of-insurance-distribution-directive_en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15 NCAs were able to provide data on the total volume of GWP (split in life and non-life)</w:t>
      </w:r>
      <w:r>
        <w:t xml:space="preserve"> </w:t>
      </w:r>
      <w:r>
        <w:t xml:space="preserve">by the three distribution channels indicated above for 2020398.</w:t>
      </w:r>
      <w:r>
        <w:br/>
      </w:r>
      <w:r>
        <w:t xml:space="preserve">Based on the data provided by those 15 NCAs and some industry bodies, Figure 7.16 below</w:t>
      </w:r>
      <w:r>
        <w:t xml:space="preserve"> </w:t>
      </w:r>
      <w:r>
        <w:t xml:space="preserve">indicates that credit institutions acting as insurance intermediaries played a significant role</w:t>
      </w:r>
      <w:r>
        <w:t xml:space="preserve"> </w:t>
      </w:r>
      <w:r>
        <w:t xml:space="preserve">in the distribution of life insurance products in terms of GWP generated (in particular, in</w:t>
      </w:r>
      <w:r>
        <w:t xml:space="preserve"> </w:t>
      </w:r>
      <w:r>
        <w:t xml:space="preserve">ES, FR, GR, HR, IT, LU, LV, MT, PT) during 2020.</w:t>
      </w:r>
      <w:r>
        <w:br/>
      </w:r>
      <w:r>
        <w:t xml:space="preserve">Figure 7.16: GWP per distribution channel, Life (2019/2020)</w:t>
      </w:r>
    </w:p>
    <w:p>
      <w:pPr>
        <w:pStyle w:val="BodyText"/>
      </w:pPr>
      <w:r>
        <w:t xml:space="preserve">With regard to life insurance, Figure 7.17 below indicates that credit institutions acting as</w:t>
      </w:r>
      <w:r>
        <w:t xml:space="preserve"> </w:t>
      </w:r>
      <w:r>
        <w:t xml:space="preserve">insurance intermediaries generate almost half of the premiums in the area of life insurance</w:t>
      </w:r>
      <w:r>
        <w:t xml:space="preserve"> </w:t>
      </w:r>
      <w:r>
        <w:t xml:space="preserve">in 2020. Direct business accounts for approximately one fifth of the premiums for life</w:t>
      </w:r>
      <w:r>
        <w:t xml:space="preserve"> </w:t>
      </w:r>
      <w:r>
        <w:t xml:space="preserve">insurance.</w:t>
      </w:r>
    </w:p>
    <w:p>
      <w:pPr>
        <w:pStyle w:val="BodyText"/>
      </w:pPr>
      <w:r>
        <w:t xml:space="preserve">Figure 7.17: Split of GWP for distribution of life insurance in 2020</w:t>
      </w:r>
    </w:p>
    <w:p>
      <w:pPr>
        <w:pStyle w:val="BodyText"/>
      </w:pPr>
      <w:r>
        <w:t xml:space="preserve">398 15 NCAs indicated that, for 2020, they are not able to provide data on the GWP by intermediaries other than credit institutions</w:t>
      </w:r>
      <w:r>
        <w:t xml:space="preserve"> </w:t>
      </w:r>
      <w:r>
        <w:t xml:space="preserve">(AT, BE, DE, DK, FI, FR, IE, NL, NO, RO, SE, SK), credit institutions acting as insurance intermediaries (AT, BE, DE, DK, FI, FR, IE, MT, NL,</w:t>
      </w:r>
      <w:r>
        <w:t xml:space="preserve"> </w:t>
      </w:r>
      <w:r>
        <w:t xml:space="preserve">PT, SE) or direct business (AT, BE, DE, DK, FI, FR, IE, LI, NL, RO, SE), split by life and non-life (CZ).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Market developments with regard to specific IBIPs</w:t>
      </w:r>
      <w:r>
        <w:br/>
      </w:r>
      <w:r>
        <w:t xml:space="preserve">The shift from insurance with profit participation towards unit-linked life insurance is more</w:t>
      </w:r>
      <w:r>
        <w:t xml:space="preserve"> </w:t>
      </w:r>
      <w:r>
        <w:t xml:space="preserve">and more evidenced throughout the years. In 2017, the GWP reported on profit</w:t>
      </w:r>
      <w:r>
        <w:t xml:space="preserve"> </w:t>
      </w:r>
      <w:r>
        <w:t xml:space="preserve">participation business was around 265 € bn, whereas it was around 247 € bn by the end of</w:t>
      </w:r>
      <w:r>
        <w:t xml:space="preserve"> </w:t>
      </w:r>
      <w:r>
        <w:t xml:space="preserve">2020. Even though, the GWP related to unit-linked business is around 206 € bn at the end</w:t>
      </w:r>
      <w:r>
        <w:t xml:space="preserve"> </w:t>
      </w:r>
      <w:r>
        <w:t xml:space="preserve">of 2020, the continuous increase is remarkable, especially looking at the starting point in</w:t>
      </w:r>
      <w:r>
        <w:t xml:space="preserve"> </w:t>
      </w:r>
      <w:r>
        <w:t xml:space="preserve">2017, around 199 € bn (see Figure 7.18 below).</w:t>
      </w:r>
      <w:r>
        <w:br/>
      </w:r>
      <w:r>
        <w:t xml:space="preserve">This picture is enhanced when looking at the reported figures throughout the crisis</w:t>
      </w:r>
      <w:r>
        <w:t xml:space="preserve"> </w:t>
      </w:r>
      <w:r>
        <w:t xml:space="preserve">triggered by the COVID-19 outbreak, highlighting the prominence of the unit-linked</w:t>
      </w:r>
      <w:r>
        <w:t xml:space="preserve"> </w:t>
      </w:r>
      <w:r>
        <w:t xml:space="preserve">business at EEA level. The analysis of 2021 quarterly data also reinforces the</w:t>
      </w:r>
      <w:r>
        <w:t xml:space="preserve"> </w:t>
      </w:r>
      <w:r>
        <w:t xml:space="preserve">aforementioned trends as unit-linked GWP registered in H1 2021 a 37.8% growth, being</w:t>
      </w:r>
      <w:r>
        <w:t xml:space="preserve"> </w:t>
      </w:r>
      <w:r>
        <w:t xml:space="preserve">45.9% higher than pre-crisis level. With profit-participation GWP also recovered by 11.6%</w:t>
      </w:r>
      <w:r>
        <w:t xml:space="preserve"> </w:t>
      </w:r>
      <w:r>
        <w:t xml:space="preserve">in H1 2021, but the aggregated level is 14.5% lower than the pre-crisis point (see Figure</w:t>
      </w:r>
      <w:r>
        <w:t xml:space="preserve"> </w:t>
      </w:r>
      <w:r>
        <w:t xml:space="preserve">7.19 below).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Figure 7.18 – Annual GWP (€ bn) for unit-linked and profit-participation Lines of Business,</w:t>
      </w:r>
      <w:r>
        <w:t xml:space="preserve"> </w:t>
      </w:r>
      <w:r>
        <w:t xml:space="preserve">2017-2020</w:t>
      </w:r>
    </w:p>
    <w:p>
      <w:pPr>
        <w:pStyle w:val="BodyText"/>
      </w:pPr>
      <w:r>
        <w:t xml:space="preserve">Source: EIOPA Solvency II database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Figure 7.19 - Quarterly GWP (€ bn) for unit-linked and profit-participation, Q1 2019 - Q2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Source: EIOPA Solvency II database</w:t>
      </w:r>
    </w:p>
    <w:p>
      <w:pPr>
        <w:pStyle w:val="BodyText"/>
      </w:pPr>
      <w:r>
        <w:t xml:space="preserve">Costs and charges for the distribution of IBIPs, in particular commission rates</w:t>
      </w:r>
      <w:r>
        <w:br/>
      </w:r>
      <w:r>
        <w:t xml:space="preserve">At EEA level, commission rates exhibit a stable behaviour, being slightly higher for profit-</w:t>
      </w:r>
      <w:r>
        <w:t xml:space="preserve"> </w:t>
      </w:r>
      <w:r>
        <w:t xml:space="preserve">participation products (see Figure 7.20 below). Nevertheless, differences in practices,</w:t>
      </w:r>
      <w:r>
        <w:t xml:space="preserve"> </w:t>
      </w:r>
      <w:r>
        <w:t xml:space="preserve">remuneration schemes and regulatory terms impact the different level of commission rates</w:t>
      </w:r>
      <w:r>
        <w:t xml:space="preserve"> </w:t>
      </w:r>
      <w:r>
        <w:t xml:space="preserve">across member states. Based on Solvency II data, it is not possible to take into account</w:t>
      </w:r>
      <w:r>
        <w:t xml:space="preserve"> </w:t>
      </w:r>
      <w:r>
        <w:t xml:space="preserve">distribution channels, therefore the aggregate figures must be interpreted with caution.</w:t>
      </w:r>
      <w:r>
        <w:br/>
      </w:r>
      <w:r>
        <w:t xml:space="preserve">Figure 7.20 - Commission Rate for UL and PP products, EEA, 2017-2020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Source: EIOPA Solvency II database</w:t>
      </w:r>
      <w:r>
        <w:br/>
      </w:r>
      <w:r>
        <w:t xml:space="preserve">In terms of costs composition, administrative costs continue being the most predominant</w:t>
      </w:r>
      <w:r>
        <w:t xml:space="preserve"> </w:t>
      </w:r>
      <w:r>
        <w:t xml:space="preserve">driver of costs, often representing more than half of the total costs paid by consumers,</w:t>
      </w:r>
      <w:r>
        <w:t xml:space="preserve"> </w:t>
      </w:r>
      <w:r>
        <w:t xml:space="preserve">followed by distribution costs (see Figures 7.21 and 7.22 below). Distribution costs are</w:t>
      </w:r>
      <w:r>
        <w:t xml:space="preserve"> </w:t>
      </w:r>
      <w:r>
        <w:t xml:space="preserve">continuously pointed as a problem across the industry, accounting for, in RIY terms, 0.3%</w:t>
      </w:r>
      <w:r>
        <w:t xml:space="preserve"> </w:t>
      </w:r>
      <w:r>
        <w:t xml:space="preserve">of total unit-linked costs, and 0.5% of total profit participation products. Distribution costs</w:t>
      </w:r>
      <w:r>
        <w:t xml:space="preserve"> </w:t>
      </w:r>
      <w:r>
        <w:t xml:space="preserve">have, on average, an impact between 10% and 30% of the total costs, in both unit-linked</w:t>
      </w:r>
      <w:r>
        <w:t xml:space="preserve"> </w:t>
      </w:r>
      <w:r>
        <w:t xml:space="preserve">and profit-participation products (see Figure 7.23 below). Even though it does not seem to</w:t>
      </w:r>
      <w:r>
        <w:t xml:space="preserve"> </w:t>
      </w:r>
      <w:r>
        <w:t xml:space="preserve">be a recurring practice, some undertakings might also not include these costs in the total</w:t>
      </w:r>
      <w:r>
        <w:t xml:space="preserve"> </w:t>
      </w:r>
      <w:r>
        <w:t xml:space="preserve">costs reported, or disclose these costs jointly with administrative costs due to the lack of</w:t>
      </w:r>
      <w:r>
        <w:t xml:space="preserve"> </w:t>
      </w:r>
      <w:r>
        <w:t xml:space="preserve">requirement to disclose such costs separately. This might be in particular the case of the</w:t>
      </w:r>
      <w:r>
        <w:t xml:space="preserve"> </w:t>
      </w:r>
      <w:r>
        <w:t xml:space="preserve">data collected from Austria, Bulgaria, Greece and Luxembourg. Jurisdictions where</w:t>
      </w:r>
      <w:r>
        <w:t xml:space="preserve"> </w:t>
      </w:r>
      <w:r>
        <w:t xml:space="preserve">intermediaries also provide either financial products services or other goods/services</w:t>
      </w:r>
      <w:r>
        <w:t xml:space="preserve"> </w:t>
      </w:r>
      <w:r>
        <w:t xml:space="preserve">different from insurance/financial products tend to exhibit higher distribution costs399, in</w:t>
      </w:r>
      <w:r>
        <w:t xml:space="preserve"> </w:t>
      </w:r>
      <w:r>
        <w:t xml:space="preserve">terms of RIY.</w:t>
      </w:r>
      <w:r>
        <w:br/>
      </w:r>
      <w:r>
        <w:t xml:space="preserve">Additionally, the reduction in the number of registered intermediaries might have triggered</w:t>
      </w:r>
      <w:r>
        <w:t xml:space="preserve"> </w:t>
      </w:r>
      <w:r>
        <w:t xml:space="preserve">further broker mergers and acquisitions and higher levels of concentration among the</w:t>
      </w:r>
      <w:r>
        <w:t xml:space="preserve"> </w:t>
      </w:r>
      <w:r>
        <w:t xml:space="preserve">largest intermediaries, driving distribution costs higher. Interestingly, LV exhibits some of</w:t>
      </w:r>
      <w:r>
        <w:t xml:space="preserve"> </w:t>
      </w:r>
      <w:r>
        <w:t xml:space="preserve">the lowest distribution costs, and simultaneously reported one of the strongest significance</w:t>
      </w:r>
      <w:r>
        <w:t xml:space="preserve"> </w:t>
      </w:r>
      <w:r>
        <w:t xml:space="preserve">of online sales (around 15% for life insurance), reinforcing the hypothesis that technology</w:t>
      </w:r>
      <w:r>
        <w:t xml:space="preserve"> </w:t>
      </w:r>
      <w:r>
        <w:t xml:space="preserve">will potentially decrease those costs across the industry. As a matter of fact, online</w:t>
      </w:r>
      <w:r>
        <w:t xml:space="preserve"> </w:t>
      </w:r>
      <w:r>
        <w:t xml:space="preserve">insurance aggregators and direct channels are reporting greater volumes, especially</w:t>
      </w:r>
      <w:r>
        <w:t xml:space="preserve"> </w:t>
      </w:r>
      <w:r>
        <w:t xml:space="preserve">following the COVID-19 crisis.</w:t>
      </w:r>
      <w:r>
        <w:br/>
      </w:r>
      <w:r>
        <w:t xml:space="preserve">Figure 7.21 - Breakdown of total costs for unit-linked products, across Member States, 2019</w:t>
      </w:r>
    </w:p>
    <w:p>
      <w:pPr>
        <w:pStyle w:val="BodyText"/>
      </w:pPr>
      <w:r>
        <w:t xml:space="preserve">399 See Figure 1.3 of the EIOPA Report on the application of the IDD on page 20 as an illustration of this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Source: EIOPA Cost and Past Performance Survey</w:t>
      </w:r>
      <w:r>
        <w:br/>
      </w:r>
      <w:r>
        <w:t xml:space="preserve">Figure 7.22 - Breakdown of total costs for profit-participation products, across Member</w:t>
      </w:r>
      <w:r>
        <w:t xml:space="preserve"> </w:t>
      </w:r>
      <w:r>
        <w:t xml:space="preserve">States, 2019</w:t>
      </w:r>
    </w:p>
    <w:p>
      <w:pPr>
        <w:pStyle w:val="BodyText"/>
      </w:pPr>
      <w:r>
        <w:t xml:space="preserve">Source: EIOPA Cost and Past Performance Survey</w:t>
      </w:r>
    </w:p>
    <w:p>
      <w:pPr>
        <w:pStyle w:val="BodyText"/>
      </w:pPr>
      <w:r>
        <w:t xml:space="preserve">Figure 7.23 - Proportion of the different costs driver on the total costs for unit-linked</w:t>
      </w:r>
      <w:r>
        <w:t xml:space="preserve"> </w:t>
      </w:r>
      <w:r>
        <w:t xml:space="preserve">products (left) and for profit-participation products (right)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Source: EIOPA Cost and Past Performance Survey</w:t>
      </w:r>
      <w:r>
        <w:br/>
      </w:r>
      <w:r>
        <w:t xml:space="preserve">Despite observing a shrinkage in the overall cross-border activity, measured in terms of</w:t>
      </w:r>
      <w:r>
        <w:t xml:space="preserve"> </w:t>
      </w:r>
      <w:r>
        <w:t xml:space="preserve">GWP written under FOS/FOE, the number of registered intermediaries’ cross-borders has</w:t>
      </w:r>
      <w:r>
        <w:t xml:space="preserve"> </w:t>
      </w:r>
      <w:r>
        <w:t xml:space="preserve">been steadily increasing (see Figure 7.24 below). Cross-border activity seems to be more</w:t>
      </w:r>
      <w:r>
        <w:t xml:space="preserve"> </w:t>
      </w:r>
      <w:r>
        <w:t xml:space="preserve">significant across the unit-linked market, where the proportion of premiums written abroad</w:t>
      </w:r>
      <w:r>
        <w:t xml:space="preserve"> </w:t>
      </w:r>
      <w:r>
        <w:t xml:space="preserve">ranges from 20% to 15%.</w:t>
      </w:r>
      <w:r>
        <w:br/>
      </w:r>
      <w:r>
        <w:t xml:space="preserve">Stricter supervisory actions related to unit-linked products might have impacted the cross-</w:t>
      </w:r>
      <w:r>
        <w:t xml:space="preserve"> </w:t>
      </w:r>
      <w:r>
        <w:t xml:space="preserve">border expansion in the recent years. Nevertheless, the number of insurance intermediaries</w:t>
      </w:r>
      <w:r>
        <w:t xml:space="preserve"> </w:t>
      </w:r>
      <w:r>
        <w:t xml:space="preserve">conducting cross border business has been increasing. Therefore, despite an expansion in</w:t>
      </w:r>
      <w:r>
        <w:t xml:space="preserve"> </w:t>
      </w:r>
      <w:r>
        <w:t xml:space="preserve">the distribution network, the actual amount of business being written on a cross-border</w:t>
      </w:r>
      <w:r>
        <w:t xml:space="preserve"> </w:t>
      </w:r>
      <w:r>
        <w:t xml:space="preserve">basis has decreased, particularly when it comes to unit-linked products.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Figure 7.24 - Proportion of GWP under FOS/FOE over total GWP, EEA, 2017-2020</w:t>
      </w:r>
    </w:p>
    <w:p>
      <w:pPr>
        <w:pStyle w:val="BodyText"/>
      </w:pPr>
      <w:r>
        <w:t xml:space="preserve">Source: EIOPA Solvency II database</w:t>
      </w:r>
      <w:r>
        <w:br/>
      </w:r>
      <w:r>
        <w:t xml:space="preserve">Despite the different size of each line of business and structural heterogeneity across</w:t>
      </w:r>
      <w:r>
        <w:t xml:space="preserve"> </w:t>
      </w:r>
      <w:r>
        <w:t xml:space="preserve">countries (Figure 7.25), the trend of a shift from insurance with profit participation towards</w:t>
      </w:r>
      <w:r>
        <w:t xml:space="preserve"> </w:t>
      </w:r>
      <w:r>
        <w:t xml:space="preserve">unit-linked life insurance is verified across 21 Member States. For some of them, namely</w:t>
      </w:r>
      <w:r>
        <w:t xml:space="preserve"> </w:t>
      </w:r>
      <w:r>
        <w:t xml:space="preserve">BE, EE, FR, HU and LV, the decrease in the overall significance of profit participation</w:t>
      </w:r>
      <w:r>
        <w:t xml:space="preserve"> </w:t>
      </w:r>
      <w:r>
        <w:t xml:space="preserve">decrease by over 5%. In an extreme case, PT observed a decrease of 21% in the weight of</w:t>
      </w:r>
      <w:r>
        <w:t xml:space="preserve"> </w:t>
      </w:r>
      <w:r>
        <w:t xml:space="preserve">the profit participation GWP compared to the total life GWP (Figure 7.27).</w:t>
      </w:r>
      <w:r>
        <w:br/>
      </w:r>
      <w:r>
        <w:t xml:space="preserve">Figure 7.25 - % GWP UL LoB across Member States, 2020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Source: EIOPA Solvency II database</w:t>
      </w:r>
      <w:r>
        <w:br/>
      </w:r>
      <w:r>
        <w:t xml:space="preserve">Figure 7.26 - % GWP PP LoB across Member States, 2020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EIOPA</w:t>
      </w:r>
      <w:r>
        <w:t xml:space="preserve"> </w:t>
      </w:r>
      <w:r>
        <w:t xml:space="preserve">Solvency</w:t>
      </w:r>
      <w:r>
        <w:t xml:space="preserve"> </w:t>
      </w:r>
      <w:r>
        <w:t xml:space="preserve">II</w:t>
      </w:r>
      <w:r>
        <w:t xml:space="preserve"> </w:t>
      </w:r>
      <w:r>
        <w:t xml:space="preserve">database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Figure 7.27 - GWP distribution between UL and PP lines of business per Member State, 2019-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Source: EIOPA Solvency II database</w:t>
      </w:r>
      <w:r>
        <w:br/>
      </w:r>
      <w:r>
        <w:t xml:space="preserve">Costs and charges for the distribution of IBIPs, in particular commission rates</w:t>
      </w:r>
      <w:r>
        <w:br/>
      </w:r>
      <w:r>
        <w:t xml:space="preserve">Considering the overall distribution strategies reported by each country (Figures 1.2, 1.3,</w:t>
      </w:r>
      <w:r>
        <w:t xml:space="preserve"> </w:t>
      </w:r>
      <w:r>
        <w:t xml:space="preserve">1.4 from EIOPA’s IDD application report), it seems that markets where the majority of</w:t>
      </w:r>
      <w:r>
        <w:t xml:space="preserve"> </w:t>
      </w:r>
      <w:r>
        <w:t xml:space="preserve">insurance intermediaries acted on behalf of one or more insurance undertakings, also tend</w:t>
      </w:r>
      <w:r>
        <w:t xml:space="preserve"> </w:t>
      </w:r>
      <w:r>
        <w:t xml:space="preserve">to charge higher commission rates, especially for UL products (Figure 15).</w:t>
      </w:r>
      <w:r>
        <w:br/>
      </w:r>
      <w:r>
        <w:t xml:space="preserve">Figure 7.28 - Commission Rates for UL products, by Member State, 2019-2020</w:t>
      </w:r>
    </w:p>
    <w:p>
      <w:pPr>
        <w:pStyle w:val="BodyText"/>
      </w:pPr>
      <w:r>
        <w:t xml:space="preserve">Source: Solvency II database</w:t>
      </w:r>
      <w:r>
        <w:br/>
      </w:r>
      <w:r>
        <w:t xml:space="preserve">Figure 7.29 - Commission Rates for PP products, by Member State, 2019-2020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Source: EIOPA Solvency II database</w:t>
      </w:r>
      <w:r>
        <w:br/>
      </w:r>
      <w:r>
        <w:t xml:space="preserve">Regarding cross-border activities, Italy, France and Germany emerge as the largest markets</w:t>
      </w:r>
      <w:r>
        <w:t xml:space="preserve"> </w:t>
      </w:r>
      <w:r>
        <w:t xml:space="preserve">reporting cross border activities, even though there are interesting dynamics across the</w:t>
      </w:r>
      <w:r>
        <w:t xml:space="preserve"> </w:t>
      </w:r>
      <w:r>
        <w:t xml:space="preserve">Baltics and Nordics. The picture at country level reinforces the snapshot at EEA level</w:t>
      </w:r>
      <w:r>
        <w:t xml:space="preserve"> </w:t>
      </w:r>
      <w:r>
        <w:t xml:space="preserve">regarding the decrease in amount of cross border activity in the past years (Figures 7.30</w:t>
      </w:r>
      <w:r>
        <w:t xml:space="preserve"> </w:t>
      </w:r>
      <w:r>
        <w:t xml:space="preserve">and 7.31).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Figure 7.30 - GWP exported on cross border by LOB for UL products, 2019-2020</w:t>
      </w:r>
    </w:p>
    <w:p>
      <w:pPr>
        <w:pStyle w:val="BodyText"/>
      </w:pPr>
      <w:r>
        <w:t xml:space="preserve">Source: EIOPA Solvency II database</w:t>
      </w:r>
      <w:r>
        <w:br/>
      </w:r>
      <w:r>
        <w:t xml:space="preserve">Figure 7.31- GWP exported on cross border by LOB for PP products, 2019-2020</w:t>
      </w:r>
    </w:p>
    <w:p>
      <w:pPr>
        <w:pStyle w:val="BodyText"/>
      </w:pPr>
      <w:r>
        <w:t xml:space="preserve">Source: EIOPA Solvency II database</w:t>
      </w:r>
      <w:r>
        <w:br/>
      </w:r>
      <w:r>
        <w:t xml:space="preserve">Growth in the market for online distribution of IBIPs</w:t>
      </w:r>
      <w:r>
        <w:br/>
      </w:r>
      <w:r>
        <w:t xml:space="preserve">Given the ongoing digital transformation occurring in the EU distribution market, EIOPA</w:t>
      </w:r>
      <w:r>
        <w:t xml:space="preserve"> </w:t>
      </w:r>
      <w:r>
        <w:t xml:space="preserve">has also looked at whether there has been any specific growth in the online distribution of</w:t>
      </w:r>
      <w:r>
        <w:t xml:space="preserve"> </w:t>
      </w:r>
      <w:r>
        <w:t xml:space="preserve">IBIPs. EIOPA is not in a position, based on limited data provided by NCAs, to provide a</w:t>
      </w:r>
      <w:r>
        <w:t xml:space="preserve"> </w:t>
      </w:r>
      <w:r>
        <w:t xml:space="preserve">detailed picture of the growth in the market for online sales of IBIPs. (As noted in the</w:t>
      </w:r>
      <w:r>
        <w:t xml:space="preserve"> </w:t>
      </w:r>
      <w:r>
        <w:t xml:space="preserve">section of this Call for Advice related to digital tools and channels, the existence of online</w:t>
      </w:r>
      <w:r>
        <w:t xml:space="preserve"> </w:t>
      </w:r>
      <w:r>
        <w:t xml:space="preserve">platforms selling IBIPs seems to be particularly low at present).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Generally speaking, EIOPA has noted in its IDD application report400 that online sales for</w:t>
      </w:r>
      <w:r>
        <w:t xml:space="preserve"> </w:t>
      </w:r>
      <w:r>
        <w:t xml:space="preserve">insurance products seem to be increasing on a yearly basis and it is likely that this trend</w:t>
      </w:r>
      <w:r>
        <w:t xml:space="preserve"> </w:t>
      </w:r>
      <w:r>
        <w:t xml:space="preserve">will continue as this trend is being further enhanced by the COVID-19 pandemic and social</w:t>
      </w:r>
      <w:r>
        <w:t xml:space="preserve"> </w:t>
      </w:r>
      <w:r>
        <w:t xml:space="preserve">distancing measures. Based on data for 13 Member States provided by NCAs and some</w:t>
      </w:r>
      <w:r>
        <w:t xml:space="preserve"> </w:t>
      </w:r>
      <w:r>
        <w:t xml:space="preserve">trade associations, the proportion of online sales for insurance products in terms of total</w:t>
      </w:r>
      <w:r>
        <w:t xml:space="preserve"> </w:t>
      </w:r>
      <w:r>
        <w:t xml:space="preserve">volume of GWP remains relatively low in many Member States, ranging mostly from 0.2%</w:t>
      </w:r>
      <w:r>
        <w:t xml:space="preserve"> </w:t>
      </w:r>
      <w:r>
        <w:t xml:space="preserve">to 2%. It is interesting to note that for DK and EE, it is estimated that online sales account</w:t>
      </w:r>
      <w:r>
        <w:t xml:space="preserve"> </w:t>
      </w:r>
      <w:r>
        <w:t xml:space="preserve">for 80% of the total volume of GWP and the proportion of online sales in LV is relatively</w:t>
      </w:r>
      <w:r>
        <w:t xml:space="preserve"> </w:t>
      </w:r>
      <w:r>
        <w:t xml:space="preserve">high as well (70% for life insurance).</w:t>
      </w:r>
      <w:r>
        <w:br/>
      </w:r>
      <w:r>
        <w:t xml:space="preserve">The aforementioned Commission Report on “Distribution systems of retail investment</w:t>
      </w:r>
      <w:r>
        <w:t xml:space="preserve"> </w:t>
      </w:r>
      <w:r>
        <w:t xml:space="preserve">products across the European Union”401 indicates that “for life insurance products (both</w:t>
      </w:r>
      <w:r>
        <w:t xml:space="preserve"> </w:t>
      </w:r>
      <w:r>
        <w:t xml:space="preserve">with guaranteed capital and without guaranteed capital), these make up for 4% of the total</w:t>
      </w:r>
      <w:r>
        <w:t xml:space="preserve"> </w:t>
      </w:r>
      <w:r>
        <w:t xml:space="preserve">number of products identified on distributors’ websites in the Member States observed”.</w:t>
      </w:r>
      <w:r>
        <w:br/>
      </w:r>
      <w:r>
        <w:t xml:space="preserve">It is, however, emphasised in the report that “the sample of distributors did not include</w:t>
      </w:r>
      <w:r>
        <w:t xml:space="preserve"> </w:t>
      </w:r>
      <w:r>
        <w:t xml:space="preserve">brokers” and “the products availability depends largely on the market analysed”. The</w:t>
      </w:r>
      <w:r>
        <w:t xml:space="preserve"> </w:t>
      </w:r>
      <w:r>
        <w:t xml:space="preserve">report goes on to indicate that “in France, Italy, Czech Republic, Belgium and Portugal, a</w:t>
      </w:r>
      <w:r>
        <w:t xml:space="preserve"> </w:t>
      </w:r>
      <w:r>
        <w:t xml:space="preserve">relatively wide variety of life insurance policies are offered. However, in Denmark,</w:t>
      </w:r>
      <w:r>
        <w:t xml:space="preserve"> </w:t>
      </w:r>
      <w:r>
        <w:t xml:space="preserve">Estonia, Germany, Spain, Sweden, and the UK, no such products were identified with their</w:t>
      </w:r>
      <w:r>
        <w:t xml:space="preserve"> </w:t>
      </w:r>
      <w:r>
        <w:t xml:space="preserve">associated costs disclosed. In the cases of Denmark and Germany, the lack of information</w:t>
      </w:r>
      <w:r>
        <w:t xml:space="preserve"> </w:t>
      </w:r>
      <w:r>
        <w:t xml:space="preserve">on life insurance costs and charges, although well known, is all the more remarkable, since</w:t>
      </w:r>
      <w:r>
        <w:t xml:space="preserve"> </w:t>
      </w:r>
      <w:r>
        <w:t xml:space="preserve">life insurance and annuity entitlements represent a very significant share of households’</w:t>
      </w:r>
      <w:r>
        <w:t xml:space="preserve"> </w:t>
      </w:r>
      <w:r>
        <w:t xml:space="preserve">financial asset portfolio. It must be noted however that there is no obligation for</w:t>
      </w:r>
      <w:r>
        <w:t xml:space="preserve"> </w:t>
      </w:r>
      <w:r>
        <w:t xml:space="preserve">distributors to disclose fees for life insurance products on their webpages”.</w:t>
      </w:r>
    </w:p>
    <w:p>
      <w:pPr>
        <w:pStyle w:val="BodyText"/>
      </w:pPr>
      <w:r>
        <w:t xml:space="preserve">400 https://www.eiopa.europa.eu/media/news/eiopa-publishes-report-application-of-insurance-distribution-directive_en</w:t>
      </w:r>
      <w:r>
        <w:br/>
      </w:r>
      <w:r>
        <w:t xml:space="preserve">401 https://ec.europa.eu/info/sites/default/files/180425-retail-investment-products-distribution-systems_en.pdf - see page 20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ANNEX 8: ENHANCED SUITABILITY AND APPROPRIATENESS</w:t>
      </w:r>
      <w:r>
        <w:t xml:space="preserve"> </w:t>
      </w:r>
      <w:r>
        <w:t xml:space="preserve">ASSESSMENTS</w:t>
      </w:r>
      <w:r>
        <w:t xml:space="preserve"> </w:t>
      </w:r>
      <w:r>
        <w:t xml:space="preserve">1. Problem definition</w:t>
      </w:r>
    </w:p>
    <w:p>
      <w:pPr>
        <w:pStyle w:val="BodyText"/>
      </w:pPr>
      <w:r>
        <w:t xml:space="preserve">The suitability and appropriateness assessment regimes are designed to ensure that</w:t>
      </w:r>
      <w:r>
        <w:t xml:space="preserve"> </w:t>
      </w:r>
      <w:r>
        <w:t xml:space="preserve">financial instruments recommended to or bought by investors are coherent with,</w:t>
      </w:r>
      <w:r>
        <w:t xml:space="preserve"> </w:t>
      </w:r>
      <w:r>
        <w:t xml:space="preserve">respectively, i) the client’s investment objectives, risk tolerance, knowledge and</w:t>
      </w:r>
      <w:r>
        <w:t xml:space="preserve"> </w:t>
      </w:r>
      <w:r>
        <w:t xml:space="preserve">experience and ability to financially bear any investment risks related to such</w:t>
      </w:r>
      <w:r>
        <w:t xml:space="preserve"> </w:t>
      </w:r>
      <w:r>
        <w:t xml:space="preserve">instruments402 and ii) the necessary experience and knowledge relating to the risks of a</w:t>
      </w:r>
      <w:r>
        <w:t xml:space="preserve"> </w:t>
      </w:r>
      <w:r>
        <w:t xml:space="preserve">particular product403. Correspondingly, the retail investment study404 highlights that “the</w:t>
      </w:r>
      <w:r>
        <w:t xml:space="preserve"> </w:t>
      </w:r>
      <w:r>
        <w:t xml:space="preserve">assessment of suitability and appropriateness is one of the most relevant regulatory</w:t>
      </w:r>
      <w:r>
        <w:t xml:space="preserve"> </w:t>
      </w:r>
      <w:r>
        <w:t xml:space="preserve">obligations for consumer protection. The suitability assessments are performed to ensure</w:t>
      </w:r>
      <w:r>
        <w:t xml:space="preserve"> </w:t>
      </w:r>
      <w:r>
        <w:t xml:space="preserve">that retail investors who generally do not have the necessary financial knowledge to make</w:t>
      </w:r>
      <w:r>
        <w:t xml:space="preserve"> </w:t>
      </w:r>
      <w:r>
        <w:t xml:space="preserve">investment decisions by themselves do not face mis-buying or mis-selling risks by being</w:t>
      </w:r>
      <w:r>
        <w:t xml:space="preserve"> </w:t>
      </w:r>
      <w:r>
        <w:t xml:space="preserve">offered products that are not adequate to their profile”.405</w:t>
      </w:r>
    </w:p>
    <w:p>
      <w:pPr>
        <w:pStyle w:val="BodyText"/>
      </w:pPr>
      <w:r>
        <w:t xml:space="preserve">The purpose of the suitability assessment is to ensure that financial intermediaries know</w:t>
      </w:r>
      <w:r>
        <w:t xml:space="preserve"> </w:t>
      </w:r>
      <w:r>
        <w:t xml:space="preserve">their clients and their needs and objectives prior to offering financial products to them. The</w:t>
      </w:r>
      <w:r>
        <w:t xml:space="preserve"> </w:t>
      </w:r>
      <w:r>
        <w:t xml:space="preserve">purpose of the appropriateness assessment is to ensure that financial intermediaries know</w:t>
      </w:r>
      <w:r>
        <w:t xml:space="preserve"> </w:t>
      </w:r>
      <w:r>
        <w:t xml:space="preserve">whether the products that their clients want to buy fit the risk they can bear. The</w:t>
      </w:r>
      <w:r>
        <w:t xml:space="preserve"> </w:t>
      </w:r>
      <w:r>
        <w:t xml:space="preserve">appropriateness test reduces overconfidence, confirmation bias and familiarity bias in</w:t>
      </w:r>
      <w:r>
        <w:t xml:space="preserve"> </w:t>
      </w:r>
      <w:r>
        <w:t xml:space="preserve">investment decisions, which have been identified as important behaviours that may lead to</w:t>
      </w:r>
      <w:r>
        <w:t xml:space="preserve"> </w:t>
      </w:r>
      <w:r>
        <w:t xml:space="preserve">disappointing investment experiences.406</w:t>
      </w:r>
      <w:r>
        <w:br/>
      </w:r>
      <w:r>
        <w:t xml:space="preserve">Both instruments aim to frame retail investors’ decision-making processes without exerting</w:t>
      </w:r>
      <w:r>
        <w:t xml:space="preserve"> </w:t>
      </w:r>
      <w:r>
        <w:t xml:space="preserve">paternalistic constraints on them. They reduce the information disadvantage of retail</w:t>
      </w:r>
      <w:r>
        <w:t xml:space="preserve"> </w:t>
      </w:r>
      <w:r>
        <w:t xml:space="preserve">investors, increase transparency in the relationship with distributors of financial products</w:t>
      </w:r>
      <w:r>
        <w:t xml:space="preserve"> </w:t>
      </w:r>
      <w:r>
        <w:t xml:space="preserve">and help prevent behavioural biases in investment decisions. The use of those assessments</w:t>
      </w:r>
      <w:r>
        <w:t xml:space="preserve"> </w:t>
      </w:r>
      <w:r>
        <w:t xml:space="preserve">should minimise mis-selling of financial products to retail investors and ultimately the risk</w:t>
      </w:r>
      <w:r>
        <w:t xml:space="preserve"> </w:t>
      </w:r>
      <w:r>
        <w:t xml:space="preserve">of disappointing investment experiences that would weigh on retail investors’ trust and</w:t>
      </w:r>
      <w:r>
        <w:t xml:space="preserve"> </w:t>
      </w:r>
      <w:r>
        <w:t xml:space="preserve">participation.</w:t>
      </w:r>
      <w:r>
        <w:br/>
      </w:r>
      <w:r>
        <w:t xml:space="preserve">1.1.</w:t>
      </w:r>
      <w:r>
        <w:t xml:space="preserve"> </w:t>
      </w:r>
      <w:r>
        <w:t xml:space="preserve">What are the problems?</w:t>
      </w:r>
    </w:p>
    <w:p>
      <w:pPr>
        <w:pStyle w:val="BodyText"/>
      </w:pPr>
      <w:r>
        <w:t xml:space="preserve">402 Article 54(2) of Commission Delegated Regulation (EU)2017/565.</w:t>
      </w:r>
      <w:r>
        <w:t xml:space="preserve"> </w:t>
      </w:r>
      <w:r>
        <w:t xml:space="preserve">403 Idem, Article 56(1).</w:t>
      </w:r>
      <w:r>
        <w:t xml:space="preserve"> </w:t>
      </w:r>
      <w:r>
        <w:t xml:space="preserve">404 Retail investment study.</w:t>
      </w:r>
      <w:r>
        <w:t xml:space="preserve"> </w:t>
      </w:r>
      <w:r>
        <w:t xml:space="preserve">405 Idem, page 320.</w:t>
      </w:r>
      <w:r>
        <w:t xml:space="preserve"> </w:t>
      </w:r>
      <w:r>
        <w:t xml:space="preserve">406 See Baisch, R. and R. Weber (2015), ‘Investment Suitability Requirements in the Light of Behavioural</w:t>
      </w:r>
      <w:r>
        <w:t xml:space="preserve"> </w:t>
      </w:r>
      <w:r>
        <w:t xml:space="preserve">Findings’, in European Perspectives on Behavioural Law and Economics, Mathis, K. (editor), Springer,</w:t>
      </w:r>
      <w:r>
        <w:t xml:space="preserve"> </w:t>
      </w:r>
      <w:r>
        <w:t xml:space="preserve">pages 159-192.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Persistent concerns about mis-selling407, a continuously high number of complaints by</w:t>
      </w:r>
      <w:r>
        <w:t xml:space="preserve"> </w:t>
      </w:r>
      <w:r>
        <w:t xml:space="preserve">retail investors to financial supervisors, and mixed survey responses about consumers’</w:t>
      </w:r>
      <w:r>
        <w:t xml:space="preserve"> </w:t>
      </w:r>
      <w:r>
        <w:t xml:space="preserve">perception of the usefulness of these instruments suggest the two instruments are not</w:t>
      </w:r>
      <w:r>
        <w:t xml:space="preserve"> </w:t>
      </w:r>
      <w:r>
        <w:t xml:space="preserve">sufficiently fulfilling their purpose.</w:t>
      </w:r>
      <w:r>
        <w:br/>
      </w:r>
      <w:r>
        <w:t xml:space="preserve">The Retail investment study pointed to challenges regarding inadequate advice to retail</w:t>
      </w:r>
      <w:r>
        <w:t xml:space="preserve"> </w:t>
      </w:r>
      <w:r>
        <w:t xml:space="preserve">investors and listed a number of studies which evidenced the selling of investment products</w:t>
      </w:r>
      <w:r>
        <w:t xml:space="preserve"> </w:t>
      </w:r>
      <w:r>
        <w:t xml:space="preserve">to clients that were not suitable for their profile408. In 2018 the European Parliament</w:t>
      </w:r>
      <w:r>
        <w:t xml:space="preserve"> </w:t>
      </w:r>
      <w:r>
        <w:t xml:space="preserve">commissioned a study which analysed cases of mis-selling of complex products to retail</w:t>
      </w:r>
      <w:r>
        <w:t xml:space="preserve"> </w:t>
      </w:r>
      <w:r>
        <w:t xml:space="preserve">investors409 and EIOPA has also expressed concerns relating to the possible mis-selling of</w:t>
      </w:r>
      <w:r>
        <w:t xml:space="preserve"> </w:t>
      </w:r>
      <w:r>
        <w:t xml:space="preserve">unit-linked products to consumers featuring high costs and commissions as well as</w:t>
      </w:r>
      <w:r>
        <w:t xml:space="preserve"> </w:t>
      </w:r>
      <w:r>
        <w:t xml:space="preserve">complex structures410. A consumer interest organisation compiled a list of 43 mis-selling</w:t>
      </w:r>
      <w:r>
        <w:t xml:space="preserve"> </w:t>
      </w:r>
      <w:r>
        <w:t xml:space="preserve">scandals in EU Member States between 2005 and 2021411. While many of these cases cover</w:t>
      </w:r>
      <w:r>
        <w:t xml:space="preserve"> </w:t>
      </w:r>
      <w:r>
        <w:t xml:space="preserve">instruments that banks issued during the financial and sovereign debt crisis, especially</w:t>
      </w:r>
      <w:r>
        <w:t xml:space="preserve"> </w:t>
      </w:r>
      <w:r>
        <w:t xml:space="preserve">consumer organisations cautioned that mis-selling practices still remain an issue.412 In a</w:t>
      </w:r>
      <w:r>
        <w:t xml:space="preserve"> </w:t>
      </w:r>
      <w:r>
        <w:t xml:space="preserve">study413 elaborated by Deloitte for the Commission in 2018, more than half of the surveyed</w:t>
      </w:r>
      <w:r>
        <w:t xml:space="preserve"> </w:t>
      </w:r>
      <w:r>
        <w:t xml:space="preserve">consumer protection bodies reported they received frequent complaints about unsuitable</w:t>
      </w:r>
      <w:r>
        <w:t xml:space="preserve"> </w:t>
      </w:r>
      <w:r>
        <w:t xml:space="preserve">products and inappropriate advice, i.e. complaints that should not occur if suitability</w:t>
      </w:r>
      <w:r>
        <w:t xml:space="preserve"> </w:t>
      </w:r>
      <w:r>
        <w:t xml:space="preserve">assessments are done properly. The considerable number of complaints that national</w:t>
      </w:r>
      <w:r>
        <w:t xml:space="preserve"> </w:t>
      </w:r>
      <w:r>
        <w:t xml:space="preserve">competent authorities still receive about investment advice and, in particular, about the sale</w:t>
      </w:r>
      <w:r>
        <w:t xml:space="preserve"> </w:t>
      </w:r>
      <w:r>
        <w:t xml:space="preserve">of structured and complex financial products (see chart below) illustrates that the issue of</w:t>
      </w:r>
      <w:r>
        <w:t xml:space="preserve"> </w:t>
      </w:r>
      <w:r>
        <w:t xml:space="preserve">mis-selling remains important, requiring urgent action.</w:t>
      </w:r>
      <w:r>
        <w:br/>
      </w:r>
      <w:r>
        <w:t xml:space="preserve">The Retail investment study underlined the fact that retail investors tend to trust advisors</w:t>
      </w:r>
      <w:r>
        <w:t xml:space="preserve"> </w:t>
      </w:r>
      <w:r>
        <w:t xml:space="preserve">and follow their advice, although the behavioural experiment conducted as part of the study</w:t>
      </w:r>
      <w:r>
        <w:t xml:space="preserve"> </w:t>
      </w:r>
      <w:r>
        <w:t xml:space="preserve">suggest that advice may be inadequate.414 Complaints about inappropriate advice and mis-</w:t>
      </w:r>
      <w:r>
        <w:t xml:space="preserve"> </w:t>
      </w:r>
      <w:r>
        <w:t xml:space="preserve">selling of products negatively affect retail investors’ trust in financial markets and may</w:t>
      </w:r>
      <w:r>
        <w:t xml:space="preserve"> </w:t>
      </w:r>
      <w:r>
        <w:t xml:space="preserve">lead to their permanent withdrawal. The latter goes contrary to the key objective of the</w:t>
      </w:r>
      <w:r>
        <w:t xml:space="preserve"> </w:t>
      </w:r>
      <w:r>
        <w:t xml:space="preserve">CMU of increasing the scale of the EU capital markets through enhanced retail investors’</w:t>
      </w:r>
      <w:r>
        <w:t xml:space="preserve"> </w:t>
      </w:r>
      <w:r>
        <w:t xml:space="preserve">participation. The participation of retail investors in capital markets is, in turn, important</w:t>
      </w:r>
    </w:p>
    <w:p>
      <w:pPr>
        <w:pStyle w:val="BodyText"/>
      </w:pPr>
      <w:r>
        <w:t xml:space="preserve">407 See Retail investment study – pages 22, 26, 29” The overall intention of the policy framework (i.e. </w:t>
      </w:r>
      <w:r>
        <w:t xml:space="preserve"> </w:t>
      </w:r>
      <w:r>
        <w:t xml:space="preserve">reducing mis-selling) remains highly relevant.”, also page 302 in section 7 suitability assessments and</w:t>
      </w:r>
      <w:r>
        <w:t xml:space="preserve"> </w:t>
      </w:r>
      <w:r>
        <w:t xml:space="preserve">needs and demands test.</w:t>
      </w:r>
      <w:r>
        <w:t xml:space="preserve"> </w:t>
      </w:r>
      <w:r>
        <w:t xml:space="preserve">408 Retail investment study, pages 242 and 243.</w:t>
      </w:r>
      <w:r>
        <w:t xml:space="preserve"> </w:t>
      </w:r>
      <w:r>
        <w:t xml:space="preserve">409 Conac, P..H. (2018), ‘Mis-selling of Financial Products: Subordinated Debt and Self-placement’, Study</w:t>
      </w:r>
      <w:r>
        <w:t xml:space="preserve"> </w:t>
      </w:r>
      <w:r>
        <w:t xml:space="preserve">for ECON, European Parliament, IP/A/ECON/2016-17IP/A/ECON/2016-17.</w:t>
      </w:r>
      <w:r>
        <w:t xml:space="preserve"> </w:t>
      </w:r>
      <w:r>
        <w:t xml:space="preserve">410 EIOPA, consumer trend report 2021, page 6.</w:t>
      </w:r>
      <w:r>
        <w:t xml:space="preserve"> </w:t>
      </w:r>
      <w:r>
        <w:t xml:space="preserve">411 https://www.thepriceofbadadvice.eu/ by BEUC. The website was created in 2018, but lists scandals</w:t>
      </w:r>
      <w:r>
        <w:t xml:space="preserve"> </w:t>
      </w:r>
      <w:r>
        <w:t xml:space="preserve">prior to that year, recognising that mis-selling is often detected with a considerable delay.</w:t>
      </w:r>
      <w:r>
        <w:t xml:space="preserve"> </w:t>
      </w:r>
      <w:r>
        <w:t xml:space="preserve">412 Today no statistics on mis-selling exist. As mentioned under footnote 9, this is partly due to the broad</w:t>
      </w:r>
      <w:r>
        <w:t xml:space="preserve"> </w:t>
      </w:r>
      <w:r>
        <w:t xml:space="preserve">nature of the concept. It is also due to the fact that mis-selling typically take years to manifest itself - that</w:t>
      </w:r>
      <w:r>
        <w:t xml:space="preserve"> </w:t>
      </w:r>
      <w:r>
        <w:t xml:space="preserve">is until the damage materialises or until the efforts to receive compensation come to fruition (or fail).</w:t>
      </w:r>
      <w:r>
        <w:br/>
      </w:r>
      <w:r>
        <w:t xml:space="preserve">413 Deloitte (2018), Distribution systems of retail investment products across the European Union, page</w:t>
      </w:r>
      <w:r>
        <w:t xml:space="preserve"> </w:t>
      </w:r>
      <w:r>
        <w:t xml:space="preserve">106. 8 consumer protection agencies and 15 alternative dispute resolution agencies participated in the</w:t>
      </w:r>
      <w:r>
        <w:t xml:space="preserve"> </w:t>
      </w:r>
      <w:r>
        <w:t xml:space="preserve">survey.</w:t>
      </w:r>
      <w:r>
        <w:t xml:space="preserve"> </w:t>
      </w:r>
      <w:r>
        <w:t xml:space="preserve">414 Retail investment study, pages 278 to 291.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to also allow retail investors to benefit from investment opportunities offered by capital</w:t>
      </w:r>
      <w:r>
        <w:t xml:space="preserve"> </w:t>
      </w:r>
      <w:r>
        <w:t xml:space="preserve">markets – ever more important in a high-inflation environment.</w:t>
      </w:r>
      <w:r>
        <w:br/>
      </w:r>
      <w:r>
        <w:t xml:space="preserve">While on the one hand investors that do get advice tend to rely on such advice (see above),</w:t>
      </w:r>
      <w:r>
        <w:t xml:space="preserve"> </w:t>
      </w:r>
      <w:r>
        <w:t xml:space="preserve">amongst those respondents to the Eurobarometer survey (2022), who say they have</w:t>
      </w:r>
      <w:r>
        <w:t xml:space="preserve"> </w:t>
      </w:r>
      <w:r>
        <w:t xml:space="preserve">sufficient money to invest, but do not do so, 12% and 21% indicated that they had no trust</w:t>
      </w:r>
      <w:r>
        <w:t xml:space="preserve"> </w:t>
      </w:r>
      <w:r>
        <w:t xml:space="preserve">in financial advice and that they are concerned about the risks, respectively. These findings</w:t>
      </w:r>
      <w:r>
        <w:t xml:space="preserve"> </w:t>
      </w:r>
      <w:r>
        <w:t xml:space="preserve">suggest that the client profiling process and the suitability or appropriateness assessments,</w:t>
      </w:r>
      <w:r>
        <w:t xml:space="preserve"> </w:t>
      </w:r>
      <w:r>
        <w:t xml:space="preserve">as applied today by financial intermediaries to offer advice or execute the sale of a financial</w:t>
      </w:r>
      <w:r>
        <w:t xml:space="preserve"> </w:t>
      </w:r>
      <w:r>
        <w:t xml:space="preserve">product, are not sufficient to foster trust in financial markets.</w:t>
      </w:r>
      <w:r>
        <w:t xml:space="preserve"> </w:t>
      </w:r>
      <w:r>
        <w:t xml:space="preserve">Suitability assessment</w:t>
      </w:r>
      <w:r>
        <w:t xml:space="preserve"> </w:t>
      </w:r>
      <w:r>
        <w:t xml:space="preserve">For advised services (requiring a suitability assessment), the retail investment study</w:t>
      </w:r>
      <w:r>
        <w:t xml:space="preserve"> </w:t>
      </w:r>
      <w:r>
        <w:t xml:space="preserve">identifies deficiencies in the screening process related to the coverage, depth and timing of</w:t>
      </w:r>
      <w:r>
        <w:t xml:space="preserve"> </w:t>
      </w:r>
      <w:r>
        <w:t xml:space="preserve">the suitability assessment. It also demonstrates a great variation in application across the</w:t>
      </w:r>
      <w:r>
        <w:t xml:space="preserve"> </w:t>
      </w:r>
      <w:r>
        <w:t xml:space="preserve">Union. “The information obtained from the client needs to be correctly interpreted and</w:t>
      </w:r>
      <w:r>
        <w:t xml:space="preserve"> </w:t>
      </w:r>
      <w:r>
        <w:t xml:space="preserve">transformed into an investor profile that is indeed useful in selecting suitable investment</w:t>
      </w:r>
      <w:r>
        <w:t xml:space="preserve"> </w:t>
      </w:r>
      <w:r>
        <w:t xml:space="preserve">products. The mystery shopping exercise suggests however that this is often not the</w:t>
      </w:r>
      <w:r>
        <w:t xml:space="preserve"> </w:t>
      </w:r>
      <w:r>
        <w:t xml:space="preserve">case”.415</w:t>
      </w:r>
      <w:r>
        <w:t xml:space="preserve"> </w:t>
      </w:r>
      <w:r>
        <w:t xml:space="preserve">These findings are consistent with issues identified by national competent authorities in</w:t>
      </w:r>
      <w:r>
        <w:t xml:space="preserve"> </w:t>
      </w:r>
      <w:r>
        <w:t xml:space="preserve">Germany, Ireland and France with how suitability assessments are conducted.416 ESMA</w:t>
      </w:r>
      <w:r>
        <w:t xml:space="preserve"> </w:t>
      </w:r>
      <w:r>
        <w:t xml:space="preserve">also reported that national competent authorities receive about a dozen of consumer</w:t>
      </w:r>
      <w:r>
        <w:t xml:space="preserve"> </w:t>
      </w:r>
      <w:r>
        <w:t xml:space="preserve">complaints about the quality of investment advice and a similar number of complaints</w:t>
      </w:r>
      <w:r>
        <w:t xml:space="preserve"> </w:t>
      </w:r>
      <w:r>
        <w:t xml:space="preserve">specifically about suitability assessments each year (see chart below). Whereas it is</w:t>
      </w:r>
      <w:r>
        <w:t xml:space="preserve"> </w:t>
      </w:r>
      <w:r>
        <w:t xml:space="preserve">difficult to establish whether truly unsuitable products were sold, suitability assessments,</w:t>
      </w:r>
      <w:r>
        <w:t xml:space="preserve"> </w:t>
      </w:r>
      <w:r>
        <w:t xml:space="preserve">if conducted properly, should have reduced the scope for financial advisors to misguide</w:t>
      </w:r>
      <w:r>
        <w:t xml:space="preserve"> </w:t>
      </w:r>
      <w:r>
        <w:t xml:space="preserve">retail investors with incorrect information and hence should have limited the number of</w:t>
      </w:r>
      <w:r>
        <w:t xml:space="preserve"> </w:t>
      </w:r>
      <w:r>
        <w:t xml:space="preserve">complaints about advice.</w:t>
      </w:r>
    </w:p>
    <w:p>
      <w:pPr>
        <w:pStyle w:val="BodyText"/>
      </w:pPr>
      <w:r>
        <w:t xml:space="preserve">415 Retail investment study, page 326: “We asked all those who had an investment product or who were</w:t>
      </w:r>
      <w:r>
        <w:t xml:space="preserve"> </w:t>
      </w:r>
      <w:r>
        <w:t xml:space="preserve">exploring making an investment and had received advice whether they recalled being asked questions</w:t>
      </w:r>
      <w:r>
        <w:t xml:space="preserve"> </w:t>
      </w:r>
      <w:r>
        <w:t xml:space="preserve">about their financial situation, past experience with investments, attitude towards risk, etc. While the</w:t>
      </w:r>
      <w:r>
        <w:t xml:space="preserve"> </w:t>
      </w:r>
      <w:r>
        <w:t xml:space="preserve">majority of respondents said “yes”, 21% said “no” and another 14% did not know. The number of</w:t>
      </w:r>
      <w:r>
        <w:t xml:space="preserve"> </w:t>
      </w:r>
      <w:r>
        <w:t xml:space="preserve">respondents who recall undergoing this process varies between countries. The country with the lowest</w:t>
      </w:r>
      <w:r>
        <w:t xml:space="preserve"> </w:t>
      </w:r>
      <w:r>
        <w:t xml:space="preserve">share of respondents who recall undergoing this process is Poland. In the traditional distribution channels</w:t>
      </w:r>
      <w:r>
        <w:t xml:space="preserve"> </w:t>
      </w:r>
      <w:r>
        <w:t xml:space="preserve">mystery shopping exercise this is also the country where many screening conversations were very short</w:t>
      </w:r>
      <w:r>
        <w:t xml:space="preserve"> </w:t>
      </w:r>
      <w:r>
        <w:t xml:space="preserve">and superficial in terms of items covered. A similar situation can be observed in Romania, where a high</w:t>
      </w:r>
      <w:r>
        <w:t xml:space="preserve"> </w:t>
      </w:r>
      <w:r>
        <w:t xml:space="preserve">number of mystery shoppers received product suggestions after a very short conversation covering few</w:t>
      </w:r>
      <w:r>
        <w:t xml:space="preserve"> </w:t>
      </w:r>
      <w:r>
        <w:t xml:space="preserve">aspects of their profile”. See also page 339.</w:t>
      </w:r>
      <w:r>
        <w:t xml:space="preserve"> </w:t>
      </w:r>
      <w:r>
        <w:t xml:space="preserve">416 Retail investment study, page 337.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Figure 1: Complaints received by national 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investment</w:t>
      </w:r>
      <w:r>
        <w:t xml:space="preserve"> </w:t>
      </w:r>
      <w:r>
        <w:t xml:space="preserve">advice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appropriateness/suitability assessments</w:t>
      </w:r>
      <w:r>
        <w:t xml:space="preserve"> </w:t>
      </w:r>
      <w:r>
        <w:t xml:space="preserve">Figure 2: Complaints received by national competent</w:t>
      </w:r>
      <w:r>
        <w:t xml:space="preserve"> </w:t>
      </w:r>
      <w:r>
        <w:t xml:space="preserve">authorities related to different complex financial</w:t>
      </w:r>
      <w:r>
        <w:t xml:space="preserve"> </w:t>
      </w:r>
      <w:r>
        <w:t xml:space="preserve">instruments</w:t>
      </w:r>
      <w:r>
        <w:t xml:space="preserve"> </w:t>
      </w:r>
      <w:r>
        <w:t xml:space="preserve">Note: Reporting may be incomplete and procedures, methodologies and categories different across Member</w:t>
      </w:r>
      <w:r>
        <w:t xml:space="preserve"> </w:t>
      </w:r>
      <w:r>
        <w:t xml:space="preserve">States. Specific events distort the interpretation of time trends. For a detailed analysis of specific events and</w:t>
      </w:r>
      <w:r>
        <w:t xml:space="preserve"> </w:t>
      </w:r>
      <w:r>
        <w:t xml:space="preserve">how they impact complaints data, see ESMA, ‘Monitoring retail markets via complaints data’ Trends, Risks</w:t>
      </w:r>
      <w:r>
        <w:t xml:space="preserve"> </w:t>
      </w:r>
      <w:r>
        <w:t xml:space="preserve">and Vulnerabilities, 1/2017 pp. 37-43.</w:t>
      </w:r>
      <w:r>
        <w:br/>
      </w:r>
      <w:r>
        <w:t xml:space="preserve">Source: ESMA.</w:t>
      </w:r>
      <w:r>
        <w:t xml:space="preserve"> </w:t>
      </w:r>
      <w:r>
        <w:t xml:space="preserve">The consumers’ appreciation of the usefulness of the suitability assessment and benefits</w:t>
      </w:r>
      <w:r>
        <w:t xml:space="preserve"> </w:t>
      </w:r>
      <w:r>
        <w:t xml:space="preserve">hereof seem to differ across Member States. For example, surveys in Germany and Finland</w:t>
      </w:r>
      <w:r>
        <w:t xml:space="preserve"> </w:t>
      </w:r>
      <w:r>
        <w:t xml:space="preserve">revealed mixed perceptions of retail investors about the usefulness of suitability</w:t>
      </w:r>
      <w:r>
        <w:t xml:space="preserve"> </w:t>
      </w:r>
      <w:r>
        <w:t xml:space="preserve">assessments. The majority of customers of German banks surveyed in Paul et al (2019)</w:t>
      </w:r>
      <w:r>
        <w:t xml:space="preserve"> </w:t>
      </w:r>
      <w:r>
        <w:t xml:space="preserve">found them disruptive and not providing net benefits.417 However, in Finland only a small</w:t>
      </w:r>
      <w:r>
        <w:t xml:space="preserve"> </w:t>
      </w:r>
      <w:r>
        <w:t xml:space="preserve">minority of consumers of financial services voiced a critical view about the benefits of</w:t>
      </w:r>
      <w:r>
        <w:t xml:space="preserve"> </w:t>
      </w:r>
      <w:r>
        <w:t xml:space="preserve">suitability assessments in Cronstedt (2021).418Both surveys, however, have a small sample</w:t>
      </w:r>
      <w:r>
        <w:t xml:space="preserve"> </w:t>
      </w:r>
      <w:r>
        <w:t xml:space="preserve">and seem to be biased towards views of sophisticated investors. The retail investment study</w:t>
      </w:r>
      <w:r>
        <w:t xml:space="preserve"> </w:t>
      </w:r>
      <w:r>
        <w:t xml:space="preserve">asked more than 3000 customers in 10 EU Member States how useful they find the</w:t>
      </w:r>
      <w:r>
        <w:t xml:space="preserve"> </w:t>
      </w:r>
      <w:r>
        <w:t xml:space="preserve">screening progress for investment. 64% found it useful, 18% very useful while 16%</w:t>
      </w:r>
      <w:r>
        <w:t xml:space="preserve"> </w:t>
      </w:r>
      <w:r>
        <w:t xml:space="preserve">responded it was not.419 The public consultation yielded views about the usefulness of the</w:t>
      </w:r>
      <w:r>
        <w:t xml:space="preserve"> </w:t>
      </w:r>
      <w:r>
        <w:t xml:space="preserve">screening instruments similar to the retail investment study.420 The still significant share</w:t>
      </w:r>
      <w:r>
        <w:t xml:space="preserve"> </w:t>
      </w:r>
      <w:r>
        <w:t xml:space="preserve">of consumers that expressed dissatisfaction together with about 20% of respondents who</w:t>
      </w:r>
    </w:p>
    <w:p>
      <w:pPr>
        <w:pStyle w:val="BodyText"/>
      </w:pPr>
      <w:r>
        <w:t xml:space="preserve">417 Paul, St., Schroeder, N. and Schumacher S. (2019), ’Auswirkungsstudie MiFIDII/MiFIR and PRIIPs-VO:</w:t>
      </w:r>
      <w:r>
        <w:t xml:space="preserve"> </w:t>
      </w:r>
      <w:r>
        <w:t xml:space="preserve">Effektivitaet und Effizienz der Neuregelungen vor dem Hintergrund des Anleger- und</w:t>
      </w:r>
      <w:r>
        <w:t xml:space="preserve"> </w:t>
      </w:r>
      <w:r>
        <w:t xml:space="preserve">Verbraucherschutzes’, Study on behalf of the Deutsche Kreditwirtschaft, University of Bochum.</w:t>
      </w:r>
      <w:r>
        <w:t xml:space="preserve"> </w:t>
      </w:r>
      <w:r>
        <w:t xml:space="preserve">418 Cronsedt, C.-W. (2021), ’MiFID II and IDD and their effect on customer experience’, Hanken School of</w:t>
      </w:r>
      <w:r>
        <w:t xml:space="preserve"> </w:t>
      </w:r>
      <w:r>
        <w:t xml:space="preserve">Economics, Helsinki.</w:t>
      </w:r>
      <w:r>
        <w:t xml:space="preserve"> </w:t>
      </w:r>
      <w:r>
        <w:t xml:space="preserve">419 The sample consisted of those respondents that had purchased financial products in the last 3 years</w:t>
      </w:r>
      <w:r>
        <w:t xml:space="preserve"> </w:t>
      </w:r>
      <w:r>
        <w:t xml:space="preserve">and remembered having been subject of an investment screening.</w:t>
      </w:r>
      <w:r>
        <w:t xml:space="preserve"> </w:t>
      </w:r>
      <w:r>
        <w:t xml:space="preserve">420 10.3% (n=13) disagreed with the statement that current suitability assessments are effective in</w:t>
      </w:r>
      <w:r>
        <w:t xml:space="preserve"> </w:t>
      </w:r>
      <w:r>
        <w:t xml:space="preserve">ensuring that retail investors are not offered unsuitable products, 6.3% (8) - strongly disagreed. The</w:t>
      </w:r>
      <w:r>
        <w:t xml:space="preserve"> </w:t>
      </w:r>
      <w:r>
        <w:t xml:space="preserve">similarity of the distribution in the retail investment study and the public consultation is remarkable,</w:t>
      </w:r>
      <w:r>
        <w:t xml:space="preserve"> </w:t>
      </w:r>
      <w:r>
        <w:t xml:space="preserve">given little overlap in the respective populations of respondents: while the study surveyed retail investors,</w:t>
      </w:r>
      <w:r>
        <w:t xml:space="preserve"> </w:t>
      </w:r>
      <w:r>
        <w:t xml:space="preserve">the majority of respondents to the public consultation were business associations and companies (in</w:t>
      </w:r>
      <w:r>
        <w:t xml:space="preserve"> </w:t>
      </w:r>
      <w:r>
        <w:t xml:space="preserve">addition to consumer associations, representing the views of retail investors).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did not recall being subject to an investment screening suggest the suitability assessment</w:t>
      </w:r>
      <w:r>
        <w:t xml:space="preserve"> </w:t>
      </w:r>
      <w:r>
        <w:t xml:space="preserve">is not as effective as intended.421</w:t>
      </w:r>
      <w:r>
        <w:t xml:space="preserve"> </w:t>
      </w:r>
      <w:r>
        <w:t xml:space="preserve">Figure 3: Share of respondents that recalled having been subject to investment screening and their experience</w:t>
      </w:r>
    </w:p>
    <w:p>
      <w:pPr>
        <w:pStyle w:val="BodyText"/>
      </w:pPr>
      <w:r>
        <w:t xml:space="preserve">Source: Retail investment study, Annex 10, T.35 and T36</w:t>
      </w:r>
      <w:r>
        <w:t xml:space="preserve"> </w:t>
      </w:r>
      <w:r>
        <w:t xml:space="preserve">Appropriateness assessment</w:t>
      </w:r>
      <w:r>
        <w:t xml:space="preserve"> </w:t>
      </w:r>
      <w:r>
        <w:t xml:space="preserve">For non-advised services, the appropriateness test, focused on testing the clients’</w:t>
      </w:r>
      <w:r>
        <w:t xml:space="preserve"> </w:t>
      </w:r>
      <w:r>
        <w:t xml:space="preserve">knowledge and experience only, is viewed by many NCAs as largely insufficient to provide</w:t>
      </w:r>
      <w:r>
        <w:t xml:space="preserve"> </w:t>
      </w:r>
      <w:r>
        <w:t xml:space="preserve">any useful assessment as to the capacity of investors to understand and bear the financial</w:t>
      </w:r>
      <w:r>
        <w:t xml:space="preserve"> </w:t>
      </w:r>
      <w:r>
        <w:t xml:space="preserve">risks of certain types of investments. A large majority of respondents422 to the public</w:t>
      </w:r>
      <w:r>
        <w:t xml:space="preserve"> </w:t>
      </w:r>
      <w:r>
        <w:t xml:space="preserve">consultation, however, said that appropriateness assessment is effective in ensuring that</w:t>
      </w:r>
      <w:r>
        <w:t xml:space="preserve"> </w:t>
      </w:r>
      <w:r>
        <w:t xml:space="preserve">clients do not purchase products they are not able to understand or that are too risky. The</w:t>
      </w:r>
      <w:r>
        <w:t xml:space="preserve"> </w:t>
      </w:r>
      <w:r>
        <w:t xml:space="preserve">share of respondents who disagreed was slightly smaller than that for the comparable</w:t>
      </w:r>
      <w:r>
        <w:t xml:space="preserve"> </w:t>
      </w:r>
      <w:r>
        <w:t xml:space="preserve">question on the suitability assessment.423 While the appropriateness test is not designed to</w:t>
      </w:r>
      <w:r>
        <w:t xml:space="preserve"> </w:t>
      </w:r>
      <w:r>
        <w:t xml:space="preserve">prohibit the purchase of risky and complex products by clients, it aims to dissuade clients</w:t>
      </w:r>
      <w:r>
        <w:t xml:space="preserve"> </w:t>
      </w:r>
      <w:r>
        <w:t xml:space="preserve">from purchasing products when they do not understand the risk they are taking. More</w:t>
      </w:r>
    </w:p>
    <w:p>
      <w:pPr>
        <w:pStyle w:val="BodyText"/>
      </w:pPr>
      <w:r>
        <w:t xml:space="preserve">421 The exact share is 22.6% if the 47% of respondents who said they did not invest because they had no</w:t>
      </w:r>
      <w:r>
        <w:t xml:space="preserve"> </w:t>
      </w:r>
      <w:r>
        <w:t xml:space="preserve">money to invest are excluded.</w:t>
      </w:r>
      <w:r>
        <w:t xml:space="preserve"> </w:t>
      </w:r>
      <w:r>
        <w:t xml:space="preserve">422 To the question “ to what extent do you agree that the appropriateness test serves retail investor</w:t>
      </w:r>
      <w:r>
        <w:t xml:space="preserve"> </w:t>
      </w:r>
      <w:r>
        <w:t xml:space="preserve">needs and is effective in ensuring that they do not purchase products they are not able to understand or</w:t>
      </w:r>
      <w:r>
        <w:t xml:space="preserve"> </w:t>
      </w:r>
      <w:r>
        <w:t xml:space="preserve">that are too risky for their client profile?” 34% of respondents strongly agreed (34 answers), 37.1% agreed</w:t>
      </w:r>
      <w:r>
        <w:t xml:space="preserve"> </w:t>
      </w:r>
      <w:r>
        <w:t xml:space="preserve">(46 answers), 8.9% disagreed (11 answers), 4.8% strongly disagreed (6 answers) and the rest did not know</w:t>
      </w:r>
      <w:r>
        <w:t xml:space="preserve"> </w:t>
      </w:r>
      <w:r>
        <w:t xml:space="preserve">(6.5%) (8 answers) or were neutral (15.3%) (19 answers).</w:t>
      </w:r>
      <w:r>
        <w:t xml:space="preserve"> </w:t>
      </w:r>
      <w:r>
        <w:t xml:space="preserve">423 8.9% (n=11) disagreed and 4.8% (6) strongly disagreed. Some stakeholders stated that even when</w:t>
      </w:r>
      <w:r>
        <w:t xml:space="preserve"> </w:t>
      </w:r>
      <w:r>
        <w:t xml:space="preserve">having passed an appropriateness test, (experienced) retail investors could repeatedly buy unsuitable or</w:t>
      </w:r>
      <w:r>
        <w:t xml:space="preserve"> </w:t>
      </w:r>
      <w:r>
        <w:t xml:space="preserve">harmful products through a poorly designed (online) choice environment. Therefore, appropriateness</w:t>
      </w:r>
      <w:r>
        <w:t xml:space="preserve"> </w:t>
      </w:r>
      <w:r>
        <w:t xml:space="preserve">tests should be viewed as one component of a wider framework for investor protection.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recently, the adequacy of the appropriateness tests has been challenged in the context of</w:t>
      </w:r>
      <w:r>
        <w:t xml:space="preserve"> </w:t>
      </w:r>
      <w:r>
        <w:t xml:space="preserve">the “GameStop case”.424</w:t>
      </w:r>
      <w:r>
        <w:br/>
      </w:r>
      <w:r>
        <w:t xml:space="preserve">In non-advised services, retail investors decide to invest, sometimes without a proper</w:t>
      </w:r>
      <w:r>
        <w:t xml:space="preserve"> </w:t>
      </w:r>
      <w:r>
        <w:t xml:space="preserve">evaluation of the instrument and the related risk, making them potentially vulnerable to</w:t>
      </w:r>
      <w:r>
        <w:t xml:space="preserve"> </w:t>
      </w:r>
      <w:r>
        <w:t xml:space="preserve">questionable information and tips disseminated via social media and by influencers. ESMA</w:t>
      </w:r>
      <w:r>
        <w:t xml:space="preserve"> </w:t>
      </w:r>
      <w:r>
        <w:t xml:space="preserve">consultation on the appropriateness test and execution-only services in the context of</w:t>
      </w:r>
      <w:r>
        <w:t xml:space="preserve"> </w:t>
      </w:r>
      <w:r>
        <w:t xml:space="preserve">MiFID II425 revealed that there is insufficient convergence in the understanding and</w:t>
      </w:r>
      <w:r>
        <w:t xml:space="preserve"> </w:t>
      </w:r>
      <w:r>
        <w:t xml:space="preserve">application of several areas of the appropriateness and execution-only requirements by</w:t>
      </w:r>
      <w:r>
        <w:t xml:space="preserve"> </w:t>
      </w:r>
      <w:r>
        <w:t xml:space="preserve">firms in different Member States, and often within Member States themselves, creating</w:t>
      </w:r>
      <w:r>
        <w:t xml:space="preserve"> </w:t>
      </w:r>
      <w:r>
        <w:t xml:space="preserve">problems for achieving a consistent level of investor protection in the EU.</w:t>
      </w:r>
      <w:r>
        <w:t xml:space="preserve"> </w:t>
      </w:r>
      <w:r>
        <w:t xml:space="preserve">1.2 What are the problem drivers?</w:t>
      </w:r>
      <w:r>
        <w:br/>
      </w:r>
      <w:r>
        <w:t xml:space="preserve">1.2.1 Diverging and partly insufficient depth of client profiling</w:t>
      </w:r>
    </w:p>
    <w:p>
      <w:pPr>
        <w:pStyle w:val="BodyText"/>
      </w:pPr>
      <w:r>
        <w:t xml:space="preserve">The retail investment study shows that in practice the method used for performing suitability</w:t>
      </w:r>
      <w:r>
        <w:t xml:space="preserve"> </w:t>
      </w:r>
      <w:r>
        <w:t xml:space="preserve">assessments, the quality of investor screening, questionnaires and associated results vary greatly in</w:t>
      </w:r>
      <w:r>
        <w:t xml:space="preserve"> </w:t>
      </w:r>
      <w:r>
        <w:t xml:space="preserve">the EU and do not always ensure that the advice is based on individual needs and circumstances of</w:t>
      </w:r>
      <w:r>
        <w:t xml:space="preserve"> </w:t>
      </w:r>
      <w:r>
        <w:t xml:space="preserve">the clients nor it prioritises positive outcomes for them. Amongst others, the retail investment study</w:t>
      </w:r>
      <w:r>
        <w:t xml:space="preserve"> </w:t>
      </w:r>
      <w:r>
        <w:t xml:space="preserve">identifies problems of “late phasing” where advice was given before carrying out the suitability</w:t>
      </w:r>
      <w:r>
        <w:t xml:space="preserve"> </w:t>
      </w:r>
      <w:r>
        <w:t xml:space="preserve">assessment, only shortly before contract signature. Furthermore, in some mystery shopping cases,</w:t>
      </w:r>
      <w:r>
        <w:t xml:space="preserve"> </w:t>
      </w:r>
      <w:r>
        <w:t xml:space="preserve">investment recommendations were even given without performing any or only very limited profile</w:t>
      </w:r>
      <w:r>
        <w:t xml:space="preserve"> </w:t>
      </w:r>
      <w:r>
        <w:t xml:space="preserve">screening.426 It was also shown that the depth of information covered varies greatly and that an</w:t>
      </w:r>
      <w:r>
        <w:t xml:space="preserve"> </w:t>
      </w:r>
      <w:r>
        <w:t xml:space="preserve">important share of conversations which resulted in product recommendations took into account</w:t>
      </w:r>
      <w:r>
        <w:t xml:space="preserve"> </w:t>
      </w:r>
      <w:r>
        <w:t xml:space="preserve">only minimal or hardly any client information (see chart below). It is evident that practices differ</w:t>
      </w:r>
      <w:r>
        <w:t xml:space="preserve"> </w:t>
      </w:r>
      <w:r>
        <w:t xml:space="preserve">considerably regarding whether and how the suitability assessment is actually linked to the</w:t>
      </w:r>
      <w:r>
        <w:t xml:space="preserve"> </w:t>
      </w:r>
      <w:r>
        <w:t xml:space="preserve">provision of advice and investment recommendations.427 There were significant differences even</w:t>
      </w:r>
      <w:r>
        <w:t xml:space="preserve"> </w:t>
      </w:r>
      <w:r>
        <w:t xml:space="preserve">in relation to essential parameters and in 28% of observations the profiling quality was judged as</w:t>
      </w:r>
      <w:r>
        <w:t xml:space="preserve"> </w:t>
      </w:r>
      <w:r>
        <w:t xml:space="preserve">insufficient.428 Disparities were also found between Member States with regard to the length of the</w:t>
      </w:r>
      <w:r>
        <w:t xml:space="preserve"> </w:t>
      </w:r>
      <w:r>
        <w:t xml:space="preserve">screening questionnaire before a product was recommended.429 Issues with the implementation of</w:t>
      </w:r>
      <w:r>
        <w:t xml:space="preserve"> </w:t>
      </w:r>
      <w:r>
        <w:t xml:space="preserve">existing provisions about suitability assessments were also found in the research of several National</w:t>
      </w:r>
      <w:r>
        <w:t xml:space="preserve"> </w:t>
      </w:r>
      <w:r>
        <w:t xml:space="preserve">Competent Authorities, albeit to varying degrees.430</w:t>
      </w:r>
      <w:r>
        <w:br/>
      </w:r>
      <w:r>
        <w:t xml:space="preserve">Figure 4: Results of the mystery shopping, number of items covered by human advisors during the screening (out of 16</w:t>
      </w:r>
      <w:r>
        <w:t xml:space="preserve"> </w:t>
      </w:r>
      <w:r>
        <w:t xml:space="preserve">items identified as relevant) and experiences of the mystery shoppers in % (170 visits)</w:t>
      </w:r>
    </w:p>
    <w:p>
      <w:pPr>
        <w:pStyle w:val="BodyText"/>
      </w:pPr>
      <w:r>
        <w:t xml:space="preserve">424 ECON Committee (2021). GameStop and similar recent market events: Exchange of views with</w:t>
      </w:r>
      <w:r>
        <w:t xml:space="preserve"> </w:t>
      </w:r>
      <w:r>
        <w:t xml:space="preserve">representatives of the European Commission and the European Securities and Markets Authority, 23</w:t>
      </w:r>
      <w:r>
        <w:t xml:space="preserve"> </w:t>
      </w:r>
      <w:r>
        <w:t xml:space="preserve">February 23.</w:t>
      </w:r>
      <w:r>
        <w:br/>
      </w:r>
      <w:r>
        <w:t xml:space="preserve">425 https://www.esma.europa.eu/press-news/esma-news/esma-consults-appropriateness-and-execution-</w:t>
      </w:r>
      <w:r>
        <w:t xml:space="preserve"> </w:t>
      </w:r>
      <w:r>
        <w:t xml:space="preserve">only-under-mifid-ii</w:t>
      </w:r>
      <w:r>
        <w:t xml:space="preserve"> </w:t>
      </w:r>
      <w:r>
        <w:t xml:space="preserve">426 Retail investment study, pages 325-326.</w:t>
      </w:r>
      <w:r>
        <w:t xml:space="preserve"> </w:t>
      </w:r>
      <w:r>
        <w:t xml:space="preserve">427 Idem, page 325.</w:t>
      </w:r>
      <w:r>
        <w:t xml:space="preserve"> </w:t>
      </w:r>
      <w:r>
        <w:t xml:space="preserve">428 Idem, pages 329-330</w:t>
      </w:r>
      <w:r>
        <w:t xml:space="preserve"> </w:t>
      </w:r>
      <w:r>
        <w:t xml:space="preserve">429 Idem, page 331.</w:t>
      </w:r>
      <w:r>
        <w:t xml:space="preserve"> </w:t>
      </w:r>
      <w:r>
        <w:t xml:space="preserve">430 Idem, page 337.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Source: Retail Investment Study.</w:t>
      </w:r>
    </w:p>
    <w:p>
      <w:pPr>
        <w:pStyle w:val="BodyText"/>
      </w:pPr>
      <w:r>
        <w:t xml:space="preserve">1.2.2 Product-centric assessment and lack of portfolio approach in the</w:t>
      </w:r>
      <w:r>
        <w:t xml:space="preserve"> </w:t>
      </w:r>
      <w:r>
        <w:t xml:space="preserve">provision of retail investment services</w:t>
      </w:r>
    </w:p>
    <w:p>
      <w:pPr>
        <w:pStyle w:val="BodyText"/>
      </w:pPr>
      <w:r>
        <w:t xml:space="preserve">Currently, client-profile assessments, be it suitability assessment preceding investment</w:t>
      </w:r>
      <w:r>
        <w:t xml:space="preserve"> </w:t>
      </w:r>
      <w:r>
        <w:t xml:space="preserve">advice, or the appropriateness assessment required for the provision of non-advised</w:t>
      </w:r>
      <w:r>
        <w:t xml:space="preserve"> </w:t>
      </w:r>
      <w:r>
        <w:t xml:space="preserve">investment services, focus on identifying whether a specific product in the investment</w:t>
      </w:r>
      <w:r>
        <w:t xml:space="preserve"> </w:t>
      </w:r>
      <w:r>
        <w:t xml:space="preserve">intermediary’s offering should be sold to the investor in view of a certain set of information</w:t>
      </w:r>
      <w:r>
        <w:t xml:space="preserve"> </w:t>
      </w:r>
      <w:r>
        <w:t xml:space="preserve">gathered about the investor. That information is more (suitability assessment) or less</w:t>
      </w:r>
      <w:r>
        <w:t xml:space="preserve"> </w:t>
      </w:r>
      <w:r>
        <w:t xml:space="preserve">(appropriateness assessment) extensive, depending on the type of assessment carried out.</w:t>
      </w:r>
      <w:r>
        <w:br/>
      </w:r>
      <w:r>
        <w:t xml:space="preserve">The current approach helps ensure that the client is offered products that match certain</w:t>
      </w:r>
      <w:r>
        <w:t xml:space="preserve"> </w:t>
      </w:r>
      <w:r>
        <w:t xml:space="preserve">personal circumstances, such as prior investment experience, financial situation and</w:t>
      </w:r>
      <w:r>
        <w:t xml:space="preserve"> </w:t>
      </w:r>
      <w:r>
        <w:t xml:space="preserve">investment objectives. However, it does not require the financial intermediary to consider,</w:t>
      </w:r>
      <w:r>
        <w:t xml:space="preserve"> </w:t>
      </w:r>
      <w:r>
        <w:t xml:space="preserve">as part of the assessment, the client’s overall holding of investment products, and how the</w:t>
      </w:r>
      <w:r>
        <w:t xml:space="preserve"> </w:t>
      </w:r>
      <w:r>
        <w:t xml:space="preserve">recommended product fits into its overall portfolio. The retail investment study highlights</w:t>
      </w:r>
      <w:r>
        <w:t xml:space="preserve"> </w:t>
      </w:r>
      <w:r>
        <w:t xml:space="preserve">that the portfolio composition is not sufficiently considered and clients are not invited to</w:t>
      </w:r>
      <w:r>
        <w:t xml:space="preserve"> </w:t>
      </w:r>
      <w:r>
        <w:t xml:space="preserve">adopt a mixed portfolio approach and count too much on a small number of volatile</w:t>
      </w:r>
      <w:r>
        <w:t xml:space="preserve"> </w:t>
      </w:r>
      <w:r>
        <w:t xml:space="preserve">assets.431. The retail investment study reports other findings from the literature that “the</w:t>
      </w:r>
      <w:r>
        <w:t xml:space="preserve"> </w:t>
      </w:r>
      <w:r>
        <w:t xml:space="preserve">most important concerns involve underestimating risk and having suboptimal portfolios</w:t>
      </w:r>
      <w:r>
        <w:t xml:space="preserve"> </w:t>
      </w:r>
      <w:r>
        <w:t xml:space="preserve">due to a lack of diversification”.432 Those findings evidence that the client profiling process</w:t>
      </w:r>
      <w:r>
        <w:t xml:space="preserve"> </w:t>
      </w:r>
      <w:r>
        <w:t xml:space="preserve">that leads to the suitability assessment and which is based on the existing legal</w:t>
      </w:r>
      <w:r>
        <w:t xml:space="preserve"> </w:t>
      </w:r>
      <w:r>
        <w:t xml:space="preserve">requirements under MiFID II is not sufficient to prevent disappointing investment</w:t>
      </w:r>
      <w:r>
        <w:t xml:space="preserve"> </w:t>
      </w:r>
      <w:r>
        <w:t xml:space="preserve">experience. Some algorithms automatically restrict the possible range of products. In other</w:t>
      </w:r>
      <w:r>
        <w:t xml:space="preserve"> </w:t>
      </w:r>
      <w:r>
        <w:t xml:space="preserve">cases, financial intermediaries advising certain model portfolios,433 may not necessarily</w:t>
      </w:r>
      <w:r>
        <w:t xml:space="preserve"> </w:t>
      </w:r>
      <w:r>
        <w:t xml:space="preserve">take into account the existing composition of the client’s portfolio, thus failing to diversify</w:t>
      </w:r>
      <w:r>
        <w:t xml:space="preserve"> </w:t>
      </w:r>
      <w:r>
        <w:t xml:space="preserve">across the full spectrum of clients’ assets, running the risk of asset concentration or</w:t>
      </w:r>
      <w:r>
        <w:t xml:space="preserve"> </w:t>
      </w:r>
      <w:r>
        <w:t xml:space="preserve">overexposure to some assets/asset classes.</w:t>
      </w:r>
    </w:p>
    <w:p>
      <w:pPr>
        <w:pStyle w:val="BodyText"/>
      </w:pPr>
      <w:r>
        <w:t xml:space="preserve">431 Idem, page 349.</w:t>
      </w:r>
      <w:r>
        <w:t xml:space="preserve"> </w:t>
      </w:r>
      <w:r>
        <w:t xml:space="preserve">432 Idem, page 313.</w:t>
      </w:r>
      <w:r>
        <w:t xml:space="preserve"> </w:t>
      </w:r>
      <w:r>
        <w:t xml:space="preserve">433 Idem, page 343.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The same applies to the appropriateness assessment that only focuses on the knowledge</w:t>
      </w:r>
      <w:r>
        <w:t xml:space="preserve"> </w:t>
      </w:r>
      <w:r>
        <w:t xml:space="preserve">and experience in the (relevant) investment field but does not consider whether the client</w:t>
      </w:r>
      <w:r>
        <w:t xml:space="preserve"> </w:t>
      </w:r>
      <w:r>
        <w:t xml:space="preserve">has the capacity to bear losses or to face any urgent financial liquidity needs.</w:t>
      </w:r>
    </w:p>
    <w:p>
      <w:pPr>
        <w:pStyle w:val="BodyText"/>
      </w:pPr>
      <w:r>
        <w:t xml:space="preserve">The current product-centric approach to client assessment may therefore lead to suboptimal</w:t>
      </w:r>
      <w:r>
        <w:t xml:space="preserve"> </w:t>
      </w:r>
      <w:r>
        <w:t xml:space="preserve">outcomes for the client. While the investment intermediary may be able to claim that the</w:t>
      </w:r>
      <w:r>
        <w:t xml:space="preserve"> </w:t>
      </w:r>
      <w:r>
        <w:t xml:space="preserve">product sold can individually be deemed suitable, it may fit poorly into the existing</w:t>
      </w:r>
      <w:r>
        <w:t xml:space="preserve"> </w:t>
      </w:r>
      <w:r>
        <w:t xml:space="preserve">portfolio of products or assets already held by the client, exacerbating certain types of</w:t>
      </w:r>
      <w:r>
        <w:t xml:space="preserve"> </w:t>
      </w:r>
      <w:r>
        <w:t xml:space="preserve">exposure, while ignoring other forms of exposure that could contribute towards a</w:t>
      </w:r>
      <w:r>
        <w:t xml:space="preserve"> </w:t>
      </w:r>
      <w:r>
        <w:t xml:space="preserve">diversified portfolio with a superior risk-return profile.</w:t>
      </w:r>
    </w:p>
    <w:p>
      <w:pPr>
        <w:pStyle w:val="BodyText"/>
      </w:pPr>
      <w:r>
        <w:t xml:space="preserve">1.2.3 Investment influencing techniques and gamification of the</w:t>
      </w:r>
      <w:r>
        <w:t xml:space="preserve"> </w:t>
      </w:r>
      <w:r>
        <w:t xml:space="preserve">investment process</w:t>
      </w:r>
      <w:r>
        <w:br/>
      </w:r>
      <w:r>
        <w:t xml:space="preserve">Retail investing has experienced a shift towards greater reliance on digital platforms to</w:t>
      </w:r>
      <w:r>
        <w:t xml:space="preserve"> </w:t>
      </w:r>
      <w:r>
        <w:t xml:space="preserve">place investments on the market. While the increased use of digital platforms has certainly</w:t>
      </w:r>
      <w:r>
        <w:t xml:space="preserve"> </w:t>
      </w:r>
      <w:r>
        <w:t xml:space="preserve">facilitated access to investing, it has not come without risks. The ease of access to non-</w:t>
      </w:r>
      <w:r>
        <w:t xml:space="preserve"> </w:t>
      </w:r>
      <w:r>
        <w:t xml:space="preserve">advised investments via digital means poses the risks that retail investors decide to invest,</w:t>
      </w:r>
      <w:r>
        <w:t xml:space="preserve"> </w:t>
      </w:r>
      <w:r>
        <w:t xml:space="preserve">sometimes without a proper evaluation of the instrument and its related risk and that the</w:t>
      </w:r>
      <w:r>
        <w:t xml:space="preserve"> </w:t>
      </w:r>
      <w:r>
        <w:t xml:space="preserve">current appropriateness assessment test may not be enough. A recent report by international</w:t>
      </w:r>
      <w:r>
        <w:t xml:space="preserve"> </w:t>
      </w:r>
      <w:r>
        <w:t xml:space="preserve">financial supervisors on the impact of digitalisation on retail distribution identified benefits</w:t>
      </w:r>
      <w:r>
        <w:t xml:space="preserve"> </w:t>
      </w:r>
      <w:r>
        <w:t xml:space="preserve">for financial consumers related to online marketing from (1) increased access to financial</w:t>
      </w:r>
      <w:r>
        <w:t xml:space="preserve"> </w:t>
      </w:r>
      <w:r>
        <w:t xml:space="preserve">services and products; (2) reduction in search cost; and (3) flexibility, convenience, price</w:t>
      </w:r>
      <w:r>
        <w:t xml:space="preserve"> </w:t>
      </w:r>
      <w:r>
        <w:t xml:space="preserve">and quality comparison.434 A survey among 90 financial firms revealed that the industry is</w:t>
      </w:r>
      <w:r>
        <w:t xml:space="preserve"> </w:t>
      </w:r>
      <w:r>
        <w:t xml:space="preserve">relying increasingly on online marketing, especially on the use of social media influencer</w:t>
      </w:r>
      <w:r>
        <w:t xml:space="preserve"> </w:t>
      </w:r>
      <w:r>
        <w:t xml:space="preserve">ads, social media stories and online video marketing.</w:t>
      </w:r>
    </w:p>
    <w:p>
      <w:pPr>
        <w:pStyle w:val="BodyText"/>
      </w:pPr>
      <w:r>
        <w:t xml:space="preserve">434 IOSCO report on retail distribution and digitalisation.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Figure 5 Source: IOSCO (2022).</w:t>
      </w:r>
      <w:r>
        <w:t xml:space="preserve"> </w:t>
      </w:r>
      <w:r>
        <w:t xml:space="preserve">Nevertheless, the report also identifies important risks stemming from online marketing</w:t>
      </w:r>
      <w:r>
        <w:t xml:space="preserve"> </w:t>
      </w:r>
      <w:r>
        <w:t xml:space="preserve">related inter alia to: “(1) possibility for firms to track, experiment with and thus exploit</w:t>
      </w:r>
      <w:r>
        <w:t xml:space="preserve"> </w:t>
      </w:r>
      <w:r>
        <w:t xml:space="preserve">investor biases; (2) unsolicited online offerings and/or offers targeting an inappropriate</w:t>
      </w:r>
      <w:r>
        <w:t xml:space="preserve"> </w:t>
      </w:r>
      <w:r>
        <w:t xml:space="preserve">market segment [including rerouting to products or services]; (3) push towards unsuitable</w:t>
      </w:r>
      <w:r>
        <w:t xml:space="preserve"> </w:t>
      </w:r>
      <w:r>
        <w:t xml:space="preserve">products or strategies through online marketing methods”. The report also lists certain</w:t>
      </w:r>
      <w:r>
        <w:t xml:space="preserve"> </w:t>
      </w:r>
      <w:r>
        <w:t xml:space="preserve">types of inappropriate behaviour observed by IOSCO members such as:</w:t>
      </w:r>
      <w:r>
        <w:t xml:space="preserve"> </w:t>
      </w:r>
      <w:r>
        <w:t xml:space="preserve"> impersonation (e.g. pretending to be a credible source to extract information);</w:t>
      </w:r>
      <w:r>
        <w:br/>
      </w:r>
      <w:r>
        <w:t xml:space="preserve"> sending junk e-mails that overpromise returns;</w:t>
      </w:r>
      <w:r>
        <w:t xml:space="preserve"> </w:t>
      </w:r>
      <w:r>
        <w:t xml:space="preserve"> bulk targeting;</w:t>
      </w:r>
      <w:r>
        <w:t xml:space="preserve"> </w:t>
      </w:r>
      <w:r>
        <w:t xml:space="preserve"> hacking and other cyber security violations;</w:t>
      </w:r>
      <w:r>
        <w:br/>
      </w:r>
      <w:r>
        <w:t xml:space="preserve"> including fake success stories by using influencers.</w:t>
      </w:r>
      <w:r>
        <w:t xml:space="preserve"> </w:t>
      </w:r>
      <w:r>
        <w:t xml:space="preserve">There is hence a risk that investing platforms may steer investors into making decisions</w:t>
      </w:r>
      <w:r>
        <w:t xml:space="preserve"> </w:t>
      </w:r>
      <w:r>
        <w:t xml:space="preserve">that benefit intermediaries but can be detrimental to the client. As more investors have</w:t>
      </w:r>
      <w:r>
        <w:t xml:space="preserve"> </w:t>
      </w:r>
      <w:r>
        <w:t xml:space="preserve">moved to digital platforms, financial intermediaries have increasingly been relying on</w:t>
      </w:r>
      <w:r>
        <w:t xml:space="preserve"> </w:t>
      </w:r>
      <w:r>
        <w:t xml:space="preserve">behavioural nudges or biases in order to steer clients towards certain actions. This includes</w:t>
      </w:r>
      <w:r>
        <w:t xml:space="preserve"> </w:t>
      </w:r>
      <w:r>
        <w:t xml:space="preserve">phenomena such as ‘gamification’ of investing as well as designing the platform to ‘nudge’</w:t>
      </w:r>
      <w:r>
        <w:t xml:space="preserve"> </w:t>
      </w:r>
      <w:r>
        <w:t xml:space="preserve">clients to change their behaviour in predictable ways, resulting in inappropriate investment</w:t>
      </w:r>
      <w:r>
        <w:t xml:space="preserve"> </w:t>
      </w:r>
      <w:r>
        <w:t xml:space="preserve">decisions. Highlighting the phenomenon, ESMA notes that the ‘use of gamification</w:t>
      </w:r>
      <w:r>
        <w:t xml:space="preserve"> </w:t>
      </w:r>
      <w:r>
        <w:t xml:space="preserve">techniques that are intended to nudge (retail) clients to undue risk taking and that lead to</w:t>
      </w:r>
      <w:r>
        <w:t xml:space="preserve"> </w:t>
      </w:r>
      <w:r>
        <w:t xml:space="preserve">addictive behaviour are never in the best interest of the investor’. This can divert retail</w:t>
      </w:r>
      <w:r>
        <w:t xml:space="preserve"> </w:t>
      </w:r>
      <w:r>
        <w:t xml:space="preserve">investors from making investment decisions catering for their needs and amplifies</w:t>
      </w:r>
      <w:r>
        <w:t xml:space="preserve"> </w:t>
      </w:r>
      <w:r>
        <w:t xml:space="preserve">investment patterns, which do not focus on portfolio-wide considerations.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1.2.4 How likely are the problems to persist? </w:t>
      </w:r>
    </w:p>
    <w:p>
      <w:pPr>
        <w:pStyle w:val="BodyText"/>
      </w:pPr>
      <w:r>
        <w:t xml:space="preserve">If no amendment is introduced to the legislative framework governing the suitability and</w:t>
      </w:r>
      <w:r>
        <w:t xml:space="preserve"> </w:t>
      </w:r>
      <w:r>
        <w:t xml:space="preserve">appropriateness assessments, the current framework would continue to produce inefficient</w:t>
      </w:r>
      <w:r>
        <w:t xml:space="preserve"> </w:t>
      </w:r>
      <w:r>
        <w:t xml:space="preserve">results, unable to support investments that are in the best interest of the client. Without</w:t>
      </w:r>
      <w:r>
        <w:t xml:space="preserve"> </w:t>
      </w:r>
      <w:r>
        <w:t xml:space="preserve">more consideration for a correct client’s profiling focussed on key elements, a portfolio</w:t>
      </w:r>
      <w:r>
        <w:t xml:space="preserve"> </w:t>
      </w:r>
      <w:r>
        <w:t xml:space="preserve">diversification and an adequate timeframe to perform the suitability or appropriateness</w:t>
      </w:r>
      <w:r>
        <w:t xml:space="preserve"> </w:t>
      </w:r>
      <w:r>
        <w:t xml:space="preserve">assessments, the suitability and appropriateness assessments would continue to be</w:t>
      </w:r>
      <w:r>
        <w:t xml:space="preserve"> </w:t>
      </w:r>
      <w:r>
        <w:t xml:space="preserve">perceived by many retail clients as a pointless exercise. The framework, therefore, would</w:t>
      </w:r>
      <w:r>
        <w:t xml:space="preserve"> </w:t>
      </w:r>
      <w:r>
        <w:t xml:space="preserve">continue to present inefficiencies in the investment process, which would lead to sub-</w:t>
      </w:r>
      <w:r>
        <w:t xml:space="preserve"> </w:t>
      </w:r>
      <w:r>
        <w:t xml:space="preserve">optimal outcomes for retail investors, including in the balance of risks incurred and rewards</w:t>
      </w:r>
      <w:r>
        <w:t xml:space="preserve"> </w:t>
      </w:r>
      <w:r>
        <w:t xml:space="preserve">that can be expected from an investment. Consequently, the overall attractiveness of capital</w:t>
      </w:r>
      <w:r>
        <w:t xml:space="preserve"> </w:t>
      </w:r>
      <w:r>
        <w:t xml:space="preserve">market investments is reduced for retail investors and they may miss out on opportunities</w:t>
      </w:r>
      <w:r>
        <w:t xml:space="preserve"> </w:t>
      </w:r>
      <w:r>
        <w:t xml:space="preserve">to cater for their long-term needs. This adverse effect on retail investors’ willingness to</w:t>
      </w:r>
      <w:r>
        <w:t xml:space="preserve"> </w:t>
      </w:r>
      <w:r>
        <w:t xml:space="preserve">invest in capital markets also runs counter to the European Commission’s plan to create a</w:t>
      </w:r>
      <w:r>
        <w:t xml:space="preserve"> </w:t>
      </w:r>
      <w:r>
        <w:t xml:space="preserve">single market for capital (the Capital Markets Union), in which investments and savings</w:t>
      </w:r>
      <w:r>
        <w:t xml:space="preserve"> </w:t>
      </w:r>
      <w:r>
        <w:t xml:space="preserve">flow to all Member States, benefiting consumers, investors and businesses wherever they</w:t>
      </w:r>
      <w:r>
        <w:t xml:space="preserve"> </w:t>
      </w:r>
      <w:r>
        <w:t xml:space="preserve">are based in the European Union.</w:t>
      </w:r>
    </w:p>
    <w:p>
      <w:pPr>
        <w:pStyle w:val="Compact"/>
        <w:numPr>
          <w:ilvl w:val="0"/>
          <w:numId w:val="1045"/>
        </w:numPr>
      </w:pPr>
      <w:r>
        <w:t xml:space="preserve">What are the proposed options</w:t>
      </w:r>
    </w:p>
    <w:p>
      <w:pPr>
        <w:pStyle w:val="FirstParagraph"/>
      </w:pPr>
      <w:r>
        <w:t xml:space="preserve">Two possible options were considered at the outset of this assessment: (1) enhancing of the existing</w:t>
      </w:r>
      <w:r>
        <w:t xml:space="preserve"> </w:t>
      </w:r>
      <w:r>
        <w:t xml:space="preserve">framework for suitability and appropriateness assessment; and (2) introducing in the current</w:t>
      </w:r>
      <w:r>
        <w:t xml:space="preserve"> </w:t>
      </w:r>
      <w:r>
        <w:t xml:space="preserve">suitability and appropriateness assessment regime the requirement for firms to provide to each retail</w:t>
      </w:r>
      <w:r>
        <w:t xml:space="preserve"> </w:t>
      </w:r>
      <w:r>
        <w:t xml:space="preserve">client, as a result of the assessment, an asset allocation strategy, under the name of a Personal</w:t>
      </w:r>
      <w:r>
        <w:t xml:space="preserve"> </w:t>
      </w:r>
      <w:r>
        <w:t xml:space="preserve">Investment Plan. An opt-out option for retail clients using non-advisory services for simple</w:t>
      </w:r>
      <w:r>
        <w:t xml:space="preserve"> </w:t>
      </w:r>
      <w:r>
        <w:t xml:space="preserve">products would be maintained.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Baseline</w:t>
      </w:r>
      <w:r>
        <w:t xml:space="preserve"> </w:t>
      </w:r>
      <w:r>
        <w:t xml:space="preserve">Do nothing to change the legal framework</w:t>
      </w:r>
      <w:r>
        <w:br/>
      </w:r>
      <w:r>
        <w:t xml:space="preserve">Option 1</w:t>
      </w:r>
      <w:r>
        <w:t xml:space="preserve"> </w:t>
      </w:r>
      <w:r>
        <w:t xml:space="preserve">Enhancing of the existing framework for suitability and appropriateness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Option 2 -</w:t>
      </w:r>
      <w:r>
        <w:t xml:space="preserve"> </w:t>
      </w:r>
      <w:r>
        <w:t xml:space="preserve">Discarded</w:t>
      </w:r>
      <w:r>
        <w:t xml:space="preserve"> </w:t>
      </w:r>
      <w:r>
        <w:t xml:space="preserve">at</w:t>
      </w:r>
      <w:r>
        <w:t xml:space="preserve"> </w:t>
      </w:r>
      <w:r>
        <w:t xml:space="preserve">an</w:t>
      </w:r>
      <w:r>
        <w:t xml:space="preserve"> </w:t>
      </w:r>
      <w:r>
        <w:t xml:space="preserve">earlier</w:t>
      </w:r>
      <w:r>
        <w:t xml:space="preserve"> </w:t>
      </w:r>
      <w:r>
        <w:t xml:space="preserve">stage</w:t>
      </w:r>
      <w:r>
        <w:t xml:space="preserve"> </w:t>
      </w:r>
      <w:r>
        <w:t xml:space="preserve">Introducing in the current suitability and appropriateness assessment regime</w:t>
      </w:r>
      <w:r>
        <w:t xml:space="preserve"> </w:t>
      </w:r>
      <w:r>
        <w:t xml:space="preserve">the requirement for firms to provide to each retail client, as a result of the</w:t>
      </w:r>
      <w:r>
        <w:t xml:space="preserve"> </w:t>
      </w:r>
      <w:r>
        <w:t xml:space="preserve">assessment, an asset allocation strategy, under the name of a Personal</w:t>
      </w:r>
      <w:r>
        <w:t xml:space="preserve"> </w:t>
      </w:r>
      <w:r>
        <w:t xml:space="preserve">Investment Plan. An opt-out option for retail clients using non-advisory</w:t>
      </w:r>
      <w:r>
        <w:t xml:space="preserve"> </w:t>
      </w:r>
      <w:r>
        <w:t xml:space="preserve">services for simple products would be maintained.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Multiple stakeholder consultations showed that the new requirement (under option 2) could result</w:t>
      </w:r>
      <w:r>
        <w:t xml:space="preserve"> </w:t>
      </w:r>
      <w:r>
        <w:t xml:space="preserve">in substantial costs, in particular for the non–advisory segment of the industry that could be passed</w:t>
      </w:r>
      <w:r>
        <w:t xml:space="preserve"> </w:t>
      </w:r>
      <w:r>
        <w:t xml:space="preserve">on to the retail investors, with potential detrimental impact on the accessibility and costs of</w:t>
      </w:r>
      <w:r>
        <w:t xml:space="preserve"> </w:t>
      </w:r>
      <w:r>
        <w:t xml:space="preserve">investment services. Also, it is anticipated that the package of other measures (including in</w:t>
      </w:r>
      <w:r>
        <w:t xml:space="preserve"> </w:t>
      </w:r>
      <w:r>
        <w:t xml:space="preserve">particular the ban on inducement) set up to improve the investor protection and boost the investor’s</w:t>
      </w:r>
      <w:r>
        <w:t xml:space="preserve"> </w:t>
      </w:r>
      <w:r>
        <w:t xml:space="preserve">trust in investing, would avoid the necessity to change more substantially the current set-up of the</w:t>
      </w:r>
      <w:r>
        <w:t xml:space="preserve"> </w:t>
      </w:r>
      <w:r>
        <w:t xml:space="preserve">suitability and appropriateness assessments rules. This package should ensure (with the removal of</w:t>
      </w:r>
      <w:r>
        <w:t xml:space="preserve"> </w:t>
      </w:r>
      <w:r>
        <w:t xml:space="preserve">a material source of conflicts of interest) that those assessments are performed in line with the</w:t>
      </w:r>
      <w:r>
        <w:t xml:space="preserve"> </w:t>
      </w:r>
      <w:r>
        <w:t xml:space="preserve">existing requirements and in particular in the best interest of the clients. This proportionate</w:t>
      </w:r>
      <w:r>
        <w:t xml:space="preserve"> </w:t>
      </w:r>
      <w:r>
        <w:t xml:space="preserve">approach would avoid unnecessary changes and burden for the investment firm while ensuring</w:t>
      </w:r>
      <w:r>
        <w:t xml:space="preserve"> </w:t>
      </w:r>
      <w:r>
        <w:t xml:space="preserve">nonetheless a material improvement in the investor protection. Option 2 was therefore discarded</w:t>
      </w:r>
      <w:r>
        <w:t xml:space="preserve"> </w:t>
      </w:r>
      <w:r>
        <w:t xml:space="preserve">at this stage but could be reconsidered in the future if progress in terms of retail investor</w:t>
      </w:r>
      <w:r>
        <w:t xml:space="preserve"> </w:t>
      </w:r>
      <w:r>
        <w:t xml:space="preserve">protection does not appear sufficiently strong.</w:t>
      </w:r>
    </w:p>
    <w:p>
      <w:pPr>
        <w:pStyle w:val="BodyText"/>
      </w:pPr>
      <w:r>
        <w:t xml:space="preserve">In the public consultation, some NCAs supported the idea of reinforcing the quality of the</w:t>
      </w:r>
      <w:r>
        <w:t xml:space="preserve"> </w:t>
      </w:r>
      <w:r>
        <w:t xml:space="preserve">suitability and appropriateness questionnaires to achieve better assessments, enabling better</w:t>
      </w:r>
      <w:r>
        <w:t xml:space="preserve"> </w:t>
      </w:r>
      <w:r>
        <w:t xml:space="preserve">investment decisions. Such qualitative improvements, in line with option 1, could also contribute</w:t>
      </w:r>
      <w:r>
        <w:t xml:space="preserve"> </w:t>
      </w:r>
      <w:r>
        <w:t xml:space="preserve">to raising the understanding and financial literacy of retail investors.</w:t>
      </w:r>
    </w:p>
    <w:p>
      <w:pPr>
        <w:pStyle w:val="BodyText"/>
      </w:pPr>
      <w:r>
        <w:t xml:space="preserve">The modalities of option 1 would involve a combination of several measures:</w:t>
      </w:r>
    </w:p>
    <w:p>
      <w:pPr>
        <w:pStyle w:val="BodyText"/>
      </w:pPr>
      <w:r>
        <w:t xml:space="preserve">Measure 1): an enhanced suitability test for the advised services; together with an</w:t>
      </w:r>
      <w:r>
        <w:t xml:space="preserve"> </w:t>
      </w:r>
      <w:r>
        <w:t xml:space="preserve">enhanced suitability assessment report</w:t>
      </w:r>
      <w:r>
        <w:br/>
      </w:r>
      <w:r>
        <w:t xml:space="preserve">Measure 2): an enhanced appropriateness test for the non-advised services;</w:t>
      </w:r>
    </w:p>
    <w:p>
      <w:pPr>
        <w:pStyle w:val="BodyText"/>
      </w:pPr>
      <w:r>
        <w:t xml:space="preserve">For all services. clarification as to the relevant timing for the performance of those</w:t>
      </w:r>
      <w:r>
        <w:t xml:space="preserve"> </w:t>
      </w:r>
      <w:r>
        <w:t xml:space="preserve">assessments, to ensure that the distributors reflect the results of the screening in either their</w:t>
      </w:r>
      <w:r>
        <w:t xml:space="preserve"> </w:t>
      </w:r>
      <w:r>
        <w:t xml:space="preserve">product recommendation or the warning they may need to deliver to their clients when</w:t>
      </w:r>
      <w:r>
        <w:t xml:space="preserve"> </w:t>
      </w:r>
      <w:r>
        <w:t xml:space="preserve">receiving from them an order of execution.</w:t>
      </w:r>
    </w:p>
    <w:p>
      <w:pPr>
        <w:pStyle w:val="BodyText"/>
      </w:pPr>
      <w:r>
        <w:t xml:space="preserve">For advised services, it is proposed to strengthen the suitability assessment under MiFID</w:t>
      </w:r>
      <w:r>
        <w:t xml:space="preserve"> </w:t>
      </w:r>
      <w:r>
        <w:t xml:space="preserve">II and IDD by enhancing the client profiling/screening test, that is necessary to produce a</w:t>
      </w:r>
      <w:r>
        <w:t xml:space="preserve"> </w:t>
      </w:r>
      <w:r>
        <w:t xml:space="preserve">suitability assessment, with more precise and standardised elements. This would ensure</w:t>
      </w:r>
      <w:r>
        <w:t xml:space="preserve"> </w:t>
      </w:r>
      <w:r>
        <w:t xml:space="preserve">that all firms systematically get the essential facts about their clients. It would avoid</w:t>
      </w:r>
      <w:r>
        <w:t xml:space="preserve"> </w:t>
      </w:r>
      <w:r>
        <w:t xml:space="preserve">situations identified in the retail investment study where the client profiling questionnaire</w:t>
      </w:r>
      <w:r>
        <w:t xml:space="preserve"> </w:t>
      </w:r>
      <w:r>
        <w:t xml:space="preserve">is so limited or performed in such a limited period of time that it cannot deliver on its</w:t>
      </w:r>
      <w:r>
        <w:t xml:space="preserve"> </w:t>
      </w:r>
      <w:r>
        <w:t xml:space="preserve">primary objective of accurately identifying the client’s profile and needs. This would also</w:t>
      </w:r>
      <w:r>
        <w:t xml:space="preserve"> </w:t>
      </w:r>
      <w:r>
        <w:t xml:space="preserve">avoid that certain firms keep on performing this assessment as a ‘box-ticking’ exercise</w:t>
      </w:r>
      <w:r>
        <w:t xml:space="preserve"> </w:t>
      </w:r>
      <w:r>
        <w:t xml:space="preserve">where no or insufficient relevant information for a proper suitability evaluation is collected.</w:t>
      </w:r>
      <w:r>
        <w:t xml:space="preserve"> </w:t>
      </w:r>
      <w:r>
        <w:t xml:space="preserve">The current requirements on the suitability assessment would be enhanced through the</w:t>
      </w:r>
      <w:r>
        <w:t xml:space="preserve"> </w:t>
      </w:r>
      <w:r>
        <w:t xml:space="preserve">introduction of a mandatory list of key information, to be defined by the ESAs, that a firm</w:t>
      </w:r>
      <w:r>
        <w:t xml:space="preserve"> </w:t>
      </w:r>
      <w:r>
        <w:t xml:space="preserve">would be required to obtain from all its retail clients. This information would need to be</w:t>
      </w:r>
      <w:r>
        <w:t xml:space="preserve"> </w:t>
      </w:r>
      <w:r>
        <w:t xml:space="preserve">presented in a standardised way in order to facilitate its possible portability to other firms,</w:t>
      </w:r>
      <w:r>
        <w:t xml:space="preserve"> </w:t>
      </w:r>
      <w:r>
        <w:t xml:space="preserve">with the client’s consent. Next to this key information to be collected in a standardised</w:t>
      </w:r>
      <w:r>
        <w:t xml:space="preserve"> </w:t>
      </w:r>
      <w:r>
        <w:t xml:space="preserve">way, the firm would also have to collect any additional information that might be relevant</w:t>
      </w:r>
      <w:r>
        <w:t xml:space="preserve"> </w:t>
      </w:r>
      <w:r>
        <w:t xml:space="preserve">to better capture the specific situation of their clients.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The introduction of this mandatory list of key information to be obtained from the retail</w:t>
      </w:r>
      <w:r>
        <w:t xml:space="preserve"> </w:t>
      </w:r>
      <w:r>
        <w:t xml:space="preserve">client and to be collected in a standardised way aims at ensuring more alignment in the</w:t>
      </w:r>
      <w:r>
        <w:t xml:space="preserve"> </w:t>
      </w:r>
      <w:r>
        <w:t xml:space="preserve">implementation of the screening processes by firms, better identification of clients’ profiles</w:t>
      </w:r>
      <w:r>
        <w:t xml:space="preserve"> </w:t>
      </w:r>
      <w:r>
        <w:t xml:space="preserve">and ultimately better suitability assessments.</w:t>
      </w:r>
    </w:p>
    <w:p>
      <w:pPr>
        <w:pStyle w:val="BodyText"/>
      </w:pPr>
      <w:r>
        <w:t xml:space="preserve">In designing its suitability assessment, firms would have to obtain information on and take</w:t>
      </w:r>
      <w:r>
        <w:t xml:space="preserve"> </w:t>
      </w:r>
      <w:r>
        <w:t xml:space="preserve">into account the composition of its clients’ overall securities portfolio and the need for</w:t>
      </w:r>
      <w:r>
        <w:t xml:space="preserve"> </w:t>
      </w:r>
      <w:r>
        <w:t xml:space="preserve">diversification. The securities making up the portfolio should include any financial</w:t>
      </w:r>
      <w:r>
        <w:t xml:space="preserve"> </w:t>
      </w:r>
      <w:r>
        <w:t xml:space="preserve">instruments as defined under MiFID II. Similarly, intermediaries of IBIPs would need to</w:t>
      </w:r>
      <w:r>
        <w:t xml:space="preserve"> </w:t>
      </w:r>
      <w:r>
        <w:t xml:space="preserve">better take into account the overall portfolio when advising on particular IBIPs.435 Where</w:t>
      </w:r>
      <w:r>
        <w:t xml:space="preserve"> </w:t>
      </w:r>
      <w:r>
        <w:t xml:space="preserve">the client’s securities portfolio is held in custody with the firm in charge of the suitability</w:t>
      </w:r>
      <w:r>
        <w:t xml:space="preserve"> </w:t>
      </w:r>
      <w:r>
        <w:t xml:space="preserve">assessment, the firm would automatically have to consider such portfolio composition</w:t>
      </w:r>
      <w:r>
        <w:t xml:space="preserve"> </w:t>
      </w:r>
      <w:r>
        <w:t xml:space="preserve">when preparing the suitability assessment. Where the client holds a securities portfolio</w:t>
      </w:r>
      <w:r>
        <w:t xml:space="preserve"> </w:t>
      </w:r>
      <w:r>
        <w:t xml:space="preserve">with another firm but declines to provides information on that portfolio, the firm preparing</w:t>
      </w:r>
      <w:r>
        <w:t xml:space="preserve"> </w:t>
      </w:r>
      <w:r>
        <w:t xml:space="preserve">the suitability assessment would not be obliged to take into account such information,</w:t>
      </w:r>
      <w:r>
        <w:t xml:space="preserve"> </w:t>
      </w:r>
      <w:r>
        <w:t xml:space="preserve">provided that it has warned the client that the absence of such information may impact the</w:t>
      </w:r>
      <w:r>
        <w:t xml:space="preserve"> </w:t>
      </w:r>
      <w:r>
        <w:t xml:space="preserve">quality of the suitability assessment and of the investment recommendation based on it,</w:t>
      </w:r>
      <w:r>
        <w:t xml:space="preserve"> </w:t>
      </w:r>
      <w:r>
        <w:t xml:space="preserve">and provided the client has acknowledged such warning.</w:t>
      </w:r>
    </w:p>
    <w:p>
      <w:pPr>
        <w:pStyle w:val="BodyText"/>
      </w:pPr>
      <w:r>
        <w:t xml:space="preserve">In case of advised services, it would also be clarified that the suitability assessment has to</w:t>
      </w:r>
      <w:r>
        <w:t xml:space="preserve"> </w:t>
      </w:r>
      <w:r>
        <w:t xml:space="preserve">be performed before the advice is provided to the retail client436 (and not only, as required</w:t>
      </w:r>
      <w:r>
        <w:t xml:space="preserve"> </w:t>
      </w:r>
      <w:r>
        <w:t xml:space="preserve">today, before the transaction).</w:t>
      </w:r>
    </w:p>
    <w:p>
      <w:pPr>
        <w:pStyle w:val="BodyText"/>
      </w:pPr>
      <w:r>
        <w:t xml:space="preserve">For non-advised services, it is proposed to strengthen the appropriateness assessment</w:t>
      </w:r>
      <w:r>
        <w:t xml:space="preserve"> </w:t>
      </w:r>
      <w:r>
        <w:t xml:space="preserve">under MiFID II and IDD by enhancing the client profiling/screening test, that is necessary</w:t>
      </w:r>
      <w:r>
        <w:t xml:space="preserve"> </w:t>
      </w:r>
      <w:r>
        <w:t xml:space="preserve">to produce an appropriateness assessment, with questions on the client financial capacity</w:t>
      </w:r>
      <w:r>
        <w:t xml:space="preserve"> </w:t>
      </w:r>
      <w:r>
        <w:t xml:space="preserve">and financial ability to bear losses. Today the obligation related to the appropriateness</w:t>
      </w:r>
      <w:r>
        <w:t xml:space="preserve"> </w:t>
      </w:r>
      <w:r>
        <w:t xml:space="preserve">assessment only requires firms to determine whether the retail client has the necessary</w:t>
      </w:r>
      <w:r>
        <w:t xml:space="preserve"> </w:t>
      </w:r>
      <w:r>
        <w:t xml:space="preserve">knowledge and experience to understand the risks involved in the product or investment</w:t>
      </w:r>
      <w:r>
        <w:t xml:space="preserve"> </w:t>
      </w:r>
      <w:r>
        <w:t xml:space="preserve">service offered or demanded. Such requirement does not apply to services relating to the</w:t>
      </w:r>
      <w:r>
        <w:t xml:space="preserve"> </w:t>
      </w:r>
      <w:r>
        <w:t xml:space="preserve">execution of or reception and transmission of client orders for non-complex products.</w:t>
      </w:r>
    </w:p>
    <w:p>
      <w:pPr>
        <w:pStyle w:val="BodyText"/>
      </w:pPr>
      <w:r>
        <w:t xml:space="preserve">The very limited scope of information that is taken into account during the current</w:t>
      </w:r>
      <w:r>
        <w:t xml:space="preserve"> </w:t>
      </w:r>
      <w:r>
        <w:t xml:space="preserve">appropriateness test raises questions as to its effectiveness and was the subject of criticism</w:t>
      </w:r>
    </w:p>
    <w:p>
      <w:pPr>
        <w:pStyle w:val="BodyText"/>
      </w:pPr>
      <w:r>
        <w:t xml:space="preserve">435 Noting that an intermediary under IDD cannot advise on investment products other than IBIPs (and</w:t>
      </w:r>
      <w:r>
        <w:t xml:space="preserve"> </w:t>
      </w:r>
      <w:r>
        <w:t xml:space="preserve">vice versa for MIFID firms). However, both distribution channels should take into account holdings/assets</w:t>
      </w:r>
      <w:r>
        <w:t xml:space="preserve"> </w:t>
      </w:r>
      <w:r>
        <w:t xml:space="preserve">also outside the regulatory scope in a more holistic way to ensure a better investment outcome.</w:t>
      </w:r>
      <w:r>
        <w:br/>
      </w:r>
      <w:r>
        <w:t xml:space="preserve">436 The retail investment study mentioned that in France, advisors only performed the suitability</w:t>
      </w:r>
      <w:r>
        <w:t xml:space="preserve"> </w:t>
      </w:r>
      <w:r>
        <w:t xml:space="preserve">assessment after having already provided advice in one third of the cases [see page 337) and also that</w:t>
      </w:r>
      <w:r>
        <w:t xml:space="preserve"> </w:t>
      </w:r>
      <w:r>
        <w:t xml:space="preserve">“there is evidence both from the mystery shopping as well as from existing research that in a non-</w:t>
      </w:r>
      <w:r>
        <w:t xml:space="preserve"> </w:t>
      </w:r>
      <w:r>
        <w:t xml:space="preserve">negligible minority of cases full suitability assessments are only carried out at the end of the advice</w:t>
      </w:r>
      <w:r>
        <w:t xml:space="preserve"> </w:t>
      </w:r>
      <w:r>
        <w:t xml:space="preserve">process (see 7.2.4), shortly before the contract signature. Therefore, the suitability assessment does not</w:t>
      </w:r>
      <w:r>
        <w:t xml:space="preserve"> </w:t>
      </w:r>
      <w:r>
        <w:t xml:space="preserve">feed into the process of informing the advice and supporting the client’s choice (see page 340).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in the public consultation437. The need for an adequate appropriateness assessment has</w:t>
      </w:r>
      <w:r>
        <w:t xml:space="preserve"> </w:t>
      </w:r>
      <w:r>
        <w:t xml:space="preserve">further increased over the years due to a rapid growth of investment products accessed</w:t>
      </w:r>
      <w:r>
        <w:t xml:space="preserve"> </w:t>
      </w:r>
      <w:r>
        <w:t xml:space="preserve">through digital platforms in an execution-only format, where the online environment may</w:t>
      </w:r>
      <w:r>
        <w:t xml:space="preserve"> </w:t>
      </w:r>
      <w:r>
        <w:t xml:space="preserve">also influence the investor’s choice. As it could be expected that self-directed investments</w:t>
      </w:r>
      <w:r>
        <w:t xml:space="preserve"> </w:t>
      </w:r>
      <w:r>
        <w:t xml:space="preserve">(execution-only sales) would increase following the introduction of a ban on inducements,</w:t>
      </w:r>
      <w:r>
        <w:t xml:space="preserve"> </w:t>
      </w:r>
      <w:r>
        <w:t xml:space="preserve">the need for adequate safeguards is further reinforced. In their responses to the public</w:t>
      </w:r>
      <w:r>
        <w:t xml:space="preserve"> </w:t>
      </w:r>
      <w:r>
        <w:t xml:space="preserve">consultation and subsequent bilateral exchanges, in particular NCAs call for the</w:t>
      </w:r>
      <w:r>
        <w:t xml:space="preserve"> </w:t>
      </w:r>
      <w:r>
        <w:t xml:space="preserve">enhancement of the appropriateness test to include more elements on the financial capacity</w:t>
      </w:r>
      <w:r>
        <w:t xml:space="preserve"> </w:t>
      </w:r>
      <w:r>
        <w:t xml:space="preserve">of clients in case of unexpected events in their personal situation or their ability to bear</w:t>
      </w:r>
      <w:r>
        <w:t xml:space="preserve"> </w:t>
      </w:r>
      <w:r>
        <w:t xml:space="preserve">losses. NCAs believe that this enhancement could also contribute to raising the financial</w:t>
      </w:r>
      <w:r>
        <w:t xml:space="preserve"> </w:t>
      </w:r>
      <w:r>
        <w:t xml:space="preserve">literacy of retail investors.</w:t>
      </w:r>
    </w:p>
    <w:p>
      <w:pPr>
        <w:pStyle w:val="BodyText"/>
      </w:pPr>
      <w:r>
        <w:t xml:space="preserve">A flanking measure to the enhanced appropriateness test would also include a stronger</w:t>
      </w:r>
      <w:r>
        <w:t xml:space="preserve"> </w:t>
      </w:r>
      <w:r>
        <w:t xml:space="preserve">standardised warning to clients when the investment appears not appropriate. The firm</w:t>
      </w:r>
      <w:r>
        <w:t xml:space="preserve"> </w:t>
      </w:r>
      <w:r>
        <w:t xml:space="preserve">would not be authorised to proceed without getting from the client an acknowledgment of</w:t>
      </w:r>
      <w:r>
        <w:t xml:space="preserve"> </w:t>
      </w:r>
      <w:r>
        <w:t xml:space="preserve">receipt of the warning and a confirmation that the client still wishes to proceed with the</w:t>
      </w:r>
      <w:r>
        <w:t xml:space="preserve"> </w:t>
      </w:r>
      <w:r>
        <w:t xml:space="preserve">order.</w:t>
      </w:r>
    </w:p>
    <w:p>
      <w:pPr>
        <w:pStyle w:val="BodyText"/>
      </w:pPr>
      <w:r>
        <w:t xml:space="preserve">For all services, it would be important that the suitability and appropriateness assessments</w:t>
      </w:r>
      <w:r>
        <w:t xml:space="preserve"> </w:t>
      </w:r>
      <w:r>
        <w:t xml:space="preserve">were fully linked to the screening exercise, which should not be undertaken as a stand-</w:t>
      </w:r>
      <w:r>
        <w:t xml:space="preserve"> </w:t>
      </w:r>
      <w:r>
        <w:t xml:space="preserve">alone exercise. In the case of investment advice, firms would disclose in a standardised</w:t>
      </w:r>
      <w:r>
        <w:t xml:space="preserve"> </w:t>
      </w:r>
      <w:r>
        <w:t xml:space="preserve">way how the recommendation matches the retail client profile, as determined following the</w:t>
      </w:r>
      <w:r>
        <w:t xml:space="preserve"> </w:t>
      </w:r>
      <w:r>
        <w:t xml:space="preserve">screening process and the assessment made by firms.</w:t>
      </w:r>
    </w:p>
    <w:p>
      <w:pPr>
        <w:pStyle w:val="Compact"/>
        <w:numPr>
          <w:ilvl w:val="0"/>
          <w:numId w:val="1046"/>
        </w:numPr>
      </w:pPr>
      <w:r>
        <w:t xml:space="preserve">Assessment of the proposed measures</w:t>
      </w:r>
    </w:p>
    <w:p>
      <w:pPr>
        <w:pStyle w:val="FirstParagraph"/>
      </w:pPr>
      <w:r>
        <w:t xml:space="preserve">Effectiveness in meeting the specific objectives</w:t>
      </w:r>
    </w:p>
    <w:p>
      <w:pPr>
        <w:pStyle w:val="BodyText"/>
      </w:pPr>
      <w:r>
        <w:t xml:space="preserve">437 31.7% of the answers to the retail public consultation indicated problems with the appropriateness</w:t>
      </w:r>
      <w:r>
        <w:t xml:space="preserve"> </w:t>
      </w:r>
      <w:r>
        <w:t xml:space="preserve">test: some stakeholders stated that even when having passed an appropriateness test, (experienced)</w:t>
      </w:r>
      <w:r>
        <w:t xml:space="preserve"> </w:t>
      </w:r>
      <w:r>
        <w:t xml:space="preserve">retail investors could repeatedly buy unsuitable or harmful products through a poorly designed (online)</w:t>
      </w:r>
      <w:r>
        <w:t xml:space="preserve"> </w:t>
      </w:r>
      <w:r>
        <w:t xml:space="preserve">choice environment. Some stakeholders considers that the current appropriateness test has little added</w:t>
      </w:r>
      <w:r>
        <w:t xml:space="preserve"> </w:t>
      </w:r>
      <w:r>
        <w:t xml:space="preserve">value, creates burdensome procedures for retail clients, and thus should be eliminated – in certain cases</w:t>
      </w:r>
      <w:r>
        <w:t xml:space="preserve"> </w:t>
      </w:r>
      <w:r>
        <w:t xml:space="preserve">– or replaced by the suitability assessment. Additionally, some respondents noted that the</w:t>
      </w:r>
      <w:r>
        <w:t xml:space="preserve"> </w:t>
      </w:r>
      <w:r>
        <w:t xml:space="preserve">appropriateness test only requires the client to disclose information about their knowledge and</w:t>
      </w:r>
      <w:r>
        <w:t xml:space="preserve"> </w:t>
      </w:r>
      <w:r>
        <w:t xml:space="preserve">experience in the field relevant to the product in question. There is no explicit reference to environmental</w:t>
      </w:r>
      <w:r>
        <w:t xml:space="preserve"> </w:t>
      </w:r>
      <w:r>
        <w:t xml:space="preserve">objectives (or similar concepts). Some respondents directly pointed that the appropriateness test</w:t>
      </w:r>
      <w:r>
        <w:t xml:space="preserve"> </w:t>
      </w:r>
      <w:r>
        <w:t xml:space="preserve">(performed for “non-advised services”, except execution-only) which only requires the client to disclose</w:t>
      </w:r>
      <w:r>
        <w:t xml:space="preserve"> </w:t>
      </w:r>
      <w:r>
        <w:t xml:space="preserve">information about their knowledge and experience should be changed to include sustainability</w:t>
      </w:r>
      <w:r>
        <w:t xml:space="preserve"> </w:t>
      </w:r>
      <w:r>
        <w:t xml:space="preserve">preferences.</w:t>
      </w:r>
    </w:p>
    <w:p>
      <w:pPr>
        <w:pStyle w:val="BodyText"/>
      </w:pPr>
      <w:r>
        <w:t xml:space="preserve">When it comes to the insurance sector, some stakeholders stated that the appropriateness test reduced</w:t>
      </w:r>
      <w:r>
        <w:t xml:space="preserve"> </w:t>
      </w:r>
      <w:r>
        <w:t xml:space="preserve">to experience and knowledge, while necessary, is not enough protective and could result in inappropriate</w:t>
      </w:r>
      <w:r>
        <w:t xml:space="preserve"> </w:t>
      </w:r>
      <w:r>
        <w:t xml:space="preserve">selling. Life insurance has specific features that require certain precautions in its marketing. They are</w:t>
      </w:r>
      <w:r>
        <w:t xml:space="preserve"> </w:t>
      </w:r>
      <w:r>
        <w:t xml:space="preserve">products offering multiple investment choices, some of which present a form of complexity or risk. In this</w:t>
      </w:r>
      <w:r>
        <w:t xml:space="preserve"> </w:t>
      </w:r>
      <w:r>
        <w:t xml:space="preserve">sense, life insurance products are not comparable to simple financial instruments, which may be</w:t>
      </w:r>
      <w:r>
        <w:t xml:space="preserve"> </w:t>
      </w:r>
      <w:r>
        <w:t xml:space="preserve">distributed by only execution of orders.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Measure 1 under option 1 is considered to be effective in meeting the specific objective of</w:t>
      </w:r>
      <w:r>
        <w:t xml:space="preserve"> </w:t>
      </w:r>
      <w:r>
        <w:t xml:space="preserve">addressing poor client-profiling leading to poor suitability assessment. Ensuring that key</w:t>
      </w:r>
      <w:r>
        <w:t xml:space="preserve"> </w:t>
      </w:r>
      <w:r>
        <w:t xml:space="preserve">information about clients is systematically and in a standardised way tested by all firms</w:t>
      </w:r>
      <w:r>
        <w:t xml:space="preserve"> </w:t>
      </w:r>
      <w:r>
        <w:t xml:space="preserve">would improve the suitability assessment across the EU. Furthermore, when combined</w:t>
      </w:r>
      <w:r>
        <w:t xml:space="preserve"> </w:t>
      </w:r>
      <w:r>
        <w:t xml:space="preserve">with the requirement for firms to take into account the client’s existing securities portfolio</w:t>
      </w:r>
      <w:r>
        <w:t xml:space="preserve"> </w:t>
      </w:r>
      <w:r>
        <w:t xml:space="preserve">in their suitability assessment, the measure would tackle the problem of a product-centric</w:t>
      </w:r>
      <w:r>
        <w:t xml:space="preserve"> </w:t>
      </w:r>
      <w:r>
        <w:t xml:space="preserve">approach in advice, avoiding over-concentration in similar financial instruments and</w:t>
      </w:r>
      <w:r>
        <w:t xml:space="preserve"> </w:t>
      </w:r>
      <w:r>
        <w:t xml:space="preserve">supporting portfolio diversification. A more solid suitability assessment, following a</w:t>
      </w:r>
      <w:r>
        <w:t xml:space="preserve"> </w:t>
      </w:r>
      <w:r>
        <w:t xml:space="preserve">portfolio approach, would result in more suitable investment recommendations for clients,</w:t>
      </w:r>
      <w:r>
        <w:t xml:space="preserve"> </w:t>
      </w:r>
      <w:r>
        <w:t xml:space="preserve">instilling higher retail investors’ trust in investment and gradually raising the level of</w:t>
      </w:r>
      <w:r>
        <w:t xml:space="preserve"> </w:t>
      </w:r>
      <w:r>
        <w:t xml:space="preserve">clients’ awareness and understanding of capital markets.</w:t>
      </w:r>
    </w:p>
    <w:p>
      <w:pPr>
        <w:pStyle w:val="BodyText"/>
      </w:pPr>
      <w:r>
        <w:t xml:space="preserve">The standardisation of key elements of the client profiling would favour common</w:t>
      </w:r>
      <w:r>
        <w:t xml:space="preserve"> </w:t>
      </w:r>
      <w:r>
        <w:t xml:space="preserve">assessment practices amongst EU firms, eliminating practices of poor/non-informative</w:t>
      </w:r>
      <w:r>
        <w:t xml:space="preserve"> </w:t>
      </w:r>
      <w:r>
        <w:t xml:space="preserve">suitability assessments that carry a high risk of mis-selling.</w:t>
      </w:r>
    </w:p>
    <w:p>
      <w:pPr>
        <w:pStyle w:val="BodyText"/>
      </w:pPr>
      <w:r>
        <w:t xml:space="preserve">Measure 2 under option 1 would make the appropriateness assessment more informative</w:t>
      </w:r>
      <w:r>
        <w:t xml:space="preserve"> </w:t>
      </w:r>
      <w:r>
        <w:t xml:space="preserve">and better tailored to the client’s needs, as financial capacity and ability to bear losses are</w:t>
      </w:r>
      <w:r>
        <w:t xml:space="preserve"> </w:t>
      </w:r>
      <w:r>
        <w:t xml:space="preserve">fundamental characteristics of an investor’s profile Investors would be pro-actively</w:t>
      </w:r>
      <w:r>
        <w:t xml:space="preserve"> </w:t>
      </w:r>
      <w:r>
        <w:t xml:space="preserve">encouraged to reconsider their investment decision through warnings, in case of an</w:t>
      </w:r>
      <w:r>
        <w:t xml:space="preserve"> </w:t>
      </w:r>
      <w:r>
        <w:t xml:space="preserve">inappropriate investment. A well-performed and more complete assessment for execution-</w:t>
      </w:r>
      <w:r>
        <w:t xml:space="preserve"> </w:t>
      </w:r>
      <w:r>
        <w:t xml:space="preserve">only services would act as a counterweight to the influence that other sources (family,</w:t>
      </w:r>
      <w:r>
        <w:t xml:space="preserve"> </w:t>
      </w:r>
      <w:r>
        <w:t xml:space="preserve">peers, social media etc) or information asymmetry may have on the client’s choice, and</w:t>
      </w:r>
      <w:r>
        <w:t xml:space="preserve"> </w:t>
      </w:r>
      <w:r>
        <w:t xml:space="preserve">consequently would avoid (or considerably limit) biased investment decision. Combined</w:t>
      </w:r>
      <w:r>
        <w:t xml:space="preserve"> </w:t>
      </w:r>
      <w:r>
        <w:t xml:space="preserve">with the obligation to act in the best interest of the client together with the other measures</w:t>
      </w:r>
      <w:r>
        <w:t xml:space="preserve"> </w:t>
      </w:r>
      <w:r>
        <w:t xml:space="preserve">put forward in the retail investment strategy, the measures contribute to limiting mis-selling</w:t>
      </w:r>
      <w:r>
        <w:t xml:space="preserve"> </w:t>
      </w:r>
      <w:r>
        <w:t xml:space="preserve">by firms or mis-buying by retail clients. Taken, measure 2, however, would be unlikely to</w:t>
      </w:r>
      <w:r>
        <w:t xml:space="preserve"> </w:t>
      </w:r>
      <w:r>
        <w:t xml:space="preserve">significantly improve the current situation.</w:t>
      </w:r>
    </w:p>
    <w:p>
      <w:pPr>
        <w:pStyle w:val="BodyText"/>
      </w:pPr>
      <w:r>
        <w:t xml:space="preserve">Costs-benefits438</w:t>
      </w:r>
    </w:p>
    <w:p>
      <w:pPr>
        <w:pStyle w:val="BodyText"/>
      </w:pPr>
      <w:r>
        <w:t xml:space="preserve">i.Costs and benefits for investors</w:t>
      </w:r>
    </w:p>
    <w:p>
      <w:pPr>
        <w:pStyle w:val="BodyText"/>
      </w:pPr>
      <w:r>
        <w:t xml:space="preserve">Retail investors would in general benefit from receiving a better quality of service and are</w:t>
      </w:r>
      <w:r>
        <w:t xml:space="preserve"> </w:t>
      </w:r>
      <w:r>
        <w:t xml:space="preserve">likely to make a more appropriate investment decisions where firms (i) take sufficient time</w:t>
      </w:r>
      <w:r>
        <w:t xml:space="preserve"> </w:t>
      </w:r>
      <w:r>
        <w:t xml:space="preserve">to conduct suitability and appropriateness assessments,439 ensuring more accurate client</w:t>
      </w:r>
      <w:r>
        <w:t xml:space="preserve"> </w:t>
      </w:r>
      <w:r>
        <w:t xml:space="preserve">profiling, (ii) consider in their screening and assessment for advised services, more client-</w:t>
      </w:r>
      <w:r>
        <w:t xml:space="preserve"> </w:t>
      </w:r>
      <w:r>
        <w:t xml:space="preserve">specific information, with certain key elements made mandatory and standardised, and (iii)</w:t>
      </w:r>
      <w:r>
        <w:t xml:space="preserve"> </w:t>
      </w:r>
      <w:r>
        <w:t xml:space="preserve">include in their screening and assessment for non-advised services, the financial capacity</w:t>
      </w:r>
      <w:r>
        <w:t xml:space="preserve"> </w:t>
      </w:r>
      <w:r>
        <w:t xml:space="preserve">and ability to bear losses of their retail clients.</w:t>
      </w:r>
      <w:r>
        <w:t xml:space="preserve"> </w:t>
      </w:r>
      <w:r>
        <w:t xml:space="preserve">In an advice setting, making mandatory to test and assess certain key (standardised)</w:t>
      </w:r>
      <w:r>
        <w:t xml:space="preserve"> </w:t>
      </w:r>
      <w:r>
        <w:t xml:space="preserve">elements would facilitate, for retail clients, comparability between assessments and</w:t>
      </w:r>
    </w:p>
    <w:p>
      <w:pPr>
        <w:pStyle w:val="BodyText"/>
      </w:pPr>
      <w:r>
        <w:t xml:space="preserve">438 A detailed analysis of costs is included in the appendix to Annex 8 (see below).</w:t>
      </w:r>
      <w:r>
        <w:t xml:space="preserve"> </w:t>
      </w:r>
      <w:r>
        <w:t xml:space="preserve">439 See Retail investment study– page 315: Figure 7.10 - Duration of the screening questionnaire prior to</w:t>
      </w:r>
      <w:r>
        <w:t xml:space="preserve"> </w:t>
      </w:r>
      <w:r>
        <w:t xml:space="preserve">product specific conversation for traditional distribution channels (n=170).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recommendations, when approaching different firms. Also, the considerations of the</w:t>
      </w:r>
      <w:r>
        <w:t xml:space="preserve"> </w:t>
      </w:r>
      <w:r>
        <w:t xml:space="preserve">existing client portfolio and the need for portfolio diversification would improve the</w:t>
      </w:r>
      <w:r>
        <w:t xml:space="preserve"> </w:t>
      </w:r>
      <w:r>
        <w:t xml:space="preserve">overall diversification of the client’s investments and limit potential losses.</w:t>
      </w:r>
      <w:r>
        <w:br/>
      </w:r>
      <w:r>
        <w:t xml:space="preserve">In a non-advisory environment, clients, which are typically more prone to manipulation</w:t>
      </w:r>
      <w:r>
        <w:t xml:space="preserve"> </w:t>
      </w:r>
      <w:r>
        <w:t xml:space="preserve">of investment choice and gamification, would benefit from stronger warnings440, allowing</w:t>
      </w:r>
      <w:r>
        <w:t xml:space="preserve"> </w:t>
      </w:r>
      <w:r>
        <w:t xml:space="preserve">them to avoid potentially detrimental investment decisions that would have been taken in</w:t>
      </w:r>
      <w:r>
        <w:t xml:space="preserve"> </w:t>
      </w:r>
      <w:r>
        <w:t xml:space="preserve">disregard of their financial capacity and ability to bear losses.</w:t>
      </w:r>
    </w:p>
    <w:p>
      <w:pPr>
        <w:pStyle w:val="BodyText"/>
      </w:pPr>
      <w:r>
        <w:t xml:space="preserve">It cannot be excluded, however, that investment firms may increase the costs of their</w:t>
      </w:r>
      <w:r>
        <w:t xml:space="preserve"> </w:t>
      </w:r>
      <w:r>
        <w:t xml:space="preserve">advised and non-advised services to cover the costs associated with the preparation of</w:t>
      </w:r>
      <w:r>
        <w:t xml:space="preserve"> </w:t>
      </w:r>
      <w:r>
        <w:t xml:space="preserve">enhanced suitability and appropriateness assessments. These costs might then be passed on</w:t>
      </w:r>
      <w:r>
        <w:t xml:space="preserve"> </w:t>
      </w:r>
      <w:r>
        <w:t xml:space="preserve">to investors. Nevertheless, these extra costs are likely to be of a one-off nature and hence</w:t>
      </w:r>
      <w:r>
        <w:t xml:space="preserve"> </w:t>
      </w:r>
      <w:r>
        <w:t xml:space="preserve">would be limited.</w:t>
      </w:r>
    </w:p>
    <w:p>
      <w:pPr>
        <w:pStyle w:val="BodyText"/>
      </w:pPr>
      <w:r>
        <w:t xml:space="preserve">ii.Costs and benefits for investment firms</w:t>
      </w:r>
    </w:p>
    <w:p>
      <w:pPr>
        <w:pStyle w:val="BodyText"/>
      </w:pPr>
      <w:r>
        <w:t xml:space="preserve">With an enhanced suitability assessment, investment firms would be able to better know</w:t>
      </w:r>
      <w:r>
        <w:t xml:space="preserve"> </w:t>
      </w:r>
      <w:r>
        <w:t xml:space="preserve">their clients and to further adjust their investment advice to the needs and objectives of</w:t>
      </w:r>
      <w:r>
        <w:t xml:space="preserve"> </w:t>
      </w:r>
      <w:r>
        <w:t xml:space="preserve">those clients (including financial liquidity needs). Clients’ satisfaction in their investments</w:t>
      </w:r>
      <w:r>
        <w:t xml:space="preserve"> </w:t>
      </w:r>
      <w:r>
        <w:t xml:space="preserve">and trust in their financial intermediaries would increase, triggering potentially more retail</w:t>
      </w:r>
      <w:r>
        <w:t xml:space="preserve"> </w:t>
      </w:r>
      <w:r>
        <w:t xml:space="preserve">investments in the capital markets and more revenues for the firms. A similar outcome can</w:t>
      </w:r>
      <w:r>
        <w:t xml:space="preserve"> </w:t>
      </w:r>
      <w:r>
        <w:t xml:space="preserve">be expected for the enhanced appropriateness assessment, where investment firms would</w:t>
      </w:r>
      <w:r>
        <w:t xml:space="preserve"> </w:t>
      </w:r>
      <w:r>
        <w:t xml:space="preserve">also be able to offer a higher quality of service to their clients, better adapted to their</w:t>
      </w:r>
      <w:r>
        <w:t xml:space="preserve"> </w:t>
      </w:r>
      <w:r>
        <w:t xml:space="preserve">financial situation, thus strengthening trust of these investors in capital markets, fostering</w:t>
      </w:r>
      <w:r>
        <w:t xml:space="preserve"> </w:t>
      </w:r>
      <w:r>
        <w:t xml:space="preserve">investor participation and increasing future revenue potential for these firms. In both cases,</w:t>
      </w:r>
      <w:r>
        <w:t xml:space="preserve"> </w:t>
      </w:r>
      <w:r>
        <w:t xml:space="preserve">firms are likely to see a decrease in the commercialisation of risky and/or complex products</w:t>
      </w:r>
      <w:r>
        <w:t xml:space="preserve"> </w:t>
      </w:r>
      <w:r>
        <w:t xml:space="preserve">in favour of simpler and less risky investments. If the volume of simple investments</w:t>
      </w:r>
      <w:r>
        <w:t xml:space="preserve"> </w:t>
      </w:r>
      <w:r>
        <w:t xml:space="preserve">increases sufficiently (due to higher trust and investor participation), it could however</w:t>
      </w:r>
      <w:r>
        <w:t xml:space="preserve"> </w:t>
      </w:r>
      <w:r>
        <w:t xml:space="preserve">compensate for the loss of revenues from risky or complex products.</w:t>
      </w:r>
    </w:p>
    <w:p>
      <w:pPr>
        <w:pStyle w:val="BodyText"/>
      </w:pPr>
      <w:r>
        <w:t xml:space="preserve">While the compliance with an enhanced suitability assessment will lead to higher costs for</w:t>
      </w:r>
      <w:r>
        <w:t xml:space="preserve"> </w:t>
      </w:r>
      <w:r>
        <w:t xml:space="preserve">firms, it is unlikely to represent a substantial additional cost for the firms already compliant</w:t>
      </w:r>
      <w:r>
        <w:t xml:space="preserve"> </w:t>
      </w:r>
      <w:r>
        <w:t xml:space="preserve">with the ESMA MiFID II guidelines. Firms providing non-advised services would need to</w:t>
      </w:r>
      <w:r>
        <w:t xml:space="preserve"> </w:t>
      </w:r>
      <w:r>
        <w:t xml:space="preserve">set up the necessary IT infrastructure and train staff to be able to conduct a more extensive</w:t>
      </w:r>
      <w:r>
        <w:t xml:space="preserve"> </w:t>
      </w:r>
      <w:r>
        <w:t xml:space="preserve">appropriateness assessment. The incremental cost is, however, likely to be more important</w:t>
      </w:r>
      <w:r>
        <w:t xml:space="preserve"> </w:t>
      </w:r>
      <w:r>
        <w:t xml:space="preserve">for firms offering only non-advised services and not used to collecting information on the</w:t>
      </w:r>
      <w:r>
        <w:t xml:space="preserve"> </w:t>
      </w:r>
      <w:r>
        <w:t xml:space="preserve">financial situation of their clients and their ability to bear losses.</w:t>
      </w:r>
    </w:p>
    <w:p>
      <w:pPr>
        <w:pStyle w:val="BodyText"/>
      </w:pPr>
      <w:r>
        <w:t xml:space="preserve">The enhanced suitability assessment would include the coding of standard key information</w:t>
      </w:r>
      <w:r>
        <w:t xml:space="preserve"> </w:t>
      </w:r>
      <w:r>
        <w:t xml:space="preserve">to enable its portability to, and use by, other distributors, as well as additional processing</w:t>
      </w:r>
      <w:r>
        <w:t xml:space="preserve"> </w:t>
      </w:r>
      <w:r>
        <w:t xml:space="preserve">of clients’ information on its securities portfolio. The main cost element would be</w:t>
      </w:r>
      <w:r>
        <w:t xml:space="preserve"> </w:t>
      </w:r>
      <w:r>
        <w:t xml:space="preserve">identifiable in the additional time necessary to assess products not only against the personal</w:t>
      </w:r>
    </w:p>
    <w:p>
      <w:pPr>
        <w:pStyle w:val="BodyText"/>
      </w:pPr>
      <w:r>
        <w:t xml:space="preserve">440 Retail investment study indicates however that in a context of suitability advice, the potential gains</w:t>
      </w:r>
      <w:r>
        <w:t xml:space="preserve"> </w:t>
      </w:r>
      <w:r>
        <w:t xml:space="preserve">from changing disclosure warnings are likely to be minimal (page 25). In a non-advised context, warnings</w:t>
      </w:r>
      <w:r>
        <w:t xml:space="preserve"> </w:t>
      </w:r>
      <w:r>
        <w:t xml:space="preserve">may however be more effective.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client’s profile, but also against the already existing client’s portfolio. This also means</w:t>
      </w:r>
      <w:r>
        <w:t xml:space="preserve"> </w:t>
      </w:r>
      <w:r>
        <w:t xml:space="preserve">some distributors’ staff, used to perform very limited suitability assessment would need</w:t>
      </w:r>
      <w:r>
        <w:t xml:space="preserve"> </w:t>
      </w:r>
      <w:r>
        <w:t xml:space="preserve">more time to obtain the necessary information and discuss with clients. Distributors that</w:t>
      </w:r>
      <w:r>
        <w:t xml:space="preserve"> </w:t>
      </w:r>
      <w:r>
        <w:t xml:space="preserve">offer portfolio management services and other investment services, would potentially incur</w:t>
      </w:r>
      <w:r>
        <w:t xml:space="preserve"> </w:t>
      </w:r>
      <w:r>
        <w:t xml:space="preserve">a lower cost, given that they already have the experience of acquiring such information</w:t>
      </w:r>
      <w:r>
        <w:t xml:space="preserve"> </w:t>
      </w:r>
      <w:r>
        <w:t xml:space="preserve">from clients.</w:t>
      </w:r>
      <w:r>
        <w:br/>
      </w:r>
      <w:r>
        <w:t xml:space="preserve">Considering that most of the process for the client profiling/screening and provision of</w:t>
      </w:r>
      <w:r>
        <w:t xml:space="preserve"> </w:t>
      </w:r>
      <w:r>
        <w:t xml:space="preserve">advice will remain unchanged, an increase of the duration by 10% might be considered as</w:t>
      </w:r>
      <w:r>
        <w:t xml:space="preserve"> </w:t>
      </w:r>
      <w:r>
        <w:t xml:space="preserve">a conservative estimate for the impact of the integration of portfolio views in the suitability</w:t>
      </w:r>
      <w:r>
        <w:t xml:space="preserve"> </w:t>
      </w:r>
      <w:r>
        <w:t xml:space="preserve">assessment. This aspect will come on top of the requirements to know the client, his/her</w:t>
      </w:r>
      <w:r>
        <w:t xml:space="preserve"> </w:t>
      </w:r>
      <w:r>
        <w:t xml:space="preserve">objectives, time horizon and capacities, to match the client’s profile to risks, returns, fees</w:t>
      </w:r>
      <w:r>
        <w:t xml:space="preserve"> </w:t>
      </w:r>
      <w:r>
        <w:t xml:space="preserve">and liquidity profile of financial products, and to explain the advice. The 10% increase</w:t>
      </w:r>
      <w:r>
        <w:t xml:space="preserve"> </w:t>
      </w:r>
      <w:r>
        <w:t xml:space="preserve">would be applied to new clients, as well as the existing customers seeking advice.</w:t>
      </w:r>
      <w:r>
        <w:br/>
      </w:r>
      <w:r>
        <w:t xml:space="preserve">Similar to the enhancement of the suitability assessment, the change to the appropriateness</w:t>
      </w:r>
      <w:r>
        <w:t xml:space="preserve"> </w:t>
      </w:r>
      <w:r>
        <w:t xml:space="preserve">test (i.e. its enhancement) is likely to lead to a longer duration of the process. Incorporating</w:t>
      </w:r>
      <w:r>
        <w:t xml:space="preserve"> </w:t>
      </w:r>
      <w:r>
        <w:t xml:space="preserve">additional elements, such as the clients’ financial capacity and ability to bear losses into</w:t>
      </w:r>
      <w:r>
        <w:t xml:space="preserve"> </w:t>
      </w:r>
      <w:r>
        <w:t xml:space="preserve">the screening process would increase the list of questions to be asked. The relative increase</w:t>
      </w:r>
      <w:r>
        <w:t xml:space="preserve"> </w:t>
      </w:r>
      <w:r>
        <w:t xml:space="preserve">in length would depend on how many questions the distributors already ask about</w:t>
      </w:r>
      <w:r>
        <w:t xml:space="preserve"> </w:t>
      </w:r>
      <w:r>
        <w:t xml:space="preserve">knowledge and experience. Since the MiFID II requirements for the appropriateness tests</w:t>
      </w:r>
      <w:r>
        <w:t xml:space="preserve"> </w:t>
      </w:r>
      <w:r>
        <w:t xml:space="preserve">are much lighter than suitability tests, the additional elements may carry a larger relative</w:t>
      </w:r>
      <w:r>
        <w:t xml:space="preserve"> </w:t>
      </w:r>
      <w:r>
        <w:t xml:space="preserve">weight than in the case of a suitability assessment. Therefore, under a conservative</w:t>
      </w:r>
      <w:r>
        <w:t xml:space="preserve"> </w:t>
      </w:r>
      <w:r>
        <w:t xml:space="preserve">estimate, a 20-30 % increment to the duration of the appropriateness test (as conducted</w:t>
      </w:r>
      <w:r>
        <w:t xml:space="preserve"> </w:t>
      </w:r>
      <w:r>
        <w:t xml:space="preserve">today) could be considered.</w:t>
      </w:r>
      <w:r>
        <w:t xml:space="preserve"> </w:t>
      </w:r>
      <w:r>
        <w:t xml:space="preserve">For the enhanced suitability assessment, assuming that: (i) half of the existing customers</w:t>
      </w:r>
      <w:r>
        <w:t xml:space="preserve"> </w:t>
      </w:r>
      <w:r>
        <w:t xml:space="preserve">of investment firms would transact per year and that 70% to 80% of them would seek</w:t>
      </w:r>
      <w:r>
        <w:t xml:space="preserve"> </w:t>
      </w:r>
      <w:r>
        <w:t xml:space="preserve">advice and 20% of them being subject to an enhanced suitability test each year, and that</w:t>
      </w:r>
      <w:r>
        <w:t xml:space="preserve"> </w:t>
      </w:r>
      <w:r>
        <w:t xml:space="preserve">(ii) the average duration of the suitability test is 20-30 minutes and that this test would get</w:t>
      </w:r>
      <w:r>
        <w:t xml:space="preserve"> </w:t>
      </w:r>
      <w:r>
        <w:t xml:space="preserve">by 10% longer, and finally that (iii) the labour cost per hour of EUR 50.7, annual</w:t>
      </w:r>
      <w:r>
        <w:t xml:space="preserve"> </w:t>
      </w:r>
      <w:r>
        <w:t xml:space="preserve">incremental costs due to the enhancement would be EUR 5.7 million to EUR 11.9</w:t>
      </w:r>
      <w:r>
        <w:t xml:space="preserve"> </w:t>
      </w:r>
      <w:r>
        <w:t xml:space="preserve">million.441</w:t>
      </w:r>
      <w:r>
        <w:br/>
      </w:r>
      <w:r>
        <w:t xml:space="preserve">For the enhanced appropriateness assessment, under the assumption that: (i) between</w:t>
      </w:r>
      <w:r>
        <w:t xml:space="preserve"> </w:t>
      </w:r>
      <w:r>
        <w:t xml:space="preserve">2% and 5% of all households hold complex products,442 (ii) that half of the existing</w:t>
      </w:r>
      <w:r>
        <w:t xml:space="preserve"> </w:t>
      </w:r>
      <w:r>
        <w:t xml:space="preserve">customers would transact per year with 20% to 30% of them transacting without advice</w:t>
      </w:r>
      <w:r>
        <w:t xml:space="preserve"> </w:t>
      </w:r>
      <w:r>
        <w:t xml:space="preserve">and thus undergoing an appropriateness test, (iii) that the average duration of the</w:t>
      </w:r>
    </w:p>
    <w:p>
      <w:pPr>
        <w:pStyle w:val="BodyText"/>
      </w:pPr>
      <w:r>
        <w:t xml:space="preserve">441 The share of 15% was chosen because 15% of the respondents to the survey conducted in the</w:t>
      </w:r>
      <w:r>
        <w:t xml:space="preserve"> </w:t>
      </w:r>
      <w:r>
        <w:t xml:space="preserve">framework of the Retail investment survey indicated they had invested based on advice in the last 12</w:t>
      </w:r>
      <w:r>
        <w:t xml:space="preserve"> </w:t>
      </w:r>
      <w:r>
        <w:t xml:space="preserve">months.</w:t>
      </w:r>
      <w:r>
        <w:br/>
      </w:r>
      <w:r>
        <w:t xml:space="preserve">442 Under MiFID II, a strict requirement to conduct an appropriateness assessment in an execution-only</w:t>
      </w:r>
      <w:r>
        <w:t xml:space="preserve"> </w:t>
      </w:r>
      <w:r>
        <w:t xml:space="preserve">setting applies only to complex products (for non-complex products Member States can exempt</w:t>
      </w:r>
      <w:r>
        <w:t xml:space="preserve"> </w:t>
      </w:r>
      <w:r>
        <w:t xml:space="preserve">investments firms from an obligation to conduct an appropriateness assessment).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appropriateness test is 5-10 minutes and that this test would get by 20% to 30% longer, and</w:t>
      </w:r>
      <w:r>
        <w:t xml:space="preserve"> </w:t>
      </w:r>
      <w:r>
        <w:t xml:space="preserve">finally that (iii) the labour cost per hour of EUR 50.7, the annual costs associated with</w:t>
      </w:r>
      <w:r>
        <w:t xml:space="preserve"> </w:t>
      </w:r>
      <w:r>
        <w:t xml:space="preserve">the enhanced appropriateness tests could increase by about EUR 83 thousand and</w:t>
      </w:r>
      <w:r>
        <w:t xml:space="preserve"> </w:t>
      </w:r>
      <w:r>
        <w:t xml:space="preserve">EUR 1.2 million. 443</w:t>
      </w:r>
      <w:r>
        <w:t xml:space="preserve"> </w:t>
      </w:r>
      <w:r>
        <w:t xml:space="preserve">The large ranges of both estimates stem from the variation in underlying assumptions about</w:t>
      </w:r>
      <w:r>
        <w:t xml:space="preserve"> </w:t>
      </w:r>
      <w:r>
        <w:t xml:space="preserve">the share of households and the time needed for the screening.</w:t>
      </w:r>
      <w:r>
        <w:br/>
      </w:r>
      <w:r>
        <w:t xml:space="preserve">Moreover, onboarding (for advised and non-advised services) of new customers would</w:t>
      </w:r>
      <w:r>
        <w:t xml:space="preserve"> </w:t>
      </w:r>
      <w:r>
        <w:t xml:space="preserve">become slightly more expensive. If the 11% of respondents in the Retail investment</w:t>
      </w:r>
      <w:r>
        <w:t xml:space="preserve"> </w:t>
      </w:r>
      <w:r>
        <w:t xml:space="preserve">survey￼ that stated to look for investment is taken as a lower range for the rise in demand</w:t>
      </w:r>
      <w:r>
        <w:t xml:space="preserve"> </w:t>
      </w:r>
      <w:r>
        <w:t xml:space="preserve">and the 14% that claimed to have an interest to invest added to this for a higher range of</w:t>
      </w:r>
      <w:r>
        <w:t xml:space="preserve"> </w:t>
      </w:r>
      <w:r>
        <w:t xml:space="preserve">25%, the envisaged measures would entail additional costs related to the enhanced</w:t>
      </w:r>
      <w:r>
        <w:t xml:space="preserve"> </w:t>
      </w:r>
      <w:r>
        <w:t xml:space="preserve">suitability assessment between EUR 1.2 million and EUR 5.9 million per year and those</w:t>
      </w:r>
      <w:r>
        <w:t xml:space="preserve"> </w:t>
      </w:r>
      <w:r>
        <w:t xml:space="preserve">related to enhanced appropriateness tests between EUR 41 thousand and EUR 124</w:t>
      </w:r>
      <w:r>
        <w:t xml:space="preserve"> </w:t>
      </w:r>
      <w:r>
        <w:t xml:space="preserve">thousand per year. These costs were initially calculated as cumulative and were annualised</w:t>
      </w:r>
      <w:r>
        <w:t xml:space="preserve"> </w:t>
      </w:r>
      <w:r>
        <w:t xml:space="preserve">using an assumption that such clients would be onboarded over 5 years. Such an</w:t>
      </w:r>
      <w:r>
        <w:t xml:space="preserve"> </w:t>
      </w:r>
      <w:r>
        <w:t xml:space="preserve">assumption is only illustrative and it is more likely closer to a higher bound.</w:t>
      </w:r>
      <w:r>
        <w:t xml:space="preserve"> </w:t>
      </w:r>
      <w:r>
        <w:t xml:space="preserve">Distributors would also need to amend their IT infrastructure to conduct the required</w:t>
      </w:r>
      <w:r>
        <w:t xml:space="preserve"> </w:t>
      </w:r>
      <w:r>
        <w:t xml:space="preserve">assessments or tests efficiently. IT tools contribute inter alia to accelerating the provision</w:t>
      </w:r>
      <w:r>
        <w:t xml:space="preserve"> </w:t>
      </w:r>
      <w:r>
        <w:t xml:space="preserve">of targeted information and guidance to staff dealing with retail investors, to documenting</w:t>
      </w:r>
      <w:r>
        <w:t xml:space="preserve"> </w:t>
      </w:r>
      <w:r>
        <w:t xml:space="preserve">the results of the tests and communicating the results to internal control and compliance</w:t>
      </w:r>
      <w:r>
        <w:t xml:space="preserve"> </w:t>
      </w:r>
      <w:r>
        <w:t xml:space="preserve">departments. Although online interfaces with customers are used by a small share of</w:t>
      </w:r>
      <w:r>
        <w:t xml:space="preserve"> </w:t>
      </w:r>
      <w:r>
        <w:t xml:space="preserve">clients, as confirmed in follow-up exchanges with distributors, all of them seem to have IT</w:t>
      </w:r>
      <w:r>
        <w:t xml:space="preserve"> </w:t>
      </w:r>
      <w:r>
        <w:t xml:space="preserve">systems in place. Hence, none of the options would require the development of new IT</w:t>
      </w:r>
      <w:r>
        <w:t xml:space="preserve"> </w:t>
      </w:r>
      <w:r>
        <w:t xml:space="preserve">systems from scratch. Additional costs would thus relate only to the adaptation of the</w:t>
      </w:r>
      <w:r>
        <w:t xml:space="preserve"> </w:t>
      </w:r>
      <w:r>
        <w:t xml:space="preserve">existing systems and potentially adding new modules to these existing systems.</w:t>
      </w:r>
      <w:r>
        <w:t xml:space="preserve"> </w:t>
      </w:r>
      <w:r>
        <w:t xml:space="preserve">Amendments to IT systems would result from the enhancement of (1) suitability</w:t>
      </w:r>
      <w:r>
        <w:t xml:space="preserve"> </w:t>
      </w:r>
      <w:r>
        <w:t xml:space="preserve">assessments modules a) to codify standardised basic (key) information about clients</w:t>
      </w:r>
      <w:r>
        <w:t xml:space="preserve"> </w:t>
      </w:r>
      <w:r>
        <w:t xml:space="preserve">suitable for portability and b) to process additional information about clients’ wealth</w:t>
      </w:r>
      <w:r>
        <w:t xml:space="preserve"> </w:t>
      </w:r>
      <w:r>
        <w:t xml:space="preserve">portfolio; (2) appropriateness tests module to cover additional elements of</w:t>
      </w:r>
      <w:r>
        <w:t xml:space="preserve"> </w:t>
      </w:r>
      <w:r>
        <w:t xml:space="preserve">profiling/screening related to the client’s financial capacity and ability to bear losses. While</w:t>
      </w:r>
      <w:r>
        <w:t xml:space="preserve"> </w:t>
      </w:r>
      <w:r>
        <w:t xml:space="preserve">all distributors would need to use such modules, many, although not all, distributors seem</w:t>
      </w:r>
    </w:p>
    <w:p>
      <w:pPr>
        <w:pStyle w:val="BodyText"/>
      </w:pPr>
      <w:r>
        <w:t xml:space="preserve">443 See the appendix for more details about the calculations and motivation of the assumptions.</w:t>
      </w:r>
      <w:r>
        <w:t xml:space="preserve"> </w:t>
      </w:r>
      <w:r>
        <w:t xml:space="preserve">Assumptions for the baseline are the following, with sources for the upper and lower range in brackets:</w:t>
      </w:r>
      <w:r>
        <w:t xml:space="preserve"> </w:t>
      </w:r>
      <w:r>
        <w:t xml:space="preserve">25-30% of households hold financial securities (Retail investment study, Eurobarometer, ECB Household</w:t>
      </w:r>
      <w:r>
        <w:t xml:space="preserve"> </w:t>
      </w:r>
      <w:r>
        <w:t xml:space="preserve">and Consumer Finance Survey); 2-3% hold complex financial instruments (Retail investment study,</w:t>
      </w:r>
      <w:r>
        <w:t xml:space="preserve"> </w:t>
      </w:r>
      <w:r>
        <w:t xml:space="preserve">Eurobarometer); 70-80% invest using financial advice (Retail investment study, Eurobarometer, industry</w:t>
      </w:r>
      <w:r>
        <w:t xml:space="preserve"> </w:t>
      </w:r>
      <w:r>
        <w:t xml:space="preserve">information) and 20-30% - without; 20-30 minutes duration of suitability assessment (rounded up from</w:t>
      </w:r>
      <w:r>
        <w:t xml:space="preserve"> </w:t>
      </w:r>
      <w:r>
        <w:t xml:space="preserve">the Retail Investment study and rounded down from industry information); and 5-10 minutes for an</w:t>
      </w:r>
      <w:r>
        <w:t xml:space="preserve"> </w:t>
      </w:r>
      <w:r>
        <w:t xml:space="preserve">appropriateness test (Retail investment study, supplemented by industry information), EUR 50.7 per hour</w:t>
      </w:r>
      <w:r>
        <w:br/>
      </w:r>
      <w:r>
        <w:t xml:space="preserve">as labour costs in the financial sector (Eurostat Structure of Earnings Survey).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to already have IT systems in place that would allow to easily accommodate the required</w:t>
      </w:r>
      <w:r>
        <w:t xml:space="preserve"> </w:t>
      </w:r>
      <w:r>
        <w:t xml:space="preserve">changes. Reports from the industry suggest that many firms have the required IT tools</w:t>
      </w:r>
      <w:r>
        <w:t xml:space="preserve"> </w:t>
      </w:r>
      <w:r>
        <w:t xml:space="preserve">already in place to consider the clients portfolio for suitability or appropriateness</w:t>
      </w:r>
      <w:r>
        <w:t xml:space="preserve"> </w:t>
      </w:r>
      <w:r>
        <w:t xml:space="preserve">assessments.444 Moreover, not every distributor would need to develop such modules. A</w:t>
      </w:r>
      <w:r>
        <w:t xml:space="preserve"> </w:t>
      </w:r>
      <w:r>
        <w:t xml:space="preserve">possible scenario would be that larger banks and asset managers develop their own</w:t>
      </w:r>
      <w:r>
        <w:t xml:space="preserve"> </w:t>
      </w:r>
      <w:r>
        <w:t xml:space="preserve">systems, while smaller distributors purchase them from IT specialist firms. Using certain</w:t>
      </w:r>
      <w:r>
        <w:t xml:space="preserve"> </w:t>
      </w:r>
      <w:r>
        <w:t xml:space="preserve">realistic assumptions about the costs of the required modules,445 IT costs could amount to</w:t>
      </w:r>
      <w:r>
        <w:t xml:space="preserve"> </w:t>
      </w:r>
      <w:r>
        <w:t xml:space="preserve">EUR 5.6 million to EUR 9 million. These numbers are considerably lower than the</w:t>
      </w:r>
      <w:r>
        <w:t xml:space="preserve"> </w:t>
      </w:r>
      <w:r>
        <w:t xml:space="preserve">estimates in the 2011 impact assessment that accompanied the MiFID II proposal.446 At</w:t>
      </w:r>
      <w:r>
        <w:t xml:space="preserve"> </w:t>
      </w:r>
      <w:r>
        <w:t xml:space="preserve">that time, one-off costs were estimated at EUR 75 million – EUR 132 million, broken down</w:t>
      </w:r>
      <w:r>
        <w:t xml:space="preserve"> </w:t>
      </w:r>
      <w:r>
        <w:t xml:space="preserve">into EUR 50 million – EUR 87 million for the development of risk profiles and EUR 25</w:t>
      </w:r>
      <w:r>
        <w:t xml:space="preserve"> </w:t>
      </w:r>
      <w:r>
        <w:t xml:space="preserve">million – EUR 45 million for the production and printing of supporting documentation.</w:t>
      </w:r>
      <w:r>
        <w:t xml:space="preserve"> </w:t>
      </w:r>
      <w:r>
        <w:t xml:space="preserve">The costs for the development of additional modules appear to be lower, albeit</w:t>
      </w:r>
      <w:r>
        <w:t xml:space="preserve"> </w:t>
      </w:r>
      <w:r>
        <w:t xml:space="preserve">commensurate with the historical estimate. This could be due to learning costs and as such</w:t>
      </w:r>
      <w:r>
        <w:t xml:space="preserve"> </w:t>
      </w:r>
      <w:r>
        <w:t xml:space="preserve">IT systems have become part of business as usual. More detail on the assumptions and</w:t>
      </w:r>
      <w:r>
        <w:t xml:space="preserve"> </w:t>
      </w:r>
      <w:r>
        <w:t xml:space="preserve">calculations is provided in the Appendix to this Annex.</w:t>
      </w:r>
    </w:p>
    <w:p>
      <w:pPr>
        <w:pStyle w:val="BodyText"/>
      </w:pPr>
      <w:r>
        <w:t xml:space="preserve">The need to train staff will lead to further one-off costs. These costs depend on the number</w:t>
      </w:r>
      <w:r>
        <w:t xml:space="preserve"> </w:t>
      </w:r>
      <w:r>
        <w:t xml:space="preserve">of staff members that will need this training. Industry sources suggest that an advisor caters</w:t>
      </w:r>
      <w:r>
        <w:t xml:space="preserve"> </w:t>
      </w:r>
      <w:r>
        <w:t xml:space="preserve">for between 150 to 360 clients, which would imply 135 to 390 thousand staff447 with</w:t>
      </w:r>
      <w:r>
        <w:t xml:space="preserve"> </w:t>
      </w:r>
      <w:r>
        <w:t xml:space="preserve">customer relationships and in need of training. Considering the compensation of financial</w:t>
      </w:r>
      <w:r>
        <w:t xml:space="preserve"> </w:t>
      </w:r>
      <w:r>
        <w:t xml:space="preserve">advisors of 50.7 EUR per hour as opportunity costs448 to approximate the costs of 1 to 2</w:t>
      </w:r>
      <w:r>
        <w:t xml:space="preserve"> </w:t>
      </w:r>
      <w:r>
        <w:t xml:space="preserve">hours training would lead to aggregate training costs in the range EUR 6.9 million to EUR</w:t>
      </w:r>
      <w:r>
        <w:t xml:space="preserve"> </w:t>
      </w:r>
      <w:r>
        <w:t xml:space="preserve">39.5 million.449</w:t>
      </w:r>
    </w:p>
    <w:p>
      <w:pPr>
        <w:pStyle w:val="BodyText"/>
      </w:pPr>
      <w:r>
        <w:t xml:space="preserve">Table: Cost estimates in million EUR</w:t>
      </w:r>
    </w:p>
    <w:p>
      <w:pPr>
        <w:pStyle w:val="BodyText"/>
      </w:pPr>
      <w:r>
        <w:t xml:space="preserve">444 In a targeted survey of the industry, 38% of the respondents claimed to have already identified asset</w:t>
      </w:r>
      <w:r>
        <w:t xml:space="preserve"> </w:t>
      </w:r>
      <w:r>
        <w:t xml:space="preserve">classes suitable for the client as part of the suitability assessment, 43% of the respondents even said they</w:t>
      </w:r>
      <w:r>
        <w:t xml:space="preserve"> </w:t>
      </w:r>
      <w:r>
        <w:t xml:space="preserve">identify a suitable asset allocation.</w:t>
      </w:r>
      <w:r>
        <w:t xml:space="preserve"> </w:t>
      </w:r>
      <w:r>
        <w:t xml:space="preserve">445 EUR 50,000-75,000 per module (source: industry information) plus profit margins for the 50% share</w:t>
      </w:r>
      <w:r>
        <w:t xml:space="preserve"> </w:t>
      </w:r>
      <w:r>
        <w:t xml:space="preserve">not developed in-house. More detail on the assumptions and calculations is provided in the Appendix to</w:t>
      </w:r>
      <w:r>
        <w:t xml:space="preserve"> </w:t>
      </w:r>
      <w:r>
        <w:t xml:space="preserve">this Annex.</w:t>
      </w:r>
      <w:r>
        <w:t xml:space="preserve"> </w:t>
      </w:r>
      <w:r>
        <w:t xml:space="preserve">446 Commission staff working paper, ‘Impact assessment accompanying the document Proposal for a</w:t>
      </w:r>
      <w:r>
        <w:t xml:space="preserve"> </w:t>
      </w:r>
      <w:r>
        <w:t xml:space="preserve">Directive on Markets in financial instruments [Recast] and the Proposal for a regulation on Markets in</w:t>
      </w:r>
      <w:r>
        <w:t xml:space="preserve"> </w:t>
      </w:r>
      <w:r>
        <w:t xml:space="preserve">financial instruments, SEC(2011) 1226 final.</w:t>
      </w:r>
      <w:r>
        <w:t xml:space="preserve"> </w:t>
      </w:r>
      <w:r>
        <w:t xml:space="preserve">447 This is derived from the range of 150-360 customers per advisor and 49-58.5 million households</w:t>
      </w:r>
      <w:r>
        <w:t xml:space="preserve"> </w:t>
      </w:r>
      <w:r>
        <w:t xml:space="preserve">investing.</w:t>
      </w:r>
      <w:r>
        <w:t xml:space="preserve"> </w:t>
      </w:r>
      <w:r>
        <w:t xml:space="preserve">448 It is assumed that the advisor could have earned EUR 50.7 for providing advice in the hour that he/she</w:t>
      </w:r>
      <w:r>
        <w:t xml:space="preserve"> </w:t>
      </w:r>
      <w:r>
        <w:t xml:space="preserve">spends on following a training. While this is not a perfect estimate for the cost of training, this is used as a</w:t>
      </w:r>
      <w:r>
        <w:t xml:space="preserve"> </w:t>
      </w:r>
      <w:r>
        <w:t xml:space="preserve">plausible proxy. This is further explained in the appendix to this annex.</w:t>
      </w:r>
      <w:r>
        <w:br/>
      </w:r>
      <w:r>
        <w:t xml:space="preserve">449 An alternative approach starts from a share of 10% of employees in the US financial sector providing</w:t>
      </w:r>
      <w:r>
        <w:t xml:space="preserve"> </w:t>
      </w:r>
      <w:r>
        <w:t xml:space="preserve">financial advice to customers. More than 500,000 staff in the financial and insurance sector would be in</w:t>
      </w:r>
      <w:r>
        <w:t xml:space="preserve"> </w:t>
      </w:r>
      <w:r>
        <w:t xml:space="preserve">the field of financial advice in the EU 27, if the 10% ratio observed in the US applied also to the EU27.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Lower</w:t>
      </w:r>
      <w:r>
        <w:t xml:space="preserve"> </w:t>
      </w:r>
      <w:r>
        <w:t xml:space="preserve">range</w:t>
      </w:r>
      <w:r>
        <w:t xml:space="preserve"> </w:t>
      </w:r>
      <w:r>
        <w:t xml:space="preserve">Higher</w:t>
      </w:r>
      <w:r>
        <w:t xml:space="preserve"> </w:t>
      </w:r>
      <w:r>
        <w:t xml:space="preserve">range</w:t>
      </w:r>
      <w:r>
        <w:t xml:space="preserve"> </w:t>
      </w:r>
      <w:r>
        <w:t xml:space="preserve">Memo: Estimates</w:t>
      </w:r>
      <w:r>
        <w:t xml:space="preserve"> </w:t>
      </w:r>
      <w:r>
        <w:t xml:space="preserve">in</w:t>
      </w:r>
      <w:r>
        <w:t xml:space="preserve"> </w:t>
      </w:r>
      <w:r>
        <w:t xml:space="preserve">retail</w:t>
      </w:r>
      <w:r>
        <w:t xml:space="preserve"> </w:t>
      </w:r>
      <w:r>
        <w:t xml:space="preserve">investment study</w:t>
      </w:r>
      <w:r>
        <w:t xml:space="preserve"> </w:t>
      </w:r>
      <w:r>
        <w:t xml:space="preserve">Ongoing costs for existing clients (per annum)</w:t>
      </w:r>
      <w:r>
        <w:br/>
      </w:r>
      <w:r>
        <w:t xml:space="preserve">Additional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suitability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5.7</w:t>
      </w:r>
      <w:r>
        <w:t xml:space="preserve"> </w:t>
      </w:r>
      <w:r>
        <w:t xml:space="preserve">11.9</w:t>
      </w:r>
      <w:r>
        <w:t xml:space="preserve"> </w:t>
      </w:r>
      <w:r>
        <w:t xml:space="preserve">15* (or 8.7 with</w:t>
      </w:r>
      <w:r>
        <w:t xml:space="preserve"> </w:t>
      </w:r>
      <w:r>
        <w:t xml:space="preserve">labour</w:t>
      </w:r>
      <w:r>
        <w:t xml:space="preserve"> </w:t>
      </w:r>
      <w:r>
        <w:t xml:space="preserve">costs</w:t>
      </w:r>
      <w:r>
        <w:t xml:space="preserve"> </w:t>
      </w:r>
      <w:r>
        <w:t xml:space="preserve">recalculated) ***</w:t>
      </w:r>
      <w:r>
        <w:t xml:space="preserve"> </w:t>
      </w:r>
      <w:r>
        <w:t xml:space="preserve">Additional time for appropriateness tests</w:t>
      </w:r>
      <w:r>
        <w:t xml:space="preserve"> </w:t>
      </w:r>
      <w:r>
        <w:t xml:space="preserve">0.08</w:t>
      </w:r>
      <w:r>
        <w:t xml:space="preserve"> </w:t>
      </w:r>
      <w:r>
        <w:t xml:space="preserve">1.2</w:t>
      </w:r>
      <w:r>
        <w:t xml:space="preserve"> </w:t>
      </w:r>
      <w:r>
        <w:t xml:space="preserve">Ongoing costs for new clients (per annum)</w:t>
      </w:r>
      <w:r>
        <w:t xml:space="preserve"> </w:t>
      </w:r>
      <w:r>
        <w:t xml:space="preserve">Additional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suitability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1.3</w:t>
      </w:r>
      <w:r>
        <w:t xml:space="preserve"> </w:t>
      </w:r>
      <w:r>
        <w:t xml:space="preserve">5.9</w:t>
      </w:r>
    </w:p>
    <w:p>
      <w:pPr>
        <w:pStyle w:val="BodyText"/>
      </w:pPr>
      <w:r>
        <w:t xml:space="preserve">Additional time for appropriateness tests</w:t>
      </w:r>
      <w:r>
        <w:t xml:space="preserve"> </w:t>
      </w:r>
      <w:r>
        <w:t xml:space="preserve">0.004</w:t>
      </w:r>
      <w:r>
        <w:t xml:space="preserve"> </w:t>
      </w:r>
      <w:r>
        <w:t xml:space="preserve">0.12</w:t>
      </w:r>
    </w:p>
    <w:p>
      <w:pPr>
        <w:pStyle w:val="BodyText"/>
      </w:pPr>
      <w:r>
        <w:t xml:space="preserve">Total ongoing costs estimate</w:t>
      </w:r>
      <w:r>
        <w:t xml:space="preserve"> </w:t>
      </w:r>
      <w:r>
        <w:t xml:space="preserve">7.1</w:t>
      </w:r>
      <w:r>
        <w:t xml:space="preserve"> </w:t>
      </w:r>
      <w:r>
        <w:t xml:space="preserve">19.1</w:t>
      </w:r>
    </w:p>
    <w:p>
      <w:pPr>
        <w:pStyle w:val="BodyText"/>
      </w:pPr>
      <w:r>
        <w:t xml:space="preserve">One-off costs</w:t>
      </w:r>
      <w:r>
        <w:br/>
      </w:r>
      <w:r>
        <w:t xml:space="preserve">Additional IT modules for suitability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2.6</w:t>
      </w:r>
      <w:r>
        <w:t xml:space="preserve"> </w:t>
      </w:r>
      <w:r>
        <w:t xml:space="preserve">4.5</w:t>
      </w:r>
      <w:r>
        <w:t xml:space="preserve"> </w:t>
      </w:r>
      <w:r>
        <w:t xml:space="preserve">Max 1**</w:t>
      </w:r>
      <w:r>
        <w:t xml:space="preserve"> </w:t>
      </w:r>
      <w:r>
        <w:t xml:space="preserve">Additional</w:t>
      </w:r>
      <w:r>
        <w:t xml:space="preserve"> </w:t>
      </w:r>
      <w:r>
        <w:t xml:space="preserve">IT</w:t>
      </w:r>
      <w:r>
        <w:t xml:space="preserve"> </w:t>
      </w:r>
      <w:r>
        <w:t xml:space="preserve">modules</w:t>
      </w:r>
      <w:r>
        <w:t xml:space="preserve"> </w:t>
      </w:r>
      <w:r>
        <w:t xml:space="preserve">for</w:t>
      </w:r>
      <w:r>
        <w:t xml:space="preserve"> </w:t>
      </w:r>
      <w:r>
        <w:t xml:space="preserve">appropriateness tests</w:t>
      </w:r>
      <w:r>
        <w:t xml:space="preserve"> </w:t>
      </w:r>
      <w:r>
        <w:t xml:space="preserve">3.0</w:t>
      </w:r>
      <w:r>
        <w:t xml:space="preserve"> </w:t>
      </w:r>
      <w:r>
        <w:t xml:space="preserve">4.5</w:t>
      </w:r>
      <w:r>
        <w:t xml:space="preserve"> </w:t>
      </w:r>
      <w:r>
        <w:t xml:space="preserve">Training for advisors</w:t>
      </w:r>
      <w:r>
        <w:t xml:space="preserve"> </w:t>
      </w:r>
      <w:r>
        <w:t xml:space="preserve">6.9</w:t>
      </w:r>
      <w:r>
        <w:t xml:space="preserve"> </w:t>
      </w:r>
      <w:r>
        <w:t xml:space="preserve">39.5</w:t>
      </w:r>
      <w:r>
        <w:t xml:space="preserve"> </w:t>
      </w:r>
      <w:r>
        <w:t xml:space="preserve">45.2 (or 26.3 with</w:t>
      </w:r>
      <w:r>
        <w:t xml:space="preserve"> </w:t>
      </w:r>
      <w:r>
        <w:t xml:space="preserve">labour</w:t>
      </w:r>
      <w:r>
        <w:t xml:space="preserve"> </w:t>
      </w:r>
      <w:r>
        <w:t xml:space="preserve">costs</w:t>
      </w:r>
      <w:r>
        <w:t xml:space="preserve"> </w:t>
      </w:r>
      <w:r>
        <w:t xml:space="preserve">recalculated) ***</w:t>
      </w:r>
      <w:r>
        <w:t xml:space="preserve"> </w:t>
      </w:r>
      <w:r>
        <w:t xml:space="preserve">Total one-off cost estimate</w:t>
      </w:r>
      <w:r>
        <w:t xml:space="preserve"> </w:t>
      </w:r>
      <w:r>
        <w:t xml:space="preserve">12.5</w:t>
      </w:r>
      <w:r>
        <w:t xml:space="preserve"> </w:t>
      </w:r>
      <w:r>
        <w:t xml:space="preserve">48.5</w:t>
      </w:r>
    </w:p>
    <w:p>
      <w:pPr>
        <w:pStyle w:val="BodyText"/>
      </w:pPr>
      <w:r>
        <w:rPr>
          <w:i/>
          <w:iCs/>
        </w:rPr>
        <w:t xml:space="preserve">) for collecting statements, once per year at 20 minutes per advisor and hourly labour</w:t>
      </w:r>
      <w:r>
        <w:rPr>
          <w:i/>
          <w:iCs/>
        </w:rPr>
        <w:t xml:space="preserve"> </w:t>
      </w:r>
      <w:r>
        <w:rPr>
          <w:i/>
          <w:iCs/>
        </w:rPr>
        <w:t xml:space="preserve">costs of EUR 87. Includes also regular statements from advisors on conflicts of interests</w:t>
      </w:r>
      <w:r>
        <w:rPr>
          <w:i/>
          <w:iCs/>
        </w:rPr>
        <w:t xml:space="preserve"> </w:t>
      </w:r>
      <w:r>
        <w:rPr>
          <w:i/>
          <w:iCs/>
        </w:rPr>
        <w:t xml:space="preserve">and inducements to supervisors;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) for keeping robo-advisors compliant;</w:t>
      </w:r>
      <w:r>
        <w:rPr>
          <w:b/>
          <w:bCs/>
          <w:i/>
          <w:iCs/>
        </w:rPr>
        <w:t xml:space="preserve"> </w:t>
      </w:r>
      <w:r>
        <w:t xml:space="preserve">)</w:t>
      </w:r>
      <w:r>
        <w:t xml:space="preserve"> </w:t>
      </w:r>
      <w:r>
        <w:t xml:space="preserve">recalculated to 50.68 EUR per hour sourced from Eurostat due to possible geographical</w:t>
      </w:r>
      <w:r>
        <w:t xml:space="preserve"> </w:t>
      </w:r>
      <w:r>
        <w:t xml:space="preserve">and seniority biases in the survey (detailed below), other assumptions held constant</w:t>
      </w:r>
    </w:p>
    <w:p>
      <w:pPr>
        <w:pStyle w:val="BodyText"/>
      </w:pPr>
      <w:r>
        <w:t xml:space="preserve">iii.Costs and benefits for NCAs</w:t>
      </w:r>
    </w:p>
    <w:p>
      <w:pPr>
        <w:pStyle w:val="BodyText"/>
      </w:pPr>
      <w:r>
        <w:t xml:space="preserve">NCAs do not check how distributors conduct suitability and appropriateness assessment</w:t>
      </w:r>
      <w:r>
        <w:t xml:space="preserve"> </w:t>
      </w:r>
      <w:r>
        <w:t xml:space="preserve">on a regular basis but may do so sporadically or to follow on a complaint. The</w:t>
      </w:r>
      <w:r>
        <w:t xml:space="preserve"> </w:t>
      </w:r>
      <w:r>
        <w:t xml:space="preserve">standardisation of certain elements of the profiling/screening would reduce time dedicated</w:t>
      </w:r>
      <w:r>
        <w:t xml:space="preserve"> </w:t>
      </w:r>
      <w:r>
        <w:t xml:space="preserve">by NCAs to checking compliance with the suitability requirements as with the</w:t>
      </w:r>
      <w:r>
        <w:t xml:space="preserve"> </w:t>
      </w:r>
      <w:r>
        <w:t xml:space="preserve">standardisation, it would be easier to spot missing key elements. Controlling whether the</w:t>
      </w:r>
      <w:r>
        <w:t xml:space="preserve"> </w:t>
      </w:r>
      <w:r>
        <w:t xml:space="preserve">client portfolio and the need for diversification have been sufficiently considered may,</w:t>
      </w:r>
      <w:r>
        <w:t xml:space="preserve"> </w:t>
      </w:r>
      <w:r>
        <w:t xml:space="preserve">however, represent limited additional work and costs for the NCAs, as it would be also the</w:t>
      </w:r>
      <w:r>
        <w:t xml:space="preserve"> </w:t>
      </w:r>
      <w:r>
        <w:t xml:space="preserve">case with the new requirements under the appropriateness assessment (for the financial</w:t>
      </w:r>
      <w:r>
        <w:t xml:space="preserve"> </w:t>
      </w:r>
      <w:r>
        <w:t xml:space="preserve">capacity and ability to bear losses). This may involve costs to adapt IT systems to</w:t>
      </w:r>
      <w:r>
        <w:t xml:space="preserve"> </w:t>
      </w:r>
      <w:r>
        <w:t xml:space="preserve">process/verify digitalised information from distributors received in a standardised form and</w:t>
      </w:r>
      <w:r>
        <w:t xml:space="preserve"> </w:t>
      </w:r>
      <w:r>
        <w:t xml:space="preserve">some, albeit limited, training for staff to efficiently monitor the new regulatory</w:t>
      </w:r>
      <w:r>
        <w:t xml:space="preserve"> </w:t>
      </w:r>
      <w:r>
        <w:t xml:space="preserve">environment. The adaptation costs for NCAs are likely to be minimal though and might</w:t>
      </w:r>
      <w:r>
        <w:t xml:space="preserve"> </w:t>
      </w:r>
      <w:r>
        <w:t xml:space="preserve">even be overweighed by newly gained efficiencies from more standardised information.</w:t>
      </w:r>
      <w:r>
        <w:t xml:space="preserve"> </w:t>
      </w:r>
      <w:r>
        <w:t xml:space="preserve">No significant impact is expected on the resources of ESMA and EIOPA, as their</w:t>
      </w:r>
      <w:r>
        <w:t xml:space="preserve"> </w:t>
      </w:r>
      <w:r>
        <w:t xml:space="preserve">involvement and roles under this option can be performed as part of their existing</w:t>
      </w:r>
      <w:r>
        <w:t xml:space="preserve"> </w:t>
      </w:r>
      <w:r>
        <w:t xml:space="preserve">regulatory and supervisory work.</w:t>
      </w:r>
    </w:p>
    <w:p>
      <w:pPr>
        <w:pStyle w:val="BodyText"/>
      </w:pPr>
      <w:r>
        <w:t xml:space="preserve">220</w:t>
      </w:r>
    </w:p>
    <w:p>
      <w:pPr>
        <w:pStyle w:val="Compact"/>
        <w:numPr>
          <w:ilvl w:val="0"/>
          <w:numId w:val="1047"/>
        </w:numPr>
      </w:pPr>
      <w:r>
        <w:t xml:space="preserve">Overall assessment</w:t>
      </w:r>
    </w:p>
    <w:p>
      <w:pPr>
        <w:pStyle w:val="FirstParagraph"/>
      </w:pPr>
      <w:r>
        <w:t xml:space="preserve">The measures on the enhancement of the suitability and appropriateness assessment would</w:t>
      </w:r>
      <w:r>
        <w:t xml:space="preserve"> </w:t>
      </w:r>
      <w:r>
        <w:t xml:space="preserve">help the firms better know their clients and, when they provide advised services, to better</w:t>
      </w:r>
      <w:r>
        <w:t xml:space="preserve"> </w:t>
      </w:r>
      <w:r>
        <w:t xml:space="preserve">tailor their recommendations to the needs and objectives of their clients, or, when they</w:t>
      </w:r>
      <w:r>
        <w:t xml:space="preserve"> </w:t>
      </w:r>
      <w:r>
        <w:t xml:space="preserve">provide non-advised services, to better appreciate when to warn their clients if the</w:t>
      </w:r>
      <w:r>
        <w:t xml:space="preserve"> </w:t>
      </w:r>
      <w:r>
        <w:t xml:space="preserve">investment is not appropriate for the client. The measures should thus curtail the risk of</w:t>
      </w:r>
      <w:r>
        <w:t xml:space="preserve"> </w:t>
      </w:r>
      <w:r>
        <w:t xml:space="preserve">mis-selling to clients and promote trust of retail investors in investment and, more</w:t>
      </w:r>
      <w:r>
        <w:t xml:space="preserve"> </w:t>
      </w:r>
      <w:r>
        <w:t xml:space="preserve">generally, in capital markets. The measures would also contribute to the standardisation of</w:t>
      </w:r>
      <w:r>
        <w:t xml:space="preserve"> </w:t>
      </w:r>
      <w:r>
        <w:t xml:space="preserve">the client profiling information in the EU, allowing potentially for easier portability of this</w:t>
      </w:r>
      <w:r>
        <w:t xml:space="preserve"> </w:t>
      </w:r>
      <w:r>
        <w:t xml:space="preserve">information, more competition among distributors and wider choice of investment options</w:t>
      </w:r>
      <w:r>
        <w:t xml:space="preserve"> </w:t>
      </w:r>
      <w:r>
        <w:t xml:space="preserve">for retail clients. Standardisation of clients’ key profiling information would also facilitate</w:t>
      </w:r>
      <w:r>
        <w:t xml:space="preserve"> </w:t>
      </w:r>
      <w:r>
        <w:t xml:space="preserve">supervision and enforcement by NCAs who would find it easier to compare investment</w:t>
      </w:r>
      <w:r>
        <w:t xml:space="preserve"> </w:t>
      </w:r>
      <w:r>
        <w:t xml:space="preserve">recommendations based on similar clients’ profiles across distributors. While the measures</w:t>
      </w:r>
      <w:r>
        <w:t xml:space="preserve"> </w:t>
      </w:r>
      <w:r>
        <w:t xml:space="preserve">would lead to additional costs for distributors and NCAs, those are likely to be limited and,</w:t>
      </w:r>
      <w:r>
        <w:t xml:space="preserve"> </w:t>
      </w:r>
      <w:r>
        <w:t xml:space="preserve">it can be reasonably assumed, that they would be outweighed by the benefits generated by</w:t>
      </w:r>
      <w:r>
        <w:t xml:space="preserve"> </w:t>
      </w:r>
      <w:r>
        <w:t xml:space="preserve">the proposed measures.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Appendix to Annex 8: Benchmark for the cost estimates and assumptions</w:t>
      </w:r>
      <w:r>
        <w:t xml:space="preserve"> </w:t>
      </w:r>
      <w:r>
        <w:t xml:space="preserve">Baseline for ongoing costs</w:t>
      </w:r>
    </w:p>
    <w:p>
      <w:pPr>
        <w:pStyle w:val="BodyText"/>
      </w:pPr>
      <w:r>
        <w:t xml:space="preserve">The baseline puts costs in perspective and serves to discuss the assumptions behind some of the</w:t>
      </w:r>
      <w:r>
        <w:t xml:space="preserve"> </w:t>
      </w:r>
      <w:r>
        <w:t xml:space="preserve">coefficients used to assess the costs of the preferred option. About 25-30% of the households hold</w:t>
      </w:r>
      <w:r>
        <w:t xml:space="preserve"> </w:t>
      </w:r>
      <w:r>
        <w:t xml:space="preserve">capital market instruments, which given 195.4 million households in the EU and an average</w:t>
      </w:r>
      <w:r>
        <w:t xml:space="preserve"> </w:t>
      </w:r>
      <w:r>
        <w:t xml:space="preserve">household size 2.3 means an absolute number of 49-58.5 million clients.</w:t>
      </w:r>
    </w:p>
    <w:p>
      <w:pPr>
        <w:pStyle w:val="BodyText"/>
      </w:pPr>
      <w:r>
        <w:t xml:space="preserve">Distributors are obliged to conduct assessment tests for all clients that seek advice. While national</w:t>
      </w:r>
      <w:r>
        <w:t xml:space="preserve"> </w:t>
      </w:r>
      <w:r>
        <w:t xml:space="preserve">competent authorities do not report numbers on the number of advices and indications from the</w:t>
      </w:r>
      <w:r>
        <w:t xml:space="preserve"> </w:t>
      </w:r>
      <w:r>
        <w:t xml:space="preserve">industry vary strongly and depend on their business model, a benchmark number would be that up</w:t>
      </w:r>
      <w:r>
        <w:t xml:space="preserve"> </w:t>
      </w:r>
      <w:r>
        <w:t xml:space="preserve">to 70-80% of clients are likely to search for advice. This number is consistent with 23% that claimed</w:t>
      </w:r>
      <w:r>
        <w:t xml:space="preserve"> </w:t>
      </w:r>
      <w:r>
        <w:t xml:space="preserve">not having received advice in the retail investment study. It is also consistent with a share of 18-</w:t>
      </w:r>
      <w:r>
        <w:t xml:space="preserve"> </w:t>
      </w:r>
      <w:r>
        <w:t xml:space="preserve">25% that a financial association and a bank reported as execution-only clients, i.e. not wanting to</w:t>
      </w:r>
      <w:r>
        <w:t xml:space="preserve"> </w:t>
      </w:r>
      <w:r>
        <w:t xml:space="preserve">be helped. The number of investors covered by advice would then be 29-47 million. About 10</w:t>
      </w:r>
      <w:r>
        <w:t xml:space="preserve"> </w:t>
      </w:r>
      <w:r>
        <w:t xml:space="preserve">million households would invest without professional advice and therewith relying on execution</w:t>
      </w:r>
      <w:r>
        <w:t xml:space="preserve"> </w:t>
      </w:r>
      <w:r>
        <w:t xml:space="preserve">only purchases.</w:t>
      </w:r>
    </w:p>
    <w:p>
      <w:pPr>
        <w:pStyle w:val="BodyText"/>
      </w:pPr>
      <w:r>
        <w:t xml:space="preserve">The retail investment study counts that a one-hour long suitability assessment would cost EUR 87.</w:t>
      </w:r>
      <w:r>
        <w:t xml:space="preserve"> </w:t>
      </w:r>
      <w:r>
        <w:t xml:space="preserve">This seems like a high estimate based on numbers from rich Member States in the EU and assuming</w:t>
      </w:r>
      <w:r>
        <w:t xml:space="preserve"> </w:t>
      </w:r>
      <w:r>
        <w:t xml:space="preserve">that high-ranking managers are providing the advice, as this figure is considerably higher than</w:t>
      </w:r>
      <w:r>
        <w:t xml:space="preserve"> </w:t>
      </w:r>
      <w:r>
        <w:t xml:space="preserve">labour cost for managers in the EU financial sector published in Eurostat’s Structure of Earnings</w:t>
      </w:r>
      <w:r>
        <w:t xml:space="preserve"> </w:t>
      </w:r>
      <w:r>
        <w:t xml:space="preserve">Survey, that would imply hourly costs close to EUR 50.68. Given this likely bias, we have used</w:t>
      </w:r>
      <w:r>
        <w:t xml:space="preserve"> </w:t>
      </w:r>
      <w:r>
        <w:t xml:space="preserve">the Eurostat figure, which is still significantly higher than the figures used for total compensation</w:t>
      </w:r>
      <w:r>
        <w:t xml:space="preserve"> </w:t>
      </w:r>
      <w:r>
        <w:t xml:space="preserve">of professionals across the EU, including overheads.</w:t>
      </w:r>
    </w:p>
    <w:p>
      <w:pPr>
        <w:pStyle w:val="BodyText"/>
      </w:pPr>
      <w:r>
        <w:t xml:space="preserve">The duration of the assessments is a crucial determinant of their costs. A length of 1 hour for the</w:t>
      </w:r>
      <w:r>
        <w:t xml:space="preserve"> </w:t>
      </w:r>
      <w:r>
        <w:t xml:space="preserve">suitability test is consistent with information from a national competent authority. One financial</w:t>
      </w:r>
      <w:r>
        <w:t xml:space="preserve"> </w:t>
      </w:r>
      <w:r>
        <w:t xml:space="preserve">institution even considered this as the bottom of the range whereas another one reported a time</w:t>
      </w:r>
      <w:r>
        <w:t xml:space="preserve"> </w:t>
      </w:r>
      <w:r>
        <w:t xml:space="preserve">needed for first time clients of 10-20 minutes. The results of the mystery shopping exercise</w:t>
      </w:r>
      <w:r>
        <w:t xml:space="preserve"> </w:t>
      </w:r>
      <w:r>
        <w:t xml:space="preserve">presented in the retail investment study points to an average time of 16 minutes. Only 3% of the</w:t>
      </w:r>
      <w:r>
        <w:t xml:space="preserve"> </w:t>
      </w:r>
      <w:r>
        <w:t xml:space="preserve">visits lasted longer than 45 minutes. The retail investment study suggested to calculate with an</w:t>
      </w:r>
      <w:r>
        <w:t xml:space="preserve"> </w:t>
      </w:r>
      <w:r>
        <w:t xml:space="preserve">average timing of 20 minutes, which consists of 15 minutes for the interview with the client and 5</w:t>
      </w:r>
      <w:r>
        <w:t xml:space="preserve"> </w:t>
      </w:r>
      <w:r>
        <w:t xml:space="preserve">minutes for the decoding.</w:t>
      </w:r>
    </w:p>
    <w:p>
      <w:pPr>
        <w:pStyle w:val="BodyText"/>
      </w:pPr>
      <w:r>
        <w:t xml:space="preserve">The broad range is unsatisfying and there is indeed reason to believe that both indications may be</w:t>
      </w:r>
      <w:r>
        <w:t xml:space="preserve"> </w:t>
      </w:r>
      <w:r>
        <w:t xml:space="preserve">biased. Some of the mystery shop visits were to robo-advisors, which may be accounted for the</w:t>
      </w:r>
      <w:r>
        <w:t xml:space="preserve"> </w:t>
      </w:r>
      <w:r>
        <w:t xml:space="preserve">50% share of visits that lasted 5-10 minutes and reduced the average. Moreover, the mystery</w:t>
      </w:r>
      <w:r>
        <w:t xml:space="preserve"> </w:t>
      </w:r>
      <w:r>
        <w:t xml:space="preserve">shoppers cannot know the time it takes for the advisor to document the test. The short time is also</w:t>
      </w:r>
      <w:r>
        <w:t xml:space="preserve"> </w:t>
      </w:r>
      <w:r>
        <w:t xml:space="preserve">consistent with evidence in the retail investment study and other studies that many distributors fail</w:t>
      </w:r>
      <w:r>
        <w:t xml:space="preserve"> </w:t>
      </w:r>
      <w:r>
        <w:t xml:space="preserve">to provide good and comprehensive advice. On the other hand, distributors seem to report the total</w:t>
      </w:r>
      <w:r>
        <w:t xml:space="preserve"> </w:t>
      </w:r>
      <w:r>
        <w:t xml:space="preserve">time needed, which underestimates that they would need to spend some time and information for a</w:t>
      </w:r>
      <w:r>
        <w:t xml:space="preserve"> </w:t>
      </w:r>
      <w:r>
        <w:t xml:space="preserve">successful advice. This means, not all the time spent on a suitability assessment is due to</w:t>
      </w:r>
      <w:r>
        <w:t xml:space="preserve"> </w:t>
      </w:r>
      <w:r>
        <w:t xml:space="preserve">compliance costs.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For the benchmark scenario, the average duration of a suitability assessment is assumed to last 20</w:t>
      </w:r>
      <w:r>
        <w:t xml:space="preserve"> </w:t>
      </w:r>
      <w:r>
        <w:t xml:space="preserve">to 30 minutes. If 70-80% investors that seek advice were subject to a 20-30 minutes suitability test,</w:t>
      </w:r>
      <w:r>
        <w:t xml:space="preserve"> </w:t>
      </w:r>
      <w:r>
        <w:t xml:space="preserve">aggregate costs would be EUR 574 million to EUR 1186 million. This compares to EUR 350 billion</w:t>
      </w:r>
      <w:r>
        <w:t xml:space="preserve"> </w:t>
      </w:r>
      <w:r>
        <w:t xml:space="preserve">gross value added per annum in the financial sector in the EU-27450 and EUR 4,800 billion held by</w:t>
      </w:r>
      <w:r>
        <w:t xml:space="preserve"> </w:t>
      </w:r>
      <w:r>
        <w:t xml:space="preserve">EU-27 households in financial securities451.</w:t>
      </w:r>
    </w:p>
    <w:p>
      <w:pPr>
        <w:pStyle w:val="BodyText"/>
      </w:pPr>
      <w:r>
        <w:t xml:space="preserve">Among the investors that do not seek advice, those that aim to invest into a complex product need</w:t>
      </w:r>
      <w:r>
        <w:t xml:space="preserve"> </w:t>
      </w:r>
      <w:r>
        <w:t xml:space="preserve">to be subject to an appropriateness test, which asks for their knowledge and experience (i.e. ability</w:t>
      </w:r>
      <w:r>
        <w:t xml:space="preserve"> </w:t>
      </w:r>
      <w:r>
        <w:t xml:space="preserve">to understand the risks) regarding the specific type of investment product or service. Since the</w:t>
      </w:r>
      <w:r>
        <w:t xml:space="preserve"> </w:t>
      </w:r>
      <w:r>
        <w:t xml:space="preserve">appropriateness tests covers a subset of the suitability assessment, it is much shorter. An online</w:t>
      </w:r>
      <w:r>
        <w:t xml:space="preserve"> </w:t>
      </w:r>
      <w:r>
        <w:t xml:space="preserve">broker reported an average duration of 6-8 minutes, a traditional bank indicated 5-10 minutes,</w:t>
      </w:r>
      <w:r>
        <w:t xml:space="preserve"> </w:t>
      </w:r>
      <w:r>
        <w:t xml:space="preserve">depending on whether the test is done in person or online.</w:t>
      </w:r>
    </w:p>
    <w:p>
      <w:pPr>
        <w:pStyle w:val="BodyText"/>
      </w:pPr>
      <w:r>
        <w:t xml:space="preserve">Eurostat numbers show that EU households hold less than 0.015% of their financial assets in</w:t>
      </w:r>
      <w:r>
        <w:t xml:space="preserve"> </w:t>
      </w:r>
      <w:r>
        <w:t xml:space="preserve">financial derivatives and employee stock options452. The ECB’s Household and consumer finance</w:t>
      </w:r>
      <w:r>
        <w:t xml:space="preserve"> </w:t>
      </w:r>
      <w:r>
        <w:t xml:space="preserve">survey does not provide information about the share of households that hold derivatives or other</w:t>
      </w:r>
      <w:r>
        <w:t xml:space="preserve"> </w:t>
      </w:r>
      <w:r>
        <w:t xml:space="preserve">complex products. In the absence of statistics about the number of retail investors that hold complex</w:t>
      </w:r>
      <w:r>
        <w:t xml:space="preserve"> </w:t>
      </w:r>
      <w:r>
        <w:t xml:space="preserve">financial products, the surveys by the retail investment study and Eurobarometer (2022) provide</w:t>
      </w:r>
      <w:r>
        <w:t xml:space="preserve"> </w:t>
      </w:r>
      <w:r>
        <w:t xml:space="preserve">the best basis for estimates. According to the survey in the retail investment study, 1.1% hold</w:t>
      </w:r>
      <w:r>
        <w:t xml:space="preserve"> </w:t>
      </w:r>
      <w:r>
        <w:t xml:space="preserve">structured products453.</w:t>
      </w:r>
    </w:p>
    <w:p>
      <w:pPr>
        <w:pStyle w:val="BodyText"/>
      </w:pPr>
      <w:r>
        <w:t xml:space="preserve">Under the assumption that between 2 and 5% of all households hold complex products, that 20 to</w:t>
      </w:r>
      <w:r>
        <w:t xml:space="preserve"> </w:t>
      </w:r>
      <w:r>
        <w:t xml:space="preserve">30% of them transact without advice and would undergo an appropriateness test, which lasts 5-10</w:t>
      </w:r>
      <w:r>
        <w:t xml:space="preserve"> </w:t>
      </w:r>
      <w:r>
        <w:t xml:space="preserve">minutes at hourly labour costs 50.7 EUR as above, the baseline for appropriateness test yields</w:t>
      </w:r>
      <w:r>
        <w:t xml:space="preserve"> </w:t>
      </w:r>
      <w:r>
        <w:t xml:space="preserve">aggregated costs of EUR 828 thousand to 7.4 million.</w:t>
      </w:r>
    </w:p>
    <w:p>
      <w:pPr>
        <w:pStyle w:val="BodyText"/>
      </w:pPr>
      <w:r>
        <w:t xml:space="preserve">These costs for suitability assessments and appropriateness tests accrue when relationships with</w:t>
      </w:r>
      <w:r>
        <w:t xml:space="preserve"> </w:t>
      </w:r>
      <w:r>
        <w:t xml:space="preserve">new clients are formed, the “on-boarding”. The numbers above can therefore be understood as</w:t>
      </w:r>
      <w:r>
        <w:t xml:space="preserve"> </w:t>
      </w:r>
      <w:r>
        <w:t xml:space="preserve">cumulative of historical costs. Distributors update these tools regularly, but the frequency seems to</w:t>
      </w:r>
      <w:r>
        <w:t xml:space="preserve"> </w:t>
      </w:r>
      <w:r>
        <w:t xml:space="preserve">vary across distributors and the costs of an update are a small part of the initial costs.</w:t>
      </w:r>
    </w:p>
    <w:p>
      <w:pPr>
        <w:pStyle w:val="BodyText"/>
      </w:pPr>
      <w:r>
        <w:t xml:space="preserve">Higher costs during the on-boarding phase should be balanced against the possibility of distributors</w:t>
      </w:r>
      <w:r>
        <w:t xml:space="preserve"> </w:t>
      </w:r>
      <w:r>
        <w:t xml:space="preserve">to attract more clients and expand the business with them. The cost calculations below assume that</w:t>
      </w:r>
      <w:r>
        <w:t xml:space="preserve"> </w:t>
      </w:r>
      <w:r>
        <w:t xml:space="preserve">the upgrade of support does not create higher revenue per client, which would need to be balanced</w:t>
      </w:r>
      <w:r>
        <w:t xml:space="preserve"> </w:t>
      </w:r>
      <w:r>
        <w:t xml:space="preserve">against the additional costs. Provided the consumers consent, they would not need to redo the</w:t>
      </w:r>
      <w:r>
        <w:t xml:space="preserve"> </w:t>
      </w:r>
      <w:r>
        <w:t xml:space="preserve">suitability test if they see a different distributor since the portability of the tests would allow that</w:t>
      </w:r>
      <w:r>
        <w:t xml:space="preserve"> </w:t>
      </w:r>
      <w:r>
        <w:t xml:space="preserve">parts would need to be done once for each new client when they onboard, followed by periodic</w:t>
      </w:r>
      <w:r>
        <w:t xml:space="preserve"> </w:t>
      </w:r>
      <w:r>
        <w:t xml:space="preserve">updates.</w:t>
      </w:r>
    </w:p>
    <w:p>
      <w:pPr>
        <w:pStyle w:val="BodyText"/>
      </w:pPr>
      <w:r>
        <w:t xml:space="preserve">Impact on ongoing costs</w:t>
      </w:r>
    </w:p>
    <w:p>
      <w:pPr>
        <w:pStyle w:val="BodyText"/>
      </w:pPr>
      <w:r>
        <w:t xml:space="preserve">450 Most recent data for 2019 and sector K64, i.e. excluding insurance and pension and auxiliary activities</w:t>
      </w:r>
      <w:r>
        <w:t xml:space="preserve"> </w:t>
      </w:r>
      <w:r>
        <w:t xml:space="preserve">to financial intermediation.</w:t>
      </w:r>
      <w:r>
        <w:t xml:space="preserve"> </w:t>
      </w:r>
      <w:r>
        <w:t xml:space="preserve">451 Data for 2021. Sum of debt securities, listed shares, investment funds and financial derivatives.</w:t>
      </w:r>
      <w:r>
        <w:t xml:space="preserve"> </w:t>
      </w:r>
      <w:r>
        <w:t xml:space="preserve">452 Eurostat, financial accounts.</w:t>
      </w:r>
      <w:r>
        <w:t xml:space="preserve"> </w:t>
      </w:r>
      <w:r>
        <w:t xml:space="preserve">453 To read the number from the report, note that only those 28% that said they hold financial assets were</w:t>
      </w:r>
      <w:r>
        <w:t xml:space="preserve"> </w:t>
      </w:r>
      <w:r>
        <w:t xml:space="preserve">asked, i.e. the 4% of those holding assets that said they held structural products translated into 1.1%.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The suitability assessment would be enhanced by coding standard information so that it can be used</w:t>
      </w:r>
      <w:r>
        <w:t xml:space="preserve"> </w:t>
      </w:r>
      <w:r>
        <w:t xml:space="preserve">by other distributors and by processing additional information about clients’ wealth portfolio. The</w:t>
      </w:r>
      <w:r>
        <w:t xml:space="preserve"> </w:t>
      </w:r>
      <w:r>
        <w:t xml:space="preserve">main cost element would be additional time to assess products not only against the personal profile</w:t>
      </w:r>
      <w:r>
        <w:t xml:space="preserve"> </w:t>
      </w:r>
      <w:r>
        <w:t xml:space="preserve">of the client, but also against the existing portfolio. This also means the distributors’ staff would</w:t>
      </w:r>
      <w:r>
        <w:t xml:space="preserve"> </w:t>
      </w:r>
      <w:r>
        <w:t xml:space="preserve">need more time to explain and discuss with the retail clients. Distributors that offer portfolio</w:t>
      </w:r>
      <w:r>
        <w:t xml:space="preserve"> </w:t>
      </w:r>
      <w:r>
        <w:t xml:space="preserve">management services would already have done so. Sophisticated financial advisors will consider</w:t>
      </w:r>
      <w:r>
        <w:t xml:space="preserve"> </w:t>
      </w:r>
      <w:r>
        <w:t xml:space="preserve">knowledge about their client’s portfolio an essential ingredient of their client’s profile.454</w:t>
      </w:r>
    </w:p>
    <w:p>
      <w:pPr>
        <w:pStyle w:val="BodyText"/>
      </w:pPr>
      <w:r>
        <w:t xml:space="preserve">Considering that the bulk of the financial advice will remain unchanged, an increase of the duration</w:t>
      </w:r>
      <w:r>
        <w:t xml:space="preserve"> </w:t>
      </w:r>
      <w:r>
        <w:t xml:space="preserve">of suitability assessments by 10% might be a conservative estimate for the impact of the integration</w:t>
      </w:r>
      <w:r>
        <w:t xml:space="preserve"> </w:t>
      </w:r>
      <w:r>
        <w:t xml:space="preserve">of portfolio views. They come on top of tasks to know the customer, his objectives, time horizons</w:t>
      </w:r>
      <w:r>
        <w:t xml:space="preserve"> </w:t>
      </w:r>
      <w:r>
        <w:t xml:space="preserve">and capacities, to match the client’s profile to risks, returns, fees and liquidity profile of financial</w:t>
      </w:r>
      <w:r>
        <w:t xml:space="preserve"> </w:t>
      </w:r>
      <w:r>
        <w:t xml:space="preserve">products, and to explain the advice to him. The 10% increase would be applied to new customers</w:t>
      </w:r>
      <w:r>
        <w:t xml:space="preserve"> </w:t>
      </w:r>
      <w:r>
        <w:t xml:space="preserve">and to those existing customers that turn up for advice at the distributor. Appropriateness tests are</w:t>
      </w:r>
      <w:r>
        <w:t xml:space="preserve"> </w:t>
      </w:r>
      <w:r>
        <w:t xml:space="preserve">much lighter than suitability tests and the additional elements carry a larger relative weight.</w:t>
      </w:r>
    </w:p>
    <w:p>
      <w:pPr>
        <w:pStyle w:val="BodyText"/>
      </w:pPr>
      <w:r>
        <w:t xml:space="preserve">The retail investment study documents that 50% of the survey respondents that had financial</w:t>
      </w:r>
      <w:r>
        <w:t xml:space="preserve"> </w:t>
      </w:r>
      <w:r>
        <w:t xml:space="preserve">investment said they had invested in the last 12 months. The share of existing customers that seeks</w:t>
      </w:r>
      <w:r>
        <w:t xml:space="preserve"> </w:t>
      </w:r>
      <w:r>
        <w:t xml:space="preserve">advice is likely to be lower than that of new customers and only a part would ask to repeat the</w:t>
      </w:r>
      <w:r>
        <w:t xml:space="preserve"> </w:t>
      </w:r>
      <w:r>
        <w:t xml:space="preserve">suitability test. If their wish to seek advice is the same as for the historical customer base and 20%</w:t>
      </w:r>
      <w:r>
        <w:t xml:space="preserve"> </w:t>
      </w:r>
      <w:r>
        <w:t xml:space="preserve">of those would be subject to a suitability test, annual costs could increase by EUR 5.7 to 11.9</w:t>
      </w:r>
      <w:r>
        <w:t xml:space="preserve"> </w:t>
      </w:r>
      <w:r>
        <w:t xml:space="preserve">million. If the new elements in the appropriateness test increase the costs by 20 to 33%, annual</w:t>
      </w:r>
      <w:r>
        <w:t xml:space="preserve"> </w:t>
      </w:r>
      <w:r>
        <w:t xml:space="preserve">costs could increase between EUR 82 thousand and 1.2 million.</w:t>
      </w:r>
    </w:p>
    <w:p>
      <w:pPr>
        <w:pStyle w:val="BodyText"/>
      </w:pPr>
      <w:r>
        <w:t xml:space="preserve">A further critical cost component common to all options is that onboarding of new customers will</w:t>
      </w:r>
      <w:r>
        <w:t xml:space="preserve"> </w:t>
      </w:r>
      <w:r>
        <w:t xml:space="preserve">become slightly more expensive. The market potential is sizeable. 11% of the respondents to Kantar</w:t>
      </w:r>
      <w:r>
        <w:t xml:space="preserve"> </w:t>
      </w:r>
      <w:r>
        <w:t xml:space="preserve">(2022) said they are looking for investments and a further 14% replies it had the savings and the</w:t>
      </w:r>
      <w:r>
        <w:t xml:space="preserve"> </w:t>
      </w:r>
      <w:r>
        <w:t xml:space="preserve">interest to invest. 53% of the non-invested households or 38% of all households form a potential</w:t>
      </w:r>
      <w:r>
        <w:t xml:space="preserve"> </w:t>
      </w:r>
      <w:r>
        <w:t xml:space="preserve">retail investor base.455</w:t>
      </w:r>
      <w:r>
        <w:br/>
      </w:r>
      <w:r>
        <w:t xml:space="preserve">If the 11% of respondents in Kantar (2022) that stated to look for investment is taken as lower</w:t>
      </w:r>
      <w:r>
        <w:t xml:space="preserve"> </w:t>
      </w:r>
      <w:r>
        <w:t xml:space="preserve">range and the 14% that claimed to have an interest to invest added to this for a higher range of 25%,</w:t>
      </w:r>
      <w:r>
        <w:t xml:space="preserve"> </w:t>
      </w:r>
      <w:r>
        <w:t xml:space="preserve">costs for the additional enhanced suitability assessments could amount to between EUR 1.3 million</w:t>
      </w:r>
      <w:r>
        <w:t xml:space="preserve"> </w:t>
      </w:r>
      <w:r>
        <w:t xml:space="preserve">and 5.9 million per year and that for enhanced appropriateness tests between EUR 4 thousand and</w:t>
      </w:r>
      <w:r>
        <w:t xml:space="preserve"> </w:t>
      </w:r>
      <w:r>
        <w:t xml:space="preserve">112 thousand per year. These costs were derived as the total cost that would materialise over time</w:t>
      </w:r>
      <w:r>
        <w:t xml:space="preserve"> </w:t>
      </w:r>
      <w:r>
        <w:t xml:space="preserve">as the new customers request advice or buy those complex financial securities that require an</w:t>
      </w:r>
      <w:r>
        <w:t xml:space="preserve"> </w:t>
      </w:r>
      <w:r>
        <w:t xml:space="preserve">appropriateness test. It was assumed that these costs would hence be spread out across at least 5</w:t>
      </w:r>
      <w:r>
        <w:t xml:space="preserve"> </w:t>
      </w:r>
      <w:r>
        <w:t xml:space="preserve">years as a conservative assumption (this could be even more gradual, which suggests that the</w:t>
      </w:r>
      <w:r>
        <w:t xml:space="preserve"> </w:t>
      </w:r>
      <w:r>
        <w:t xml:space="preserve">overall cost impact of this policy initiative through onboarding of new customers is low).</w:t>
      </w:r>
    </w:p>
    <w:p>
      <w:pPr>
        <w:pStyle w:val="BodyText"/>
      </w:pPr>
      <w:r>
        <w:t xml:space="preserve">Impact on one-off costs</w:t>
      </w:r>
    </w:p>
    <w:p>
      <w:pPr>
        <w:pStyle w:val="BodyText"/>
      </w:pPr>
      <w:r>
        <w:t xml:space="preserve">454 Distributors that are already providing portfolio views to their clients did not disclose how much more</w:t>
      </w:r>
      <w:r>
        <w:t xml:space="preserve"> </w:t>
      </w:r>
      <w:r>
        <w:t xml:space="preserve">costly and time consuming such expansion is for them.</w:t>
      </w:r>
      <w:r>
        <w:t xml:space="preserve"> </w:t>
      </w:r>
      <w:r>
        <w:t xml:space="preserve">455 This is derived from a share of 47% of those that 72% of the total respondents who responded to</w:t>
      </w:r>
      <w:r>
        <w:t xml:space="preserve"> </w:t>
      </w:r>
      <w:r>
        <w:t xml:space="preserve">Eurobarometer (2022) that they did not invest said they had not the means to do so.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Distributors will need to amend their IT infrastructure to conduct the required assessments or tests</w:t>
      </w:r>
      <w:r>
        <w:t xml:space="preserve"> </w:t>
      </w:r>
      <w:r>
        <w:t xml:space="preserve">efficiently. IT tools contribute inter alia to accelerate the provision of targeted information and</w:t>
      </w:r>
      <w:r>
        <w:t xml:space="preserve"> </w:t>
      </w:r>
      <w:r>
        <w:t xml:space="preserve">guidance to staff dealing with retail investors, to document the results of the tests and</w:t>
      </w:r>
      <w:r>
        <w:t xml:space="preserve"> </w:t>
      </w:r>
      <w:r>
        <w:t xml:space="preserve">communication of the results to internal control and compliance departments. Changing</w:t>
      </w:r>
      <w:r>
        <w:t xml:space="preserve"> </w:t>
      </w:r>
      <w:r>
        <w:t xml:space="preserve">requirements lead to one-off costs for amending the IT systems. Although online interfaces with</w:t>
      </w:r>
      <w:r>
        <w:t xml:space="preserve"> </w:t>
      </w:r>
      <w:r>
        <w:t xml:space="preserve">customers are used by a small share of clients, all distributors seem to have IT systems in place.</w:t>
      </w:r>
      <w:r>
        <w:t xml:space="preserve"> </w:t>
      </w:r>
      <w:r>
        <w:t xml:space="preserve">Hence, none of the options will require the development of new IT systems, costs will be caused</w:t>
      </w:r>
      <w:r>
        <w:t xml:space="preserve"> </w:t>
      </w:r>
      <w:r>
        <w:t xml:space="preserve">by adapting the systems and adding new modules to existing systems.</w:t>
      </w:r>
    </w:p>
    <w:p>
      <w:pPr>
        <w:pStyle w:val="BodyText"/>
      </w:pPr>
      <w:r>
        <w:t xml:space="preserve">Relevant amendments to IT systems will result from the enhancement of (1) suitability assessments</w:t>
      </w:r>
      <w:r>
        <w:t xml:space="preserve"> </w:t>
      </w:r>
      <w:r>
        <w:t xml:space="preserve">towards modules to a) decode standardised basic information about clients suitable for passporting</w:t>
      </w:r>
      <w:r>
        <w:t xml:space="preserve"> </w:t>
      </w:r>
      <w:r>
        <w:t xml:space="preserve">and b) the processing of additional information about clients’ wealth portfolio, (2) appropriateness</w:t>
      </w:r>
      <w:r>
        <w:t xml:space="preserve"> </w:t>
      </w:r>
      <w:r>
        <w:t xml:space="preserve">tests towards additional elements covering profiling screening, the client financial capacity and</w:t>
      </w:r>
      <w:r>
        <w:t xml:space="preserve"> </w:t>
      </w:r>
      <w:r>
        <w:t xml:space="preserve">ability to bear losses.</w:t>
      </w:r>
    </w:p>
    <w:p>
      <w:pPr>
        <w:pStyle w:val="BodyText"/>
      </w:pPr>
      <w:r>
        <w:t xml:space="preserve">While all distributors will need to use such modules, many distributors seem to already have IT</w:t>
      </w:r>
      <w:r>
        <w:t xml:space="preserve"> </w:t>
      </w:r>
      <w:r>
        <w:t xml:space="preserve">systems in place that would accommodate the required changes, but not all. Reports from the</w:t>
      </w:r>
      <w:r>
        <w:t xml:space="preserve"> </w:t>
      </w:r>
      <w:r>
        <w:t xml:space="preserve">industry suggest that a many firms have the required IT tools already in place to consider the clients</w:t>
      </w:r>
      <w:r>
        <w:t xml:space="preserve"> </w:t>
      </w:r>
      <w:r>
        <w:t xml:space="preserve">portfolio for suitability or appropriateness assessments. The market sounding for this impact</w:t>
      </w:r>
      <w:r>
        <w:t xml:space="preserve"> </w:t>
      </w:r>
      <w:r>
        <w:t xml:space="preserve">assessment may not be representative. Yet, 38% of the respondents have already identified asset</w:t>
      </w:r>
      <w:r>
        <w:t xml:space="preserve"> </w:t>
      </w:r>
      <w:r>
        <w:t xml:space="preserve">classes suitable for the client as part of the suitability assessment, 43% of the respondents even said</w:t>
      </w:r>
      <w:r>
        <w:t xml:space="preserve"> </w:t>
      </w:r>
      <w:r>
        <w:t xml:space="preserve">they identify a suitable asset allocation. Since the number of respondents is only half of that that</w:t>
      </w:r>
      <w:r>
        <w:t xml:space="preserve"> </w:t>
      </w:r>
      <w:r>
        <w:t xml:space="preserve">replied to the question on the suitability assessment, it appears conservatively realistic to assume</w:t>
      </w:r>
      <w:r>
        <w:t xml:space="preserve"> </w:t>
      </w:r>
      <w:r>
        <w:t xml:space="preserve">that the share of firms that need to set in place such a module would be around 80%, with a lower</w:t>
      </w:r>
      <w:r>
        <w:t xml:space="preserve"> </w:t>
      </w:r>
      <w:r>
        <w:t xml:space="preserve">bound at 62% and an upper bound at 100%. The lower bound is motivated by the observation that</w:t>
      </w:r>
      <w:r>
        <w:t xml:space="preserve"> </w:t>
      </w:r>
      <w:r>
        <w:t xml:space="preserve">38% of the firms FISMA consulted said they had a system in place that offers portfolio views.</w:t>
      </w:r>
    </w:p>
    <w:p>
      <w:pPr>
        <w:pStyle w:val="BodyText"/>
      </w:pPr>
      <w:r>
        <w:t xml:space="preserve">Not every distributor will need to develop such modules. A possible scenario would be that the 10</w:t>
      </w:r>
      <w:r>
        <w:t xml:space="preserve"> </w:t>
      </w:r>
      <w:r>
        <w:t xml:space="preserve">largest banks and asset managers develop their own systems and all other distributors purchase</w:t>
      </w:r>
      <w:r>
        <w:t xml:space="preserve"> </w:t>
      </w:r>
      <w:r>
        <w:t xml:space="preserve">them from a range of 10 products in both sectors that are developed from IT specialist firms. This</w:t>
      </w:r>
      <w:r>
        <w:t xml:space="preserve"> </w:t>
      </w:r>
      <w:r>
        <w:t xml:space="preserve">scenario would mean that 40 IT modules are developed for enhanced suitability assessments (ESA)</w:t>
      </w:r>
      <w:r>
        <w:t xml:space="preserve"> </w:t>
      </w:r>
      <w:r>
        <w:t xml:space="preserve">and enhanced appropriateness tests (EAT). While the presence of competing products from IT</w:t>
      </w:r>
      <w:r>
        <w:t xml:space="preserve"> </w:t>
      </w:r>
      <w:r>
        <w:t xml:space="preserve">specialist firms will reduce average costs, it seems not plausible to assume that the price will decline</w:t>
      </w:r>
      <w:r>
        <w:t xml:space="preserve"> </w:t>
      </w:r>
      <w:r>
        <w:t xml:space="preserve">to the average development costs. For simplicity, it is assumed that the IT specialist firms charge a</w:t>
      </w:r>
      <w:r>
        <w:t xml:space="preserve"> </w:t>
      </w:r>
      <w:r>
        <w:t xml:space="preserve">price that will secure them profits equal to the development costs.</w:t>
      </w:r>
    </w:p>
    <w:p>
      <w:pPr>
        <w:pStyle w:val="BodyText"/>
      </w:pPr>
      <w:r>
        <w:t xml:space="preserve">Adaptation costs to the IT systems would be proportional to the complexity of the new IT modules.</w:t>
      </w:r>
      <w:r>
        <w:t xml:space="preserve"> </w:t>
      </w:r>
      <w:r>
        <w:t xml:space="preserve">The cost of developing the required modules is difficult to estimate and is likely to be very different</w:t>
      </w:r>
      <w:r>
        <w:t xml:space="preserve"> </w:t>
      </w:r>
      <w:r>
        <w:t xml:space="preserve">across entities depending on their existing IT infrastructure, strategic orientation, business and</w:t>
      </w:r>
      <w:r>
        <w:t xml:space="preserve"> </w:t>
      </w:r>
      <w:r>
        <w:t xml:space="preserve">needs and client base. The cost of development of apps depends very much on the degree of</w:t>
      </w:r>
      <w:r>
        <w:t xml:space="preserve"> </w:t>
      </w:r>
      <w:r>
        <w:t xml:space="preserve">complexity, ranging from EUR 50,000 - 75,000 for simple apps up to EUR 140,000 – 250,000 for</w:t>
      </w:r>
      <w:r>
        <w:t xml:space="preserve"> </w:t>
      </w:r>
      <w:r>
        <w:t xml:space="preserve">developing sophisticated robo-advice tools. This impact assessment connects the development</w:t>
      </w:r>
      <w:r>
        <w:t xml:space="preserve"> </w:t>
      </w:r>
      <w:r>
        <w:t xml:space="preserve">costs for modules need for ESA and EAT to those of a simple app.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Table: Parameters to estimate one-off IT and training costs for financial advisors in banks and asset</w:t>
      </w:r>
      <w:r>
        <w:t xml:space="preserve"> </w:t>
      </w:r>
      <w:r>
        <w:t xml:space="preserve">managers, in million EUR.</w:t>
      </w:r>
    </w:p>
    <w:p>
      <w:pPr>
        <w:pStyle w:val="BodyText"/>
      </w:pPr>
      <w:r>
        <w:t xml:space="preserve">Estimate</w:t>
      </w:r>
      <w:r>
        <w:t xml:space="preserve"> </w:t>
      </w:r>
      <w:r>
        <w:t xml:space="preserve">Assumptions</w:t>
      </w:r>
    </w:p>
    <w:p>
      <w:pPr>
        <w:pStyle w:val="BodyText"/>
      </w:pPr>
      <w:r>
        <w:t xml:space="preserve">Banks</w:t>
      </w:r>
      <w:r>
        <w:t xml:space="preserve"> </w:t>
      </w:r>
      <w:r>
        <w:t xml:space="preserve">Asset managers</w:t>
      </w:r>
    </w:p>
    <w:p>
      <w:pPr>
        <w:pStyle w:val="BodyText"/>
      </w:pPr>
      <w:r>
        <w:t xml:space="preserve">Lo</w:t>
      </w:r>
      <w:r>
        <w:t xml:space="preserve"> </w:t>
      </w:r>
      <w:r>
        <w:t xml:space="preserve">wer</w:t>
      </w:r>
      <w:r>
        <w:t xml:space="preserve"> </w:t>
      </w:r>
      <w:r>
        <w:t xml:space="preserve">ran</w:t>
      </w:r>
      <w:r>
        <w:t xml:space="preserve"> </w:t>
      </w:r>
      <w:r>
        <w:t xml:space="preserve">ge</w:t>
      </w:r>
      <w:r>
        <w:t xml:space="preserve"> </w:t>
      </w:r>
      <w:r>
        <w:t xml:space="preserve">Hi</w:t>
      </w:r>
      <w:r>
        <w:t xml:space="preserve"> </w:t>
      </w:r>
      <w:r>
        <w:t xml:space="preserve">ghe</w:t>
      </w:r>
      <w:r>
        <w:t xml:space="preserve"> </w:t>
      </w:r>
      <w:r>
        <w:t xml:space="preserve">r</w:t>
      </w:r>
      <w:r>
        <w:t xml:space="preserve"> </w:t>
      </w:r>
      <w:r>
        <w:t xml:space="preserve">ran</w:t>
      </w:r>
      <w:r>
        <w:t xml:space="preserve"> </w:t>
      </w:r>
      <w:r>
        <w:t xml:space="preserve">ge</w:t>
      </w:r>
      <w:r>
        <w:t xml:space="preserve"> </w:t>
      </w:r>
      <w:r>
        <w:t xml:space="preserve">Own</w:t>
      </w:r>
      <w:r>
        <w:t xml:space="preserve"> </w:t>
      </w:r>
      <w:r>
        <w:t xml:space="preserve">developm</w:t>
      </w:r>
      <w:r>
        <w:t xml:space="preserve"> </w:t>
      </w:r>
      <w:r>
        <w:t xml:space="preserve">ent</w:t>
      </w:r>
      <w:r>
        <w:t xml:space="preserve"> </w:t>
      </w:r>
      <w:r>
        <w:t xml:space="preserve">purchase</w:t>
      </w:r>
      <w:r>
        <w:t xml:space="preserve"> </w:t>
      </w:r>
      <w:r>
        <w:t xml:space="preserve">Own</w:t>
      </w:r>
      <w:r>
        <w:t xml:space="preserve"> </w:t>
      </w:r>
      <w:r>
        <w:t xml:space="preserve">developm</w:t>
      </w:r>
      <w:r>
        <w:t xml:space="preserve"> </w:t>
      </w:r>
      <w:r>
        <w:t xml:space="preserve">ent</w:t>
      </w:r>
      <w:r>
        <w:t xml:space="preserve"> </w:t>
      </w:r>
      <w:r>
        <w:t xml:space="preserve">purchase</w:t>
      </w:r>
      <w:r>
        <w:t xml:space="preserve"> </w:t>
      </w:r>
      <w:r>
        <w:t xml:space="preserve">Suitability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2.6</w:t>
      </w:r>
      <w:r>
        <w:t xml:space="preserve"> </w:t>
      </w:r>
      <w:r>
        <w:t xml:space="preserve">4.5</w:t>
      </w:r>
      <w:r>
        <w:t xml:space="preserve"> </w:t>
      </w:r>
      <w:r>
        <w:t xml:space="preserve">[6.2,</w:t>
      </w:r>
      <w:r>
        <w:t xml:space="preserve"> </w:t>
      </w:r>
      <w:r>
        <w:t xml:space="preserve">10]</w:t>
      </w:r>
      <w:r>
        <w:rPr>
          <w:i/>
          <w:iCs/>
        </w:rPr>
        <w:t xml:space="preserve">[50k,</w:t>
      </w:r>
      <w:r>
        <w:rPr>
          <w:i/>
          <w:iCs/>
        </w:rPr>
        <w:t xml:space="preserve"> </w:t>
      </w:r>
      <w:r>
        <w:rPr>
          <w:i/>
          <w:iCs/>
        </w:rPr>
        <w:t xml:space="preserve">75k]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t xml:space="preserve">[50k,</w:t>
      </w:r>
      <w:r>
        <w:t xml:space="preserve"> </w:t>
      </w:r>
      <w:r>
        <w:t xml:space="preserve">75k]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[6.2,</w:t>
      </w:r>
      <w:r>
        <w:rPr>
          <w:i/>
          <w:iCs/>
        </w:rPr>
        <w:t xml:space="preserve"> </w:t>
      </w:r>
      <w:r>
        <w:rPr>
          <w:i/>
          <w:iCs/>
        </w:rPr>
        <w:t xml:space="preserve">10]</w:t>
      </w:r>
      <w:r>
        <w:t xml:space="preserve">[50k,</w:t>
      </w:r>
      <w:r>
        <w:t xml:space="preserve"> </w:t>
      </w:r>
      <w:r>
        <w:t xml:space="preserve">75k]</w:t>
      </w:r>
      <w:r>
        <w:t xml:space="preserve"> </w:t>
      </w:r>
      <w:r>
        <w:t xml:space="preserve">10</w:t>
      </w:r>
      <w:r>
        <w:rPr>
          <w:i/>
          <w:iCs/>
        </w:rPr>
        <w:t xml:space="preserve">[50k,</w:t>
      </w:r>
      <w:r>
        <w:rPr>
          <w:i/>
          <w:iCs/>
        </w:rPr>
        <w:t xml:space="preserve"> </w:t>
      </w:r>
      <w:r>
        <w:rPr>
          <w:i/>
          <w:iCs/>
        </w:rPr>
        <w:t xml:space="preserve">75k]</w:t>
      </w:r>
      <w:r>
        <w:t xml:space="preserve">2</w:t>
      </w:r>
      <w:r>
        <w:t xml:space="preserve"> </w:t>
      </w:r>
      <w:r>
        <w:t xml:space="preserve">Appropriate</w:t>
      </w:r>
      <w:r>
        <w:t xml:space="preserve"> </w:t>
      </w:r>
      <w:r>
        <w:t xml:space="preserve">ness test</w:t>
      </w:r>
      <w:r>
        <w:t xml:space="preserve"> </w:t>
      </w:r>
      <w:r>
        <w:t xml:space="preserve">3.0</w:t>
      </w:r>
      <w:r>
        <w:t xml:space="preserve"> </w:t>
      </w:r>
      <w:r>
        <w:t xml:space="preserve">4.5</w:t>
      </w:r>
      <w:r>
        <w:t xml:space="preserve"> </w:t>
      </w:r>
      <w:r>
        <w:t xml:space="preserve">10</w:t>
      </w:r>
      <w:r>
        <w:rPr>
          <w:i/>
          <w:iCs/>
        </w:rPr>
        <w:t xml:space="preserve">[50k,</w:t>
      </w:r>
      <w:r>
        <w:rPr>
          <w:i/>
          <w:iCs/>
        </w:rPr>
        <w:t xml:space="preserve"> </w:t>
      </w:r>
      <w:r>
        <w:rPr>
          <w:i/>
          <w:iCs/>
        </w:rPr>
        <w:t xml:space="preserve">75k]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t xml:space="preserve">[50k,</w:t>
      </w:r>
      <w:r>
        <w:t xml:space="preserve"> </w:t>
      </w:r>
      <w:r>
        <w:t xml:space="preserve">75k]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t xml:space="preserve">[50k,</w:t>
      </w:r>
      <w:r>
        <w:t xml:space="preserve"> </w:t>
      </w:r>
      <w:r>
        <w:t xml:space="preserve">75k]</w:t>
      </w:r>
      <w:r>
        <w:t xml:space="preserve"> </w:t>
      </w:r>
      <w:r>
        <w:t xml:space="preserve">10</w:t>
      </w:r>
      <w:r>
        <w:rPr>
          <w:i/>
          <w:iCs/>
        </w:rPr>
        <w:t xml:space="preserve">[50k,</w:t>
      </w:r>
      <w:r>
        <w:rPr>
          <w:i/>
          <w:iCs/>
        </w:rPr>
        <w:t xml:space="preserve"> </w:t>
      </w:r>
      <w:r>
        <w:rPr>
          <w:i/>
          <w:iCs/>
        </w:rPr>
        <w:t xml:space="preserve">75k]</w:t>
      </w:r>
      <w:r>
        <w:t xml:space="preserve">2</w:t>
      </w:r>
      <w:r>
        <w:t xml:space="preserve"> </w:t>
      </w:r>
      <w:r>
        <w:t xml:space="preserve">Training for</w:t>
      </w:r>
      <w:r>
        <w:t xml:space="preserve"> </w:t>
      </w:r>
      <w:r>
        <w:t xml:space="preserve">advisors</w:t>
      </w:r>
      <w:r>
        <w:t xml:space="preserve"> </w:t>
      </w:r>
      <w:r>
        <w:t xml:space="preserve">6.9</w:t>
      </w:r>
      <w:r>
        <w:t xml:space="preserve"> </w:t>
      </w:r>
      <w:r>
        <w:t xml:space="preserve">39.</w:t>
      </w:r>
      <w:r>
        <w:t xml:space="preserve"> </w:t>
      </w:r>
      <w:r>
        <w:t xml:space="preserve">5</w:t>
      </w:r>
      <w:r>
        <w:t xml:space="preserve"> </w:t>
      </w:r>
      <w:r>
        <w:t xml:space="preserve">[135k,390k] staff trained for [1,2] hours at labour costs EUR</w:t>
      </w:r>
      <w:r>
        <w:t xml:space="preserve"> </w:t>
      </w:r>
      <w:r>
        <w:t xml:space="preserve">[50.68]</w:t>
      </w:r>
      <w:r>
        <w:t xml:space="preserve"> </w:t>
      </w:r>
      <w:r>
        <w:t xml:space="preserve">6.2 := minimum number of big entities that will need to develop such module, 10 = maximum</w:t>
      </w:r>
      <w:r>
        <w:t xml:space="preserve"> </w:t>
      </w:r>
      <w:r>
        <w:t xml:space="preserve">number of modules to be developed, k:= thousands, 2 to account for profit margin of IT specialist</w:t>
      </w:r>
      <w:r>
        <w:t xml:space="preserve"> </w:t>
      </w:r>
      <w:r>
        <w:t xml:space="preserve">firms.</w:t>
      </w:r>
    </w:p>
    <w:p>
      <w:pPr>
        <w:pStyle w:val="BodyText"/>
      </w:pPr>
      <w:r>
        <w:t xml:space="preserve">The table below combines the parameters into a lower and higher range for the estimate adding</w:t>
      </w:r>
      <w:r>
        <w:t xml:space="preserve"> </w:t>
      </w:r>
      <w:r>
        <w:t xml:space="preserve">banks and asset managers. These numbers compare favourably to the estimates in the 2011 impact</w:t>
      </w:r>
      <w:r>
        <w:t xml:space="preserve"> </w:t>
      </w:r>
      <w:r>
        <w:t xml:space="preserve">assessment that accompanied the initial MiFID II. At that time, one-off costs were estimated at</w:t>
      </w:r>
      <w:r>
        <w:t xml:space="preserve"> </w:t>
      </w:r>
      <w:r>
        <w:t xml:space="preserve">EUR 75-132 million, broken down into EUR 50-87 million the development of risk profiles and</w:t>
      </w:r>
      <w:r>
        <w:t xml:space="preserve"> </w:t>
      </w:r>
      <w:r>
        <w:t xml:space="preserve">25-45m accounted to the production and printing of supporting documentation. The costs for the</w:t>
      </w:r>
      <w:r>
        <w:t xml:space="preserve"> </w:t>
      </w:r>
      <w:r>
        <w:t xml:space="preserve">development of additional modules appear to be proportionate to the historical estimate.</w:t>
      </w:r>
    </w:p>
    <w:p>
      <w:pPr>
        <w:pStyle w:val="BodyText"/>
      </w:pPr>
      <w:r>
        <w:t xml:space="preserve">The need to train staff will lead to further one-off costs. These costs depend on the number of staff</w:t>
      </w:r>
      <w:r>
        <w:t xml:space="preserve"> </w:t>
      </w:r>
      <w:r>
        <w:t xml:space="preserve">members that will need this training. While 1 to 2 hours of training per advisor could be sufficient,</w:t>
      </w:r>
      <w:r>
        <w:t xml:space="preserve"> </w:t>
      </w:r>
      <w:r>
        <w:t xml:space="preserve">there is no good estimate of the number of employees in financial services entrusted with doing</w:t>
      </w:r>
      <w:r>
        <w:t xml:space="preserve"> </w:t>
      </w:r>
      <w:r>
        <w:t xml:space="preserve">these assessments and therefore requiring additional training. One estimate is that advisors cater</w:t>
      </w:r>
      <w:r>
        <w:t xml:space="preserve"> </w:t>
      </w:r>
      <w:r>
        <w:t xml:space="preserve">for between 150 to 360 clients. Hence, the number can be derived from the total of retail investors</w:t>
      </w:r>
      <w:r>
        <w:t xml:space="preserve"> </w:t>
      </w:r>
      <w:r>
        <w:t xml:space="preserve">served. With 195 million households in the EU-27 of which 25-30% are holding financial assets,</w:t>
      </w:r>
      <w:r>
        <w:t xml:space="preserve"> </w:t>
      </w:r>
      <w:r>
        <w:t xml:space="preserve">there could be demand for 135 to 390 thousand staff with customer relationships and in need of</w:t>
      </w:r>
      <w:r>
        <w:t xml:space="preserve"> </w:t>
      </w:r>
      <w:r>
        <w:t xml:space="preserve">training. An alternative approach starts from a share of 10% of employees in the US financial sector</w:t>
      </w:r>
      <w:r>
        <w:t xml:space="preserve"> </w:t>
      </w:r>
      <w:r>
        <w:t xml:space="preserve">providing financial advice to customers.456 More than 500,000 staff in the financial and insurance</w:t>
      </w:r>
      <w:r>
        <w:t xml:space="preserve"> </w:t>
      </w:r>
      <w:r>
        <w:t xml:space="preserve">sector would be in the field of financial advice in the EU 27, if the 10% ratio observed in the US</w:t>
      </w:r>
      <w:r>
        <w:t xml:space="preserve"> </w:t>
      </w:r>
      <w:r>
        <w:t xml:space="preserve">applied also to the EU27. Since the financial sector is larger in the US than in the EU, the numbers</w:t>
      </w:r>
      <w:r>
        <w:t xml:space="preserve"> </w:t>
      </w:r>
      <w:r>
        <w:t xml:space="preserve">above look reasonable. Taking the pay in the financial sector of 50.68 per hour as opportunity costs</w:t>
      </w:r>
      <w:r>
        <w:t xml:space="preserve"> </w:t>
      </w:r>
      <w:r>
        <w:t xml:space="preserve">to approximate the costs of 1 to 2 hours training times 135,000-390,000 persons being involved in</w:t>
      </w:r>
      <w:r>
        <w:t xml:space="preserve"> </w:t>
      </w:r>
      <w:r>
        <w:t xml:space="preserve">such assessment work would lead to aggregate training costs in the range EUR 6.9 to 39.5 million.</w:t>
      </w:r>
    </w:p>
    <w:p>
      <w:pPr>
        <w:pStyle w:val="BodyText"/>
      </w:pPr>
      <w:r>
        <w:t xml:space="preserve">456 Egan, M. et al. (2017), ‘The Market for Financial Adviser Misconduct’, NBER Working Paper No 22050,</w:t>
      </w:r>
      <w:r>
        <w:t xml:space="preserve"> </w:t>
      </w:r>
      <w:r>
        <w:t xml:space="preserve">September 2017. The study reported that 650,000 financial advisors are active in the US. Employment in</w:t>
      </w:r>
      <w:r>
        <w:t xml:space="preserve"> </w:t>
      </w:r>
      <w:r>
        <w:t xml:space="preserve">finance and industry was 6.2 million in 2021 according to US Bureau of Labour Statistics.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ANNEX 9: SUPERVISORY ENFORCEMENT</w:t>
      </w:r>
      <w:r>
        <w:t xml:space="preserve"> </w:t>
      </w:r>
      <w:r>
        <w:t xml:space="preserve">1. Background and problem definition</w:t>
      </w:r>
      <w:r>
        <w:t xml:space="preserve"> </w:t>
      </w:r>
      <w:r>
        <w:t xml:space="preserve">The retail investor protection framework, in particular in MiFID and IDD, set out the main</w:t>
      </w:r>
      <w:r>
        <w:t xml:space="preserve"> </w:t>
      </w:r>
      <w:r>
        <w:t xml:space="preserve">requirements regarding supervisory powers for the application of the EU rules. An effective and</w:t>
      </w:r>
      <w:r>
        <w:t xml:space="preserve"> </w:t>
      </w:r>
      <w:r>
        <w:t xml:space="preserve">efficient supervision over the EU financial system and enforcement of existing consumer protection</w:t>
      </w:r>
      <w:r>
        <w:t xml:space="preserve"> </w:t>
      </w:r>
      <w:r>
        <w:t xml:space="preserve">rules is crucial to ensure that retail investors are protected and that financial markets in the EU</w:t>
      </w:r>
      <w:r>
        <w:t xml:space="preserve"> </w:t>
      </w:r>
      <w:r>
        <w:t xml:space="preserve">function properly.</w:t>
      </w:r>
      <w:r>
        <w:br/>
      </w:r>
      <w:r>
        <w:t xml:space="preserve">This annex aims to address specific problems hindering supervisory enforcement of EU retail</w:t>
      </w:r>
      <w:r>
        <w:t xml:space="preserve"> </w:t>
      </w:r>
      <w:r>
        <w:t xml:space="preserve">investor protection rules, both within Member States (1.1), and with respect to cross-border</w:t>
      </w:r>
      <w:r>
        <w:t xml:space="preserve"> </w:t>
      </w:r>
      <w:r>
        <w:t xml:space="preserve">provision of services (1.2).</w:t>
      </w:r>
      <w:r>
        <w:br/>
      </w:r>
      <w:r>
        <w:t xml:space="preserve">1.1 Supervisory enforcement issues related to consumer protection</w:t>
      </w:r>
      <w:r>
        <w:br/>
      </w:r>
      <w:r>
        <w:t xml:space="preserve">Incoherent or indeed absence of enforcement in different Member States is a problem in many parts</w:t>
      </w:r>
      <w:r>
        <w:t xml:space="preserve"> </w:t>
      </w:r>
      <w:r>
        <w:t xml:space="preserve">of the EU framework. A number of workstreams have been addressing such issues457 and efforts</w:t>
      </w:r>
      <w:r>
        <w:t xml:space="preserve"> </w:t>
      </w:r>
      <w:r>
        <w:t xml:space="preserve">have also been made to improve the European supervisory enforcement framework, recently in the</w:t>
      </w:r>
      <w:r>
        <w:t xml:space="preserve"> </w:t>
      </w:r>
      <w:r>
        <w:t xml:space="preserve">context of the review of the European Supervisory Authorities (ESAs)458 founding regulations.</w:t>
      </w:r>
      <w:r>
        <w:br/>
      </w:r>
      <w:r>
        <w:t xml:space="preserve">However, as evidenced in the Evaluation459 and in the Retail investment study, problems persist</w:t>
      </w:r>
      <w:r>
        <w:t xml:space="preserve"> </w:t>
      </w:r>
      <w:r>
        <w:t xml:space="preserve">and rules are not always applied correctly nor in similar ways. There are particular difficulties with</w:t>
      </w:r>
      <w:r>
        <w:t xml:space="preserve"> </w:t>
      </w:r>
      <w:r>
        <w:t xml:space="preserve">respect to the application of the rules on disclosure of key information460 and conflicts of interest461.</w:t>
      </w:r>
      <w:r>
        <w:t xml:space="preserve"> </w:t>
      </w:r>
      <w:r>
        <w:t xml:space="preserve">Reporting to the ESAs by NCAs about their enforcement actions concerning sanctions and</w:t>
      </w:r>
    </w:p>
    <w:p>
      <w:pPr>
        <w:pStyle w:val="BodyText"/>
      </w:pPr>
      <w:r>
        <w:t xml:space="preserve">457 See e.g. the work on sanctions, ESMA’s Report Sanctions and measures imposed under MiFID II in 2021</w:t>
      </w:r>
      <w:r>
        <w:t xml:space="preserve"> </w:t>
      </w:r>
      <w:r>
        <w:t xml:space="preserve">point 8 page 6 ‘The adoption of the Inventory of Enforcement Measures and Sanctions by the ESMA Board</w:t>
      </w:r>
      <w:r>
        <w:t xml:space="preserve"> </w:t>
      </w:r>
      <w:r>
        <w:t xml:space="preserve">of Supervisors in September 2021 assisted in developing a common understanding of enforcement and</w:t>
      </w:r>
      <w:r>
        <w:t xml:space="preserve"> </w:t>
      </w:r>
      <w:r>
        <w:t xml:space="preserve">sanctioning powers amongst the NCAs. This common understanding forms the basis of the sanctions</w:t>
      </w:r>
      <w:r>
        <w:t xml:space="preserve"> </w:t>
      </w:r>
      <w:r>
        <w:t xml:space="preserve">reported in this 2021 annual MiFID II sanction report. Terms covered by the inventory include sanctions</w:t>
      </w:r>
      <w:r>
        <w:t xml:space="preserve"> </w:t>
      </w:r>
      <w:r>
        <w:t xml:space="preserve">such as administrative fines, public statements, temporary or permanent bans, suspensions or</w:t>
      </w:r>
      <w:r>
        <w:t xml:space="preserve"> </w:t>
      </w:r>
      <w:r>
        <w:t xml:space="preserve">withdrawals of an authorisation, disgorgements of profits gained or losses avoided, gain-based pecuniary</w:t>
      </w:r>
      <w:r>
        <w:t xml:space="preserve"> </w:t>
      </w:r>
      <w:r>
        <w:t xml:space="preserve">sanctions and orders to cease and desist. This common understanding allows better comparison of the</w:t>
      </w:r>
      <w:r>
        <w:t xml:space="preserve"> </w:t>
      </w:r>
      <w:r>
        <w:t xml:space="preserve">sanctions reported by different NCAs in the EU and EEA.’</w:t>
      </w:r>
      <w:r>
        <w:t xml:space="preserve"> </w:t>
      </w:r>
      <w:r>
        <w:t xml:space="preserve">458 The Regulations founding the European Supervisory Authorities (ESAs), were amended and the new</w:t>
      </w:r>
      <w:r>
        <w:t xml:space="preserve"> </w:t>
      </w:r>
      <w:r>
        <w:t xml:space="preserve">regulations became applicable as of 1 January 2020. The review introduced additional mandates for the</w:t>
      </w:r>
      <w:r>
        <w:t xml:space="preserve"> </w:t>
      </w:r>
      <w:r>
        <w:t xml:space="preserve">ESAs regarding investor protection, including the co-ordination of mystery shopping, the development of</w:t>
      </w:r>
      <w:r>
        <w:t xml:space="preserve"> </w:t>
      </w:r>
      <w:r>
        <w:t xml:space="preserve">retail risk indicators, and the collection, analysis and reporting on consumer trends.</w:t>
      </w:r>
      <w:r>
        <w:br/>
      </w:r>
      <w:r>
        <w:t xml:space="preserve">459 See Annex 11.</w:t>
      </w:r>
      <w:r>
        <w:t xml:space="preserve"> </w:t>
      </w:r>
      <w:r>
        <w:t xml:space="preserve">460 Page 350 of the Retail investment study.</w:t>
      </w:r>
      <w:r>
        <w:br/>
      </w:r>
      <w:r>
        <w:t xml:space="preserve">461 Point 6 page 350 of the Retail investment study.</w:t>
      </w:r>
      <w:r>
        <w:t xml:space="preserve"> </w:t>
      </w:r>
      <w:r>
        <w:t xml:space="preserve">The study found that, even though the rules under MiFID II only allow inducements if a quality</w:t>
      </w:r>
      <w:r>
        <w:t xml:space="preserve"> </w:t>
      </w:r>
      <w:r>
        <w:t xml:space="preserve">enhancement test is passed and hence aim to make inducements the exception, an important share of</w:t>
      </w:r>
      <w:r>
        <w:t xml:space="preserve"> </w:t>
      </w:r>
      <w:r>
        <w:t xml:space="preserve">investment funds analysed clearly applied inducements while for many other products the information</w:t>
      </w:r>
      <w:r>
        <w:t xml:space="preserve"> </w:t>
      </w:r>
      <w:r>
        <w:t xml:space="preserve">was not clearly disclosed so it possible that the use of inducements is even higher than mentioned in the</w:t>
      </w:r>
      <w:r>
        <w:t xml:space="preserve"> </w:t>
      </w:r>
      <w:r>
        <w:t xml:space="preserve">study.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penalties has shown462 that the sanctioning powers are not equally used among NCAs and that a</w:t>
      </w:r>
      <w:r>
        <w:t xml:space="preserve"> </w:t>
      </w:r>
      <w:r>
        <w:t xml:space="preserve">number issue either few or no sanctions at all, despite supervising a large number of firms. In its</w:t>
      </w:r>
      <w:r>
        <w:t xml:space="preserve"> </w:t>
      </w:r>
      <w:r>
        <w:t xml:space="preserve">the report on Administrative sanctions on IDD463, EIOPA arrived at similar conclusions regarding</w:t>
      </w:r>
      <w:r>
        <w:t xml:space="preserve"> </w:t>
      </w:r>
      <w:r>
        <w:t xml:space="preserve">the difficulty to compare data across Member States and stressed that the use of sanctions is just</w:t>
      </w:r>
      <w:r>
        <w:t xml:space="preserve"> </w:t>
      </w:r>
      <w:r>
        <w:t xml:space="preserve">one element out of a broader toolbox available to NCAs carrying out supervisory activities.</w:t>
      </w:r>
      <w:r>
        <w:br/>
      </w:r>
      <w:r>
        <w:t xml:space="preserve">With increased digitalisation, investment fraud through digital means is becoming more common</w:t>
      </w:r>
      <w:r>
        <w:t xml:space="preserve"> </w:t>
      </w:r>
      <w:r>
        <w:t xml:space="preserve">across the EU464. Examples include fake websites offering bogus investment opportunities, seeking</w:t>
      </w:r>
      <w:r>
        <w:t xml:space="preserve"> </w:t>
      </w:r>
      <w:r>
        <w:t xml:space="preserve">out victims via social media platforms and inviting potential investors (through online</w:t>
      </w:r>
      <w:r>
        <w:t xml:space="preserve"> </w:t>
      </w:r>
      <w:r>
        <w:t xml:space="preserve">advertisements) to invest online and enticing them with initial benefits. Based on data from the</w:t>
      </w:r>
      <w:r>
        <w:t xml:space="preserve"> </w:t>
      </w:r>
      <w:r>
        <w:t xml:space="preserve">Europol’s 2021 Serious and Organised Crime Threat Assessment (SOCTA)465, investment fraud</w:t>
      </w:r>
      <w:r>
        <w:t xml:space="preserve"> </w:t>
      </w:r>
      <w:r>
        <w:t xml:space="preserve">schemes can result in substantial financial damage to private individuals and companies466. While</w:t>
      </w:r>
      <w:r>
        <w:t xml:space="preserve"> </w:t>
      </w:r>
      <w:r>
        <w:t xml:space="preserve">the prosecution of fraud is an issue under the responsibility of the criminal authorities and national</w:t>
      </w:r>
      <w:r>
        <w:t xml:space="preserve"> </w:t>
      </w:r>
      <w:r>
        <w:t xml:space="preserve">courts,467 NCAs have an important role in ensuring that any investment fraud is detected quickly</w:t>
      </w:r>
      <w:r>
        <w:t xml:space="preserve"> </w:t>
      </w:r>
      <w:r>
        <w:t xml:space="preserve">and stopped, in dealing with fake websites, helping consumers recognise potential scams468,</w:t>
      </w:r>
      <w:r>
        <w:t xml:space="preserve"> </w:t>
      </w:r>
      <w:r>
        <w:t xml:space="preserve">facilitating access to information and, when necessary, restricting access to these websites. While</w:t>
      </w:r>
      <w:r>
        <w:t xml:space="preserve"> </w:t>
      </w:r>
      <w:r>
        <w:t xml:space="preserve">many NCAs provide information on their websites to consumers about fraudulent or unauthorised</w:t>
      </w:r>
      <w:r>
        <w:t xml:space="preserve"> </w:t>
      </w:r>
      <w:r>
        <w:t xml:space="preserve">activities, the situation differs across Member States469.</w:t>
      </w:r>
      <w:r>
        <w:br/>
      </w:r>
      <w:r>
        <w:t xml:space="preserve">Furthermore, the existing powers of NCAs to tackle aggressive online marketing practices</w:t>
      </w:r>
      <w:r>
        <w:t xml:space="preserve"> </w:t>
      </w:r>
      <w:r>
        <w:t xml:space="preserve">may not be sufficient to allow them to intervene in a timely manner470. As digital marketing</w:t>
      </w:r>
      <w:r>
        <w:t xml:space="preserve"> </w:t>
      </w:r>
      <w:r>
        <w:t xml:space="preserve">content may only be accessible for a brief period of time, NCAs need to be able to</w:t>
      </w:r>
    </w:p>
    <w:p>
      <w:pPr>
        <w:pStyle w:val="BodyText"/>
      </w:pPr>
      <w:r>
        <w:t xml:space="preserve">462 See for instance the 2021 ESMA Report Penalties and measures imposed under the UCITS Directive in</w:t>
      </w:r>
      <w:r>
        <w:t xml:space="preserve"> </w:t>
      </w:r>
      <w:r>
        <w:t xml:space="preserve">2021 and</w:t>
      </w:r>
      <w:r>
        <w:t xml:space="preserve"> </w:t>
      </w:r>
      <w:r>
        <w:t xml:space="preserve">ESMA Report Sanctions and measures imposed under MiFID II in 2021.</w:t>
      </w:r>
      <w:r>
        <w:t xml:space="preserve"> </w:t>
      </w:r>
      <w:r>
        <w:t xml:space="preserve">463 EIOPA 2nd Annual Report on administrative sanctions and other measures under the Insurance</w:t>
      </w:r>
      <w:r>
        <w:t xml:space="preserve"> </w:t>
      </w:r>
      <w:r>
        <w:t xml:space="preserve">Distribution Directive (IDD) (2020) (europa.eu).</w:t>
      </w:r>
      <w:r>
        <w:t xml:space="preserve"> </w:t>
      </w:r>
      <w:r>
        <w:t xml:space="preserve">464 Investment Fraud on Page 60 of Europol (2021), European Union serious and organised crime threat</w:t>
      </w:r>
      <w:r>
        <w:t xml:space="preserve"> </w:t>
      </w:r>
      <w:r>
        <w:t xml:space="preserve">assessment, A corrupting influence: the infiltration and undermining of Europe’s economy and society by</w:t>
      </w:r>
      <w:r>
        <w:t xml:space="preserve"> </w:t>
      </w:r>
      <w:r>
        <w:t xml:space="preserve">organised crime, Publications Office of the European Union, Luxembourg.</w:t>
      </w:r>
      <w:r>
        <w:t xml:space="preserve"> </w:t>
      </w:r>
      <w:r>
        <w:t xml:space="preserve">465 Ibid.</w:t>
      </w:r>
      <w:r>
        <w:br/>
      </w:r>
      <w:r>
        <w:t xml:space="preserve">466 Europol sources refer to individual cases of millions of euros:</w:t>
      </w:r>
      <w:r>
        <w:t xml:space="preserve"> </w:t>
      </w:r>
      <w:r>
        <w:t xml:space="preserve">- Fake investors busted in Belgium and France | Europol (europa.eu) - EUR 6 million scam</w:t>
      </w:r>
      <w:r>
        <w:br/>
      </w:r>
      <w:r>
        <w:t xml:space="preserve">- report_socta2017_1.pdf (europa.eu) - “one investigation revealed estimated profits of up to EUR 3</w:t>
      </w:r>
      <w:r>
        <w:t xml:space="preserve"> </w:t>
      </w:r>
      <w:r>
        <w:t xml:space="preserve">billon generated”</w:t>
      </w:r>
      <w:r>
        <w:br/>
      </w:r>
      <w:r>
        <w:t xml:space="preserve">467 The European Union Agency for Criminal Justice Cooperation (EUROJUST) has issued Guidelines on</w:t>
      </w:r>
      <w:r>
        <w:t xml:space="preserve"> </w:t>
      </w:r>
      <w:r>
        <w:t xml:space="preserve">How to Prosecute Investment Fraud</w:t>
      </w:r>
      <w:r>
        <w:br/>
      </w:r>
      <w:r>
        <w:t xml:space="preserve">Eurojust Guidelines on How to Prosecute Investment Fraud -</w:t>
      </w:r>
      <w:r>
        <w:t xml:space="preserve"> </w:t>
      </w:r>
      <w:r>
        <w:t xml:space="preserve">July 2021 (europa.eu) The guidelines provide an overview of the legal and operational issues that</w:t>
      </w:r>
      <w:r>
        <w:t xml:space="preserve"> </w:t>
      </w:r>
      <w:r>
        <w:t xml:space="preserve">prosecutors may come across and explain how Eurojust and the European Union Agency for Law</w:t>
      </w:r>
      <w:r>
        <w:t xml:space="preserve"> </w:t>
      </w:r>
      <w:r>
        <w:t xml:space="preserve">Enforcement Cooperation (Europol) can help to bring investment fraud prosecutions to a successful end.</w:t>
      </w:r>
      <w:r>
        <w:t xml:space="preserve"> </w:t>
      </w:r>
      <w:r>
        <w:t xml:space="preserve">468 Fraudulent schemes that attempt to take money from people.</w:t>
      </w:r>
      <w:r>
        <w:t xml:space="preserve"> </w:t>
      </w:r>
      <w:r>
        <w:t xml:space="preserve">469 Other sources of information on scams include for example the IOSCO. The IOSCO publishes a list of</w:t>
      </w:r>
      <w:r>
        <w:t xml:space="preserve"> </w:t>
      </w:r>
      <w:r>
        <w:t xml:space="preserve">alerts and warnings sent by its members on a voluntary basis, with firms’ names that are not authorised</w:t>
      </w:r>
      <w:r>
        <w:t xml:space="preserve"> </w:t>
      </w:r>
      <w:r>
        <w:t xml:space="preserve">to provide investment services in the jurisdiction which issued the alert or warning. Some unauthorised</w:t>
      </w:r>
      <w:r>
        <w:t xml:space="preserve"> </w:t>
      </w:r>
      <w:r>
        <w:t xml:space="preserve">firms use names similar to those of authorised firms or about unauthorised firms falsely claiming to be</w:t>
      </w:r>
      <w:r>
        <w:t xml:space="preserve"> </w:t>
      </w:r>
      <w:r>
        <w:t xml:space="preserve">associated with authorised firms. Investor Alerts Portal (iosco.org). However, such sources of information</w:t>
      </w:r>
      <w:r>
        <w:t xml:space="preserve"> </w:t>
      </w:r>
      <w:r>
        <w:t xml:space="preserve">are not coordinated, and investors need to look at different places to find what they need.</w:t>
      </w:r>
      <w:r>
        <w:t xml:space="preserve"> </w:t>
      </w:r>
      <w:r>
        <w:t xml:space="preserve">470 ESMA advice, page 12, point 27.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effectively and rapidly intervene on “temporary” content, which may play on behavioural</w:t>
      </w:r>
      <w:r>
        <w:t xml:space="preserve"> </w:t>
      </w:r>
      <w:r>
        <w:t xml:space="preserve">biases of retail investors (such as the “fear of missing out”). Under existing powers471,</w:t>
      </w:r>
      <w:r>
        <w:t xml:space="preserve"> </w:t>
      </w:r>
      <w:r>
        <w:t xml:space="preserve">NCAs can suspend the marketing or sale of certain investment products, provided that the</w:t>
      </w:r>
      <w:r>
        <w:t xml:space="preserve"> </w:t>
      </w:r>
      <w:r>
        <w:t xml:space="preserve">specific conditions472 for the use of product intervention powers have been fulfilled.</w:t>
      </w:r>
      <w:r>
        <w:t xml:space="preserve"> </w:t>
      </w:r>
      <w:r>
        <w:t xml:space="preserve">However, in practice, the procedure is too lengthy to allow effective and timely</w:t>
      </w:r>
      <w:r>
        <w:t xml:space="preserve"> </w:t>
      </w:r>
      <w:r>
        <w:t xml:space="preserve">intervention.</w:t>
      </w:r>
    </w:p>
    <w:p>
      <w:pPr>
        <w:pStyle w:val="BodyText"/>
      </w:pPr>
      <w:r>
        <w:t xml:space="preserve">NCAs and ESMA473 have also observed (aggressive) online marketing and advertising</w:t>
      </w:r>
      <w:r>
        <w:t xml:space="preserve"> </w:t>
      </w:r>
      <w:r>
        <w:t xml:space="preserve">campaigns for financial instruments or services that reach many people, but which contain</w:t>
      </w:r>
      <w:r>
        <w:t xml:space="preserve"> </w:t>
      </w:r>
      <w:r>
        <w:t xml:space="preserve">no specific risk warnings about the risky nature of some financial products. The interaction</w:t>
      </w:r>
      <w:r>
        <w:t xml:space="preserve"> </w:t>
      </w:r>
      <w:r>
        <w:t xml:space="preserve">with (potential) clients is often done via online tools (i.e. videos, or even targeted messages</w:t>
      </w:r>
      <w:r>
        <w:t xml:space="preserve"> </w:t>
      </w:r>
      <w:r>
        <w:t xml:space="preserve">or chats), increasing the risk that clients are not adequately informed of the risks and costs</w:t>
      </w:r>
      <w:r>
        <w:t xml:space="preserve"> </w:t>
      </w:r>
      <w:r>
        <w:t xml:space="preserve">of the advertised products. Under the current legal framework, the process for NCAs to</w:t>
      </w:r>
      <w:r>
        <w:t xml:space="preserve"> </w:t>
      </w:r>
      <w:r>
        <w:t xml:space="preserve">impose risk warnings for particular risky financial instruments is lengthy and subject to</w:t>
      </w:r>
      <w:r>
        <w:t xml:space="preserve"> </w:t>
      </w:r>
      <w:r>
        <w:t xml:space="preserve">heavy legal requirements, which undermines the effectiveness of the regime.</w:t>
      </w:r>
      <w:r>
        <w:br/>
      </w:r>
      <w:r>
        <w:t xml:space="preserve">While the three European Supervisory Authorities have the power to coordinate mystery</w:t>
      </w:r>
      <w:r>
        <w:t xml:space="preserve"> </w:t>
      </w:r>
      <w:r>
        <w:t xml:space="preserve">shopping activities of competent authorities on the basis of Article 9(1f), not all Member</w:t>
      </w:r>
      <w:r>
        <w:t xml:space="preserve"> </w:t>
      </w:r>
      <w:r>
        <w:t xml:space="preserve">States have such powers. NCA’s powers vary significantly across Member States474. In the</w:t>
      </w:r>
      <w:r>
        <w:t xml:space="preserve"> </w:t>
      </w:r>
      <w:r>
        <w:t xml:space="preserve">exercises coordinated by the ESAs475, those NCAs that have undertaken mystery shopping</w:t>
      </w:r>
      <w:r>
        <w:t xml:space="preserve"> </w:t>
      </w:r>
      <w:r>
        <w:t xml:space="preserve">activities confirm that they are effective in allowing NCAs to obtain better insight into the</w:t>
      </w:r>
      <w:r>
        <w:t xml:space="preserve"> </w:t>
      </w:r>
      <w:r>
        <w:t xml:space="preserve">conduct of financial institutions and may encourage them to take enforcement action to</w:t>
      </w:r>
      <w:r>
        <w:t xml:space="preserve"> </w:t>
      </w:r>
      <w:r>
        <w:t xml:space="preserve">strengthen the protection of consumers. Coordination of mystery shopping exercises at EU</w:t>
      </w:r>
      <w:r>
        <w:t xml:space="preserve"> </w:t>
      </w:r>
      <w:r>
        <w:t xml:space="preserve">level allows participating Member States to obtain faster results, improve the level of</w:t>
      </w:r>
      <w:r>
        <w:t xml:space="preserve"> </w:t>
      </w:r>
      <w:r>
        <w:t xml:space="preserve">compliance and profit from the exchange of good practices with other NCAs.</w:t>
      </w:r>
      <w:r>
        <w:br/>
      </w:r>
      <w:r>
        <w:t xml:space="preserve">In the area of complaints handling, the majority of citizens do not resort to complaints to help</w:t>
      </w:r>
      <w:r>
        <w:t xml:space="preserve"> </w:t>
      </w:r>
      <w:r>
        <w:t xml:space="preserve">them resolve issues they face in financial services476. Citizens do not receive the same level of</w:t>
      </w:r>
      <w:r>
        <w:t xml:space="preserve"> </w:t>
      </w:r>
      <w:r>
        <w:t xml:space="preserve">protection across the EU and across sectors due to differences in the rules and procedures, which</w:t>
      </w:r>
      <w:r>
        <w:t xml:space="preserve"> </w:t>
      </w:r>
      <w:r>
        <w:t xml:space="preserve">may in some cases be more detailed and consumer-oriented477. Retail investors also face challenges</w:t>
      </w:r>
      <w:r>
        <w:t xml:space="preserve"> </w:t>
      </w:r>
      <w:r>
        <w:t xml:space="preserve">to understand with which provider they are contracting or to whom they should address complaints</w:t>
      </w:r>
      <w:r>
        <w:t xml:space="preserve"> </w:t>
      </w:r>
      <w:r>
        <w:t xml:space="preserve">or seek redress, especially in the increasingly digital environment478 of financial services.</w:t>
      </w:r>
    </w:p>
    <w:p>
      <w:pPr>
        <w:pStyle w:val="BodyText"/>
      </w:pPr>
      <w:r>
        <w:t xml:space="preserve">471 Article 69(2)(k) MiFID, for IBIPs: Articles 16 to 18 PRIIPs Regulation.</w:t>
      </w:r>
      <w:r>
        <w:t xml:space="preserve"> </w:t>
      </w:r>
      <w:r>
        <w:t xml:space="preserve">472 The conditions are described under MIFIR Articles 42(2) to 42(7).</w:t>
      </w:r>
      <w:r>
        <w:t xml:space="preserve"> </w:t>
      </w:r>
      <w:r>
        <w:t xml:space="preserve">473 ESMA advice, page 37, point 120.</w:t>
      </w:r>
      <w:r>
        <w:t xml:space="preserve"> </w:t>
      </w:r>
      <w:r>
        <w:t xml:space="preserve">474 EBA Report on the mystery shopping activities of NCAs (europa.eu).</w:t>
      </w:r>
      <w:r>
        <w:t xml:space="preserve"> </w:t>
      </w:r>
      <w:r>
        <w:t xml:space="preserve">475 EBA Report on the mystery shopping activities of NCAs (europa.eu)</w:t>
      </w:r>
      <w:r>
        <w:t xml:space="preserve"> </w:t>
      </w:r>
      <w:r>
        <w:t xml:space="preserve">Mystery shopping as a tool for conduct supervision | Eiopa (europa.eu)</w:t>
      </w:r>
      <w:r>
        <w:t xml:space="preserve"> </w:t>
      </w:r>
      <w:r>
        <w:t xml:space="preserve">Mystery shopping: Compliance, culture and consumer outcomes | Eiopa (europa.eu)</w:t>
      </w:r>
      <w:r>
        <w:t xml:space="preserve"> </w:t>
      </w:r>
      <w:r>
        <w:t xml:space="preserve">Inclusion of mystery shopping review as part of the ESMA 2022 work programme: esma71-99-</w:t>
      </w:r>
      <w:r>
        <w:t xml:space="preserve"> </w:t>
      </w:r>
      <w:r>
        <w:t xml:space="preserve">1735_esma_work_programme_2022.pdf</w:t>
      </w:r>
      <w:r>
        <w:t xml:space="preserve"> </w:t>
      </w:r>
      <w:r>
        <w:t xml:space="preserve">476 According to the Eurobarometer476 (no. 509) on retail financial services and products published in</w:t>
      </w:r>
      <w:r>
        <w:t xml:space="preserve"> </w:t>
      </w:r>
      <w:r>
        <w:t xml:space="preserve">October 2022 retail clients often (42% on EU average) do not complain if they feel that their rights were</w:t>
      </w:r>
      <w:r>
        <w:t xml:space="preserve"> </w:t>
      </w:r>
      <w:r>
        <w:t xml:space="preserve">breached.</w:t>
      </w:r>
      <w:r>
        <w:t xml:space="preserve"> </w:t>
      </w:r>
      <w:r>
        <w:t xml:space="preserve">477 Point 219 page 64 Joint ESAs Report on digital finance.pdf - EN (1).pdf.</w:t>
      </w:r>
      <w:r>
        <w:t xml:space="preserve"> </w:t>
      </w:r>
      <w:r>
        <w:t xml:space="preserve">478 Ibid. Joint ESAs Report on digital finance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1.2 Cross border supervision</w:t>
      </w:r>
      <w:r>
        <w:t xml:space="preserve"> </w:t>
      </w:r>
      <w:r>
        <w:t xml:space="preserve">The development of the single market and the digitalisation of the financial services has led to an</w:t>
      </w:r>
      <w:r>
        <w:t xml:space="preserve"> </w:t>
      </w:r>
      <w:r>
        <w:t xml:space="preserve">increase in the cross-border provision of services. This has benefits for consumers, as it fosters</w:t>
      </w:r>
      <w:r>
        <w:t xml:space="preserve"> </w:t>
      </w:r>
      <w:r>
        <w:t xml:space="preserve">competition, however it also poses challenges to the supervision of cross-border activities and</w:t>
      </w:r>
      <w:r>
        <w:t xml:space="preserve"> </w:t>
      </w:r>
      <w:r>
        <w:t xml:space="preserve">financial institutions.</w:t>
      </w:r>
      <w:r>
        <w:br/>
      </w:r>
      <w:r>
        <w:t xml:space="preserve">The respective responsibilities of the home and host NCAs for enforcement in cross-border cases</w:t>
      </w:r>
      <w:r>
        <w:t xml:space="preserve"> </w:t>
      </w:r>
      <w:r>
        <w:t xml:space="preserve">are shared according to the home-host principle. The main responsibility remains with the home</w:t>
      </w:r>
      <w:r>
        <w:t xml:space="preserve"> </w:t>
      </w:r>
      <w:r>
        <w:t xml:space="preserve">NCA, even if the supervised entity provides services in other Member States via passporting. In</w:t>
      </w:r>
      <w:r>
        <w:t xml:space="preserve"> </w:t>
      </w:r>
      <w:r>
        <w:t xml:space="preserve">case of non-compliance with relevant rules, procedures ensuring cooperation between the home</w:t>
      </w:r>
      <w:r>
        <w:t xml:space="preserve"> </w:t>
      </w:r>
      <w:r>
        <w:t xml:space="preserve">and the host NCA are in place to ensure proper supervision and avoid consumer detriment.</w:t>
      </w:r>
      <w:r>
        <w:br/>
      </w:r>
      <w:r>
        <w:t xml:space="preserve">Nevertheless, as set out in several reports from the ESAs479, a number of difficulties relating to</w:t>
      </w:r>
      <w:r>
        <w:t xml:space="preserve"> </w:t>
      </w:r>
      <w:r>
        <w:t xml:space="preserve">cross-border enforcement exist which in particular relate to institutional and organisational issues</w:t>
      </w:r>
      <w:r>
        <w:t xml:space="preserve"> </w:t>
      </w:r>
      <w:r>
        <w:t xml:space="preserve">of supervision:</w:t>
      </w:r>
      <w:r>
        <w:br/>
      </w:r>
      <w:r>
        <w:t xml:space="preserve">-</w:t>
      </w:r>
      <w:r>
        <w:t xml:space="preserve"> </w:t>
      </w:r>
      <w:r>
        <w:t xml:space="preserve">NCAs responsible for the supervision of the firms authorised in their jurisdiction</w:t>
      </w:r>
      <w:r>
        <w:t xml:space="preserve"> </w:t>
      </w:r>
      <w:r>
        <w:t xml:space="preserve">(home), may face difficulties480 when supervising their cross-border activities, which</w:t>
      </w:r>
      <w:r>
        <w:t xml:space="preserve"> </w:t>
      </w:r>
      <w:r>
        <w:t xml:space="preserve">may be more easily handled by host NCAs that monitor their own market. The</w:t>
      </w:r>
      <w:r>
        <w:t xml:space="preserve"> </w:t>
      </w:r>
      <w:r>
        <w:t xml:space="preserve">efficiency of the cooperation mechanisms to address such situations is therefore</w:t>
      </w:r>
      <w:r>
        <w:t xml:space="preserve"> </w:t>
      </w:r>
      <w:r>
        <w:t xml:space="preserve">instrumental to ensure proper functioning of the single market. Cooperation</w:t>
      </w:r>
      <w:r>
        <w:t xml:space="preserve"> </w:t>
      </w:r>
      <w:r>
        <w:t xml:space="preserve">procedures have sometimes been perceived as too burdensome and lengthy and</w:t>
      </w:r>
      <w:r>
        <w:t xml:space="preserve"> </w:t>
      </w:r>
      <w:r>
        <w:t xml:space="preserve">not effective in protecting consumers quickly and efficiently. This is the case in</w:t>
      </w:r>
      <w:r>
        <w:t xml:space="preserve"> </w:t>
      </w:r>
      <w:r>
        <w:t xml:space="preserve">particular for MiFID firms, where a high burden of proof is needed for the host NCAs</w:t>
      </w:r>
      <w:r>
        <w:t xml:space="preserve"> </w:t>
      </w:r>
      <w:r>
        <w:t xml:space="preserve">to demonstrate they have “clear and demonstrable grounds” to request the application</w:t>
      </w:r>
      <w:r>
        <w:t xml:space="preserve"> </w:t>
      </w:r>
      <w:r>
        <w:t xml:space="preserve">of Article 86 and take precautionary measures481. National authorities that have used</w:t>
      </w:r>
      <w:r>
        <w:t xml:space="preserve"> </w:t>
      </w:r>
      <w:r>
        <w:t xml:space="preserve">(partly or in full) the provisions under Article 86 of MiFID believe that the stringent</w:t>
      </w:r>
      <w:r>
        <w:t xml:space="preserve"> </w:t>
      </w:r>
      <w:r>
        <w:t xml:space="preserve">nature of the current rules causes delays in the finalisation of the procedure.</w:t>
      </w:r>
      <w:r>
        <w:t xml:space="preserve"> </w:t>
      </w:r>
      <w:r>
        <w:t xml:space="preserve">-</w:t>
      </w:r>
      <w:r>
        <w:t xml:space="preserve"> </w:t>
      </w:r>
      <w:r>
        <w:t xml:space="preserve">MiFID and IDD currently include legal provisions to ensure efficient cooperation</w:t>
      </w:r>
      <w:r>
        <w:t xml:space="preserve"> </w:t>
      </w:r>
      <w:r>
        <w:t xml:space="preserve">between home and host NCAs for cross-border activities. However, unlike</w:t>
      </w:r>
      <w:r>
        <w:t xml:space="preserve"> </w:t>
      </w:r>
      <w:r>
        <w:t xml:space="preserve">Solvency II, the ESAs do not have a clear legal mandate where there is a significant</w:t>
      </w:r>
      <w:r>
        <w:t xml:space="preserve"> </w:t>
      </w:r>
      <w:r>
        <w:t xml:space="preserve">risk of consumer detriment, to make use of collaboration platforms in cross-border</w:t>
      </w:r>
      <w:r>
        <w:t xml:space="preserve"> </w:t>
      </w:r>
      <w:r>
        <w:t xml:space="preserve">cases to resolve such issues482.</w:t>
      </w:r>
      <w:r>
        <w:br/>
      </w:r>
      <w:r>
        <w:t xml:space="preserve">-</w:t>
      </w:r>
      <w:r>
        <w:t xml:space="preserve"> </w:t>
      </w:r>
      <w:r>
        <w:t xml:space="preserve">Furthermore, under MiFID and IDD there is currently no streamlined yearly</w:t>
      </w:r>
      <w:r>
        <w:t xml:space="preserve"> </w:t>
      </w:r>
      <w:r>
        <w:t xml:space="preserve">requirement for entities operating via a passport to report on their cross-border</w:t>
      </w:r>
      <w:r>
        <w:t xml:space="preserve"> </w:t>
      </w:r>
      <w:r>
        <w:t xml:space="preserve">activities. Lack of such data makes it difficult for ESMA and NCAs to gain an</w:t>
      </w:r>
      <w:r>
        <w:t xml:space="preserve"> </w:t>
      </w:r>
      <w:r>
        <w:t xml:space="preserve">overview of the activity of firms passporting into the market: that restricts the</w:t>
      </w:r>
      <w:r>
        <w:t xml:space="preserve"> </w:t>
      </w:r>
      <w:r>
        <w:t xml:space="preserve">efficiency and effectiveness of their supervisory activities and their ability to detect</w:t>
      </w:r>
      <w:r>
        <w:t xml:space="preserve"> </w:t>
      </w:r>
      <w:r>
        <w:t xml:space="preserve">problems.</w:t>
      </w:r>
    </w:p>
    <w:p>
      <w:pPr>
        <w:pStyle w:val="BodyText"/>
      </w:pPr>
      <w:r>
        <w:t xml:space="preserve">479 ESAs Joint Committee report on cross-border supervision of retail financial services, July 2019</w:t>
      </w:r>
      <w:r>
        <w:t xml:space="preserve"> </w:t>
      </w:r>
      <w:r>
        <w:t xml:space="preserve">ESMA Technical Advice to the Commission on the application of administrative and criminal sanctions</w:t>
      </w:r>
      <w:r>
        <w:t xml:space="preserve"> </w:t>
      </w:r>
      <w:r>
        <w:t xml:space="preserve">under MiFID II/MiFIR, March 2021</w:t>
      </w:r>
      <w:r>
        <w:t xml:space="preserve"> </w:t>
      </w:r>
      <w:r>
        <w:t xml:space="preserve">ESMA peer review on supervision of cross-border activities of investment firms</w:t>
      </w:r>
      <w:r>
        <w:t xml:space="preserve"> </w:t>
      </w:r>
      <w:r>
        <w:t xml:space="preserve">480 Points 113, 114 of Final Report on cross-border supervision for retail financial services.</w:t>
      </w:r>
      <w:r>
        <w:t xml:space="preserve"> </w:t>
      </w:r>
      <w:r>
        <w:t xml:space="preserve">481 ESMA’s 2021 Technical Advice on sanctions under MiFID/MiFIR indicates that there is a high burden of</w:t>
      </w:r>
      <w:r>
        <w:t xml:space="preserve"> </w:t>
      </w:r>
      <w:r>
        <w:t xml:space="preserve">proof for the host NCAs to demonstrate they have “clear and demonstrable grounds.</w:t>
      </w:r>
      <w:r>
        <w:br/>
      </w:r>
      <w:r>
        <w:t xml:space="preserve">482 See Article 152b Solvency II.</w:t>
      </w:r>
    </w:p>
    <w:p>
      <w:pPr>
        <w:pStyle w:val="BodyText"/>
      </w:pPr>
      <w:r>
        <w:t xml:space="preserve">231</w:t>
      </w:r>
    </w:p>
    <w:p>
      <w:pPr>
        <w:pStyle w:val="Compact"/>
        <w:numPr>
          <w:ilvl w:val="0"/>
          <w:numId w:val="1048"/>
        </w:numPr>
      </w:pPr>
      <w:r>
        <w:t xml:space="preserve">There is evidence that some firms have chosen to obtain authorisation in a Member</w:t>
      </w:r>
      <w:r>
        <w:t xml:space="preserve"> </w:t>
      </w:r>
      <w:r>
        <w:t xml:space="preserve">State even though they are not planning to carry out any, or at least not a considerable</w:t>
      </w:r>
      <w:r>
        <w:t xml:space="preserve"> </w:t>
      </w:r>
      <w:r>
        <w:t xml:space="preserve">part, of their activities in that Member State. This could be related to jurisdiction</w:t>
      </w:r>
      <w:r>
        <w:t xml:space="preserve"> </w:t>
      </w:r>
      <w:r>
        <w:t xml:space="preserve">shopping, and the intention to benefit from the passport without being subject to a</w:t>
      </w:r>
      <w:r>
        <w:t xml:space="preserve"> </w:t>
      </w:r>
      <w:r>
        <w:t xml:space="preserve">stricter application of supervision rules.</w:t>
      </w:r>
      <w:r>
        <w:t xml:space="preserve"> </w:t>
      </w:r>
      <w:r>
        <w:t xml:space="preserve">These difficulties indicate that improvements are needed in the way investor protection rules are</w:t>
      </w:r>
      <w:r>
        <w:t xml:space="preserve"> </w:t>
      </w:r>
      <w:r>
        <w:t xml:space="preserve">applied in practice, and that they are potentially affecting clients’ trust in the single market.</w:t>
      </w:r>
      <w:r>
        <w:t xml:space="preserve"> </w:t>
      </w:r>
      <w:r>
        <w:t xml:space="preserve">Maintaining the current situation is therefore likely to pose a threat to consumer welfare and the</w:t>
      </w:r>
      <w:r>
        <w:t xml:space="preserve"> </w:t>
      </w:r>
      <w:r>
        <w:t xml:space="preserve">further development of the CMU.</w:t>
      </w:r>
      <w:r>
        <w:br/>
      </w:r>
      <w:r>
        <w:t xml:space="preserve">In order to tackle the above problems, options to strengthen supervision and improve consumer</w:t>
      </w:r>
      <w:r>
        <w:t xml:space="preserve"> </w:t>
      </w:r>
      <w:r>
        <w:t xml:space="preserve">protection in the areas of a) general enforcement (including strengthening the framework for the</w:t>
      </w:r>
      <w:r>
        <w:t xml:space="preserve"> </w:t>
      </w:r>
      <w:r>
        <w:t xml:space="preserve">fight against fraud and scams) and b) cross-border supervision have been assessed.</w:t>
      </w:r>
      <w:r>
        <w:br/>
      </w:r>
      <w:r>
        <w:t xml:space="preserve">What are the available policy options?</w:t>
      </w:r>
    </w:p>
    <w:p>
      <w:pPr>
        <w:pStyle w:val="Compact"/>
        <w:numPr>
          <w:ilvl w:val="0"/>
          <w:numId w:val="1049"/>
        </w:numPr>
      </w:pPr>
      <w:r>
        <w:t xml:space="preserve">2.1 Aspects of general supervisory enforcement related to consumer protection</w:t>
      </w:r>
      <w:r>
        <w:br/>
      </w:r>
      <w:r>
        <w:t xml:space="preserve">Option 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Option 1 -</w:t>
      </w:r>
      <w:r>
        <w:t xml:space="preserve"> </w:t>
      </w:r>
      <w:r>
        <w:t xml:space="preserve">Baseline</w:t>
      </w:r>
      <w:r>
        <w:t xml:space="preserve"> </w:t>
      </w:r>
      <w:r>
        <w:t xml:space="preserve">Do nothing to change the legal framework – rely on existing</w:t>
      </w:r>
      <w:r>
        <w:t xml:space="preserve"> </w:t>
      </w:r>
      <w:r>
        <w:t xml:space="preserve">enforcement mechanisms to ensure that the existing rules are correctly</w:t>
      </w:r>
      <w:r>
        <w:t xml:space="preserve"> </w:t>
      </w:r>
      <w:r>
        <w:t xml:space="preserve">applied</w:t>
      </w:r>
      <w:r>
        <w:t xml:space="preserve"> </w:t>
      </w:r>
      <w:r>
        <w:t xml:space="preserve">Option 2</w:t>
      </w:r>
      <w:r>
        <w:t xml:space="preserve"> </w:t>
      </w:r>
      <w:r>
        <w:t xml:space="preserve">Targeted</w:t>
      </w:r>
      <w:r>
        <w:t xml:space="preserve"> </w:t>
      </w:r>
      <w:r>
        <w:t xml:space="preserve">measures to</w:t>
      </w:r>
      <w:r>
        <w:t xml:space="preserve"> </w:t>
      </w:r>
      <w:r>
        <w:t xml:space="preserve">strengthen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supervisory</w:t>
      </w:r>
      <w:r>
        <w:t xml:space="preserve"> </w:t>
      </w:r>
      <w:r>
        <w:t xml:space="preserve">enforcement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br/>
      </w:r>
      <w:r>
        <w:t xml:space="preserve">Measure 1 - Provide an obligation for Member States to give powers to</w:t>
      </w:r>
      <w:r>
        <w:t xml:space="preserve"> </w:t>
      </w:r>
      <w:r>
        <w:t xml:space="preserve">NCAs to perform mystery shopping activities.</w:t>
      </w:r>
      <w:r>
        <w:t xml:space="preserve"> </w:t>
      </w:r>
      <w:r>
        <w:t xml:space="preserve">Measure 2 - Address scams in the context of new digital channels</w:t>
      </w:r>
      <w:r>
        <w:br/>
      </w:r>
      <w:r>
        <w:t xml:space="preserve">Measure 3 – Empower NCAs, ESMA and EIOPA to take timely and</w:t>
      </w:r>
      <w:r>
        <w:t xml:space="preserve"> </w:t>
      </w:r>
      <w:r>
        <w:t xml:space="preserve">effective actions against misleading marketing practices</w:t>
      </w:r>
      <w:r>
        <w:t xml:space="preserve"> </w:t>
      </w:r>
      <w:r>
        <w:t xml:space="preserve">Measure 4 - Empower ESMA, EIOPA and NCAs to impose on firms the</w:t>
      </w:r>
      <w:r>
        <w:t xml:space="preserve"> </w:t>
      </w:r>
      <w:r>
        <w:t xml:space="preserve">systematic use of risk warnings for specific financial instruments</w:t>
      </w:r>
      <w:r>
        <w:br/>
      </w:r>
      <w:r>
        <w:t xml:space="preserve">Measure 5 - Impose specific requirements to facilitate access to complaints</w:t>
      </w:r>
      <w:r>
        <w:t xml:space="preserve"> </w:t>
      </w:r>
      <w:r>
        <w:t xml:space="preserve">handling for consumers</w:t>
      </w:r>
    </w:p>
    <w:p>
      <w:pPr>
        <w:pStyle w:val="FirstParagraph"/>
      </w:pPr>
      <w:r>
        <w:t xml:space="preserve">2.1.1 What are the impacts of the options?</w:t>
      </w:r>
      <w:r>
        <w:t xml:space="preserve"> </w:t>
      </w:r>
      <w:r>
        <w:t xml:space="preserve">Option 2 – Targeted measures to strengthen aspects of supervisory enforcement related to</w:t>
      </w:r>
      <w:r>
        <w:t xml:space="preserve"> </w:t>
      </w:r>
      <w:r>
        <w:t xml:space="preserve">consumer protection</w:t>
      </w:r>
      <w:r>
        <w:br/>
      </w:r>
      <w:r>
        <w:t xml:space="preserve">The modalities of option 2 would involve a combination of several measures.</w:t>
      </w:r>
      <w:r>
        <w:t xml:space="preserve"> </w:t>
      </w:r>
      <w:r>
        <w:t xml:space="preserve">Measure 1: Provide an obligation for Member States to give powers to NCAs to perform</w:t>
      </w:r>
      <w:r>
        <w:t xml:space="preserve"> </w:t>
      </w:r>
      <w:r>
        <w:t xml:space="preserve">mystery shopping activities.</w:t>
      </w:r>
      <w:r>
        <w:br/>
      </w:r>
      <w:r>
        <w:t xml:space="preserve">Not all NCAs have explicit competence or a legal mandate to carry out mystery shopping in their</w:t>
      </w:r>
      <w:r>
        <w:t xml:space="preserve"> </w:t>
      </w:r>
      <w:r>
        <w:t xml:space="preserve">jurisdiction and they consequently do not perform any such activities. Introducing such a power</w:t>
      </w:r>
      <w:r>
        <w:t xml:space="preserve"> </w:t>
      </w:r>
      <w:r>
        <w:t xml:space="preserve">would mean that all NCAs could use this additional tool to help them identify problems, understand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how markets operate in practice, whether firms are complying with conduct of business obligations</w:t>
      </w:r>
      <w:r>
        <w:t xml:space="preserve"> </w:t>
      </w:r>
      <w:r>
        <w:t xml:space="preserve">and whether they are delivering customer service in compliance with the applicable rules. Mystery</w:t>
      </w:r>
      <w:r>
        <w:t xml:space="preserve"> </w:t>
      </w:r>
      <w:r>
        <w:t xml:space="preserve">shopping is an additional tool to gather information and detect problems in the market. It</w:t>
      </w:r>
      <w:r>
        <w:t xml:space="preserve"> </w:t>
      </w:r>
      <w:r>
        <w:t xml:space="preserve">complements other supervisory tools and can be used, for example, to follow up complaints</w:t>
      </w:r>
      <w:r>
        <w:t xml:space="preserve"> </w:t>
      </w:r>
      <w:r>
        <w:t xml:space="preserve">received or investigate infringements and unfair commercial practices. Mystery shopping would</w:t>
      </w:r>
      <w:r>
        <w:t xml:space="preserve"> </w:t>
      </w:r>
      <w:r>
        <w:t xml:space="preserve">allow NCAs to obtain faster results and encourage financial institutions to take corrective actions</w:t>
      </w:r>
      <w:r>
        <w:t xml:space="preserve"> </w:t>
      </w:r>
      <w:r>
        <w:t xml:space="preserve">where regulatory shortcomings have been identified and to improve their level of compliance with</w:t>
      </w:r>
      <w:r>
        <w:t xml:space="preserve"> </w:t>
      </w:r>
      <w:r>
        <w:t xml:space="preserve">the applicable regulatory standards, to the benefit of consumers’ protection.</w:t>
      </w:r>
      <w:r>
        <w:br/>
      </w:r>
      <w:r>
        <w:t xml:space="preserve">The mere possibility that NCAs may undertake mystery shopping may create an incentive for firms</w:t>
      </w:r>
      <w:r>
        <w:t xml:space="preserve"> </w:t>
      </w:r>
      <w:r>
        <w:t xml:space="preserve">to comply with the application of requirements under EU and national law, thus enhancing</w:t>
      </w:r>
      <w:r>
        <w:t xml:space="preserve"> </w:t>
      </w:r>
      <w:r>
        <w:t xml:space="preserve">consumer protection.</w:t>
      </w:r>
      <w:r>
        <w:br/>
      </w:r>
      <w:r>
        <w:t xml:space="preserve">In addition, when ESAs are coordinating mystery shopping exercises, ensuring that all NCAs have</w:t>
      </w:r>
      <w:r>
        <w:t xml:space="preserve"> </w:t>
      </w:r>
      <w:r>
        <w:t xml:space="preserve">similar powers will provide a more complete picture of the situation in the whole EU market.</w:t>
      </w:r>
      <w:r>
        <w:br/>
      </w:r>
      <w:r>
        <w:t xml:space="preserve">Benefits and costs</w:t>
      </w:r>
      <w:r>
        <w:t xml:space="preserve"> </w:t>
      </w:r>
      <w:r>
        <w:t xml:space="preserve">As the measures would enable NCAs to detect problems better and quicker, it should help enhance</w:t>
      </w:r>
      <w:r>
        <w:t xml:space="preserve"> </w:t>
      </w:r>
      <w:r>
        <w:t xml:space="preserve">protection, thus benefitting consumers. The measure would not create any costs for the industry.</w:t>
      </w:r>
      <w:r>
        <w:br/>
      </w:r>
      <w:r>
        <w:t xml:space="preserve">In order to be able to carry out mystery shopping exercises alongside other supervisory work,</w:t>
      </w:r>
      <w:r>
        <w:t xml:space="preserve"> </w:t>
      </w:r>
      <w:r>
        <w:t xml:space="preserve">national authorities would need to contribute sufficient human and/or financial resources, e.g. for</w:t>
      </w:r>
      <w:r>
        <w:t xml:space="preserve"> </w:t>
      </w:r>
      <w:r>
        <w:t xml:space="preserve">training staff or outsourcing the exercise to external providers.</w:t>
      </w:r>
      <w:r>
        <w:br/>
      </w:r>
      <w:r>
        <w:t xml:space="preserve">Overall assessment</w:t>
      </w:r>
      <w:r>
        <w:t xml:space="preserve"> </w:t>
      </w:r>
      <w:r>
        <w:t xml:space="preserve">The option would strengthen NCAs’ supervisory toolbox and better protect retail investors, while</w:t>
      </w:r>
      <w:r>
        <w:t xml:space="preserve"> </w:t>
      </w:r>
      <w:r>
        <w:t xml:space="preserve">the costs would likely remain reasonable in view of the expected benefits.</w:t>
      </w:r>
    </w:p>
    <w:p>
      <w:pPr>
        <w:pStyle w:val="BodyText"/>
      </w:pPr>
      <w:r>
        <w:t xml:space="preserve">Measure 2: Address scams in the context of new digital channels</w:t>
      </w:r>
      <w:r>
        <w:t xml:space="preserve"> </w:t>
      </w:r>
      <w:r>
        <w:t xml:space="preserve">While retail investors may not always be in a position to challenge false claims, NCAs are well</w:t>
      </w:r>
      <w:r>
        <w:t xml:space="preserve"> </w:t>
      </w:r>
      <w:r>
        <w:t xml:space="preserve">placed to understand whether an offer is inappropriately made to retail investors, or whether an</w:t>
      </w:r>
      <w:r>
        <w:t xml:space="preserve"> </w:t>
      </w:r>
      <w:r>
        <w:t xml:space="preserve">offer might in fact be a potential scam, which may include inter alia offers based on</w:t>
      </w:r>
      <w:r>
        <w:t xml:space="preserve"> </w:t>
      </w:r>
      <w:r>
        <w:t xml:space="preserve">false/inappropriate/unrealistic claims, products that simply do not exist and are made up, false</w:t>
      </w:r>
      <w:r>
        <w:t xml:space="preserve"> </w:t>
      </w:r>
      <w:r>
        <w:t xml:space="preserve">claims about whether a provider is regulated, etc. Websites and social media have accelerated the</w:t>
      </w:r>
      <w:r>
        <w:t xml:space="preserve"> </w:t>
      </w:r>
      <w:r>
        <w:t xml:space="preserve">dissemination of such fraudulent offers.</w:t>
      </w:r>
      <w:r>
        <w:br/>
      </w:r>
      <w:r>
        <w:t xml:space="preserve">Under this measure, NCAs would first be tasked to set up the necessary tools for citizens to</w:t>
      </w:r>
      <w:r>
        <w:t xml:space="preserve"> </w:t>
      </w:r>
      <w:r>
        <w:t xml:space="preserve">report potential scams. NCAs should collect alerts from retail investors or stakeholders (in</w:t>
      </w:r>
      <w:r>
        <w:t xml:space="preserve"> </w:t>
      </w:r>
      <w:r>
        <w:t xml:space="preserve">particular consumer associations) via a standardised reporting procedure via the NCAs’ websites.</w:t>
      </w:r>
      <w:r>
        <w:t xml:space="preserve"> </w:t>
      </w:r>
      <w:r>
        <w:t xml:space="preserve">NCAs should then be required to promptly analyse (including by engaging with) the website/seller</w:t>
      </w:r>
      <w:r>
        <w:t xml:space="preserve"> </w:t>
      </w:r>
      <w:r>
        <w:t xml:space="preserve">to better understand whether the offer is in fact a scam. If the products/services are not discontinued,</w:t>
      </w:r>
      <w:r>
        <w:t xml:space="preserve"> </w:t>
      </w:r>
      <w:r>
        <w:t xml:space="preserve">and if the NCA investigation concludes that they should be considered scams, NCAs should warn</w:t>
      </w:r>
      <w:r>
        <w:t xml:space="preserve"> </w:t>
      </w:r>
      <w:r>
        <w:t xml:space="preserve">consumers by entering such cases into a dedicated section/blacklist.</w:t>
      </w:r>
      <w:r>
        <w:br/>
      </w:r>
      <w:r>
        <w:t xml:space="preserve">In order to clarify the powers of NCAs that are already provided in MiFID, and to reinforce their</w:t>
      </w:r>
      <w:r>
        <w:t xml:space="preserve"> </w:t>
      </w:r>
      <w:r>
        <w:t xml:space="preserve">role in tackling scams from non-supervised entities, Member States should empower NCAs,</w:t>
      </w:r>
      <w:r>
        <w:t xml:space="preserve"> </w:t>
      </w:r>
      <w:r>
        <w:t xml:space="preserve">directly or via other national authorities (or legal channels), to limit access to the websites or</w:t>
      </w:r>
      <w:r>
        <w:t xml:space="preserve"> </w:t>
      </w:r>
      <w:r>
        <w:t xml:space="preserve">engage in legal procedures to this end, and, where appropriate, undertake other actions (request a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cease-and-desist order, request that the assets be frozen etc.)483. To the extent possible, NCAs</w:t>
      </w:r>
      <w:r>
        <w:t xml:space="preserve"> </w:t>
      </w:r>
      <w:r>
        <w:t xml:space="preserve">should be granted the following powers:</w:t>
      </w:r>
      <w:r>
        <w:t xml:space="preserve"> </w:t>
      </w:r>
      <w:r>
        <w:t xml:space="preserve">o To directly remove content or to restrict access to an online interface or to order</w:t>
      </w:r>
      <w:r>
        <w:t xml:space="preserve"> </w:t>
      </w:r>
      <w:r>
        <w:t xml:space="preserve">the explicit display of a warning to retail investors when they access an online</w:t>
      </w:r>
      <w:r>
        <w:t xml:space="preserve"> </w:t>
      </w:r>
      <w:r>
        <w:t xml:space="preserve">interface;</w:t>
      </w:r>
      <w:r>
        <w:br/>
      </w:r>
      <w:r>
        <w:t xml:space="preserve">o To order a hosting service provider to remove, disable or restrict access to an</w:t>
      </w:r>
      <w:r>
        <w:t xml:space="preserve"> </w:t>
      </w:r>
      <w:r>
        <w:t xml:space="preserve">online interface;</w:t>
      </w:r>
      <w:r>
        <w:br/>
      </w:r>
      <w:r>
        <w:t xml:space="preserve">o Where appropriate, to order domain registries or registrars to delete a fully</w:t>
      </w:r>
      <w:r>
        <w:t xml:space="preserve"> </w:t>
      </w:r>
      <w:r>
        <w:t xml:space="preserve">qualified domain name and to allow the competent authority concerned to</w:t>
      </w:r>
      <w:r>
        <w:t xml:space="preserve"> </w:t>
      </w:r>
      <w:r>
        <w:t xml:space="preserve">record such deletion.</w:t>
      </w:r>
    </w:p>
    <w:p>
      <w:pPr>
        <w:pStyle w:val="BodyText"/>
      </w:pPr>
      <w:r>
        <w:t xml:space="preserve">To ensure that retail investors have access to clear and easily understandable information on</w:t>
      </w:r>
      <w:r>
        <w:t xml:space="preserve"> </w:t>
      </w:r>
      <w:r>
        <w:t xml:space="preserve">investment fraud, information provided by NCAs, including the above-mentioned blacklists, would</w:t>
      </w:r>
      <w:r>
        <w:t xml:space="preserve"> </w:t>
      </w:r>
      <w:r>
        <w:t xml:space="preserve">be centralised on an EU-wide website. The EU-wide website, operated jointly by the ESAs,</w:t>
      </w:r>
      <w:r>
        <w:t xml:space="preserve"> </w:t>
      </w:r>
      <w:r>
        <w:t xml:space="preserve">would include information regarding warnings and information on scams, as well as relevant links</w:t>
      </w:r>
      <w:r>
        <w:t xml:space="preserve"> </w:t>
      </w:r>
      <w:r>
        <w:t xml:space="preserve">to national websites where consumers may turn in case of problems. Responsibility for the</w:t>
      </w:r>
      <w:r>
        <w:t xml:space="preserve"> </w:t>
      </w:r>
      <w:r>
        <w:t xml:space="preserve">information provided would remain with the NCAs that issue the warnings.</w:t>
      </w:r>
      <w:r>
        <w:t xml:space="preserve"> </w:t>
      </w:r>
      <w:r>
        <w:t xml:space="preserve">Benefits and costs</w:t>
      </w:r>
      <w:r>
        <w:t xml:space="preserve"> </w:t>
      </w:r>
      <w:r>
        <w:t xml:space="preserve">By preventing or quickly tackling investment frauds, this measure would benefit retail investors as</w:t>
      </w:r>
      <w:r>
        <w:t xml:space="preserve"> </w:t>
      </w:r>
      <w:r>
        <w:t xml:space="preserve">well as the overall economy. Investment fraud schemes result in substantial financial damage to</w:t>
      </w:r>
      <w:r>
        <w:t xml:space="preserve"> </w:t>
      </w:r>
      <w:r>
        <w:t xml:space="preserve">private individuals and companies. Even though no consolidated data is available on investment</w:t>
      </w:r>
      <w:r>
        <w:t xml:space="preserve"> </w:t>
      </w:r>
      <w:r>
        <w:t xml:space="preserve">fraud, Europol has dealt with cases amounting to millions of Euros484. These amounts represent not</w:t>
      </w:r>
      <w:r>
        <w:t xml:space="preserve"> </w:t>
      </w:r>
      <w:r>
        <w:t xml:space="preserve">only a loss for consumers and entities, but also cannot be invested in regulated financial markets</w:t>
      </w:r>
      <w:r>
        <w:t xml:space="preserve"> </w:t>
      </w:r>
      <w:r>
        <w:t xml:space="preserve">and support the CMU. Tackling scams and ensuring easier access to information for retail investors</w:t>
      </w:r>
      <w:r>
        <w:t xml:space="preserve"> </w:t>
      </w:r>
      <w:r>
        <w:t xml:space="preserve">would increase confidence in the financial system as a whole.</w:t>
      </w:r>
    </w:p>
    <w:p>
      <w:pPr>
        <w:pStyle w:val="BodyText"/>
      </w:pPr>
      <w:r>
        <w:t xml:space="preserve">This measure would not entail costs for the financial services industry, as no further requirements</w:t>
      </w:r>
      <w:r>
        <w:t xml:space="preserve"> </w:t>
      </w:r>
      <w:r>
        <w:t xml:space="preserve">would be imposed on undertakings. Industry would in fact benefit from investments being directed</w:t>
      </w:r>
      <w:r>
        <w:t xml:space="preserve"> </w:t>
      </w:r>
      <w:r>
        <w:t xml:space="preserve">towards legitimate channels. For NCAs, the costs incurred would not be expected to be</w:t>
      </w:r>
      <w:r>
        <w:t xml:space="preserve"> </w:t>
      </w:r>
      <w:r>
        <w:t xml:space="preserve">disproportionate, given that they already address such issues and inform/warn consumers.</w:t>
      </w:r>
      <w:r>
        <w:t xml:space="preserve"> </w:t>
      </w:r>
      <w:r>
        <w:t xml:space="preserve">Centralising the information on an EU website would imply an initial set up cost for the ESAs for</w:t>
      </w:r>
      <w:r>
        <w:t xml:space="preserve"> </w:t>
      </w:r>
      <w:r>
        <w:t xml:space="preserve">the development of the website and certain fixed maintenance costs, which could however build</w:t>
      </w:r>
    </w:p>
    <w:p>
      <w:pPr>
        <w:pStyle w:val="BodyText"/>
      </w:pPr>
      <w:r>
        <w:t xml:space="preserve">483 According to IOSCO ” The power to shut down or otherwise block illegal websites promptly, either</w:t>
      </w:r>
      <w:r>
        <w:t xml:space="preserve"> </w:t>
      </w:r>
      <w:r>
        <w:t xml:space="preserve">directly or via petition to a court, may prove to be an effective means of halting ongoing misconduct.”</w:t>
      </w:r>
      <w:r>
        <w:t xml:space="preserve"> </w:t>
      </w:r>
      <w:r>
        <w:t xml:space="preserve">See also FCA 2017 Consumer investments data review 2020 | FCA “We decide whether to take</w:t>
      </w:r>
      <w:r>
        <w:t xml:space="preserve"> </w:t>
      </w:r>
      <w:r>
        <w:t xml:space="preserve">enforcement action based on whether we believe there has been serious misconduct. We consider</w:t>
      </w:r>
      <w:r>
        <w:t xml:space="preserve"> </w:t>
      </w:r>
      <w:r>
        <w:t xml:space="preserve">factors such as the severity of the harm arising from the suspected misconduct, whether the</w:t>
      </w:r>
      <w:r>
        <w:t xml:space="preserve"> </w:t>
      </w:r>
      <w:r>
        <w:t xml:space="preserve">suspected misconduct has wider implications, the extent to which it may have involved lack of fitness</w:t>
      </w:r>
      <w:r>
        <w:t xml:space="preserve"> </w:t>
      </w:r>
      <w:r>
        <w:t xml:space="preserve">and the public interest in investigating the matter. This action includes issuing warning notices,</w:t>
      </w:r>
      <w:r>
        <w:t xml:space="preserve"> </w:t>
      </w:r>
      <w:r>
        <w:t xml:space="preserve">publishing consumer alerts, taking down websites, taking civil court action to stop activity and freeze</w:t>
      </w:r>
      <w:r>
        <w:t xml:space="preserve"> </w:t>
      </w:r>
      <w:r>
        <w:t xml:space="preserve">assets, insolvency proceedings and, for the most serious cases, criminal prosecution.”</w:t>
      </w:r>
      <w:r>
        <w:t xml:space="preserve"> </w:t>
      </w:r>
      <w:r>
        <w:t xml:space="preserve">484 Europol sources refer to individual cases of millions of euros:</w:t>
      </w:r>
    </w:p>
    <w:p>
      <w:pPr>
        <w:pStyle w:val="Compact"/>
        <w:numPr>
          <w:ilvl w:val="0"/>
          <w:numId w:val="1050"/>
        </w:numPr>
      </w:pPr>
      <w:r>
        <w:t xml:space="preserve">Fake investors busted in Belgium and France | Europol (europa.eu) - EUR 6 million scam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report_socta2017_1.pdf (europa.eu) - “one investigation revealed estimated profits of up to</w:t>
      </w:r>
      <w:r>
        <w:t xml:space="preserve"> </w:t>
      </w:r>
      <w:r>
        <w:t xml:space="preserve">EUR 3 billon generated”</w:t>
      </w:r>
    </w:p>
    <w:p>
      <w:pPr>
        <w:pStyle w:val="FirstParagraph"/>
      </w:pPr>
      <w:r>
        <w:t xml:space="preserve">234</w:t>
      </w:r>
    </w:p>
    <w:p>
      <w:pPr>
        <w:pStyle w:val="BodyText"/>
      </w:pPr>
      <w:r>
        <w:t xml:space="preserve">on similar tasks already performed by the ESAs. The cost would also be proportionate to the</w:t>
      </w:r>
      <w:r>
        <w:t xml:space="preserve"> </w:t>
      </w:r>
      <w:r>
        <w:t xml:space="preserve">benefits to the retail investors at EU level and would rely on information that is already known by</w:t>
      </w:r>
      <w:r>
        <w:t xml:space="preserve"> </w:t>
      </w:r>
      <w:r>
        <w:t xml:space="preserve">NCAs.</w:t>
      </w:r>
      <w:r>
        <w:br/>
      </w:r>
      <w:r>
        <w:t xml:space="preserve">Overall assessment</w:t>
      </w:r>
      <w:r>
        <w:t xml:space="preserve"> </w:t>
      </w:r>
      <w:r>
        <w:t xml:space="preserve">Overall, the measure can be expected to improve efficiency and effectiveness in addressing</w:t>
      </w:r>
      <w:r>
        <w:t xml:space="preserve"> </w:t>
      </w:r>
      <w:r>
        <w:t xml:space="preserve">fraudulent schemes and scams and preventing investment fraud by enabling NCAs to take swift</w:t>
      </w:r>
      <w:r>
        <w:t xml:space="preserve"> </w:t>
      </w:r>
      <w:r>
        <w:t xml:space="preserve">action. Consumers, industry, and capital markets in general will benefit, as NCA’s enforcement</w:t>
      </w:r>
      <w:r>
        <w:t xml:space="preserve"> </w:t>
      </w:r>
      <w:r>
        <w:t xml:space="preserve">actions will help increase trust in the financial system.</w:t>
      </w:r>
    </w:p>
    <w:p>
      <w:pPr>
        <w:pStyle w:val="BodyText"/>
      </w:pPr>
      <w:r>
        <w:t xml:space="preserve">Measure 3: Empower NCAs, ESMA and EIOPA to take timely and effective actions against</w:t>
      </w:r>
      <w:r>
        <w:t xml:space="preserve"> </w:t>
      </w:r>
      <w:r>
        <w:t xml:space="preserve">misleading marketing practices</w:t>
      </w:r>
      <w:r>
        <w:t xml:space="preserve"> </w:t>
      </w:r>
      <w:r>
        <w:t xml:space="preserve">In order to be able to fight potential misleading marketing practices, NCAs were empowered by</w:t>
      </w:r>
      <w:r>
        <w:t xml:space="preserve"> </w:t>
      </w:r>
      <w:r>
        <w:t xml:space="preserve">MIFD II to suspend the marketing or sale of financial instruments or structured deposits485, in or</w:t>
      </w:r>
      <w:r>
        <w:t xml:space="preserve"> </w:t>
      </w:r>
      <w:r>
        <w:t xml:space="preserve">from their Member State, when certain conditions are met486. NCAs were also granted the power</w:t>
      </w:r>
      <w:r>
        <w:t xml:space="preserve"> </w:t>
      </w:r>
      <w:r>
        <w:t xml:space="preserve">to take similar action on a precautionary basis before a financial instrument or structured deposit</w:t>
      </w:r>
      <w:r>
        <w:t xml:space="preserve"> </w:t>
      </w:r>
      <w:r>
        <w:t xml:space="preserve">has been marketed, distributed or sold to clients487. The exercise of such power was, however,</w:t>
      </w:r>
      <w:r>
        <w:t xml:space="preserve"> </w:t>
      </w:r>
      <w:r>
        <w:t xml:space="preserve">subject to strict conditions488. In addition, the current MIFIR regime allows ESMA, under certain</w:t>
      </w:r>
      <w:r>
        <w:t xml:space="preserve"> </w:t>
      </w:r>
      <w:r>
        <w:t xml:space="preserve">conditions489 to exercise temporary intervention powers, in situations where one or several NCAs</w:t>
      </w:r>
      <w:r>
        <w:t xml:space="preserve"> </w:t>
      </w:r>
      <w:r>
        <w:t xml:space="preserve">fail to appropriately address a given investor protection issue (for instance in case of cross-border</w:t>
      </w:r>
      <w:r>
        <w:t xml:space="preserve"> </w:t>
      </w:r>
      <w:r>
        <w:t xml:space="preserve">marketing communication).</w:t>
      </w:r>
      <w:r>
        <w:t xml:space="preserve"> </w:t>
      </w:r>
      <w:r>
        <w:t xml:space="preserve">The tight current legal framework is not sufficiently effective to allow NCAs to promptly take</w:t>
      </w:r>
      <w:r>
        <w:t xml:space="preserve"> </w:t>
      </w:r>
      <w:r>
        <w:t xml:space="preserve">action to prevent detrimental impacts for retail investors, in light of the rapid and continued</w:t>
      </w:r>
      <w:r>
        <w:t xml:space="preserve"> </w:t>
      </w:r>
      <w:r>
        <w:t xml:space="preserve">development and propagation of digital marketing communication and the significantly rising</w:t>
      </w:r>
      <w:r>
        <w:t xml:space="preserve"> </w:t>
      </w:r>
      <w:r>
        <w:t xml:space="preserve">phenomenon of aggressive marketing of complex/risky financial instruments and investment</w:t>
      </w:r>
      <w:r>
        <w:t xml:space="preserve"> </w:t>
      </w:r>
      <w:r>
        <w:t xml:space="preserve">services to retail clients490. The current complicated and time-consuming process does not allow,</w:t>
      </w:r>
      <w:r>
        <w:t xml:space="preserve"> </w:t>
      </w:r>
      <w:r>
        <w:t xml:space="preserve">for instance, to catch ephemeral (or short-lived) digital marketing content, accessible for an</w:t>
      </w:r>
      <w:r>
        <w:t xml:space="preserve"> </w:t>
      </w:r>
      <w:r>
        <w:t xml:space="preserve">extremely brief period (sometimes less than 24 hours) and designed to attract an immediate answer</w:t>
      </w:r>
      <w:r>
        <w:t xml:space="preserve"> </w:t>
      </w:r>
      <w:r>
        <w:t xml:space="preserve">from the user491. The current rules under MIFIR are also rather constraining and do not allow</w:t>
      </w:r>
      <w:r>
        <w:t xml:space="preserve"> </w:t>
      </w:r>
      <w:r>
        <w:t xml:space="preserve">ESMA to intervene promptly when one or more NCAs fail to appropriately address492 consumer</w:t>
      </w:r>
      <w:r>
        <w:t xml:space="preserve"> </w:t>
      </w:r>
      <w:r>
        <w:t xml:space="preserve">protection issues.</w:t>
      </w:r>
    </w:p>
    <w:p>
      <w:pPr>
        <w:pStyle w:val="BodyText"/>
      </w:pPr>
      <w:r>
        <w:t xml:space="preserve">485 See Article 69(2)(s) of MIFID II.</w:t>
      </w:r>
      <w:r>
        <w:t xml:space="preserve"> </w:t>
      </w:r>
      <w:r>
        <w:t xml:space="preserve">486 See Article 42(2) of MIFIR and Article 21 of delegated regulation (EU) 2017/567.</w:t>
      </w:r>
      <w:r>
        <w:t xml:space="preserve"> </w:t>
      </w:r>
      <w:r>
        <w:t xml:space="preserve">487 See Article 42(2), penultimate paragraph - MIFIR.</w:t>
      </w:r>
      <w:r>
        <w:br/>
      </w:r>
      <w:r>
        <w:t xml:space="preserve">488 See Article 42(3) MIFIR.</w:t>
      </w:r>
      <w:r>
        <w:t xml:space="preserve"> </w:t>
      </w:r>
      <w:r>
        <w:t xml:space="preserve">489 See Articles 40(2) to 40(5) of MIFIR.</w:t>
      </w:r>
      <w:r>
        <w:t xml:space="preserve"> </w:t>
      </w:r>
      <w:r>
        <w:t xml:space="preserve">490 See ESMA advice to European Commission – point 27, page 12.</w:t>
      </w:r>
      <w:r>
        <w:t xml:space="preserve"> </w:t>
      </w:r>
      <w:r>
        <w:t xml:space="preserve">491 See ESMA advice to European Commission – point 27, page 12 “Ephemeral (or short-lived) digital</w:t>
      </w:r>
      <w:r>
        <w:t xml:space="preserve"> </w:t>
      </w:r>
      <w:r>
        <w:t xml:space="preserve">marketing content is only accessible for an extremely brief period (sometimes less than 24 hours).</w:t>
      </w:r>
      <w:r>
        <w:t xml:space="preserve"> </w:t>
      </w:r>
      <w:r>
        <w:t xml:space="preserve">Supervisors need, especially in these types of cases, to be able to effectively and rapidly intervene on</w:t>
      </w:r>
      <w:r>
        <w:t xml:space="preserve"> </w:t>
      </w:r>
      <w:r>
        <w:t xml:space="preserve">“temporary” content that, for example, takes advantage of the fear of missing out (FOMO) and is</w:t>
      </w:r>
      <w:r>
        <w:t xml:space="preserve"> </w:t>
      </w:r>
      <w:r>
        <w:t xml:space="preserve">designed to elicit an immediate response from the user.”</w:t>
      </w:r>
      <w:r>
        <w:t xml:space="preserve"> </w:t>
      </w:r>
      <w:r>
        <w:t xml:space="preserve">492 See ESMA advice to European Commission – points 27 and 28, page 12.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In order to facilitate coordinated and consistent actions against aggressive marketing practices</w:t>
      </w:r>
      <w:r>
        <w:t xml:space="preserve"> </w:t>
      </w:r>
      <w:r>
        <w:t xml:space="preserve">across the EU, and especially to tackle aggressive marketing practices in a timely manner, the</w:t>
      </w:r>
      <w:r>
        <w:t xml:space="preserve"> </w:t>
      </w:r>
      <w:r>
        <w:t xml:space="preserve">proposed measure would:</w:t>
      </w:r>
      <w:r>
        <w:br/>
      </w:r>
      <w:r>
        <w:t xml:space="preserve">-</w:t>
      </w:r>
      <w:r>
        <w:t xml:space="preserve"> </w:t>
      </w:r>
      <w:r>
        <w:t xml:space="preserve">amend the conditions for intervention by NCAs493 to ensure that they can take timely</w:t>
      </w:r>
      <w:r>
        <w:t xml:space="preserve"> </w:t>
      </w:r>
      <w:r>
        <w:t xml:space="preserve">and effective action against misleading marketing practices (more swiftly than is</w:t>
      </w:r>
      <w:r>
        <w:t xml:space="preserve"> </w:t>
      </w:r>
      <w:r>
        <w:t xml:space="preserve">currently possible under the product intervention measures).</w:t>
      </w:r>
      <w:r>
        <w:t xml:space="preserve"> </w:t>
      </w:r>
      <w:r>
        <w:t xml:space="preserve">-</w:t>
      </w:r>
      <w:r>
        <w:t xml:space="preserve"> </w:t>
      </w:r>
      <w:r>
        <w:t xml:space="preserve">implement a clear notification system among NCAs that enables sharing of information</w:t>
      </w:r>
      <w:r>
        <w:t xml:space="preserve"> </w:t>
      </w:r>
      <w:r>
        <w:t xml:space="preserve">when one individual NCA has taken action in connection with misleading or aggressive</w:t>
      </w:r>
      <w:r>
        <w:t xml:space="preserve"> </w:t>
      </w:r>
      <w:r>
        <w:t xml:space="preserve">marketing communication or practices. This would include publishing all adopted</w:t>
      </w:r>
      <w:r>
        <w:t xml:space="preserve"> </w:t>
      </w:r>
      <w:r>
        <w:t xml:space="preserve">measures on a single page on ESMA’s website dedicated to NCAs, with links to the</w:t>
      </w:r>
      <w:r>
        <w:t xml:space="preserve"> </w:t>
      </w:r>
      <w:r>
        <w:t xml:space="preserve">individual NCA’s website. A simplified version of the information could be shared</w:t>
      </w:r>
      <w:r>
        <w:t xml:space="preserve"> </w:t>
      </w:r>
      <w:r>
        <w:t xml:space="preserve">with consumers on the EU-wide website, as mentioned in measure 2 above.</w:t>
      </w:r>
      <w:r>
        <w:br/>
      </w:r>
      <w:r>
        <w:t xml:space="preserve">-</w:t>
      </w:r>
      <w:r>
        <w:t xml:space="preserve"> </w:t>
      </w:r>
      <w:r>
        <w:t xml:space="preserve">mandate ESMA to coordinate actions related to misleading or aggressive marketing</w:t>
      </w:r>
      <w:r>
        <w:t xml:space="preserve"> </w:t>
      </w:r>
      <w:r>
        <w:t xml:space="preserve">communications and practices across Member States, where needed.</w:t>
      </w:r>
      <w:r>
        <w:br/>
      </w:r>
      <w:r>
        <w:t xml:space="preserve">-</w:t>
      </w:r>
      <w:r>
        <w:t xml:space="preserve"> </w:t>
      </w:r>
      <w:r>
        <w:t xml:space="preserve">amend the existing ESMA intervention power under MIFIR494 to allow for a more</w:t>
      </w:r>
      <w:r>
        <w:t xml:space="preserve"> </w:t>
      </w:r>
      <w:r>
        <w:t xml:space="preserve">streamlined and faster procedure for ESMA/EIOPA to intervene in cases of</w:t>
      </w:r>
      <w:r>
        <w:t xml:space="preserve"> </w:t>
      </w:r>
      <w:r>
        <w:t xml:space="preserve">problematic cross-border marketing, in particular where an NCA fails to take</w:t>
      </w:r>
      <w:r>
        <w:t xml:space="preserve"> </w:t>
      </w:r>
      <w:r>
        <w:t xml:space="preserve">appropriate actions. This would require the review of the conditions under which</w:t>
      </w:r>
      <w:r>
        <w:t xml:space="preserve"> </w:t>
      </w:r>
      <w:r>
        <w:t xml:space="preserve">ESMA may use such powers, especially to ensure a more rapid intervention495.</w:t>
      </w:r>
      <w:r>
        <w:br/>
      </w:r>
      <w:r>
        <w:t xml:space="preserve">Benefits and costs</w:t>
      </w:r>
      <w:r>
        <w:t xml:space="preserve"> </w:t>
      </w:r>
      <w:r>
        <w:t xml:space="preserve">This measure would benefit relevant competent authorities in their supervision activities and</w:t>
      </w:r>
      <w:r>
        <w:t xml:space="preserve"> </w:t>
      </w:r>
      <w:r>
        <w:t xml:space="preserve">ultimately investors, as they would be better protected by the strengthened capacity of the relevant</w:t>
      </w:r>
      <w:r>
        <w:t xml:space="preserve"> </w:t>
      </w:r>
      <w:r>
        <w:t xml:space="preserve">competent authorities to react in a timely manner in case of a misleading or an aggressive marketing</w:t>
      </w:r>
      <w:r>
        <w:t xml:space="preserve"> </w:t>
      </w:r>
      <w:r>
        <w:t xml:space="preserve">communication or practices in circumstances when timing is of the essence. Both NCAs and</w:t>
      </w:r>
      <w:r>
        <w:t xml:space="preserve"> </w:t>
      </w:r>
      <w:r>
        <w:t xml:space="preserve">investors would become better aware of such actions, also in cross-border situations. The</w:t>
      </w:r>
      <w:r>
        <w:t xml:space="preserve"> </w:t>
      </w:r>
      <w:r>
        <w:t xml:space="preserve">coordination and intervention of ESMA would ultimately also be beneficial by helping harmonise</w:t>
      </w:r>
      <w:r>
        <w:t xml:space="preserve"> </w:t>
      </w:r>
      <w:r>
        <w:t xml:space="preserve">actions on marketing communications and practices across Member States and thus ensuring that</w:t>
      </w:r>
      <w:r>
        <w:t xml:space="preserve"> </w:t>
      </w:r>
      <w:r>
        <w:t xml:space="preserve">bad practices can be better and more rapidly tackled by NCAs or ESMA.</w:t>
      </w:r>
      <w:r>
        <w:br/>
      </w:r>
      <w:r>
        <w:t xml:space="preserve">The measure would not create any costs for the industry but might negatively impact profits for</w:t>
      </w:r>
      <w:r>
        <w:t xml:space="preserve"> </w:t>
      </w:r>
      <w:r>
        <w:t xml:space="preserve">some financial intermediaries that rely on this form of communication with potential investors.</w:t>
      </w:r>
      <w:r>
        <w:t xml:space="preserve"> </w:t>
      </w:r>
      <w:r>
        <w:t xml:space="preserve">The obligation for NCAs to intervene in cases of aggressive marketing practices already exists in</w:t>
      </w:r>
      <w:r>
        <w:t xml:space="preserve"> </w:t>
      </w:r>
      <w:r>
        <w:t xml:space="preserve">the current rules, however, with the proposed amendments, NCAs are allowed to act in a more</w:t>
      </w:r>
      <w:r>
        <w:t xml:space="preserve"> </w:t>
      </w:r>
      <w:r>
        <w:t xml:space="preserve">timely and efficient manner. As a result, the requirement itself does not impose additional burden</w:t>
      </w:r>
      <w:r>
        <w:t xml:space="preserve"> </w:t>
      </w:r>
      <w:r>
        <w:t xml:space="preserve">to the NCAs per se, and NCAs can decide how they will apply their powers to intervene against</w:t>
      </w:r>
      <w:r>
        <w:t xml:space="preserve"> </w:t>
      </w:r>
      <w:r>
        <w:t xml:space="preserve">misleading marketing practices. In order to ensure more efficiency, technology-based detection,</w:t>
      </w:r>
      <w:r>
        <w:t xml:space="preserve"> </w:t>
      </w:r>
      <w:r>
        <w:t xml:space="preserve">investigatory techniques and qualified staff may be considered. NCAs may have to incur one-off</w:t>
      </w:r>
      <w:r>
        <w:t xml:space="preserve"> </w:t>
      </w:r>
      <w:r>
        <w:t xml:space="preserve">and further ongoing costs depending on the volume of identified issues and the level of intensity</w:t>
      </w:r>
    </w:p>
    <w:p>
      <w:pPr>
        <w:pStyle w:val="BodyText"/>
      </w:pPr>
      <w:r>
        <w:t xml:space="preserve">493 Under MiFIR (Article.42).</w:t>
      </w:r>
      <w:r>
        <w:br/>
      </w:r>
      <w:r>
        <w:t xml:space="preserve">494 See Article 40 of MIFIR</w:t>
      </w:r>
      <w:r>
        <w:t xml:space="preserve"> </w:t>
      </w:r>
      <w:r>
        <w:t xml:space="preserve">495 As currently provided to NCAs under Article 69(2)(k) of MiFID II.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of supervision496. In particular, access to social media posts is currently challenging, due to their</w:t>
      </w:r>
      <w:r>
        <w:t xml:space="preserve"> </w:t>
      </w:r>
      <w:r>
        <w:t xml:space="preserve">high number and constant change, but also because they are not always accessible by regulators497,</w:t>
      </w:r>
      <w:r>
        <w:t xml:space="preserve"> </w:t>
      </w:r>
      <w:r>
        <w:t xml:space="preserve">as they are targeted to specific audiences and not visible publicly.</w:t>
      </w:r>
      <w:r>
        <w:t xml:space="preserve"> </w:t>
      </w:r>
      <w:r>
        <w:t xml:space="preserve">The coordination powers for the ESAs would imply a potential reallocation of priorities to perform</w:t>
      </w:r>
      <w:r>
        <w:t xml:space="preserve"> </w:t>
      </w:r>
      <w:r>
        <w:t xml:space="preserve">the relevant tasks. Depending on the volume and frequency of the coordinated actions, some</w:t>
      </w:r>
      <w:r>
        <w:t xml:space="preserve"> </w:t>
      </w:r>
      <w:r>
        <w:t xml:space="preserve">additional costs related to additional resources may be required. The intervention power granted to</w:t>
      </w:r>
      <w:r>
        <w:t xml:space="preserve"> </w:t>
      </w:r>
      <w:r>
        <w:t xml:space="preserve">ESMA would be limited to extraordinary cross-border cases, when coordination among NCAs is</w:t>
      </w:r>
      <w:r>
        <w:t xml:space="preserve"> </w:t>
      </w:r>
      <w:r>
        <w:t xml:space="preserve">deemed not effective; this should not require more tools and human resources, given the resources</w:t>
      </w:r>
      <w:r>
        <w:t xml:space="preserve"> </w:t>
      </w:r>
      <w:r>
        <w:t xml:space="preserve">already dedicated to NCA cooperation. Some potential re-allocation of resources may be needed</w:t>
      </w:r>
      <w:r>
        <w:t xml:space="preserve"> </w:t>
      </w:r>
      <w:r>
        <w:t xml:space="preserve">in extraordinary cases.</w:t>
      </w:r>
      <w:r>
        <w:br/>
      </w:r>
      <w:r>
        <w:t xml:space="preserve">Overall assessment</w:t>
      </w:r>
      <w:r>
        <w:t xml:space="preserve"> </w:t>
      </w:r>
      <w:r>
        <w:t xml:space="preserve">This measure would help retail investors to access more reliable marketing communication</w:t>
      </w:r>
      <w:r>
        <w:t xml:space="preserve"> </w:t>
      </w:r>
      <w:r>
        <w:t xml:space="preserve">throughout the EU by avoiding, or at least limiting, the spread of misleading marketing information</w:t>
      </w:r>
      <w:r>
        <w:t xml:space="preserve"> </w:t>
      </w:r>
      <w:r>
        <w:t xml:space="preserve">which might result in them taking inappropriate investment decisions, in particular for investors</w:t>
      </w:r>
      <w:r>
        <w:t xml:space="preserve"> </w:t>
      </w:r>
      <w:r>
        <w:t xml:space="preserve">investing on their own. This measure should also help to address regulatory and supervisory</w:t>
      </w:r>
      <w:r>
        <w:t xml:space="preserve"> </w:t>
      </w:r>
      <w:r>
        <w:t xml:space="preserve">arbitrage and facilitate enforcement cooperation amongst EU competent authorities and ESMA and</w:t>
      </w:r>
      <w:r>
        <w:t xml:space="preserve"> </w:t>
      </w:r>
      <w:r>
        <w:t xml:space="preserve">should enhance overall investor protection across the EU. The efficiency of this measure may</w:t>
      </w:r>
      <w:r>
        <w:t xml:space="preserve"> </w:t>
      </w:r>
      <w:r>
        <w:t xml:space="preserve">however depend on the technology-based detection and investigatory techniques used by</w:t>
      </w:r>
      <w:r>
        <w:t xml:space="preserve"> </w:t>
      </w:r>
      <w:r>
        <w:t xml:space="preserve">competent authorities and on the expertise of their staff. There may be one-off costs for NCAs and</w:t>
      </w:r>
      <w:r>
        <w:t xml:space="preserve"> </w:t>
      </w:r>
      <w:r>
        <w:t xml:space="preserve">extra costs, depending on the volume of identified issues and the intensity of supervision decided</w:t>
      </w:r>
      <w:r>
        <w:t xml:space="preserve"> </w:t>
      </w:r>
      <w:r>
        <w:t xml:space="preserve">by the national competent authorities.</w:t>
      </w:r>
    </w:p>
    <w:p>
      <w:pPr>
        <w:pStyle w:val="BodyText"/>
      </w:pPr>
      <w:r>
        <w:t xml:space="preserve">Measure 4: Empower ESMA, EIOPA and NCAs to impose on firms the systematic use of risk</w:t>
      </w:r>
      <w:r>
        <w:t xml:space="preserve"> </w:t>
      </w:r>
      <w:r>
        <w:t xml:space="preserve">warnings for specific financial instruments</w:t>
      </w:r>
    </w:p>
    <w:p>
      <w:pPr>
        <w:pStyle w:val="BodyText"/>
      </w:pPr>
      <w:r>
        <w:t xml:space="preserve">496 According to IOSCO report on retail distribution and digitalisation, this is a problem that most</w:t>
      </w:r>
      <w:r>
        <w:t xml:space="preserve"> </w:t>
      </w:r>
      <w:r>
        <w:t xml:space="preserve">regulators currently face: while over 60% of firms active in online distribution and marketing plan to</w:t>
      </w:r>
      <w:r>
        <w:t xml:space="preserve"> </w:t>
      </w:r>
      <w:r>
        <w:t xml:space="preserve">increase they activities, less than 25% of the regulators worldwide planned to increase headcount for the</w:t>
      </w:r>
      <w:r>
        <w:t xml:space="preserve"> </w:t>
      </w:r>
      <w:r>
        <w:t xml:space="preserve">supervision in this area based on end 2019/early 2020 survey numbers.</w:t>
      </w:r>
      <w:r>
        <w:t xml:space="preserve"> </w:t>
      </w:r>
      <w:r>
        <w:t xml:space="preserve">497 IOSCO Report on Retail Distribution and Digitalisation highlights on pages 22 and 23 that it is</w:t>
      </w:r>
      <w:r>
        <w:t xml:space="preserve"> </w:t>
      </w:r>
      <w:r>
        <w:t xml:space="preserve">particularly difficult to catch misleading or at times illegal recommendations or promotions through</w:t>
      </w:r>
      <w:r>
        <w:t xml:space="preserve"> </w:t>
      </w:r>
      <w:r>
        <w:t xml:space="preserve">digital means, especially via closed channel in social media …. Detecting the existence of the activity in an</w:t>
      </w:r>
      <w:r>
        <w:t xml:space="preserve"> </w:t>
      </w:r>
      <w:r>
        <w:t xml:space="preserve">online environment is the greatest regulatory challenge. Many online marketing initiatives are targeted</w:t>
      </w:r>
      <w:r>
        <w:t xml:space="preserve"> </w:t>
      </w:r>
      <w:r>
        <w:t xml:space="preserve">towards specific audiences and therefore, not visible to every user and regulator, making it possible for</w:t>
      </w:r>
      <w:r>
        <w:t xml:space="preserve"> </w:t>
      </w:r>
      <w:r>
        <w:t xml:space="preserve">misleading information to spread out of regulatory sight. There is an overload of information and</w:t>
      </w:r>
      <w:r>
        <w:t xml:space="preserve"> </w:t>
      </w:r>
      <w:r>
        <w:t xml:space="preserve">information is continuously changing Members surveyed mostly rely on consumer complaints for</w:t>
      </w:r>
      <w:r>
        <w:t xml:space="preserve"> </w:t>
      </w:r>
      <w:r>
        <w:t xml:space="preserve">investigation and enforcement purposes for misleading and illegal promotions [which according to some</w:t>
      </w:r>
      <w:r>
        <w:t xml:space="preserve"> </w:t>
      </w:r>
      <w:r>
        <w:t xml:space="preserve">IOSCO members are relatively low]. In addition, when an individual has signed up to a particular firm or</w:t>
      </w:r>
      <w:r>
        <w:t xml:space="preserve"> </w:t>
      </w:r>
      <w:r>
        <w:t xml:space="preserve">platform, the ability for direct communication can include unsolicited messaging beyond what the</w:t>
      </w:r>
      <w:r>
        <w:t xml:space="preserve"> </w:t>
      </w:r>
      <w:r>
        <w:t xml:space="preserve">individual has signed up to receive. This may be difficult for IOSCO members to monitor as the platforms</w:t>
      </w:r>
      <w:r>
        <w:t xml:space="preserve"> </w:t>
      </w:r>
      <w:r>
        <w:t xml:space="preserve">often have embedded social media aspects such as chat functions. IOSCO also points on the cross-border</w:t>
      </w:r>
      <w:r>
        <w:t xml:space="preserve"> </w:t>
      </w:r>
      <w:r>
        <w:t xml:space="preserve">challenges as online marketing enables unlicensed firms to enter the market relatively easily with minimal</w:t>
      </w:r>
      <w:r>
        <w:t xml:space="preserve"> </w:t>
      </w:r>
      <w:r>
        <w:t xml:space="preserve">or no physical presence.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Digital marketing of investment products and services is growing throughout the EU. Such</w:t>
      </w:r>
      <w:r>
        <w:t xml:space="preserve"> </w:t>
      </w:r>
      <w:r>
        <w:t xml:space="preserve">techniques can reach many potential investors, especially via social media498. The use of such</w:t>
      </w:r>
      <w:r>
        <w:t xml:space="preserve"> </w:t>
      </w:r>
      <w:r>
        <w:t xml:space="preserve">techniques may help provide information about investment opportunities across a wide range of</w:t>
      </w:r>
      <w:r>
        <w:t xml:space="preserve"> </w:t>
      </w:r>
      <w:r>
        <w:t xml:space="preserve">financial products499, however it may also expose inexperienced and vulnerable investors to</w:t>
      </w:r>
      <w:r>
        <w:t xml:space="preserve"> </w:t>
      </w:r>
      <w:r>
        <w:t xml:space="preserve">products that are not aligned to their risk profile and personal circumstances500. In its advice to the</w:t>
      </w:r>
      <w:r>
        <w:t xml:space="preserve"> </w:t>
      </w:r>
      <w:r>
        <w:t xml:space="preserve">Commission, ESMA observed that social media campaigns very often promote riskier products.</w:t>
      </w:r>
      <w:r>
        <w:t xml:space="preserve"> </w:t>
      </w:r>
      <w:r>
        <w:t xml:space="preserve">ESMA also highlighted that, in the case of the product intervention measures addressing contracts</w:t>
      </w:r>
      <w:r>
        <w:t xml:space="preserve"> </w:t>
      </w:r>
      <w:r>
        <w:t xml:space="preserve">for difference (CFDs), there is an obligation to include a risk warning (also on social media). Under</w:t>
      </w:r>
      <w:r>
        <w:t xml:space="preserve"> </w:t>
      </w:r>
      <w:r>
        <w:t xml:space="preserve">the current rules, however, no such risk warning is imposed for other risky financial services or</w:t>
      </w:r>
      <w:r>
        <w:t xml:space="preserve"> </w:t>
      </w:r>
      <w:r>
        <w:t xml:space="preserve">instruments at EU level. As not all NCAs have a mandate to impose a risk warning for risky</w:t>
      </w:r>
      <w:r>
        <w:t xml:space="preserve"> </w:t>
      </w:r>
      <w:r>
        <w:t xml:space="preserve">financial products, there is a patchwork of different approaches across the EU.</w:t>
      </w:r>
      <w:r>
        <w:br/>
      </w:r>
      <w:r>
        <w:t xml:space="preserve">In order to raise retail investors’ awareness about risky products that may be referred to or</w:t>
      </w:r>
      <w:r>
        <w:t xml:space="preserve"> </w:t>
      </w:r>
      <w:r>
        <w:t xml:space="preserve">recommended in marketing communications, and to help them make better and informed choices,</w:t>
      </w:r>
      <w:r>
        <w:t xml:space="preserve"> </w:t>
      </w:r>
      <w:r>
        <w:t xml:space="preserve">this measure proposes to:</w:t>
      </w:r>
      <w:r>
        <w:br/>
      </w:r>
      <w:r>
        <w:t xml:space="preserve">-</w:t>
      </w:r>
      <w:r>
        <w:t xml:space="preserve"> </w:t>
      </w:r>
      <w:r>
        <w:t xml:space="preserve">mandate NCAs to impose on firms, on the basis of ESMA’s guidelines, the systematic</w:t>
      </w:r>
      <w:r>
        <w:t xml:space="preserve"> </w:t>
      </w:r>
      <w:r>
        <w:t xml:space="preserve">use of risk warnings for specific risky financial products in their social media messages</w:t>
      </w:r>
      <w:r>
        <w:t xml:space="preserve"> </w:t>
      </w:r>
      <w:r>
        <w:t xml:space="preserve">and other marketing communications and disclosure documents related to such</w:t>
      </w:r>
      <w:r>
        <w:t xml:space="preserve"> </w:t>
      </w:r>
      <w:r>
        <w:t xml:space="preserve">financial instruments.</w:t>
      </w:r>
      <w:r>
        <w:br/>
      </w:r>
      <w:r>
        <w:t xml:space="preserve">-</w:t>
      </w:r>
      <w:r>
        <w:t xml:space="preserve"> </w:t>
      </w:r>
      <w:r>
        <w:t xml:space="preserve">mandate ESMA and EIOPA to issue guidelines on risk warnings to be used in the</w:t>
      </w:r>
      <w:r>
        <w:t xml:space="preserve"> </w:t>
      </w:r>
      <w:r>
        <w:t xml:space="preserve">context of marketing of risky financial products, to further harmonise the content and</w:t>
      </w:r>
      <w:r>
        <w:t xml:space="preserve"> </w:t>
      </w:r>
      <w:r>
        <w:t xml:space="preserve">format of the risk warnings;</w:t>
      </w:r>
      <w:r>
        <w:t xml:space="preserve"> </w:t>
      </w:r>
      <w:r>
        <w:t xml:space="preserve">-</w:t>
      </w:r>
      <w:r>
        <w:t xml:space="preserve"> </w:t>
      </w:r>
      <w:r>
        <w:t xml:space="preserve">empower ESMA and EIOPA to ensure risk warnings are implemented consistently,</w:t>
      </w:r>
      <w:r>
        <w:t xml:space="preserve"> </w:t>
      </w:r>
      <w:r>
        <w:t xml:space="preserve">especially in cases of cross-border marketing communications. ESMA/EIOPA should</w:t>
      </w:r>
      <w:r>
        <w:t xml:space="preserve"> </w:t>
      </w:r>
      <w:r>
        <w:t xml:space="preserve">be able to intervene if NCAs fail to implement those risk warnings consistently;</w:t>
      </w:r>
      <w:r>
        <w:t xml:space="preserve"> </w:t>
      </w:r>
      <w:r>
        <w:t xml:space="preserve">-</w:t>
      </w:r>
      <w:r>
        <w:t xml:space="preserve"> </w:t>
      </w:r>
      <w:r>
        <w:t xml:space="preserve">mandate ESMA and EIOPA to provide guidelines on risky financial products.</w:t>
      </w:r>
      <w:r>
        <w:t xml:space="preserve"> </w:t>
      </w:r>
      <w:r>
        <w:t xml:space="preserve">Benefits and costs</w:t>
      </w:r>
      <w:r>
        <w:t xml:space="preserve"> </w:t>
      </w:r>
      <w:r>
        <w:t xml:space="preserve">This measure would benefit investors as it would raise retail investors’ risk awareness in relation</w:t>
      </w:r>
      <w:r>
        <w:t xml:space="preserve"> </w:t>
      </w:r>
      <w:r>
        <w:t xml:space="preserve">to risky products, in all disclosure documents, including in marketing communications and</w:t>
      </w:r>
      <w:r>
        <w:t xml:space="preserve"> </w:t>
      </w:r>
      <w:r>
        <w:t xml:space="preserve">practices which are often the first information to reach investors. A harmonised approach, via ESA</w:t>
      </w:r>
      <w:r>
        <w:t xml:space="preserve"> </w:t>
      </w:r>
      <w:r>
        <w:t xml:space="preserve">involvement, would ensure this measure is applied consistently, and would ease the compliance</w:t>
      </w:r>
      <w:r>
        <w:t xml:space="preserve"> </w:t>
      </w:r>
      <w:r>
        <w:t xml:space="preserve">burden for firms, thus improving overall efficiency. This measure would also serve as a further</w:t>
      </w:r>
      <w:r>
        <w:t xml:space="preserve"> </w:t>
      </w:r>
      <w:r>
        <w:t xml:space="preserve">deterrent against inappropriately offering excessively risky products to retail clients with the wrong</w:t>
      </w:r>
      <w:r>
        <w:t xml:space="preserve"> </w:t>
      </w:r>
      <w:r>
        <w:t xml:space="preserve">profile.</w:t>
      </w:r>
    </w:p>
    <w:p>
      <w:pPr>
        <w:pStyle w:val="BodyText"/>
      </w:pPr>
      <w:r>
        <w:t xml:space="preserve">498 ESMA advice on retail investor protection page 37.</w:t>
      </w:r>
      <w:r>
        <w:t xml:space="preserve"> </w:t>
      </w:r>
      <w:r>
        <w:t xml:space="preserve">499 See IOSCO report on retail distribution and digitalisation, page 1.</w:t>
      </w:r>
      <w:r>
        <w:br/>
      </w:r>
      <w:r>
        <w:t xml:space="preserve">500 This is further evidenced in a study by the Dutch AFM and further supported by a study conducted on</w:t>
      </w:r>
      <w:r>
        <w:t xml:space="preserve"> </w:t>
      </w:r>
      <w:r>
        <w:t xml:space="preserve">behalf of the UK’s FCA suggesting that newer investors might not be matching their investments’ risk level</w:t>
      </w:r>
      <w:r>
        <w:t xml:space="preserve"> </w:t>
      </w:r>
      <w:r>
        <w:t xml:space="preserve">to their risk appetite. Extract from the AFM study:</w:t>
      </w:r>
      <w:r>
        <w:t xml:space="preserve"> </w:t>
      </w:r>
      <w:r>
        <w:t xml:space="preserve">(AFM 2021 Annual Report: a strong year with a market record, rapid increase in number of retail investors</w:t>
      </w:r>
      <w:r>
        <w:t xml:space="preserve"> </w:t>
      </w:r>
      <w:r>
        <w:t xml:space="preserve">and shift of trading to Amsterdam | April | AFM: pg. 64) “one in three independent investors are taking</w:t>
      </w:r>
      <w:r>
        <w:t xml:space="preserve"> </w:t>
      </w:r>
      <w:r>
        <w:t xml:space="preserve">unnecessary risks. Their trading behaviour is suboptimal. Some of the investors have a tendency to trade</w:t>
      </w:r>
      <w:r>
        <w:t xml:space="preserve"> </w:t>
      </w:r>
      <w:r>
        <w:t xml:space="preserve">often, incurring unnecessary costs. In addition, a lack of diversification across instruments and regions</w:t>
      </w:r>
      <w:r>
        <w:t xml:space="preserve"> </w:t>
      </w:r>
      <w:r>
        <w:t xml:space="preserve">results in portfolios with a poor risk-return ratio, as does trading in high-risk products. Around 12% could</w:t>
      </w:r>
      <w:r>
        <w:t xml:space="preserve"> </w:t>
      </w:r>
      <w:r>
        <w:t xml:space="preserve">find themselves in financial difficulties”.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This measure would not generate any material costs for the industry, as it would only require</w:t>
      </w:r>
      <w:r>
        <w:t xml:space="preserve"> </w:t>
      </w:r>
      <w:r>
        <w:t xml:space="preserve">financial intermediaries to adjust their disclosures, including in marketing communications, to the</w:t>
      </w:r>
      <w:r>
        <w:t xml:space="preserve"> </w:t>
      </w:r>
      <w:r>
        <w:t xml:space="preserve">new risk warnings imposed by the NCAs or ESMA/EIOPA.</w:t>
      </w:r>
    </w:p>
    <w:p>
      <w:pPr>
        <w:pStyle w:val="BodyText"/>
      </w:pPr>
      <w:r>
        <w:t xml:space="preserve">Costs for NCAs are expected to be limited, especially if risk warnings are further standardised.</w:t>
      </w:r>
      <w:r>
        <w:t xml:space="preserve"> </w:t>
      </w:r>
      <w:r>
        <w:t xml:space="preserve">No significant impact is expected on the resources of ESMA and EIOPA, as their involvement and</w:t>
      </w:r>
      <w:r>
        <w:t xml:space="preserve"> </w:t>
      </w:r>
      <w:r>
        <w:t xml:space="preserve">roles under this option can be performed as part of their existing regulatory and supervisory work.</w:t>
      </w:r>
    </w:p>
    <w:p>
      <w:pPr>
        <w:pStyle w:val="BodyText"/>
      </w:pPr>
      <w:r>
        <w:t xml:space="preserve">Overall assessment</w:t>
      </w:r>
      <w:r>
        <w:t xml:space="preserve"> </w:t>
      </w:r>
      <w:r>
        <w:t xml:space="preserve">This measure would increase the effectiveness of retail investor protection by ensuring warnings</w:t>
      </w:r>
      <w:r>
        <w:t xml:space="preserve"> </w:t>
      </w:r>
      <w:r>
        <w:t xml:space="preserve">are visible and accessible for risky products across all types of communication material. In addition,</w:t>
      </w:r>
      <w:r>
        <w:t xml:space="preserve"> </w:t>
      </w:r>
      <w:r>
        <w:t xml:space="preserve">the exchange of information between Member States through EU-wide coordination would ensure</w:t>
      </w:r>
      <w:r>
        <w:t xml:space="preserve"> </w:t>
      </w:r>
      <w:r>
        <w:t xml:space="preserve">the same level of retail investor protection where services are provided cross-border.</w:t>
      </w:r>
      <w:r>
        <w:br/>
      </w:r>
      <w:r>
        <w:t xml:space="preserve">Measure 5: Impose specific requirements to facilitate access to complaints handling for</w:t>
      </w:r>
      <w:r>
        <w:t xml:space="preserve"> </w:t>
      </w:r>
      <w:r>
        <w:t xml:space="preserve">consumers</w:t>
      </w:r>
      <w:r>
        <w:br/>
      </w:r>
      <w:r>
        <w:t xml:space="preserve">Eurobarometer no. 509 501 on retail financial services and products indicated that retail clients (42%</w:t>
      </w:r>
      <w:r>
        <w:t xml:space="preserve"> </w:t>
      </w:r>
      <w:r>
        <w:t xml:space="preserve">on EU average) often do not complain if they feel that their rights were breached; the survey</w:t>
      </w:r>
      <w:r>
        <w:t xml:space="preserve"> </w:t>
      </w:r>
      <w:r>
        <w:t xml:space="preserve">findings indicate that complaint possibilities may not be sufficiently known or easily accessible to</w:t>
      </w:r>
      <w:r>
        <w:t xml:space="preserve"> </w:t>
      </w:r>
      <w:r>
        <w:t xml:space="preserve">clients.</w:t>
      </w:r>
      <w:r>
        <w:t xml:space="preserve"> </w:t>
      </w:r>
      <w:r>
        <w:t xml:space="preserve">As set out in the Joint ESAs report on digital finance502, only some EU directives include specific</w:t>
      </w:r>
      <w:r>
        <w:t xml:space="preserve"> </w:t>
      </w:r>
      <w:r>
        <w:t xml:space="preserve">requirements for complaints handling and redress503 mechanisms, leaving scope for different</w:t>
      </w:r>
      <w:r>
        <w:t xml:space="preserve"> </w:t>
      </w:r>
      <w:r>
        <w:t xml:space="preserve">approaches at national level. There is thus a risk that retail investors will not receive the same</w:t>
      </w:r>
      <w:r>
        <w:t xml:space="preserve"> </w:t>
      </w:r>
      <w:r>
        <w:t xml:space="preserve">protection across sectors and across different Member States.</w:t>
      </w:r>
      <w:r>
        <w:br/>
      </w:r>
      <w:r>
        <w:t xml:space="preserve">The Joint ESAs report on cross-border supervision504 also alerted the Commission to the risks of</w:t>
      </w:r>
      <w:r>
        <w:t xml:space="preserve"> </w:t>
      </w:r>
      <w:r>
        <w:t xml:space="preserve">confusion, depending on whether cross-border services are offered directly by a firm (free</w:t>
      </w:r>
      <w:r>
        <w:t xml:space="preserve"> </w:t>
      </w:r>
      <w:r>
        <w:t xml:space="preserve">provision of services – FPS) or via a branch (freedom of establishment – FOE). This may confuse</w:t>
      </w:r>
      <w:r>
        <w:t xml:space="preserve"> </w:t>
      </w:r>
      <w:r>
        <w:t xml:space="preserve">end-investors as to whom they should address their complaints in case of problems.</w:t>
      </w:r>
      <w:r>
        <w:br/>
      </w:r>
      <w:r>
        <w:t xml:space="preserve">This measure proposes to:</w:t>
      </w:r>
      <w:r>
        <w:br/>
      </w:r>
      <w:r>
        <w:t xml:space="preserve">-</w:t>
      </w:r>
      <w:r>
        <w:t xml:space="preserve"> </w:t>
      </w:r>
      <w:r>
        <w:t xml:space="preserve">require firms wishing to contract with retail clients in another Member State to establish</w:t>
      </w:r>
      <w:r>
        <w:t xml:space="preserve"> </w:t>
      </w:r>
      <w:r>
        <w:t xml:space="preserve">appropriate procedures and arrangements, including digital communication channels,</w:t>
      </w:r>
      <w:r>
        <w:t xml:space="preserve"> </w:t>
      </w:r>
      <w:r>
        <w:t xml:space="preserve">to ensure that they deal properly with clients’ complaints. Those measures should allow</w:t>
      </w:r>
    </w:p>
    <w:p>
      <w:pPr>
        <w:pStyle w:val="BodyText"/>
      </w:pPr>
      <w:r>
        <w:t xml:space="preserve">501 Retail Financial Services and Products - October 2022 - - Eurobarometer survey (europa.eu)</w:t>
      </w:r>
      <w:r>
        <w:t xml:space="preserve"> </w:t>
      </w:r>
      <w:r>
        <w:t xml:space="preserve">502 Joint ESAs Report on digital finance.pdf - EN (1).pdf</w:t>
      </w:r>
      <w:r>
        <w:t xml:space="preserve"> </w:t>
      </w:r>
      <w:r>
        <w:t xml:space="preserve">503 Considerations relating to redress mechanisms and facilitation of access to alternative dispute</w:t>
      </w:r>
      <w:r>
        <w:t xml:space="preserve"> </w:t>
      </w:r>
      <w:r>
        <w:t xml:space="preserve">resolution mechanisms by consumers, were not addressed in this strategy. The issue of improving redress</w:t>
      </w:r>
      <w:r>
        <w:t xml:space="preserve"> </w:t>
      </w:r>
      <w:r>
        <w:t xml:space="preserve">procedures will be subject to the review of the Alternative Dispute Resolution Directive to be carried out</w:t>
      </w:r>
      <w:r>
        <w:t xml:space="preserve"> </w:t>
      </w:r>
      <w:r>
        <w:t xml:space="preserve">in the course of 2023.</w:t>
      </w:r>
      <w:r>
        <w:br/>
      </w:r>
      <w:r>
        <w:t xml:space="preserve">504 Final Report on cross-border supervision for retail financial services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investors to file complaints in the same language in which the communication material</w:t>
      </w:r>
      <w:r>
        <w:t xml:space="preserve"> </w:t>
      </w:r>
      <w:r>
        <w:t xml:space="preserve">and services were provided505.</w:t>
      </w:r>
      <w:r>
        <w:br/>
      </w:r>
      <w:r>
        <w:t xml:space="preserve">-</w:t>
      </w:r>
      <w:r>
        <w:t xml:space="preserve"> </w:t>
      </w:r>
      <w:r>
        <w:t xml:space="preserve">require firms to specify and clearly disclose to the customer the relevant contact</w:t>
      </w:r>
      <w:r>
        <w:t xml:space="preserve"> </w:t>
      </w:r>
      <w:r>
        <w:t xml:space="preserve">information of the firm or branch responsible for providing the services, as well as the</w:t>
      </w:r>
      <w:r>
        <w:t xml:space="preserve"> </w:t>
      </w:r>
      <w:r>
        <w:t xml:space="preserve">relevant competent authority.</w:t>
      </w:r>
      <w:r>
        <w:br/>
      </w:r>
      <w:r>
        <w:t xml:space="preserve">Benefits and Costs</w:t>
      </w:r>
      <w:r>
        <w:t xml:space="preserve"> </w:t>
      </w:r>
      <w:r>
        <w:t xml:space="preserve">The proposed measures would benefit retail investors by ensuring they have clear information and</w:t>
      </w:r>
      <w:r>
        <w:t xml:space="preserve"> </w:t>
      </w:r>
      <w:r>
        <w:t xml:space="preserve">instructions and adequate access to communication channels and complaints mechanisms.</w:t>
      </w:r>
      <w:r>
        <w:t xml:space="preserve"> </w:t>
      </w:r>
      <w:r>
        <w:t xml:space="preserve">Establishing appropriate procedures and arrangements, including digital communication channels,</w:t>
      </w:r>
      <w:r>
        <w:t xml:space="preserve"> </w:t>
      </w:r>
      <w:r>
        <w:t xml:space="preserve">to ensure that they deal properly with clients’ complaints, will help retail investors access firms</w:t>
      </w:r>
      <w:r>
        <w:t xml:space="preserve"> </w:t>
      </w:r>
      <w:r>
        <w:t xml:space="preserve">and allow them to communicate in their own language, both during the provision of services and</w:t>
      </w:r>
      <w:r>
        <w:t xml:space="preserve"> </w:t>
      </w:r>
      <w:r>
        <w:t xml:space="preserve">also in case they encounter issues.</w:t>
      </w:r>
      <w:r>
        <w:t xml:space="preserve"> </w:t>
      </w:r>
      <w:r>
        <w:t xml:space="preserve">In terms of costs, it is expected that firms will incur costs to put the necessary resources in place.</w:t>
      </w:r>
      <w:r>
        <w:t xml:space="preserve"> </w:t>
      </w:r>
      <w:r>
        <w:t xml:space="preserve">However, the costs of the specific requirements would not be significant compared to the costs that</w:t>
      </w:r>
      <w:r>
        <w:t xml:space="preserve"> </w:t>
      </w:r>
      <w:r>
        <w:t xml:space="preserve">firms already have incurred to set-up mechanisms for complaints handling and those they</w:t>
      </w:r>
      <w:r>
        <w:t xml:space="preserve"> </w:t>
      </w:r>
      <w:r>
        <w:t xml:space="preserve">anticipated as part of their strategic plans when considering whether to provide cross-border</w:t>
      </w:r>
      <w:r>
        <w:t xml:space="preserve"> </w:t>
      </w:r>
      <w:r>
        <w:t xml:space="preserve">services.</w:t>
      </w:r>
      <w:r>
        <w:t xml:space="preserve"> </w:t>
      </w:r>
      <w:r>
        <w:t xml:space="preserve">Overall assessment</w:t>
      </w:r>
      <w:r>
        <w:br/>
      </w:r>
      <w:r>
        <w:t xml:space="preserve">The proposed measure would seek to ensure easy access of retail investors to complaints handling</w:t>
      </w:r>
      <w:r>
        <w:t xml:space="preserve"> </w:t>
      </w:r>
      <w:r>
        <w:t xml:space="preserve">mechanisms and strengthen consumer protection. It should increase confidence in the EU market</w:t>
      </w:r>
      <w:r>
        <w:t xml:space="preserve"> </w:t>
      </w:r>
      <w:r>
        <w:t xml:space="preserve">for retail investment services and consequently strengthen the CMU.</w:t>
      </w:r>
      <w:r>
        <w:t xml:space="preserve"> </w:t>
      </w:r>
      <w:r>
        <w:t xml:space="preserve">Summary</w:t>
      </w:r>
      <w:r>
        <w:t xml:space="preserve"> </w:t>
      </w:r>
      <w:r>
        <w:t xml:space="preserve">All the measures under Option 2 are complementary and together would contribute to strengthening</w:t>
      </w:r>
      <w:r>
        <w:t xml:space="preserve"> </w:t>
      </w:r>
      <w:r>
        <w:t xml:space="preserve">supervisory enforcement in the EU. Stronger supervision addressing scams and aggressive</w:t>
      </w:r>
      <w:r>
        <w:t xml:space="preserve"> </w:t>
      </w:r>
      <w:r>
        <w:t xml:space="preserve">marketing practices would ensure that informed investors can better make decisions that should</w:t>
      </w:r>
      <w:r>
        <w:t xml:space="preserve"> </w:t>
      </w:r>
      <w:r>
        <w:t xml:space="preserve">benefit them. At the same time, strengthening the supervisory toolbox of NCAs and better</w:t>
      </w:r>
      <w:r>
        <w:t xml:space="preserve"> </w:t>
      </w:r>
      <w:r>
        <w:t xml:space="preserve">informing consumers in ways that enable them to act when they encounter issues would help align</w:t>
      </w:r>
      <w:r>
        <w:t xml:space="preserve"> </w:t>
      </w:r>
      <w:r>
        <w:t xml:space="preserve">the interests of consumers and firms, ensuring high quality services and products.</w:t>
      </w:r>
      <w:r>
        <w:br/>
      </w:r>
      <w:r>
        <w:t xml:space="preserve">The measures proposed would be in line with the Commission’s overarching goal of promoting an</w:t>
      </w:r>
      <w:r>
        <w:t xml:space="preserve"> </w:t>
      </w:r>
      <w:r>
        <w:t xml:space="preserve">economy that works for people.</w:t>
      </w:r>
    </w:p>
    <w:p>
      <w:pPr>
        <w:pStyle w:val="BodyText"/>
      </w:pPr>
      <w:r>
        <w:t xml:space="preserve">505 A similar provision exists under UCITS Article 15, which requires measures to be in place that allow</w:t>
      </w:r>
      <w:r>
        <w:t xml:space="preserve"> </w:t>
      </w:r>
      <w:r>
        <w:t xml:space="preserve">investors to file complaints in the official language or one of the official languages of their Member State.</w:t>
      </w:r>
      <w:r>
        <w:t xml:space="preserve"> </w:t>
      </w:r>
      <w:r>
        <w:t xml:space="preserve">Article 15: ‘Management companies or, where relevant, investment companies shall take measures in</w:t>
      </w:r>
      <w:r>
        <w:t xml:space="preserve"> </w:t>
      </w:r>
      <w:r>
        <w:t xml:space="preserve">accordance with Article 92 and establish appropriate procedures and arrangements to ensure that they</w:t>
      </w:r>
      <w:r>
        <w:t xml:space="preserve"> </w:t>
      </w:r>
      <w:r>
        <w:t xml:space="preserve">deal properly with investor complaints and that there are no restrictions on investors exercising their</w:t>
      </w:r>
      <w:r>
        <w:t xml:space="preserve"> </w:t>
      </w:r>
      <w:r>
        <w:t xml:space="preserve">rights in the event that the management company is authorised in a Member State other than the UCITS</w:t>
      </w:r>
      <w:r>
        <w:t xml:space="preserve"> </w:t>
      </w:r>
      <w:r>
        <w:t xml:space="preserve">home Member State. Those measures shall allow investors to file complaints in the official language or</w:t>
      </w:r>
      <w:r>
        <w:t xml:space="preserve"> </w:t>
      </w:r>
      <w:r>
        <w:t xml:space="preserve">one of the official languages of their Member State. Management companies shall also establish</w:t>
      </w:r>
      <w:r>
        <w:t xml:space="preserve"> </w:t>
      </w:r>
      <w:r>
        <w:t xml:space="preserve">appropriate procedures and arrangements to make information available at the request of the public or</w:t>
      </w:r>
      <w:r>
        <w:t xml:space="preserve"> </w:t>
      </w:r>
      <w:r>
        <w:t xml:space="preserve">the competent authorities of the UCITS home Member State.’.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S01</w:t>
      </w:r>
      <w:r>
        <w:t xml:space="preserve"> </w:t>
      </w:r>
      <w:r>
        <w:t xml:space="preserve">Increased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investors to take</w:t>
      </w:r>
      <w:r>
        <w:t xml:space="preserve"> </w:t>
      </w:r>
      <w:r>
        <w:t xml:space="preserve">well-informed</w:t>
      </w:r>
      <w:r>
        <w:t xml:space="preserve"> </w:t>
      </w:r>
      <w:r>
        <w:t xml:space="preserve">investment</w:t>
      </w:r>
      <w:r>
        <w:t xml:space="preserve"> </w:t>
      </w:r>
      <w:r>
        <w:t xml:space="preserve">decisions</w:t>
      </w:r>
      <w:r>
        <w:t xml:space="preserve"> </w:t>
      </w:r>
      <w:r>
        <w:t xml:space="preserve">SO2 Alignment of</w:t>
      </w:r>
      <w:r>
        <w:t xml:space="preserve"> </w:t>
      </w:r>
      <w:r>
        <w:t xml:space="preserve">interests</w:t>
      </w:r>
      <w:r>
        <w:t xml:space="preserve"> </w:t>
      </w:r>
      <w:r>
        <w:t xml:space="preserve">between</w:t>
      </w:r>
      <w:r>
        <w:t xml:space="preserve"> </w:t>
      </w:r>
      <w:r>
        <w:t xml:space="preserve">retail investor and</w:t>
      </w:r>
      <w:r>
        <w:t xml:space="preserve"> </w:t>
      </w:r>
      <w:r>
        <w:t xml:space="preserve">firms</w:t>
      </w:r>
      <w:r>
        <w:t xml:space="preserve"> </w:t>
      </w:r>
      <w:r>
        <w:t xml:space="preserve">SO3 Offer of</w:t>
      </w:r>
      <w:r>
        <w:t xml:space="preserve"> </w:t>
      </w:r>
      <w:r>
        <w:t xml:space="preserve">cost-effective</w:t>
      </w:r>
      <w:r>
        <w:t xml:space="preserve"> </w:t>
      </w:r>
      <w:r>
        <w:t xml:space="preserve">products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51"/>
        </w:numPr>
      </w:pPr>
      <w:r>
        <w:t xml:space="preserve">2.2 Cross-border supervision</w:t>
      </w:r>
      <w:r>
        <w:br/>
      </w:r>
      <w:r>
        <w:t xml:space="preserve">Option</w:t>
      </w:r>
      <w:r>
        <w:t xml:space="preserve"> </w:t>
      </w:r>
      <w:r>
        <w:t xml:space="preserve">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Option 1 -</w:t>
      </w:r>
      <w:r>
        <w:t xml:space="preserve"> </w:t>
      </w:r>
      <w:r>
        <w:t xml:space="preserve">Baseline</w:t>
      </w:r>
      <w:r>
        <w:t xml:space="preserve"> </w:t>
      </w:r>
      <w:r>
        <w:t xml:space="preserve">Do nothing to change the legal framework – rely on existing enforcement</w:t>
      </w:r>
      <w:r>
        <w:t xml:space="preserve"> </w:t>
      </w:r>
      <w:r>
        <w:t xml:space="preserve">mechanisms to ensure that the existing rules are correctly applied</w:t>
      </w:r>
      <w:r>
        <w:t xml:space="preserve"> </w:t>
      </w:r>
      <w:r>
        <w:t xml:space="preserve">Option 2</w:t>
      </w:r>
      <w:r>
        <w:t xml:space="preserve"> </w:t>
      </w:r>
      <w:r>
        <w:t xml:space="preserve">Improve home/host relationships and protect consumers in situations of</w:t>
      </w:r>
      <w:r>
        <w:t xml:space="preserve"> </w:t>
      </w:r>
      <w:r>
        <w:t xml:space="preserve">cross-border provision of services</w:t>
      </w:r>
      <w:r>
        <w:t xml:space="preserve"> </w:t>
      </w:r>
      <w:r>
        <w:t xml:space="preserve">Measure 1 – Enhance and accelerate the process of cooperation of home and</w:t>
      </w:r>
      <w:r>
        <w:t xml:space="preserve"> </w:t>
      </w:r>
      <w:r>
        <w:t xml:space="preserve">host NCAs to ensure effective supervision of cross-border service providers</w:t>
      </w:r>
      <w:r>
        <w:t xml:space="preserve"> </w:t>
      </w:r>
      <w:r>
        <w:t xml:space="preserve">Measure 2 – Improve safeguards in cross-border supervision of services to</w:t>
      </w:r>
      <w:r>
        <w:t xml:space="preserve"> </w:t>
      </w:r>
      <w:r>
        <w:t xml:space="preserve">avoid jurisdiction shopping</w:t>
      </w:r>
    </w:p>
    <w:p>
      <w:pPr>
        <w:pStyle w:val="FirstParagraph"/>
      </w:pPr>
      <w:r>
        <w:t xml:space="preserve">2.1.1 What are the impacts of the options?</w:t>
      </w:r>
      <w:r>
        <w:t xml:space="preserve"> </w:t>
      </w:r>
      <w:r>
        <w:t xml:space="preserve">Option 2: Improve home/host relationships and protect consumers in situations of cross-</w:t>
      </w:r>
      <w:r>
        <w:t xml:space="preserve"> </w:t>
      </w:r>
      <w:r>
        <w:t xml:space="preserve">border provision of services</w:t>
      </w:r>
      <w:r>
        <w:t xml:space="preserve"> </w:t>
      </w:r>
      <w:r>
        <w:t xml:space="preserve">The modalities of option 2 would involve a combination of several measures.</w:t>
      </w:r>
      <w:r>
        <w:t xml:space="preserve"> </w:t>
      </w:r>
      <w:r>
        <w:t xml:space="preserve">Measure 1: Enhance and accelerate the process of cooperation of home and host NCA to</w:t>
      </w:r>
      <w:r>
        <w:t xml:space="preserve"> </w:t>
      </w:r>
      <w:r>
        <w:t xml:space="preserve">ensure effective supervision of cross border service providers</w:t>
      </w:r>
    </w:p>
    <w:p>
      <w:pPr>
        <w:pStyle w:val="BodyText"/>
      </w:pPr>
      <w:r>
        <w:t xml:space="preserve">Under this measure, the Commission would propose a series of actions to ease cooperation between</w:t>
      </w:r>
      <w:r>
        <w:t xml:space="preserve"> </w:t>
      </w:r>
      <w:r>
        <w:t xml:space="preserve">NCAs in cases of cross-border provision of investment services, notably to enhance supervision.</w:t>
      </w:r>
      <w:r>
        <w:t xml:space="preserve"> </w:t>
      </w:r>
      <w:r>
        <w:t xml:space="preserve">Ultimately, those actions would seek to foster confidence in the single market and strengthen the</w:t>
      </w:r>
      <w:r>
        <w:t xml:space="preserve"> </w:t>
      </w:r>
      <w:r>
        <w:t xml:space="preserve">Capital Markets Union.</w:t>
      </w:r>
    </w:p>
    <w:p>
      <w:pPr>
        <w:pStyle w:val="BodyText"/>
      </w:pPr>
      <w:r>
        <w:t xml:space="preserve">Article 86 MiFID provides a key tool for coordination of action in cases of alleged cross-border</w:t>
      </w:r>
      <w:r>
        <w:t xml:space="preserve"> </w:t>
      </w:r>
      <w:r>
        <w:t xml:space="preserve">breaches of Union law. However, evidence collected from ESMA’s 2021 Technical Advice on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sanctions under MiFID/MiFIR506, as well as supervisory experience have shown that a high</w:t>
      </w:r>
      <w:r>
        <w:t xml:space="preserve"> </w:t>
      </w:r>
      <w:r>
        <w:t xml:space="preserve">burden of proof is needed for host NCAs to demonstrate they have “clear and demonstrable</w:t>
      </w:r>
      <w:r>
        <w:t xml:space="preserve"> </w:t>
      </w:r>
      <w:r>
        <w:t xml:space="preserve">grounds” for believing there is an infringement of MiFID II, before they can take the measures.</w:t>
      </w:r>
      <w:r>
        <w:t xml:space="preserve"> </w:t>
      </w:r>
      <w:r>
        <w:t xml:space="preserve">There are often lengthy interactions between host and home NCAs and the process is made more</w:t>
      </w:r>
      <w:r>
        <w:t xml:space="preserve"> </w:t>
      </w:r>
      <w:r>
        <w:t xml:space="preserve">complex by the fact that host NCAs have no supervisory powers nor access to records and</w:t>
      </w:r>
      <w:r>
        <w:t xml:space="preserve"> </w:t>
      </w:r>
      <w:r>
        <w:t xml:space="preserve">information to allow them to assess firms’ compliance with the relevant requirements.</w:t>
      </w:r>
    </w:p>
    <w:p>
      <w:pPr>
        <w:pStyle w:val="BodyText"/>
      </w:pPr>
      <w:r>
        <w:t xml:space="preserve">According to a survey507 conducted among national authorities that have used (partly or in full) the</w:t>
      </w:r>
      <w:r>
        <w:t xml:space="preserve"> </w:t>
      </w:r>
      <w:r>
        <w:t xml:space="preserve">provisions under Article 86 of MiFID, the strict rules lengthen the time necessary to finalise the</w:t>
      </w:r>
      <w:r>
        <w:t xml:space="preserve"> </w:t>
      </w:r>
      <w:r>
        <w:t xml:space="preserve">procedure; softening the conditions to trigger an Article 86 procedure would help shorten the</w:t>
      </w:r>
      <w:r>
        <w:t xml:space="preserve"> </w:t>
      </w:r>
      <w:r>
        <w:t xml:space="preserve">process and significantly reduce the harm to end-investors caused by potentially unlawful activities.</w:t>
      </w:r>
      <w:r>
        <w:t xml:space="preserve"> </w:t>
      </w:r>
      <w:r>
        <w:t xml:space="preserve">All NCAs refer to ESMA’s March 2021 technical advice on sanctions under MiFID II/MiFIR,</w:t>
      </w:r>
      <w:r>
        <w:t xml:space="preserve"> </w:t>
      </w:r>
      <w:r>
        <w:t xml:space="preserve">which proposes to facilitate the conditions for host NCAs to trigger Article 86 of MiFID given that</w:t>
      </w:r>
      <w:r>
        <w:t xml:space="preserve"> </w:t>
      </w:r>
      <w:r>
        <w:t xml:space="preserve">the current procedure is considered too burdensome and ineffective508.</w:t>
      </w:r>
    </w:p>
    <w:p>
      <w:pPr>
        <w:pStyle w:val="BodyText"/>
      </w:pPr>
      <w:r>
        <w:t xml:space="preserve">The following amendments to MiFID Article 86 should allow to accelerate and facilitate</w:t>
      </w:r>
      <w:r>
        <w:t xml:space="preserve"> </w:t>
      </w:r>
      <w:r>
        <w:t xml:space="preserve">cooperation between NCAs, if a host NCA suspects a firm active on its territory via passporting</w:t>
      </w:r>
      <w:r>
        <w:t xml:space="preserve"> </w:t>
      </w:r>
      <w:r>
        <w:t xml:space="preserve">may be breaching Union Law:</w:t>
      </w:r>
      <w:r>
        <w:t xml:space="preserve"> </w:t>
      </w:r>
      <w:r>
        <w:t xml:space="preserve">1. Easing the conditions under which the mechanism can be triggered, by shifting away</w:t>
      </w:r>
      <w:r>
        <w:t xml:space="preserve"> </w:t>
      </w:r>
      <w:r>
        <w:t xml:space="preserve">from ‘clear and demonstrable grounds’ to ‘reasonable grounds’509, e.g. linked to</w:t>
      </w:r>
      <w:r>
        <w:t xml:space="preserve"> </w:t>
      </w:r>
      <w:r>
        <w:t xml:space="preserve">complaints, or detrimental behaviour, and streamlining the procedure by setting firm</w:t>
      </w:r>
      <w:r>
        <w:t xml:space="preserve"> </w:t>
      </w:r>
      <w:r>
        <w:t xml:space="preserve">and tight deadlines for the NCAs to react.</w:t>
      </w:r>
      <w:r>
        <w:t xml:space="preserve"> </w:t>
      </w:r>
      <w:r>
        <w:t xml:space="preserve">2. Requiring that the triggering of Article 86 is transmitted to the NCAs of all host</w:t>
      </w:r>
      <w:r>
        <w:t xml:space="preserve"> </w:t>
      </w:r>
      <w:r>
        <w:t xml:space="preserve">Member States where the firm operates, so that they are informed in time where the</w:t>
      </w:r>
      <w:r>
        <w:t xml:space="preserve"> </w:t>
      </w:r>
      <w:r>
        <w:t xml:space="preserve">relevant firm is passporting into their jurisdiction. This would allow NCAs to monitor</w:t>
      </w:r>
      <w:r>
        <w:t xml:space="preserve"> </w:t>
      </w:r>
      <w:r>
        <w:t xml:space="preserve">and anticipate the existence in their market of breaches found by other host NCAs.</w:t>
      </w:r>
      <w:r>
        <w:t xml:space="preserve"> </w:t>
      </w:r>
      <w:r>
        <w:t xml:space="preserve">3. Introducing an opt-in mechanism through which host NCAs that observe similar issues</w:t>
      </w:r>
      <w:r>
        <w:t xml:space="preserve"> </w:t>
      </w:r>
      <w:r>
        <w:t xml:space="preserve">from the same firm can refer to an already launched Article 86 procedure, without</w:t>
      </w:r>
    </w:p>
    <w:p>
      <w:pPr>
        <w:pStyle w:val="BodyText"/>
      </w:pPr>
      <w:r>
        <w:t xml:space="preserve">506 ESMA Advice on sanctions under MiFID/MiFIR</w:t>
      </w:r>
      <w:r>
        <w:t xml:space="preserve"> </w:t>
      </w:r>
      <w:r>
        <w:t xml:space="preserve">507 Snap survey conducted with the 5 national authorities that have started or completed an Article 86</w:t>
      </w:r>
      <w:r>
        <w:t xml:space="preserve"> </w:t>
      </w:r>
      <w:r>
        <w:t xml:space="preserve">procedure.</w:t>
      </w:r>
      <w:r>
        <w:br/>
      </w:r>
      <w:r>
        <w:t xml:space="preserve">508 Resources: 3 respondents replied that significant resources are required without specifying the</w:t>
      </w:r>
      <w:r>
        <w:t xml:space="preserve"> </w:t>
      </w:r>
      <w:r>
        <w:t xml:space="preserve">number of working days required (they estimated the involvement between 2 to 5 FTEs per proceeding),</w:t>
      </w:r>
      <w:r>
        <w:t xml:space="preserve"> </w:t>
      </w:r>
      <w:r>
        <w:t xml:space="preserve">2 respondents replied respectively 43 and 150 man-days per proceeding,</w:t>
      </w:r>
      <w:r>
        <w:br/>
      </w:r>
      <w:r>
        <w:t xml:space="preserve">Timing: 4 of the 5 respondents stated that the process takes from six months to over one year not</w:t>
      </w:r>
      <w:r>
        <w:t xml:space="preserve"> </w:t>
      </w:r>
      <w:r>
        <w:t xml:space="preserve">taking into account the time required for accumulating findings and to qualify clear and demonstrable</w:t>
      </w:r>
      <w:r>
        <w:t xml:space="preserve"> </w:t>
      </w:r>
      <w:r>
        <w:t xml:space="preserve">reasons. Taking into consideration this time can increase significantly the duration of the process.</w:t>
      </w:r>
      <w:r>
        <w:t xml:space="preserve"> </w:t>
      </w:r>
      <w:r>
        <w:t xml:space="preserve">Finally, 1 respondent could not estimate a duration for the process as it had not gone through a</w:t>
      </w:r>
      <w:r>
        <w:t xml:space="preserve"> </w:t>
      </w:r>
      <w:r>
        <w:t xml:space="preserve">complete article 86 procedure but stater that part of the reason for this is the prohibitive investment</w:t>
      </w:r>
      <w:r>
        <w:t xml:space="preserve"> </w:t>
      </w:r>
      <w:r>
        <w:t xml:space="preserve">in time and resources that was anticipated.</w:t>
      </w:r>
      <w:r>
        <w:br/>
      </w:r>
      <w:r>
        <w:t xml:space="preserve">509 A similar amendment was introduced in the AIFMD review proposal from the Commission, in Article</w:t>
      </w:r>
      <w:r>
        <w:t xml:space="preserve"> </w:t>
      </w:r>
      <w:r>
        <w:t xml:space="preserve">50(5): 5. Where the competent authorities of one Member State have reasonable grounds to suspect that</w:t>
      </w:r>
      <w:r>
        <w:t xml:space="preserve"> </w:t>
      </w:r>
      <w:r>
        <w:t xml:space="preserve">acts contrary to this Directive are being or have been carried out by an AIFM not subject to supervision of</w:t>
      </w:r>
      <w:r>
        <w:t xml:space="preserve"> </w:t>
      </w:r>
      <w:r>
        <w:t xml:space="preserve">those competent authorities, they shall notify ESMA and the competent authorities of the home and host</w:t>
      </w:r>
      <w:r>
        <w:t xml:space="preserve"> </w:t>
      </w:r>
      <w:r>
        <w:t xml:space="preserve">Member States of the AIFM concerned thereof in as specific a manner as possible (…)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having to go through the whole process, and leverage on demonstrations made by the</w:t>
      </w:r>
      <w:r>
        <w:t xml:space="preserve"> </w:t>
      </w:r>
      <w:r>
        <w:t xml:space="preserve">first NCA to take action.</w:t>
      </w:r>
      <w:r>
        <w:br/>
      </w:r>
      <w:r>
        <w:t xml:space="preserve">4. Clarify that, beyond transmitting information about potential wrongdoings of a firm to</w:t>
      </w:r>
      <w:r>
        <w:t xml:space="preserve"> </w:t>
      </w:r>
      <w:r>
        <w:t xml:space="preserve">home NCAs, host NCAs can request home NCAs to formally look into a firm they</w:t>
      </w:r>
      <w:r>
        <w:t xml:space="preserve"> </w:t>
      </w:r>
      <w:r>
        <w:t xml:space="preserve">suspect, based on reasonable grounds, to be acting in breach of Union law.</w:t>
      </w:r>
      <w:r>
        <w:t xml:space="preserve"> </w:t>
      </w:r>
      <w:r>
        <w:t xml:space="preserve">5. Linking Article 86 to the setting up of an ESMA collaboration platform.</w:t>
      </w:r>
    </w:p>
    <w:p>
      <w:pPr>
        <w:pStyle w:val="BodyText"/>
      </w:pPr>
      <w:r>
        <w:t xml:space="preserve">Considering that the IDD provides for less strict and more flexible cooperation mechanisms</w:t>
      </w:r>
      <w:r>
        <w:t xml:space="preserve"> </w:t>
      </w:r>
      <w:r>
        <w:t xml:space="preserve">compared to those of MIFID, alleviating the grounds for intervention by the host authority</w:t>
      </w:r>
      <w:r>
        <w:t xml:space="preserve"> </w:t>
      </w:r>
      <w:r>
        <w:t xml:space="preserve">(proposal 1 above) would effectively mean an alignment of MiFID to IDD’s less restrictive test.</w:t>
      </w:r>
      <w:r>
        <w:t xml:space="preserve"> </w:t>
      </w:r>
      <w:r>
        <w:t xml:space="preserve">The remaining measures (immediate circulation to EIOPA and other MS, deadlines for reaction,</w:t>
      </w:r>
      <w:r>
        <w:t xml:space="preserve"> </w:t>
      </w:r>
      <w:r>
        <w:t xml:space="preserve">coordination group and opt-in mechanisms, inspections) might also be included in IDD to facilitate</w:t>
      </w:r>
      <w:r>
        <w:t xml:space="preserve"> </w:t>
      </w:r>
      <w:r>
        <w:t xml:space="preserve">the cooperation and ensure regulatory alignment.</w:t>
      </w:r>
      <w:r>
        <w:br/>
      </w:r>
      <w:r>
        <w:t xml:space="preserve">In order to further strengthen the cooperation between home and host NCAs, and building on</w:t>
      </w:r>
      <w:r>
        <w:t xml:space="preserve"> </w:t>
      </w:r>
      <w:r>
        <w:t xml:space="preserve">proposals already made by the Commission in the context of MiCA with regard to the authorisation</w:t>
      </w:r>
      <w:r>
        <w:t xml:space="preserve"> </w:t>
      </w:r>
      <w:r>
        <w:t xml:space="preserve">of crypto-asset service providers(CASPs)510, host NCAs and the ESAs, in situations when more</w:t>
      </w:r>
      <w:r>
        <w:t xml:space="preserve"> </w:t>
      </w:r>
      <w:r>
        <w:t xml:space="preserve">host Member States are involved, would have the possibility to require the home NCA to review</w:t>
      </w:r>
      <w:r>
        <w:t xml:space="preserve"> </w:t>
      </w:r>
      <w:r>
        <w:t xml:space="preserve">whether the conditions under which a firm has been authorised are still met (e.g. adequate level of</w:t>
      </w:r>
      <w:r>
        <w:t xml:space="preserve"> </w:t>
      </w:r>
      <w:r>
        <w:t xml:space="preserve">resources, consistency of the operations with the initially declared target market, ability to handle</w:t>
      </w:r>
      <w:r>
        <w:t xml:space="preserve"> </w:t>
      </w:r>
      <w:r>
        <w:t xml:space="preserve">complaints from countries where the firm’s products are distributed, etc.). The home NCA would</w:t>
      </w:r>
      <w:r>
        <w:t xml:space="preserve"> </w:t>
      </w:r>
      <w:r>
        <w:t xml:space="preserve">then be required to provide evidence of the checks performed and of potential action taken in light</w:t>
      </w:r>
      <w:r>
        <w:t xml:space="preserve"> </w:t>
      </w:r>
      <w:r>
        <w:t xml:space="preserve">of the assessment.</w:t>
      </w:r>
      <w:r>
        <w:t xml:space="preserve"> </w:t>
      </w:r>
      <w:r>
        <w:t xml:space="preserve">Where cooperation between home and host NCAs remains difficult and does not allow resolution</w:t>
      </w:r>
      <w:r>
        <w:t xml:space="preserve"> </w:t>
      </w:r>
      <w:r>
        <w:t xml:space="preserve">of particular cross-border cases affecting retail investors, NCAs should be able to count on the</w:t>
      </w:r>
      <w:r>
        <w:t xml:space="preserve"> </w:t>
      </w:r>
      <w:r>
        <w:t xml:space="preserve">ESAs to provide for adequate mediation and solution. Article 152b of Solvency II provides for a</w:t>
      </w:r>
      <w:r>
        <w:t xml:space="preserve"> </w:t>
      </w:r>
      <w:r>
        <w:t xml:space="preserve">collaboration platform between NCAs and EIOPA. Under Solvency II, a platform is set up when</w:t>
      </w:r>
      <w:r>
        <w:t xml:space="preserve"> </w:t>
      </w:r>
      <w:r>
        <w:t xml:space="preserve">EIOPA and relevant national supervisory authorities see merit in strengthening cooperation in view</w:t>
      </w:r>
      <w:r>
        <w:t xml:space="preserve"> </w:t>
      </w:r>
      <w:r>
        <w:t xml:space="preserve">of issues with a specific undertaking. Once a cooperation platform has been established and is</w:t>
      </w:r>
      <w:r>
        <w:t xml:space="preserve"> </w:t>
      </w:r>
      <w:r>
        <w:t xml:space="preserve">organised by EIOPA, the home supervisor and the relevant host supervisory authorities in which</w:t>
      </w:r>
      <w:r>
        <w:t xml:space="preserve"> </w:t>
      </w:r>
      <w:r>
        <w:t xml:space="preserve">the insurance undertaking concerned offers insurance products under FPS and FOE, would</w:t>
      </w:r>
      <w:r>
        <w:t xml:space="preserve"> </w:t>
      </w:r>
      <w:r>
        <w:t xml:space="preserve">cooperate in order to resolve potential issues. The Commission proposal amending the Solvency II</w:t>
      </w:r>
      <w:r>
        <w:t xml:space="preserve"> </w:t>
      </w:r>
      <w:r>
        <w:t xml:space="preserve">Directive (Solvency II Review) gives EIOPA additional powers to settle disagreements between</w:t>
      </w:r>
      <w:r>
        <w:t xml:space="preserve"> </w:t>
      </w:r>
      <w:r>
        <w:t xml:space="preserve">the supervisory authorities involved in a collaboration platform via binding mediation, in</w:t>
      </w:r>
      <w:r>
        <w:t xml:space="preserve"> </w:t>
      </w:r>
      <w:r>
        <w:t xml:space="preserve">accordance with Article 19 of Regulation (EU) No 1094/2010 (EIOPA-Regulation), and to initiate</w:t>
      </w:r>
      <w:r>
        <w:t xml:space="preserve"> </w:t>
      </w:r>
      <w:r>
        <w:t xml:space="preserve">and coordinate on-site inspections. The concept of a collaboration platform does not yet exist under</w:t>
      </w:r>
      <w:r>
        <w:t xml:space="preserve"> </w:t>
      </w:r>
      <w:r>
        <w:t xml:space="preserve">IDD or MiFID.</w:t>
      </w:r>
      <w:r>
        <w:br/>
      </w:r>
      <w:r>
        <w:t xml:space="preserve">It is proposed that collaboration platforms would be introduced into MiFID and IDD to better steer</w:t>
      </w:r>
      <w:r>
        <w:t xml:space="preserve"> </w:t>
      </w:r>
      <w:r>
        <w:t xml:space="preserve">cooperation between national supervisors and support the national assessment of cross-border</w:t>
      </w:r>
      <w:r>
        <w:t xml:space="preserve"> </w:t>
      </w:r>
      <w:r>
        <w:t xml:space="preserve">impacts. This would fit within the coordination function of ESMA and EIOPA, as defined under</w:t>
      </w:r>
    </w:p>
    <w:p>
      <w:pPr>
        <w:pStyle w:val="BodyText"/>
      </w:pPr>
      <w:r>
        <w:t xml:space="preserve">510 Article 56(6) of MiCA proposal:</w:t>
      </w:r>
      <w:r>
        <w:br/>
      </w:r>
      <w:r>
        <w:t xml:space="preserve">‘The EBA, ESMA and any competent authority of a host Member State may at any time request that the</w:t>
      </w:r>
      <w:r>
        <w:t xml:space="preserve"> </w:t>
      </w:r>
      <w:r>
        <w:t xml:space="preserve">competent authority of the home Member State examines whether the crypto-asset service provider still</w:t>
      </w:r>
      <w:r>
        <w:t xml:space="preserve"> </w:t>
      </w:r>
      <w:r>
        <w:t xml:space="preserve">complies with the conditions under which the authorisation was granted.’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Article 31 of the ESMA and EIOPA Regulations. Setting up such collaboration platforms should</w:t>
      </w:r>
      <w:r>
        <w:t xml:space="preserve"> </w:t>
      </w:r>
      <w:r>
        <w:t xml:space="preserve">be facilitated in particular where NCAs do not swiftly abide by their obligations under Article 86</w:t>
      </w:r>
      <w:r>
        <w:t xml:space="preserve"> </w:t>
      </w:r>
      <w:r>
        <w:t xml:space="preserve">MiFID511. The platform would be able to issue proposals for further supervisory actions (opinions,</w:t>
      </w:r>
      <w:r>
        <w:t xml:space="preserve"> </w:t>
      </w:r>
      <w:r>
        <w:t xml:space="preserve">recommendations etc.), and ESMA and EIOPA, at the request of any of the authorities involved,</w:t>
      </w:r>
      <w:r>
        <w:t xml:space="preserve"> </w:t>
      </w:r>
      <w:r>
        <w:t xml:space="preserve">would assist in settling the disagreements through binding mediation, in accordance with Article</w:t>
      </w:r>
      <w:r>
        <w:t xml:space="preserve"> </w:t>
      </w:r>
      <w:r>
        <w:t xml:space="preserve">19 of the ESAs founding Regulation512 . It would also be able to initiate joint on-site inspections</w:t>
      </w:r>
      <w:r>
        <w:t xml:space="preserve"> </w:t>
      </w:r>
      <w:r>
        <w:t xml:space="preserve">with the supervisory authorities concerned, similar to the proposed amendment for collaboration</w:t>
      </w:r>
      <w:r>
        <w:t xml:space="preserve"> </w:t>
      </w:r>
      <w:r>
        <w:t xml:space="preserve">platforms under Solvency II. Subject to the appropriate assessment of confidential information,</w:t>
      </w:r>
      <w:r>
        <w:t xml:space="preserve"> </w:t>
      </w:r>
      <w:r>
        <w:t xml:space="preserve">publicity of the outcomes of the platform for specific undertakings would also ensure that the wider</w:t>
      </w:r>
      <w:r>
        <w:t xml:space="preserve"> </w:t>
      </w:r>
      <w:r>
        <w:t xml:space="preserve">public is informed of the state of play around certain firms or products and help improve</w:t>
      </w:r>
      <w:r>
        <w:t xml:space="preserve"> </w:t>
      </w:r>
      <w:r>
        <w:t xml:space="preserve">accountability and investor protection. The collaboration platform should facilitate the prompt</w:t>
      </w:r>
      <w:r>
        <w:t xml:space="preserve"> </w:t>
      </w:r>
      <w:r>
        <w:t xml:space="preserve">monitoring of the follow-up action by the NCAs concerned.</w:t>
      </w:r>
      <w:r>
        <w:br/>
      </w:r>
      <w:r>
        <w:t xml:space="preserve">Finally, ESMA and the NCAs have been performing fact-finding exercises on cross-border</w:t>
      </w:r>
      <w:r>
        <w:t xml:space="preserve"> </w:t>
      </w:r>
      <w:r>
        <w:t xml:space="preserve">activities in recent years513 showing the need to roll out this type of light data collection exercise</w:t>
      </w:r>
      <w:r>
        <w:t xml:space="preserve"> </w:t>
      </w:r>
      <w:r>
        <w:t xml:space="preserve">on an annual basis going forward. Based on evidence from the ESMA peer review report on</w:t>
      </w:r>
      <w:r>
        <w:t xml:space="preserve"> </w:t>
      </w:r>
      <w:r>
        <w:t xml:space="preserve">cross-border activities of investment firms514, NCAs concurred that the exercise significantly</w:t>
      </w:r>
      <w:r>
        <w:t xml:space="preserve"> </w:t>
      </w:r>
      <w:r>
        <w:t xml:space="preserve">helped them understand better the situation in their own markets and whether firms holding a</w:t>
      </w:r>
      <w:r>
        <w:t xml:space="preserve"> </w:t>
      </w:r>
      <w:r>
        <w:t xml:space="preserve">passport were actually active and to what extent, as some NCAs only started collecting this</w:t>
      </w:r>
      <w:r>
        <w:t xml:space="preserve"> </w:t>
      </w:r>
      <w:r>
        <w:t xml:space="preserve">information in the context of the ESMA exercise. It is proposed to require the mandatory reporting</w:t>
      </w:r>
      <w:r>
        <w:t xml:space="preserve"> </w:t>
      </w:r>
      <w:r>
        <w:t xml:space="preserve">of firms’ cross-border activity to NCAs, which would then report consolidated data to ESMA.</w:t>
      </w:r>
      <w:r>
        <w:t xml:space="preserve"> </w:t>
      </w:r>
      <w:r>
        <w:t xml:space="preserve">ESMA would be mandated to develop guidance for a limited but insightful and harmonised</w:t>
      </w:r>
      <w:r>
        <w:t xml:space="preserve"> </w:t>
      </w:r>
      <w:r>
        <w:t xml:space="preserve">reporting of cross border activities, which could help NCAs and ESMA to gain an aggregated view</w:t>
      </w:r>
      <w:r>
        <w:t xml:space="preserve"> </w:t>
      </w:r>
      <w:r>
        <w:t xml:space="preserve">of cross-border services, products, activities or firms which would then enable it to carry out its</w:t>
      </w:r>
      <w:r>
        <w:t xml:space="preserve"> </w:t>
      </w:r>
      <w:r>
        <w:t xml:space="preserve">role more effectively.</w:t>
      </w:r>
      <w:r>
        <w:t xml:space="preserve"> </w:t>
      </w:r>
      <w:r>
        <w:t xml:space="preserve">Costs and Benefits</w:t>
      </w:r>
      <w:r>
        <w:br/>
      </w:r>
      <w:r>
        <w:t xml:space="preserve">By removing the administrative burden of proof needed for host NCAs to trigger Article 86, the</w:t>
      </w:r>
      <w:r>
        <w:t xml:space="preserve"> </w:t>
      </w:r>
      <w:r>
        <w:t xml:space="preserve">process and cooperation between home and host NCAs will speed up. Enabling host Member States</w:t>
      </w:r>
      <w:r>
        <w:t xml:space="preserve"> </w:t>
      </w:r>
      <w:r>
        <w:t xml:space="preserve">to notify issues to the home Member State and request that the firm’s authorisation is assessed will</w:t>
      </w:r>
      <w:r>
        <w:t xml:space="preserve"> </w:t>
      </w:r>
      <w:r>
        <w:t xml:space="preserve">strengthen cross-border supervision and may prove especially beneficial where the size of the</w:t>
      </w:r>
      <w:r>
        <w:t xml:space="preserve"> </w:t>
      </w:r>
      <w:r>
        <w:t xml:space="preserve">activities in the home Member State may not be significant enough trigger the detection of issues,</w:t>
      </w:r>
      <w:r>
        <w:t xml:space="preserve"> </w:t>
      </w:r>
      <w:r>
        <w:t xml:space="preserve">but where the firm does have significant operations in the host Member State.</w:t>
      </w:r>
      <w:r>
        <w:br/>
      </w:r>
      <w:r>
        <w:t xml:space="preserve">The establishment of cooperation platforms to address cross-border issues would benefit investors</w:t>
      </w:r>
      <w:r>
        <w:t xml:space="preserve"> </w:t>
      </w:r>
      <w:r>
        <w:t xml:space="preserve">and strengthen investor protection in the Union while fostering confidence in cross-border</w:t>
      </w:r>
      <w:r>
        <w:t xml:space="preserve"> </w:t>
      </w:r>
      <w:r>
        <w:t xml:space="preserve">investment services. The measure would enhance supervision of cross-border activities by enabling</w:t>
      </w:r>
      <w:r>
        <w:t xml:space="preserve"> </w:t>
      </w:r>
      <w:r>
        <w:t xml:space="preserve">NCAs to work together and benefit from sharing of supervisory expertise.</w:t>
      </w:r>
      <w:r>
        <w:t xml:space="preserve"> </w:t>
      </w:r>
      <w:r>
        <w:t xml:space="preserve">A requirement for light yearly reporting to NCAs and onto ESMA by entities operating via a</w:t>
      </w:r>
      <w:r>
        <w:t xml:space="preserve"> </w:t>
      </w:r>
      <w:r>
        <w:t xml:space="preserve">passport would increase the quality, consistency and efficiency of supervision. It would provide</w:t>
      </w:r>
    </w:p>
    <w:p>
      <w:pPr>
        <w:pStyle w:val="BodyText"/>
      </w:pPr>
      <w:r>
        <w:t xml:space="preserve">511 See also ‘Measure 1 - Allow host NCAs to act swiftly and efficiently when firms operating on their</w:t>
      </w:r>
      <w:r>
        <w:t xml:space="preserve"> </w:t>
      </w:r>
      <w:r>
        <w:t xml:space="preserve">territory are doing so in breach of law and posing a serious threat to local investors.’</w:t>
      </w:r>
      <w:r>
        <w:t xml:space="preserve"> </w:t>
      </w:r>
      <w:r>
        <w:t xml:space="preserve">512 (EU) No 1094/2010 (EIOPA-Regulation) and (EU) No 1095/2010 (ESMA-Regulation)</w:t>
      </w:r>
      <w:r>
        <w:t xml:space="preserve"> </w:t>
      </w:r>
      <w:r>
        <w:t xml:space="preserve">513 ESMA has coordinated a data collection exercise that took place in 2020 and 2021, with voluntary</w:t>
      </w:r>
      <w:r>
        <w:t xml:space="preserve"> </w:t>
      </w:r>
      <w:r>
        <w:t xml:space="preserve">participation by NCAs.</w:t>
      </w:r>
      <w:r>
        <w:t xml:space="preserve"> </w:t>
      </w:r>
      <w:r>
        <w:t xml:space="preserve">514 Peer review on cross border activities of investment firms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supervisors with more regular and comparable data which could be assessed and analysed to</w:t>
      </w:r>
      <w:r>
        <w:t xml:space="preserve"> </w:t>
      </w:r>
      <w:r>
        <w:t xml:space="preserve">identify trends in the EU market and allow supervisors to potentially re-allocate supervisory efforts</w:t>
      </w:r>
      <w:r>
        <w:t xml:space="preserve"> </w:t>
      </w:r>
      <w:r>
        <w:t xml:space="preserve">towards identified areas of risk.</w:t>
      </w:r>
      <w:r>
        <w:br/>
      </w:r>
      <w:r>
        <w:t xml:space="preserve">The majority of the proposed actions under this measure would not incur additional costs for firms</w:t>
      </w:r>
      <w:r>
        <w:t xml:space="preserve"> </w:t>
      </w:r>
      <w:r>
        <w:t xml:space="preserve">nor for NCAs, beyond the work that is already required to perform their supervisory role. On the</w:t>
      </w:r>
      <w:r>
        <w:t xml:space="preserve"> </w:t>
      </w:r>
      <w:r>
        <w:t xml:space="preserve">contrary, the reduction of the burden of proof, as well as the exchange of practices envisaged</w:t>
      </w:r>
      <w:r>
        <w:t xml:space="preserve"> </w:t>
      </w:r>
      <w:r>
        <w:t xml:space="preserve">through strengthened cooperation, may even facilitate and streamline the work performed and bring</w:t>
      </w:r>
      <w:r>
        <w:t xml:space="preserve"> </w:t>
      </w:r>
      <w:r>
        <w:t xml:space="preserve">efficiency gains.</w:t>
      </w:r>
      <w:r>
        <w:br/>
      </w:r>
      <w:r>
        <w:t xml:space="preserve">The requirement for a light yearly reporting by entities operating via a passport is expected to</w:t>
      </w:r>
      <w:r>
        <w:t xml:space="preserve"> </w:t>
      </w:r>
      <w:r>
        <w:t xml:space="preserve">follow the established workflows and reporting lines of the undertakings to their NCAs and ESMA.</w:t>
      </w:r>
      <w:r>
        <w:br/>
      </w:r>
      <w:r>
        <w:t xml:space="preserve">ESMA would be expected to further assess the costs relating to new reporting obligations as part</w:t>
      </w:r>
      <w:r>
        <w:t xml:space="preserve"> </w:t>
      </w:r>
      <w:r>
        <w:t xml:space="preserve">of their mandate to develop relevant guidance/standards. In order to manage the data and make best</w:t>
      </w:r>
      <w:r>
        <w:t xml:space="preserve"> </w:t>
      </w:r>
      <w:r>
        <w:t xml:space="preserve">use of it among the NCAs, there could be a need for the development of an associated IT system</w:t>
      </w:r>
      <w:r>
        <w:t xml:space="preserve"> </w:t>
      </w:r>
      <w:r>
        <w:t xml:space="preserve">by ESMA to receive, analyse and disseminate the data. That would require a one-off cost in addition</w:t>
      </w:r>
      <w:r>
        <w:t xml:space="preserve"> </w:t>
      </w:r>
      <w:r>
        <w:t xml:space="preserve">to resources to develop and maintain the tool.</w:t>
      </w:r>
      <w:r>
        <w:br/>
      </w:r>
      <w:r>
        <w:t xml:space="preserve">Overall assessment</w:t>
      </w:r>
      <w:r>
        <w:t xml:space="preserve"> </w:t>
      </w:r>
      <w:r>
        <w:t xml:space="preserve">Measures that facilitate the cooperation between national authorities are essential. As an internal</w:t>
      </w:r>
      <w:r>
        <w:t xml:space="preserve"> </w:t>
      </w:r>
      <w:r>
        <w:t xml:space="preserve">market measure, it would ensure that retail investors are equally protected across the EU.</w:t>
      </w:r>
      <w:r>
        <w:t xml:space="preserve"> </w:t>
      </w:r>
      <w:r>
        <w:t xml:space="preserve">This measure would reinforce confidence in the provision of cross-border investment services in</w:t>
      </w:r>
      <w:r>
        <w:t xml:space="preserve"> </w:t>
      </w:r>
      <w:r>
        <w:t xml:space="preserve">the EU and contribute to a more integrated Capital Markets Union.</w:t>
      </w:r>
      <w:r>
        <w:br/>
      </w:r>
      <w:r>
        <w:t xml:space="preserve">Measure 2: Improve safeguards in cross-border supervision of services to avoid jurisdiction</w:t>
      </w:r>
      <w:r>
        <w:t xml:space="preserve"> </w:t>
      </w:r>
      <w:r>
        <w:t xml:space="preserve">shopping</w:t>
      </w:r>
      <w:r>
        <w:t xml:space="preserve"> </w:t>
      </w:r>
      <w:r>
        <w:t xml:space="preserve">The recent peer review exercise on the supervision of cross-border activities by investment firms</w:t>
      </w:r>
      <w:r>
        <w:t xml:space="preserve"> </w:t>
      </w:r>
      <w:r>
        <w:t xml:space="preserve">indicated that supervision of cross-border activities has not reached satisfactory levels in all</w:t>
      </w:r>
      <w:r>
        <w:t xml:space="preserve"> </w:t>
      </w:r>
      <w:r>
        <w:t xml:space="preserve">Member States515, and evidenced the increased risk associated with allowing firms to choose to</w:t>
      </w:r>
      <w:r>
        <w:t xml:space="preserve"> </w:t>
      </w:r>
      <w:r>
        <w:t xml:space="preserve">establish in a Member State for the sole purpose of exploiting relaxed supervisory practices or</w:t>
      </w:r>
      <w:r>
        <w:t xml:space="preserve"> </w:t>
      </w:r>
      <w:r>
        <w:t xml:space="preserve">regulatory standards.</w:t>
      </w:r>
      <w:r>
        <w:br/>
      </w:r>
      <w:r>
        <w:t xml:space="preserve">While Article 9(2) IDD contains a clear safeguard provision against the abuse of the freedom to</w:t>
      </w:r>
      <w:r>
        <w:t xml:space="preserve"> </w:t>
      </w:r>
      <w:r>
        <w:t xml:space="preserve">provide services or the freedom of establishment, Article 5(4) MiFID reflects this safeguard less</w:t>
      </w:r>
      <w:r>
        <w:t xml:space="preserve"> </w:t>
      </w:r>
      <w:r>
        <w:t xml:space="preserve">explicitly. Recital 46 MiFID516 nonetheless already clearly mentions the need to prevent cases of</w:t>
      </w:r>
    </w:p>
    <w:p>
      <w:pPr>
        <w:pStyle w:val="BodyText"/>
      </w:pPr>
      <w:r>
        <w:t xml:space="preserve">515 ESMA peer review report on cross-border activities of investment firms</w:t>
      </w:r>
      <w:r>
        <w:t xml:space="preserve"> </w:t>
      </w:r>
      <w:r>
        <w:t xml:space="preserve">516 “The principles of mutual recognition and of home Member State supervision require that the Member</w:t>
      </w:r>
      <w:r>
        <w:t xml:space="preserve"> </w:t>
      </w:r>
      <w:r>
        <w:t xml:space="preserve">States’ competent authorities should not grant or should withdraw authorisation where factors such as</w:t>
      </w:r>
      <w:r>
        <w:t xml:space="preserve"> </w:t>
      </w:r>
      <w:r>
        <w:t xml:space="preserve">the content of programmes of operations, the geographical distribution or the activities actually carried on</w:t>
      </w:r>
      <w:r>
        <w:t xml:space="preserve"> </w:t>
      </w:r>
      <w:r>
        <w:t xml:space="preserve">indicate clearly that an investment firm has opted for the legal system of one Member State for the</w:t>
      </w:r>
      <w:r>
        <w:t xml:space="preserve"> </w:t>
      </w:r>
      <w:r>
        <w:t xml:space="preserve">purpose of evading the stricter standards in force in another Member State within the territory of which</w:t>
      </w:r>
      <w:r>
        <w:t xml:space="preserve"> </w:t>
      </w:r>
      <w:r>
        <w:t xml:space="preserve">it intends to carry out or does carry out the greater part of its activities. An investment firm which is a</w:t>
      </w:r>
      <w:r>
        <w:t xml:space="preserve"> </w:t>
      </w:r>
      <w:r>
        <w:t xml:space="preserve">legal person should be authorised in the Member State in which it has its registered office. An investment</w:t>
      </w:r>
      <w:r>
        <w:t xml:space="preserve"> </w:t>
      </w:r>
      <w:r>
        <w:t xml:space="preserve">firm which is not a legal person should be authorised in the Member State in which it has its head office. In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circumvention of the rules and jurisdiction shopping, where investment firms choose to obtain</w:t>
      </w:r>
      <w:r>
        <w:t xml:space="preserve"> </w:t>
      </w:r>
      <w:r>
        <w:t xml:space="preserve">authorisation/registration in one Member State with the purpose of avoiding stricter standards</w:t>
      </w:r>
      <w:r>
        <w:t xml:space="preserve"> </w:t>
      </w:r>
      <w:r>
        <w:t xml:space="preserve">enforced in the Member State where the firm intends to carry out the greater part of their activities.</w:t>
      </w:r>
      <w:r>
        <w:t xml:space="preserve"> </w:t>
      </w:r>
      <w:r>
        <w:t xml:space="preserve">For the purpose of ensuring maximum legal certainty, the principle mentioned under Recital 46</w:t>
      </w:r>
      <w:r>
        <w:t xml:space="preserve"> </w:t>
      </w:r>
      <w:r>
        <w:t xml:space="preserve">should be more explicitly clarified and included in an Article.</w:t>
      </w:r>
      <w:r>
        <w:t xml:space="preserve"> </w:t>
      </w:r>
      <w:r>
        <w:t xml:space="preserve">The report on cross-border supervision of retail financial services of the Joint Committee of the</w:t>
      </w:r>
      <w:r>
        <w:t xml:space="preserve"> </w:t>
      </w:r>
      <w:r>
        <w:t xml:space="preserve">ESAs517 called for alignment across sectoral legislation in order to address situations in which</w:t>
      </w:r>
      <w:r>
        <w:t xml:space="preserve"> </w:t>
      </w:r>
      <w:r>
        <w:t xml:space="preserve">providers leverage on the freedom to provide services (FPS) to ask for authorisation/registration in</w:t>
      </w:r>
      <w:r>
        <w:t xml:space="preserve"> </w:t>
      </w:r>
      <w:r>
        <w:t xml:space="preserve">a home Member State where they intend to carry very little, in any, activity. To implement this</w:t>
      </w:r>
      <w:r>
        <w:t xml:space="preserve"> </w:t>
      </w:r>
      <w:r>
        <w:t xml:space="preserve">alignment, the report suggested to align to the wording included in Article 5(4)(a) with Article</w:t>
      </w:r>
      <w:r>
        <w:t xml:space="preserve"> </w:t>
      </w:r>
      <w:r>
        <w:t xml:space="preserve">11(3) PSD2518, which requires that a legal person carry out at least part of its business in the</w:t>
      </w:r>
      <w:r>
        <w:t xml:space="preserve"> </w:t>
      </w:r>
      <w:r>
        <w:t xml:space="preserve">Member State where it is registered. Such amendments would empower supervisors to refuse (and,</w:t>
      </w:r>
      <w:r>
        <w:t xml:space="preserve"> </w:t>
      </w:r>
      <w:r>
        <w:t xml:space="preserve">by consequence, if necessary, withdraw) authorisation on the basis of potential abuses of the FPS,</w:t>
      </w:r>
      <w:r>
        <w:t xml:space="preserve"> </w:t>
      </w:r>
      <w:r>
        <w:t xml:space="preserve">and work as a deterrent against such practices.</w:t>
      </w:r>
      <w:r>
        <w:br/>
      </w:r>
      <w:r>
        <w:t xml:space="preserve">As a complement to the above, NCAs should be able to provide information in case they have</w:t>
      </w:r>
      <w:r>
        <w:t xml:space="preserve"> </w:t>
      </w:r>
      <w:r>
        <w:t xml:space="preserve">refused to grant a licence. During the application process, NCAs collect important information</w:t>
      </w:r>
      <w:r>
        <w:t xml:space="preserve"> </w:t>
      </w:r>
      <w:r>
        <w:t xml:space="preserve">which may provide evidence of potential mis-selling or risk of scams. This information may be</w:t>
      </w:r>
      <w:r>
        <w:t xml:space="preserve"> </w:t>
      </w:r>
      <w:r>
        <w:t xml:space="preserve">very valuable for other NCAs that may also receive an application, thus fostering regulatory</w:t>
      </w:r>
      <w:r>
        <w:t xml:space="preserve"> </w:t>
      </w:r>
      <w:r>
        <w:t xml:space="preserve">convergence and reducing risks of jurisdiction shopping. A confidential, non-public database/list</w:t>
      </w:r>
      <w:r>
        <w:t xml:space="preserve"> </w:t>
      </w:r>
      <w:r>
        <w:t xml:space="preserve">of denial of licenses, managed by the ESAs, facilitate the exchange of confidential supervisory</w:t>
      </w:r>
      <w:r>
        <w:t xml:space="preserve"> </w:t>
      </w:r>
      <w:r>
        <w:t xml:space="preserve">information between NCAs. The measure would require NCAs to report to ESMA and EIOPA</w:t>
      </w:r>
      <w:r>
        <w:t xml:space="preserve"> </w:t>
      </w:r>
      <w:r>
        <w:t xml:space="preserve">whenever a license application was not granted. Should another NCA receive a licence application</w:t>
      </w:r>
      <w:r>
        <w:t xml:space="preserve"> </w:t>
      </w:r>
      <w:r>
        <w:t xml:space="preserve">from the same firm, ESMA/EIOPA should put the two NCAs in touch so they can exchange</w:t>
      </w:r>
      <w:r>
        <w:t xml:space="preserve"> </w:t>
      </w:r>
      <w:r>
        <w:t xml:space="preserve">knowledge acquired in the license application process.</w:t>
      </w:r>
    </w:p>
    <w:p>
      <w:pPr>
        <w:pStyle w:val="BodyText"/>
      </w:pPr>
      <w:r>
        <w:t xml:space="preserve">Benefits and costs</w:t>
      </w:r>
      <w:r>
        <w:t xml:space="preserve"> </w:t>
      </w:r>
      <w:r>
        <w:t xml:space="preserve">The proposed measure would prevent jurisdiction shopping, while preserving the home-host</w:t>
      </w:r>
      <w:r>
        <w:t xml:space="preserve"> </w:t>
      </w:r>
      <w:r>
        <w:t xml:space="preserve">principle. In addition, the exchange of information between NCAs on licences not granted and the</w:t>
      </w:r>
      <w:r>
        <w:t xml:space="preserve"> </w:t>
      </w:r>
      <w:r>
        <w:t xml:space="preserve">reasons for not granting them could foster convergence and potentially alleviate the workload for</w:t>
      </w:r>
      <w:r>
        <w:t xml:space="preserve"> </w:t>
      </w:r>
      <w:r>
        <w:t xml:space="preserve">NCAs in the evidence-gathering process. As the ESAs would manage a confidential non-public</w:t>
      </w:r>
      <w:r>
        <w:t xml:space="preserve"> </w:t>
      </w:r>
      <w:r>
        <w:t xml:space="preserve">database and steer the exchange of information, the measure would lead to improved cooperation</w:t>
      </w:r>
      <w:r>
        <w:t xml:space="preserve"> </w:t>
      </w:r>
      <w:r>
        <w:t xml:space="preserve">between NCAs while respecting confidentiality of information. This would also result in better</w:t>
      </w:r>
      <w:r>
        <w:t xml:space="preserve"> </w:t>
      </w:r>
      <w:r>
        <w:t xml:space="preserve">protection for retail investors at EU level.</w:t>
      </w:r>
      <w:r>
        <w:br/>
      </w:r>
      <w:r>
        <w:t xml:space="preserve">In terms of costs, no significant impact is expected on the resources of ESMA and EIOPA, as their</w:t>
      </w:r>
      <w:r>
        <w:t xml:space="preserve"> </w:t>
      </w:r>
      <w:r>
        <w:t xml:space="preserve">involvement and roles under this option can be performed as part of their existing regulatory and</w:t>
      </w:r>
      <w:r>
        <w:t xml:space="preserve"> </w:t>
      </w:r>
      <w:r>
        <w:t xml:space="preserve">supervisory work.</w:t>
      </w:r>
    </w:p>
    <w:p>
      <w:pPr>
        <w:pStyle w:val="BodyText"/>
      </w:pPr>
      <w:r>
        <w:t xml:space="preserve">addition, Member States should require that an investment firm’s head office is always situated in its</w:t>
      </w:r>
      <w:r>
        <w:t xml:space="preserve"> </w:t>
      </w:r>
      <w:r>
        <w:t xml:space="preserve">home Member State and that it actually operates there.”</w:t>
      </w:r>
      <w:r>
        <w:t xml:space="preserve"> </w:t>
      </w:r>
      <w:r>
        <w:t xml:space="preserve">517 Final Report on cross-border supervision for retail financial services.</w:t>
      </w:r>
      <w:r>
        <w:t xml:space="preserve"> </w:t>
      </w:r>
      <w:r>
        <w:t xml:space="preserve">518 Article 11(3) of PSD2: ‘A payment institution which, under the national law of its home Member State</w:t>
      </w:r>
      <w:r>
        <w:t xml:space="preserve"> </w:t>
      </w:r>
      <w:r>
        <w:t xml:space="preserve">is required to have a registered office, shall have its head office in the same Member State as its registered</w:t>
      </w:r>
      <w:r>
        <w:t xml:space="preserve"> </w:t>
      </w:r>
      <w:r>
        <w:t xml:space="preserve">office and shall carry out at least part of its payment service business there’.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For firms, considering that this measure would be introduced as part of the authorisation procedure,</w:t>
      </w:r>
      <w:r>
        <w:t xml:space="preserve"> </w:t>
      </w:r>
      <w:r>
        <w:t xml:space="preserve">it could be expected to have little impact on costs related to authorisation of the firms. However,</w:t>
      </w:r>
      <w:r>
        <w:t xml:space="preserve"> </w:t>
      </w:r>
      <w:r>
        <w:t xml:space="preserve">for the companies that need to adapt to the new requirements, it may imply adjusting their business</w:t>
      </w:r>
      <w:r>
        <w:t xml:space="preserve"> </w:t>
      </w:r>
      <w:r>
        <w:t xml:space="preserve">model either by increasing their presence in the Member State where they are registered or by</w:t>
      </w:r>
      <w:r>
        <w:t xml:space="preserve"> </w:t>
      </w:r>
      <w:r>
        <w:t xml:space="preserve">moving their activities to another Member State where they carry out part of their business.</w:t>
      </w:r>
      <w:r>
        <w:br/>
      </w:r>
      <w:r>
        <w:t xml:space="preserve">Overall assessment</w:t>
      </w:r>
      <w:r>
        <w:t xml:space="preserve"> </w:t>
      </w:r>
      <w:r>
        <w:t xml:space="preserve">The measure would be expected to protect consumers by helping avoid cases of abuse by firms of</w:t>
      </w:r>
      <w:r>
        <w:t xml:space="preserve"> </w:t>
      </w:r>
      <w:r>
        <w:t xml:space="preserve">the freedom to provide services through jurisdiction shopping. It would address the risk that</w:t>
      </w:r>
      <w:r>
        <w:t xml:space="preserve"> </w:t>
      </w:r>
      <w:r>
        <w:t xml:space="preserve">investment firms opt for the legal system of one Member State in order to evade stricter standards</w:t>
      </w:r>
      <w:r>
        <w:t xml:space="preserve"> </w:t>
      </w:r>
      <w:r>
        <w:t xml:space="preserve">in force in another Member State which they intend to carry out or actually carry out the greater</w:t>
      </w:r>
      <w:r>
        <w:t xml:space="preserve"> </w:t>
      </w:r>
      <w:r>
        <w:t xml:space="preserve">part of their activities. In addition, the measure would improve the effectiveness of supervision by</w:t>
      </w:r>
      <w:r>
        <w:t xml:space="preserve"> </w:t>
      </w:r>
      <w:r>
        <w:t xml:space="preserve">facilitating supervisory convergence and exchange of knowledge and experience among NCAs in</w:t>
      </w:r>
      <w:r>
        <w:t xml:space="preserve"> </w:t>
      </w:r>
      <w:r>
        <w:t xml:space="preserve">their efforts to ensure retail investor protection.</w:t>
      </w:r>
      <w:r>
        <w:br/>
      </w:r>
      <w:r>
        <w:t xml:space="preserve">Summary</w:t>
      </w:r>
      <w:r>
        <w:t xml:space="preserve"> </w:t>
      </w:r>
      <w:r>
        <w:t xml:space="preserve">As part of the retail investment strategy, the aim is to address specific issues in cross-border</w:t>
      </w:r>
      <w:r>
        <w:t xml:space="preserve"> </w:t>
      </w:r>
      <w:r>
        <w:t xml:space="preserve">supervision that have been identified by various sources. Option 2 on cross border supervision</w:t>
      </w:r>
      <w:r>
        <w:t xml:space="preserve"> </w:t>
      </w:r>
      <w:r>
        <w:t xml:space="preserve">would ensure that retail investors are better protected by making it easier for NCAs to monitor and</w:t>
      </w:r>
      <w:r>
        <w:t xml:space="preserve"> </w:t>
      </w:r>
      <w:r>
        <w:t xml:space="preserve">supervise the cross-border provision of services and thus aligning the interests of firms to those of</w:t>
      </w:r>
      <w:r>
        <w:t xml:space="preserve"> </w:t>
      </w:r>
      <w:r>
        <w:t xml:space="preserve">EU citizens.</w:t>
      </w:r>
    </w:p>
    <w:p>
      <w:pPr>
        <w:pStyle w:val="BodyText"/>
      </w:pPr>
      <w:r>
        <w:t xml:space="preserve">All the options presented are complementary and would together contribute to the achievement of</w:t>
      </w:r>
      <w:r>
        <w:t xml:space="preserve"> </w:t>
      </w:r>
      <w:r>
        <w:t xml:space="preserve">the objectives set for EU action. The proposed measures are in line with the Commission’s</w:t>
      </w:r>
      <w:r>
        <w:t xml:space="preserve"> </w:t>
      </w:r>
      <w:r>
        <w:t xml:space="preserve">overarching goal of promoting an economy that works for people.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S01</w:t>
      </w:r>
      <w:r>
        <w:t xml:space="preserve"> </w:t>
      </w:r>
      <w:r>
        <w:t xml:space="preserve">Investors</w:t>
      </w:r>
      <w:r>
        <w:t xml:space="preserve"> </w:t>
      </w:r>
      <w:r>
        <w:t xml:space="preserve">are able take</w:t>
      </w:r>
      <w:r>
        <w:t xml:space="preserve"> </w:t>
      </w:r>
      <w:r>
        <w:t xml:space="preserve">well-informed</w:t>
      </w:r>
      <w:r>
        <w:t xml:space="preserve"> </w:t>
      </w:r>
      <w:r>
        <w:t xml:space="preserve">investment</w:t>
      </w:r>
      <w:r>
        <w:t xml:space="preserve"> </w:t>
      </w:r>
      <w:r>
        <w:t xml:space="preserve">decisions</w:t>
      </w:r>
      <w:r>
        <w:t xml:space="preserve"> </w:t>
      </w:r>
      <w:r>
        <w:t xml:space="preserve">SO2</w:t>
      </w:r>
      <w:r>
        <w:t xml:space="preserve"> </w:t>
      </w:r>
      <w:r>
        <w:t xml:space="preserve">Alignment of</w:t>
      </w:r>
      <w:r>
        <w:t xml:space="preserve"> </w:t>
      </w:r>
      <w:r>
        <w:t xml:space="preserve">interests</w:t>
      </w:r>
      <w:r>
        <w:t xml:space="preserve"> </w:t>
      </w:r>
      <w:r>
        <w:t xml:space="preserve">between retail</w:t>
      </w:r>
      <w:r>
        <w:t xml:space="preserve"> </w:t>
      </w:r>
      <w:r>
        <w:t xml:space="preserve">investor</w:t>
      </w:r>
      <w:r>
        <w:t xml:space="preserve"> </w:t>
      </w:r>
      <w:r>
        <w:t xml:space="preserve">and</w:t>
      </w:r>
      <w:r>
        <w:t xml:space="preserve"> </w:t>
      </w:r>
      <w:r>
        <w:t xml:space="preserve">industry</w:t>
      </w:r>
      <w:r>
        <w:t xml:space="preserve"> </w:t>
      </w:r>
      <w:r>
        <w:t xml:space="preserve">SO3</w:t>
      </w:r>
      <w:r>
        <w:t xml:space="preserve"> </w:t>
      </w:r>
      <w:r>
        <w:t xml:space="preserve">Offer of cost-</w:t>
      </w:r>
      <w:r>
        <w:t xml:space="preserve"> </w:t>
      </w:r>
      <w:r>
        <w:t xml:space="preserve">effective</w:t>
      </w:r>
      <w:r>
        <w:t xml:space="preserve"> </w:t>
      </w:r>
      <w:r>
        <w:t xml:space="preserve">products</w:t>
      </w:r>
      <w:r>
        <w:t xml:space="preserve"> </w:t>
      </w:r>
      <w:r>
        <w:t xml:space="preserve">Baseline (Option</w:t>
      </w:r>
      <w:r>
        <w:t xml:space="preserve"> </w:t>
      </w:r>
      <w:r>
        <w:t xml:space="preserve">1)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ANNEX 10: PROFESSIONAL QUALIFICATION OF FINANCIAL</w:t>
      </w:r>
      <w:r>
        <w:t xml:space="preserve"> </w:t>
      </w:r>
      <w:r>
        <w:t xml:space="preserve">ADVISORS</w:t>
      </w:r>
      <w:r>
        <w:t xml:space="preserve"> </w:t>
      </w:r>
      <w:r>
        <w:t xml:space="preserve">1.1 Background and problem definition</w:t>
      </w:r>
      <w:r>
        <w:t xml:space="preserve"> </w:t>
      </w:r>
      <w:r>
        <w:t xml:space="preserve">Financial advisors play a key role as gatekeepers to the financial system. Stronger participation of</w:t>
      </w:r>
      <w:r>
        <w:t xml:space="preserve"> </w:t>
      </w:r>
      <w:r>
        <w:t xml:space="preserve">retail investors is likely to increase demand for financial planning and advice. While new investors</w:t>
      </w:r>
      <w:r>
        <w:t xml:space="preserve"> </w:t>
      </w:r>
      <w:r>
        <w:t xml:space="preserve">may fuel demand for financial advice given their need for support in their financial planning and</w:t>
      </w:r>
      <w:r>
        <w:t xml:space="preserve"> </w:t>
      </w:r>
      <w:r>
        <w:t xml:space="preserve">investment, surveys suggest that also incumbent investors value the role of advisors.519 Better</w:t>
      </w:r>
      <w:r>
        <w:t xml:space="preserve"> </w:t>
      </w:r>
      <w:r>
        <w:t xml:space="preserve">access to financial advice can therefore be instrumental in triggering retail participation by helping</w:t>
      </w:r>
      <w:r>
        <w:t xml:space="preserve"> </w:t>
      </w:r>
      <w:r>
        <w:t xml:space="preserve">overcome the distrust, which households frequently quote as one of the main reasons why they</w:t>
      </w:r>
      <w:r>
        <w:t xml:space="preserve"> </w:t>
      </w:r>
      <w:r>
        <w:t xml:space="preserve">abstain from investing on capital markets and keep their financial wealth in the form of bank</w:t>
      </w:r>
      <w:r>
        <w:t xml:space="preserve"> </w:t>
      </w:r>
      <w:r>
        <w:t xml:space="preserve">deposits. Access to financial advice is thereby not a substitute for financial literacy.520 While the</w:t>
      </w:r>
      <w:r>
        <w:t xml:space="preserve"> </w:t>
      </w:r>
      <w:r>
        <w:t xml:space="preserve">empirical evidence whether more literate investors seek more advice is mixed, more literate</w:t>
      </w:r>
      <w:r>
        <w:t xml:space="preserve"> </w:t>
      </w:r>
      <w:r>
        <w:t xml:space="preserve">investors appear to be less trustful to advisors521, but receive higher quality of advice.522</w:t>
      </w:r>
      <w:r>
        <w:br/>
      </w:r>
      <w:r>
        <w:t xml:space="preserve">Actual statistics about the number and activity of financial advisors are scarce. Official statistics</w:t>
      </w:r>
      <w:r>
        <w:t xml:space="preserve"> </w:t>
      </w:r>
      <w:r>
        <w:t xml:space="preserve">are not sufficiently granular, many financial advisors are employed by financial intermediaries or</w:t>
      </w:r>
      <w:r>
        <w:t xml:space="preserve"> </w:t>
      </w:r>
      <w:r>
        <w:t xml:space="preserve">are closely linked to them523, and not all financial advisors or consultants specialise in advice to</w:t>
      </w:r>
      <w:r>
        <w:t xml:space="preserve"> </w:t>
      </w:r>
      <w:r>
        <w:t xml:space="preserve">retail clients. This leads to a lack of data about the number of advisors at EU level and statistics</w:t>
      </w:r>
      <w:r>
        <w:t xml:space="preserve"> </w:t>
      </w:r>
      <w:r>
        <w:t xml:space="preserve">about firms in this area in Member States.524 Regarding advice to retail investors, the retail</w:t>
      </w:r>
      <w:r>
        <w:t xml:space="preserve"> </w:t>
      </w:r>
      <w:r>
        <w:t xml:space="preserve">investment study found that advice from distributors is dominant and independent advice is close</w:t>
      </w:r>
      <w:r>
        <w:t xml:space="preserve"> </w:t>
      </w:r>
      <w:r>
        <w:t xml:space="preserve">to insignificant in the EU. While the study does not report statistics on the number of advisors, it</w:t>
      </w:r>
    </w:p>
    <w:p>
      <w:pPr>
        <w:pStyle w:val="BodyText"/>
      </w:pPr>
      <w:r>
        <w:t xml:space="preserve">519 For example, in an international survey of young investors, 16% considered information from</w:t>
      </w:r>
      <w:r>
        <w:t xml:space="preserve"> </w:t>
      </w:r>
      <w:r>
        <w:t xml:space="preserve">independent financial advisors as most important source (49% internet, 47% banks, 43% family). Among</w:t>
      </w:r>
      <w:r>
        <w:t xml:space="preserve"> </w:t>
      </w:r>
      <w:r>
        <w:t xml:space="preserve">those that had invested, the share was higher at 20% (compared to parents (21%), banks (18), internet</w:t>
      </w:r>
      <w:r>
        <w:t xml:space="preserve"> </w:t>
      </w:r>
      <w:r>
        <w:t xml:space="preserve">(14)). See Calstone (2019), ‘Millenials and investing: a detailed look at approaches and attitudes across</w:t>
      </w:r>
      <w:r>
        <w:t xml:space="preserve"> </w:t>
      </w:r>
      <w:r>
        <w:t xml:space="preserve">the globe’, Research Report.</w:t>
      </w:r>
      <w:r>
        <w:t xml:space="preserve"> </w:t>
      </w:r>
      <w:r>
        <w:t xml:space="preserve">520 The relationship between financial advice and financial literacy has been debated in the literature. For</w:t>
      </w:r>
      <w:r>
        <w:t xml:space="preserve"> </w:t>
      </w:r>
      <w:r>
        <w:t xml:space="preserve">an overview, see Kramer, M. (2016), Financial literacy, confidence and financial advice seeking, Journal of</w:t>
      </w:r>
      <w:r>
        <w:t xml:space="preserve"> </w:t>
      </w:r>
      <w:r>
        <w:t xml:space="preserve">Economic Behavior &amp; Organization, Volume 131, Part A, November 2016, Pages 198-217.</w:t>
      </w:r>
      <w:r>
        <w:t xml:space="preserve"> </w:t>
      </w:r>
      <w:r>
        <w:t xml:space="preserve">521 Retail investment study; Paul, St. et al. (2019)‚ Auswirkungsstudie MiFID II/MiFIR und PRIIPs-VO:</w:t>
      </w:r>
      <w:r>
        <w:t xml:space="preserve"> </w:t>
      </w:r>
      <w:r>
        <w:t xml:space="preserve">Effektivität und Effizienz der Neuregelungen vor dem Hintergrund des Anleger- und Verbraucherschutzes</w:t>
      </w:r>
      <w:r>
        <w:t xml:space="preserve"> </w:t>
      </w:r>
      <w:r>
        <w:t xml:space="preserve">- Eine qualitativ-empirische Analyse, Study commissioned by the German credit industry, final report; Fazli</w:t>
      </w:r>
      <w:r>
        <w:t xml:space="preserve"> </w:t>
      </w:r>
      <w:r>
        <w:t xml:space="preserve">Sabi, M. and Aw, E. (2019), ‘financial literacy and related outcomes: the role of financial information</w:t>
      </w:r>
      <w:r>
        <w:t xml:space="preserve"> </w:t>
      </w:r>
      <w:r>
        <w:t xml:space="preserve">sources, International Journal of Business and Society, Vol. 20, No. 1, pp. 286-298.</w:t>
      </w:r>
      <w:r>
        <w:t xml:space="preserve"> </w:t>
      </w:r>
      <w:r>
        <w:t xml:space="preserve">522 For an overview of the empirical research, see Kramer, (2016). See also Kim, H. (2021), ‘How financial</w:t>
      </w:r>
      <w:r>
        <w:t xml:space="preserve"> </w:t>
      </w:r>
      <w:r>
        <w:t xml:space="preserve">literacy shapes the demand for financial advice at older ages’, Journal of the Economics of Ageing, Volume</w:t>
      </w:r>
      <w:r>
        <w:t xml:space="preserve"> </w:t>
      </w:r>
      <w:r>
        <w:t xml:space="preserve">20, October 2021.</w:t>
      </w:r>
      <w:r>
        <w:t xml:space="preserve"> </w:t>
      </w:r>
      <w:r>
        <w:t xml:space="preserve">523 For example, EIOPA reported about 800,000 insurance intermediaries in the EU, but only a minority</w:t>
      </w:r>
      <w:r>
        <w:t xml:space="preserve"> </w:t>
      </w:r>
      <w:r>
        <w:t xml:space="preserve">acts on behalf of a customer, while a large majority on behalf of insurance undertakings or intermediaries.</w:t>
      </w:r>
      <w:r>
        <w:t xml:space="preserve"> </w:t>
      </w:r>
      <w:r>
        <w:t xml:space="preserve">See EIOPA (2022), Report on the application of the Insurance Distribution Directive (IDD), EIOPA-BoS-</w:t>
      </w:r>
      <w:r>
        <w:t xml:space="preserve"> </w:t>
      </w:r>
      <w:r>
        <w:t xml:space="preserve">21/581.</w:t>
      </w:r>
      <w:r>
        <w:t xml:space="preserve"> </w:t>
      </w:r>
      <w:r>
        <w:t xml:space="preserve">524 A German newspaper reported a ratio of 6 financial advisor and intermediaries per 1000 inhabitants in</w:t>
      </w:r>
      <w:r>
        <w:t xml:space="preserve"> </w:t>
      </w:r>
      <w:r>
        <w:t xml:space="preserve">Germany in 2010, 2.0 in the Netherlands, 2.7 in the UK and 2.5 in the USA.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notes that 117 independent brokers compare to 7,000 dependent agents in Luxembourg.525 The</w:t>
      </w:r>
      <w:r>
        <w:t xml:space="preserve"> </w:t>
      </w:r>
      <w:r>
        <w:t xml:space="preserve">German register covers 17 firms that offer independent investment advice.</w:t>
      </w:r>
      <w:r>
        <w:br/>
      </w:r>
      <w:r>
        <w:t xml:space="preserve">Detailed information about financial advisors exist for the US and the UK, i.e. markets with high</w:t>
      </w:r>
      <w:r>
        <w:t xml:space="preserve"> </w:t>
      </w:r>
      <w:r>
        <w:t xml:space="preserve">retail participation and regulation of financial advisors: More than 5,500 advisors are registered in</w:t>
      </w:r>
      <w:r>
        <w:t xml:space="preserve"> </w:t>
      </w:r>
      <w:r>
        <w:t xml:space="preserve">the UK.526 The US SEC register includes more than 14,000 registered advisors and above 5,000</w:t>
      </w:r>
      <w:r>
        <w:t xml:space="preserve"> </w:t>
      </w:r>
      <w:r>
        <w:t xml:space="preserve">exempted advisors at federal level.527 Adding advisors at state level, a study reported that 650,000</w:t>
      </w:r>
      <w:r>
        <w:t xml:space="preserve"> </w:t>
      </w:r>
      <w:r>
        <w:t xml:space="preserve">financial advisors are active in the US, representing 10% of employment in the US financial and</w:t>
      </w:r>
      <w:r>
        <w:t xml:space="preserve"> </w:t>
      </w:r>
      <w:r>
        <w:t xml:space="preserve">insurance industry.528 Independent advisors in the central registers amount to 0.44% of financial</w:t>
      </w:r>
      <w:r>
        <w:t xml:space="preserve"> </w:t>
      </w:r>
      <w:r>
        <w:t xml:space="preserve">sector employment in the UK and 0.29% in the US. Applying these ratios on the EU27 financial</w:t>
      </w:r>
      <w:r>
        <w:t xml:space="preserve"> </w:t>
      </w:r>
      <w:r>
        <w:t xml:space="preserve">sector employment suggests a market potential for independent financial advisors of 19,000 to</w:t>
      </w:r>
      <w:r>
        <w:t xml:space="preserve"> </w:t>
      </w:r>
      <w:r>
        <w:t xml:space="preserve">24,000 if retail investment participation and therefore demand for their services were also</w:t>
      </w:r>
      <w:r>
        <w:t xml:space="preserve"> </w:t>
      </w:r>
      <w:r>
        <w:t xml:space="preserve">comparable. More than 500,000 staff in the financial and insurance sector would carry out activities</w:t>
      </w:r>
      <w:r>
        <w:t xml:space="preserve"> </w:t>
      </w:r>
      <w:r>
        <w:t xml:space="preserve">in the field of financial advice in the EU 27, if the 10% ratio observed in the US applied also to the</w:t>
      </w:r>
      <w:r>
        <w:t xml:space="preserve"> </w:t>
      </w:r>
      <w:r>
        <w:t xml:space="preserve">EU27.</w:t>
      </w:r>
      <w:r>
        <w:t xml:space="preserve"> </w:t>
      </w:r>
      <w:r>
        <w:t xml:space="preserve">Most available data stem from surveys about the use of financial advice, which rely on respondents’</w:t>
      </w:r>
      <w:r>
        <w:t xml:space="preserve"> </w:t>
      </w:r>
      <w:r>
        <w:t xml:space="preserve">own assessment. Since national surveys use different questions and panels, they tend to be non-</w:t>
      </w:r>
      <w:r>
        <w:t xml:space="preserve"> </w:t>
      </w:r>
      <w:r>
        <w:t xml:space="preserve">comparable. The 2012 Eurobarometer and the consumer survey undertaken in 10 Member States</w:t>
      </w:r>
      <w:r>
        <w:t xml:space="preserve"> </w:t>
      </w:r>
      <w:r>
        <w:t xml:space="preserve">as part of the 2022 retail investment study529 are therefore particularly valuable. The 2012</w:t>
      </w:r>
      <w:r>
        <w:t xml:space="preserve"> </w:t>
      </w:r>
      <w:r>
        <w:t xml:space="preserve">Eurobarometer asked how consumers bought selected financial products and whether they received</w:t>
      </w:r>
      <w:r>
        <w:t xml:space="preserve"> </w:t>
      </w:r>
      <w:r>
        <w:t xml:space="preserve">recommendations. While it asks for the role of intermediaries and advisors, it did not distinguish</w:t>
      </w:r>
      <w:r>
        <w:t xml:space="preserve"> </w:t>
      </w:r>
      <w:r>
        <w:t xml:space="preserve">between intermediary and advisor nor whether they are linked to the product producer. It portrayed</w:t>
      </w:r>
      <w:r>
        <w:t xml:space="preserve"> </w:t>
      </w:r>
      <w:r>
        <w:t xml:space="preserve">a central role for the product producer and a more limited one for advisors in the recommendation</w:t>
      </w:r>
      <w:r>
        <w:t xml:space="preserve"> </w:t>
      </w:r>
      <w:r>
        <w:t xml:space="preserve">than in the sales process (Table 1).</w:t>
      </w:r>
      <w:r>
        <w:br/>
      </w:r>
      <w:r>
        <w:t xml:space="preserve">Table 1: share of respondents in % that used an intermediary or advisor to purchase a financial product,</w:t>
      </w:r>
      <w:r>
        <w:t xml:space="preserve"> </w:t>
      </w:r>
      <w:r>
        <w:t xml:space="preserve">EU aggregate</w:t>
      </w:r>
    </w:p>
    <w:p>
      <w:pPr>
        <w:pStyle w:val="BodyText"/>
      </w:pPr>
      <w:r>
        <w:t xml:space="preserve">Purchased from</w:t>
      </w:r>
      <w:r>
        <w:t xml:space="preserve"> </w:t>
      </w:r>
      <w:r>
        <w:t xml:space="preserve">Received recommendation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provider</w:t>
      </w:r>
      <w:r>
        <w:t xml:space="preserve"> </w:t>
      </w:r>
      <w:r>
        <w:t xml:space="preserve">Intermediary or advisor</w:t>
      </w:r>
      <w:r>
        <w:t xml:space="preserve"> </w:t>
      </w:r>
      <w:r>
        <w:t xml:space="preserve">none*</w:t>
      </w:r>
      <w:r>
        <w:t xml:space="preserve"> </w:t>
      </w:r>
      <w:r>
        <w:t xml:space="preserve">Life insurance</w:t>
      </w:r>
      <w:r>
        <w:t xml:space="preserve"> </w:t>
      </w:r>
      <w:r>
        <w:t xml:space="preserve">65</w:t>
      </w:r>
      <w:r>
        <w:t xml:space="preserve"> </w:t>
      </w:r>
      <w:r>
        <w:t xml:space="preserve">35</w:t>
      </w:r>
      <w:r>
        <w:t xml:space="preserve"> </w:t>
      </w:r>
      <w:r>
        <w:t xml:space="preserve">26</w:t>
      </w:r>
      <w:r>
        <w:t xml:space="preserve"> </w:t>
      </w:r>
      <w:r>
        <w:t xml:space="preserve">34</w:t>
      </w:r>
      <w:r>
        <w:t xml:space="preserve"> </w:t>
      </w:r>
      <w:r>
        <w:t xml:space="preserve">Other</w:t>
      </w:r>
      <w:r>
        <w:t xml:space="preserve"> </w:t>
      </w:r>
      <w:r>
        <w:t xml:space="preserve">insurance</w:t>
      </w:r>
      <w:r>
        <w:t xml:space="preserve"> </w:t>
      </w:r>
      <w:r>
        <w:t xml:space="preserve">78</w:t>
      </w:r>
      <w:r>
        <w:t xml:space="preserve"> </w:t>
      </w:r>
      <w:r>
        <w:t xml:space="preserve">22</w:t>
      </w:r>
      <w:r>
        <w:t xml:space="preserve"> </w:t>
      </w:r>
      <w:r>
        <w:t xml:space="preserve">16</w:t>
      </w:r>
      <w:r>
        <w:t xml:space="preserve"> </w:t>
      </w:r>
      <w:r>
        <w:t xml:space="preserve">32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funds</w:t>
      </w:r>
      <w:r>
        <w:t xml:space="preserve"> </w:t>
      </w:r>
      <w:r>
        <w:t xml:space="preserve">67</w:t>
      </w:r>
      <w:r>
        <w:t xml:space="preserve"> </w:t>
      </w:r>
      <w:r>
        <w:t xml:space="preserve">33</w:t>
      </w:r>
      <w:r>
        <w:t xml:space="preserve"> </w:t>
      </w:r>
      <w:r>
        <w:t xml:space="preserve">28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525 Similarly, a 2015 market study bases its analysis of the European Union and on numbers about the use</w:t>
      </w:r>
      <w:r>
        <w:t xml:space="preserve"> </w:t>
      </w:r>
      <w:r>
        <w:t xml:space="preserve">of financial advice from a Eurobarometer survey and does neither report the number of advisors in the EU</w:t>
      </w:r>
      <w:r>
        <w:t xml:space="preserve"> </w:t>
      </w:r>
      <w:r>
        <w:t xml:space="preserve">nor Germany. See retail investment study (2022); Burke, Jeremy and Hung, Angela, (2015), ‘Financial</w:t>
      </w:r>
      <w:r>
        <w:t xml:space="preserve"> </w:t>
      </w:r>
      <w:r>
        <w:t xml:space="preserve">Advice markets’ a cross-country comparison, Rand paper 2015. The study covers the US, UK, Germany,</w:t>
      </w:r>
      <w:r>
        <w:t xml:space="preserve"> </w:t>
      </w:r>
      <w:r>
        <w:t xml:space="preserve">Singapore, and the European Union.</w:t>
      </w:r>
      <w:r>
        <w:t xml:space="preserve"> </w:t>
      </w:r>
      <w:r>
        <w:t xml:space="preserve">526 Broken down into 4723 independent advisors, 733 restricted advisors, and 87 restricted independent</w:t>
      </w:r>
      <w:r>
        <w:t xml:space="preserve"> </w:t>
      </w:r>
      <w:r>
        <w:t xml:space="preserve">advisors in 2021. See Financial Conduct Authority (2022), Retail Mediation Activities Return.</w:t>
      </w:r>
      <w:r>
        <w:t xml:space="preserve"> </w:t>
      </w:r>
      <w:r>
        <w:t xml:space="preserve">527 Further financial advisors are registers at state level.</w:t>
      </w:r>
      <w:r>
        <w:t xml:space="preserve"> </w:t>
      </w:r>
      <w:r>
        <w:t xml:space="preserve">528 Egan, M. et al. (2017), ‘The Market for Financial Adviser Misconduct’, NBER Working Paper No 22050,</w:t>
      </w:r>
      <w:r>
        <w:t xml:space="preserve"> </w:t>
      </w:r>
      <w:r>
        <w:t xml:space="preserve">September 2017. Employment in finance and industry was 6.2 million in 2021 according to US Bureau of</w:t>
      </w:r>
      <w:r>
        <w:t xml:space="preserve"> </w:t>
      </w:r>
      <w:r>
        <w:t xml:space="preserve">Labour Statistics.</w:t>
      </w:r>
      <w:r>
        <w:t xml:space="preserve"> </w:t>
      </w:r>
      <w:r>
        <w:t xml:space="preserve">529 Retail investment study.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Shares</w:t>
      </w:r>
      <w:r>
        <w:t xml:space="preserve"> </w:t>
      </w:r>
      <w:r>
        <w:t xml:space="preserve">or</w:t>
      </w:r>
      <w:r>
        <w:t xml:space="preserve"> </w:t>
      </w:r>
      <w:r>
        <w:t xml:space="preserve">bonds</w:t>
      </w:r>
      <w:r>
        <w:t xml:space="preserve"> </w:t>
      </w:r>
      <w:r>
        <w:t xml:space="preserve">68</w:t>
      </w:r>
      <w:r>
        <w:t xml:space="preserve"> </w:t>
      </w:r>
      <w:r>
        <w:t xml:space="preserve">32</w:t>
      </w:r>
      <w:r>
        <w:t xml:space="preserve"> </w:t>
      </w:r>
      <w:r>
        <w:t xml:space="preserve">18</w:t>
      </w:r>
      <w:r>
        <w:t xml:space="preserve"> </w:t>
      </w:r>
      <w:r>
        <w:t xml:space="preserve">39</w:t>
      </w:r>
      <w:r>
        <w:t xml:space="preserve"> </w:t>
      </w:r>
      <w:r>
        <w:t xml:space="preserve">* neither from product provider, intermediary, advisor, consumer organisation, friends or family.</w:t>
      </w:r>
      <w:r>
        <w:t xml:space="preserve"> </w:t>
      </w:r>
      <w:r>
        <w:t xml:space="preserve">Source: Eurobarometer (2012).</w:t>
      </w:r>
      <w:r>
        <w:t xml:space="preserve"> </w:t>
      </w:r>
      <w:r>
        <w:t xml:space="preserve">A more recent survey done for the retail investment study yielded comparable numbers: 28%</w:t>
      </w:r>
      <w:r>
        <w:t xml:space="preserve"> </w:t>
      </w:r>
      <w:r>
        <w:t xml:space="preserve">reported the use of independent advisors (Table 2), 45% the advice from the distributor of the</w:t>
      </w:r>
      <w:r>
        <w:t xml:space="preserve"> </w:t>
      </w:r>
      <w:r>
        <w:t xml:space="preserve">financial product. 23% of consumers invested without advice. Although the share of those that</w:t>
      </w:r>
      <w:r>
        <w:t xml:space="preserve"> </w:t>
      </w:r>
      <w:r>
        <w:t xml:space="preserve">claim having received advice from an independent advisor is far from negligible, it is not higher in</w:t>
      </w:r>
      <w:r>
        <w:t xml:space="preserve"> </w:t>
      </w:r>
      <w:r>
        <w:t xml:space="preserve">those Member States where more respondents said they received professional advice, which</w:t>
      </w:r>
      <w:r>
        <w:t xml:space="preserve"> </w:t>
      </w:r>
      <w:r>
        <w:t xml:space="preserve">confirms the importance of advice from producers of financial products.530 This compares to 56%</w:t>
      </w:r>
      <w:r>
        <w:t xml:space="preserve"> </w:t>
      </w:r>
      <w:r>
        <w:t xml:space="preserve">of households that used business professionals in US surveys531 and 70% that leave their investment</w:t>
      </w:r>
      <w:r>
        <w:t xml:space="preserve"> </w:t>
      </w:r>
      <w:r>
        <w:t xml:space="preserve">entirely to an expert or seek their advice in the UK.532</w:t>
      </w:r>
      <w:r>
        <w:t xml:space="preserve"> </w:t>
      </w:r>
      <w:r>
        <w:t xml:space="preserve">Table 2: Share of respondents that received advice in %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DE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EL</w:t>
      </w:r>
      <w:r>
        <w:t xml:space="preserve"> </w:t>
      </w:r>
      <w:r>
        <w:t xml:space="preserve">IT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RO</w:t>
      </w:r>
      <w:r>
        <w:t xml:space="preserve"> </w:t>
      </w:r>
      <w:r>
        <w:t xml:space="preserve">No, I have</w:t>
      </w:r>
      <w:r>
        <w:t xml:space="preserve"> </w:t>
      </w:r>
      <w:r>
        <w:t xml:space="preserve">never</w:t>
      </w:r>
      <w:r>
        <w:t xml:space="preserve"> </w:t>
      </w:r>
      <w:r>
        <w:t xml:space="preserve">received any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advice</w:t>
      </w:r>
      <w:r>
        <w:t xml:space="preserve"> </w:t>
      </w:r>
      <w:r>
        <w:t xml:space="preserve">30</w:t>
      </w:r>
      <w:r>
        <w:t xml:space="preserve"> </w:t>
      </w:r>
      <w:r>
        <w:t xml:space="preserve">28</w:t>
      </w:r>
      <w:r>
        <w:t xml:space="preserve"> </w:t>
      </w:r>
      <w:r>
        <w:t xml:space="preserve">33</w:t>
      </w:r>
      <w:r>
        <w:t xml:space="preserve"> </w:t>
      </w:r>
      <w:r>
        <w:t xml:space="preserve">27</w:t>
      </w:r>
      <w:r>
        <w:t xml:space="preserve"> </w:t>
      </w:r>
      <w:r>
        <w:t xml:space="preserve">29</w:t>
      </w:r>
      <w:r>
        <w:t xml:space="preserve"> </w:t>
      </w:r>
      <w:r>
        <w:t xml:space="preserve">30</w:t>
      </w:r>
      <w:r>
        <w:t xml:space="preserve"> </w:t>
      </w:r>
      <w:r>
        <w:t xml:space="preserve">23</w:t>
      </w:r>
      <w:r>
        <w:t xml:space="preserve"> </w:t>
      </w:r>
      <w:r>
        <w:t xml:space="preserve">44</w:t>
      </w:r>
      <w:r>
        <w:t xml:space="preserve"> </w:t>
      </w:r>
      <w:r>
        <w:t xml:space="preserve">37</w:t>
      </w:r>
      <w:r>
        <w:t xml:space="preserve"> </w:t>
      </w:r>
      <w:r>
        <w:t xml:space="preserve">27</w:t>
      </w:r>
      <w:r>
        <w:t xml:space="preserve"> </w:t>
      </w:r>
      <w:r>
        <w:t xml:space="preserve">Yes,</w:t>
      </w:r>
      <w:r>
        <w:t xml:space="preserve"> </w:t>
      </w:r>
      <w:r>
        <w:t xml:space="preserve">I</w:t>
      </w:r>
      <w:r>
        <w:t xml:space="preserve"> </w:t>
      </w:r>
      <w:r>
        <w:t xml:space="preserve">received</w:t>
      </w:r>
      <w:r>
        <w:t xml:space="preserve"> </w:t>
      </w:r>
      <w:r>
        <w:t xml:space="preserve">professional</w:t>
      </w:r>
      <w:r>
        <w:t xml:space="preserve"> </w:t>
      </w:r>
      <w:r>
        <w:t xml:space="preserve">advice</w:t>
      </w:r>
      <w:r>
        <w:t xml:space="preserve"> </w:t>
      </w:r>
      <w:r>
        <w:t xml:space="preserve">38</w:t>
      </w:r>
      <w:r>
        <w:t xml:space="preserve"> </w:t>
      </w:r>
      <w:r>
        <w:t xml:space="preserve">41</w:t>
      </w:r>
      <w:r>
        <w:t xml:space="preserve"> </w:t>
      </w:r>
      <w:r>
        <w:t xml:space="preserve">43</w:t>
      </w:r>
      <w:r>
        <w:t xml:space="preserve"> </w:t>
      </w:r>
      <w:r>
        <w:t xml:space="preserve">42</w:t>
      </w:r>
      <w:r>
        <w:t xml:space="preserve"> </w:t>
      </w:r>
      <w:r>
        <w:t xml:space="preserve">39</w:t>
      </w:r>
      <w:r>
        <w:t xml:space="preserve"> </w:t>
      </w:r>
      <w:r>
        <w:t xml:space="preserve">36</w:t>
      </w:r>
      <w:r>
        <w:t xml:space="preserve"> </w:t>
      </w:r>
      <w:r>
        <w:t xml:space="preserve">53</w:t>
      </w:r>
      <w:r>
        <w:t xml:space="preserve"> </w:t>
      </w:r>
      <w:r>
        <w:t xml:space="preserve">29</w:t>
      </w:r>
      <w:r>
        <w:t xml:space="preserve"> </w:t>
      </w:r>
      <w:r>
        <w:t xml:space="preserve">27</w:t>
      </w:r>
      <w:r>
        <w:t xml:space="preserve"> </w:t>
      </w:r>
      <w:r>
        <w:t xml:space="preserve">33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independent</w:t>
      </w:r>
      <w:r>
        <w:t xml:space="preserve"> </w:t>
      </w:r>
      <w:r>
        <w:t xml:space="preserve">advisor*</w:t>
      </w:r>
      <w:r>
        <w:t xml:space="preserve"> </w:t>
      </w:r>
      <w:r>
        <w:t xml:space="preserve">28</w:t>
      </w:r>
      <w:r>
        <w:t xml:space="preserve"> </w:t>
      </w:r>
      <w:r>
        <w:t xml:space="preserve">26</w:t>
      </w:r>
      <w:r>
        <w:t xml:space="preserve"> </w:t>
      </w:r>
      <w:r>
        <w:t xml:space="preserve">25</w:t>
      </w:r>
      <w:r>
        <w:t xml:space="preserve"> </w:t>
      </w:r>
      <w:r>
        <w:t xml:space="preserve">21</w:t>
      </w:r>
      <w:r>
        <w:t xml:space="preserve"> </w:t>
      </w:r>
      <w:r>
        <w:t xml:space="preserve">25</w:t>
      </w:r>
      <w:r>
        <w:t xml:space="preserve"> </w:t>
      </w:r>
      <w:r>
        <w:t xml:space="preserve">36</w:t>
      </w:r>
      <w:r>
        <w:t xml:space="preserve"> </w:t>
      </w:r>
      <w:r>
        <w:t xml:space="preserve">31</w:t>
      </w:r>
      <w:r>
        <w:t xml:space="preserve"> </w:t>
      </w:r>
      <w:r>
        <w:t xml:space="preserve">29</w:t>
      </w:r>
      <w:r>
        <w:t xml:space="preserve"> </w:t>
      </w:r>
      <w:r>
        <w:t xml:space="preserve">34</w:t>
      </w:r>
      <w:r>
        <w:t xml:space="preserve"> </w:t>
      </w:r>
      <w:r>
        <w:t xml:space="preserve">32</w:t>
      </w:r>
      <w:r>
        <w:t xml:space="preserve"> </w:t>
      </w:r>
      <w:r>
        <w:t xml:space="preserve">robo-advisor,</w:t>
      </w:r>
      <w:r>
        <w:t xml:space="preserve"> </w:t>
      </w:r>
      <w:r>
        <w:t xml:space="preserve">web</w:t>
      </w:r>
      <w:r>
        <w:t xml:space="preserve"> </w:t>
      </w:r>
      <w:r>
        <w:t xml:space="preserve">comparator**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22</w:t>
      </w:r>
      <w:r>
        <w:t xml:space="preserve"> </w:t>
      </w:r>
      <w:r>
        <w:t xml:space="preserve">19</w:t>
      </w:r>
      <w:r>
        <w:t xml:space="preserve"> </w:t>
      </w:r>
      <w:r>
        <w:t xml:space="preserve">*a broker that sells a range of financial products but does not assemble/ manufacture any of them, ** or</w:t>
      </w:r>
      <w:r>
        <w:t xml:space="preserve"> </w:t>
      </w:r>
      <w:r>
        <w:t xml:space="preserve">equivalent.</w:t>
      </w:r>
      <w:r>
        <w:t xml:space="preserve"> </w:t>
      </w:r>
      <w:r>
        <w:t xml:space="preserve">Source: Retail investment study (2022).</w:t>
      </w:r>
      <w:r>
        <w:t xml:space="preserve"> </w:t>
      </w:r>
      <w:r>
        <w:t xml:space="preserve">Issues around the quality of financial advice debated in the economic literature relate to frequent</w:t>
      </w:r>
      <w:r>
        <w:t xml:space="preserve"> </w:t>
      </w:r>
      <w:r>
        <w:t xml:space="preserve">reports of misconduct of advisors and the underlying problem that many consumers follow their</w:t>
      </w:r>
      <w:r>
        <w:t xml:space="preserve"> </w:t>
      </w:r>
      <w:r>
        <w:t xml:space="preserve">recommendations blindly.533 The consumer survey performed for the retail investment study</w:t>
      </w:r>
      <w:r>
        <w:t xml:space="preserve"> </w:t>
      </w:r>
      <w:r>
        <w:t xml:space="preserve">showed that 24% indicated they follow the recommendation of financial advisors (Table 3); 23%</w:t>
      </w:r>
      <w:r>
        <w:t xml:space="preserve"> </w:t>
      </w:r>
      <w:r>
        <w:t xml:space="preserve">said that banks’ or brokers’ recommendations triggered their investment decision. About a third of</w:t>
      </w:r>
      <w:r>
        <w:t xml:space="preserve"> </w:t>
      </w:r>
      <w:r>
        <w:t xml:space="preserve">the respondents indicated problems finding a financial advisor and a quarter expressed mistrust in</w:t>
      </w:r>
    </w:p>
    <w:p>
      <w:pPr>
        <w:pStyle w:val="BodyText"/>
      </w:pPr>
      <w:r>
        <w:t xml:space="preserve">530 The correlation is even negative, though not significant at 10% level given the low number of 10</w:t>
      </w:r>
      <w:r>
        <w:t xml:space="preserve"> </w:t>
      </w:r>
      <w:r>
        <w:t xml:space="preserve">observations.</w:t>
      </w:r>
      <w:r>
        <w:t xml:space="preserve"> </w:t>
      </w:r>
      <w:r>
        <w:t xml:space="preserve">531 US Federal Reserve Board (2020), ‘Changes in U.S. Family Finances from 2016 to 2019: Evidence from</w:t>
      </w:r>
      <w:r>
        <w:t xml:space="preserve"> </w:t>
      </w:r>
      <w:r>
        <w:t xml:space="preserve">the Survey of Consumer Finances’, Federal Reserve Bulletin, Vol. 106, No. 5, September 2020.</w:t>
      </w:r>
      <w:r>
        <w:t xml:space="preserve"> </w:t>
      </w:r>
      <w:r>
        <w:t xml:space="preserve">532 Europe Economics, Retail Distribution Review, Post Implementation Review, December 2014. 33% left</w:t>
      </w:r>
      <w:r>
        <w:t xml:space="preserve"> </w:t>
      </w:r>
      <w:r>
        <w:t xml:space="preserve">their investment to experts, 37% said to ask for advice and help.</w:t>
      </w:r>
      <w:r>
        <w:t xml:space="preserve"> </w:t>
      </w:r>
      <w:r>
        <w:t xml:space="preserve">533 See the overview in Kramer, M. (2016), Financial literacy, confidence and financial advice seeking,</w:t>
      </w:r>
      <w:r>
        <w:t xml:space="preserve"> </w:t>
      </w:r>
      <w:r>
        <w:t xml:space="preserve">Journal of Economic Behavior &amp; Organization, Volume 131, Part A, November 2016, Pages 198-217.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financial advisors. A German survey indicated that 73% of the respondents had full trust in their</w:t>
      </w:r>
      <w:r>
        <w:t xml:space="preserve"> </w:t>
      </w:r>
      <w:r>
        <w:t xml:space="preserve">advisor, a French study reported 20%.534</w:t>
      </w:r>
    </w:p>
    <w:p>
      <w:pPr>
        <w:pStyle w:val="BodyText"/>
      </w:pPr>
      <w:r>
        <w:t xml:space="preserve">Table 3: Reaction to and assessment of financial advice, share of respondents in %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tal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Did you follow the advice?</w:t>
      </w:r>
      <w:r>
        <w:t xml:space="preserve"> </w:t>
      </w:r>
      <w:r>
        <w:t xml:space="preserve">Yes,</w:t>
      </w:r>
      <w:r>
        <w:t xml:space="preserve"> </w:t>
      </w:r>
      <w:r>
        <w:t xml:space="preserve">in all</w:t>
      </w:r>
      <w:r>
        <w:t xml:space="preserve"> </w:t>
      </w:r>
      <w:r>
        <w:t xml:space="preserve">cases</w:t>
      </w:r>
      <w:r>
        <w:t xml:space="preserve"> </w:t>
      </w:r>
      <w:r>
        <w:t xml:space="preserve">24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Yes,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cases</w:t>
      </w:r>
      <w:r>
        <w:t xml:space="preserve"> </w:t>
      </w:r>
      <w:r>
        <w:t xml:space="preserve">67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No,</w:t>
      </w:r>
      <w:r>
        <w:t xml:space="preserve"> </w:t>
      </w:r>
      <w:r>
        <w:t xml:space="preserve">never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When it comes to advice on financial products, I don’t know where to start to look for an adviser</w:t>
      </w:r>
      <w:r>
        <w:t xml:space="preserve"> </w:t>
      </w:r>
      <w:r>
        <w:t xml:space="preserve">I</w:t>
      </w:r>
      <w:r>
        <w:t xml:space="preserve"> </w:t>
      </w:r>
      <w:r>
        <w:t xml:space="preserve">agree</w:t>
      </w:r>
      <w:r>
        <w:t xml:space="preserve"> </w:t>
      </w:r>
      <w:r>
        <w:t xml:space="preserve">*</w:t>
      </w:r>
      <w:r>
        <w:t xml:space="preserve"> </w:t>
      </w:r>
      <w:r>
        <w:t xml:space="preserve">32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I trust financial advisers to act in the best interests of their clients</w:t>
      </w:r>
      <w:r>
        <w:t xml:space="preserve"> </w:t>
      </w:r>
      <w:r>
        <w:t xml:space="preserve">I</w:t>
      </w:r>
      <w:r>
        <w:t xml:space="preserve"> </w:t>
      </w:r>
      <w:r>
        <w:t xml:space="preserve">agree</w:t>
      </w:r>
      <w:r>
        <w:t xml:space="preserve"> </w:t>
      </w:r>
      <w:r>
        <w:t xml:space="preserve">*, **</w:t>
      </w:r>
      <w:r>
        <w:t xml:space="preserve"> </w:t>
      </w:r>
      <w:r>
        <w:t xml:space="preserve">36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I</w:t>
      </w:r>
      <w:r>
        <w:t xml:space="preserve"> </w:t>
      </w:r>
      <w:r>
        <w:t xml:space="preserve">disagr</w:t>
      </w:r>
      <w:r>
        <w:t xml:space="preserve"> </w:t>
      </w:r>
      <w:r>
        <w:t xml:space="preserve">ee*</w:t>
      </w:r>
      <w:r>
        <w:t xml:space="preserve"> </w:t>
      </w:r>
      <w:r>
        <w:t xml:space="preserve">26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52"/>
        </w:numPr>
      </w:pPr>
      <w:r>
        <w:t xml:space="preserve">sum of slightly and strongly agree/disagree, ** residual of agree and disagree are those that are neutral or</w:t>
      </w:r>
      <w:r>
        <w:t xml:space="preserve"> </w:t>
      </w:r>
      <w:r>
        <w:t xml:space="preserve">did not reply. Source: Retail investment study (2022).</w:t>
      </w:r>
      <w:r>
        <w:t xml:space="preserve"> </w:t>
      </w:r>
      <w:r>
        <w:t xml:space="preserve">A US study provides numbers on advisors’ behaviour: 7% of advisors have a misconduct record,</w:t>
      </w:r>
      <w:r>
        <w:t xml:space="preserve"> </w:t>
      </w:r>
      <w:r>
        <w:t xml:space="preserve">one third of them are repeated offenders; about half of the advisors lose their job after</w:t>
      </w:r>
      <w:r>
        <w:t xml:space="preserve"> </w:t>
      </w:r>
      <w:r>
        <w:t xml:space="preserve">misconduct.535 They tend to find new jobs in firms that have a reputation for conducting</w:t>
      </w:r>
      <w:r>
        <w:t xml:space="preserve"> </w:t>
      </w:r>
      <w:r>
        <w:t xml:space="preserve">misconduct. Another US study identified that a crucial determinant of the incentive to misconduct</w:t>
      </w:r>
      <w:r>
        <w:t xml:space="preserve"> </w:t>
      </w:r>
      <w:r>
        <w:t xml:space="preserve">is whether the ownership of the customer relationship is with the advisors or the firm they work</w:t>
      </w:r>
      <w:r>
        <w:t xml:space="preserve"> </w:t>
      </w:r>
      <w:r>
        <w:t xml:space="preserve">for. Advisors’ ownership of the relationship, measured in this study as the right to keep the</w:t>
      </w:r>
      <w:r>
        <w:t xml:space="preserve"> </w:t>
      </w:r>
      <w:r>
        <w:t xml:space="preserve">relationship when changing the employer, led to fewer complaints.536</w:t>
      </w:r>
    </w:p>
    <w:p>
      <w:pPr>
        <w:pStyle w:val="FirstParagraph"/>
      </w:pPr>
      <w:r>
        <w:t xml:space="preserve">534 See for Germany, respectively France: Paul, St. et al. (2019), ‚Auswirkungsstudie MiFID II/MiFIR und</w:t>
      </w:r>
      <w:r>
        <w:t xml:space="preserve"> </w:t>
      </w:r>
      <w:r>
        <w:t xml:space="preserve">PRIIPs-VO: Effektivität und Effizienz der Neuregelungen vor dem Hintergrund des Anleger- und</w:t>
      </w:r>
      <w:r>
        <w:t xml:space="preserve"> </w:t>
      </w:r>
      <w:r>
        <w:t xml:space="preserve">Verbraucherschutzes - Eine qualitativ-empirische Analyse, Study commissioned by the German credit</w:t>
      </w:r>
      <w:r>
        <w:t xml:space="preserve"> </w:t>
      </w:r>
      <w:r>
        <w:t xml:space="preserve">industry, final report, AMF (2020), ‚Investisseurs particuliers: leurs motivations et leurs pratiques</w:t>
      </w:r>
      <w:r>
        <w:t xml:space="preserve"> </w:t>
      </w:r>
      <w:r>
        <w:t xml:space="preserve">d’investissement‘, Etude AMF, October 2020.</w:t>
      </w:r>
      <w:r>
        <w:t xml:space="preserve"> </w:t>
      </w:r>
      <w:r>
        <w:t xml:space="preserve">535 See Egan, M. et al. (2017), The Market for Financial Adviser Misconduct, NBER Working Paper No</w:t>
      </w:r>
      <w:r>
        <w:t xml:space="preserve"> </w:t>
      </w:r>
      <w:r>
        <w:t xml:space="preserve">22050, September 2017.</w:t>
      </w:r>
      <w:r>
        <w:t xml:space="preserve"> </w:t>
      </w:r>
      <w:r>
        <w:t xml:space="preserve">536 Clifford, Ch. and Gerken, W. (2021), ‘Property Rights to Client Relationships and Financial Advisor</w:t>
      </w:r>
      <w:r>
        <w:t xml:space="preserve"> </w:t>
      </w:r>
      <w:r>
        <w:t xml:space="preserve">Incentives’, Journal of Finance 2021.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Since advice is a credence good, the low number of independent financial advisors, the difficulties</w:t>
      </w:r>
      <w:r>
        <w:t xml:space="preserve"> </w:t>
      </w:r>
      <w:r>
        <w:t xml:space="preserve">in finding advisors and the distrust in financial advisors bode ill for the desired increase in retail</w:t>
      </w:r>
      <w:r>
        <w:t xml:space="preserve"> </w:t>
      </w:r>
      <w:r>
        <w:t xml:space="preserve">investor participation. New unexperienced investors are in particular need to receive quality advice</w:t>
      </w:r>
      <w:r>
        <w:t xml:space="preserve"> </w:t>
      </w:r>
      <w:r>
        <w:t xml:space="preserve">tailored to their situation whereas financially literate investors have a higher level of mistrust and</w:t>
      </w:r>
      <w:r>
        <w:t xml:space="preserve"> </w:t>
      </w:r>
      <w:r>
        <w:t xml:space="preserve">are particularly demanding. According to a recent paper, trust in the quality of advice appears to</w:t>
      </w:r>
      <w:r>
        <w:t xml:space="preserve"> </w:t>
      </w:r>
      <w:r>
        <w:t xml:space="preserve">be crucial for those that are risk averse.537 The authors identify two factors important to build trust:</w:t>
      </w:r>
      <w:r>
        <w:t xml:space="preserve"> </w:t>
      </w:r>
      <w:r>
        <w:t xml:space="preserve">competence and caring. Certification of qualifications of advisors cater for the former, standards</w:t>
      </w:r>
      <w:r>
        <w:t xml:space="preserve"> </w:t>
      </w:r>
      <w:r>
        <w:t xml:space="preserve">that align incentives for advisors with those of their clients for the latter.</w:t>
      </w:r>
      <w:r>
        <w:br/>
      </w:r>
      <w:r>
        <w:t xml:space="preserve">The qualification and competence of financial advisors are regulated in the EU by MiFID II and</w:t>
      </w:r>
      <w:r>
        <w:t xml:space="preserve"> </w:t>
      </w:r>
      <w:r>
        <w:t xml:space="preserve">IDD. Both MiFID II and IDD contain generic safeguards requiring staff advising on or selling</w:t>
      </w:r>
      <w:r>
        <w:t xml:space="preserve"> </w:t>
      </w:r>
      <w:r>
        <w:t xml:space="preserve">investment products to retail clients, to possess an appropriate level of knowledge and competence</w:t>
      </w:r>
      <w:r>
        <w:t xml:space="preserve"> </w:t>
      </w:r>
      <w:r>
        <w:t xml:space="preserve">in relation to the products offered. Nevertheless, a recent analysis of the current framework538</w:t>
      </w:r>
      <w:r>
        <w:t xml:space="preserve"> </w:t>
      </w:r>
      <w:r>
        <w:t xml:space="preserve">highlights that competences and standards vary significantly across the EU because the relevant</w:t>
      </w:r>
      <w:r>
        <w:t xml:space="preserve"> </w:t>
      </w:r>
      <w:r>
        <w:t xml:space="preserve">national requirements are very diverse. Besides national differences, there are also considerable</w:t>
      </w:r>
      <w:r>
        <w:t xml:space="preserve"> </w:t>
      </w:r>
      <w:r>
        <w:t xml:space="preserve">differences across sectoral legislations. Requirements for advisors operating under the MiFID II</w:t>
      </w:r>
      <w:r>
        <w:t xml:space="preserve"> </w:t>
      </w:r>
      <w:r>
        <w:t xml:space="preserve">and the IDD frameworks differ. In addition, differences with advisors operating only under national</w:t>
      </w:r>
      <w:r>
        <w:t xml:space="preserve"> </w:t>
      </w:r>
      <w:r>
        <w:t xml:space="preserve">rules, because they are exempted from the EU legislation, are even larger.</w:t>
      </w:r>
      <w:r>
        <w:t xml:space="preserve"> </w:t>
      </w:r>
      <w:r>
        <w:t xml:space="preserve">This creates fragmentation within the EU market and may put at risk retail investors who may</w:t>
      </w:r>
      <w:r>
        <w:t xml:space="preserve"> </w:t>
      </w:r>
      <w:r>
        <w:t xml:space="preserve">receive inadequate advice from poorly qualified financial advisors. The low level of retail</w:t>
      </w:r>
      <w:r>
        <w:t xml:space="preserve"> </w:t>
      </w:r>
      <w:r>
        <w:t xml:space="preserve">participation in many EU Member States indicates a certain level of mistrust in capital markets and</w:t>
      </w:r>
      <w:r>
        <w:t xml:space="preserve"> </w:t>
      </w:r>
      <w:r>
        <w:t xml:space="preserve">the low level of trust in financial advisors may contribute to it. The existing rules have not</w:t>
      </w:r>
      <w:r>
        <w:t xml:space="preserve"> </w:t>
      </w:r>
      <w:r>
        <w:t xml:space="preserve">dismissed the distrust.</w:t>
      </w:r>
      <w:r>
        <w:t xml:space="preserve"> </w:t>
      </w:r>
      <w:r>
        <w:t xml:space="preserve">Furthermore, requirements with regard to the assessment of clients’ sustainability preferences will</w:t>
      </w:r>
      <w:r>
        <w:t xml:space="preserve"> </w:t>
      </w:r>
      <w:r>
        <w:t xml:space="preserve">increasingly make the provision of investment advice more complex due to the necessity to go</w:t>
      </w:r>
      <w:r>
        <w:t xml:space="preserve"> </w:t>
      </w:r>
      <w:r>
        <w:t xml:space="preserve">beyond purely financial considerations. This reinforces the role of financial advisors and the need</w:t>
      </w:r>
      <w:r>
        <w:t xml:space="preserve"> </w:t>
      </w:r>
      <w:r>
        <w:t xml:space="preserve">for them to hold the necessary knowledge in this regard as well.</w:t>
      </w:r>
      <w:r>
        <w:t xml:space="preserve"> </w:t>
      </w:r>
      <w:r>
        <w:t xml:space="preserve">The High Level Forum on Capital Markets Union (‘HLF’) highlighted that existing rules on</w:t>
      </w:r>
      <w:r>
        <w:t xml:space="preserve"> </w:t>
      </w:r>
      <w:r>
        <w:t xml:space="preserve">qualification requirements for investment advisors are deemed insufficient and can lead to clients</w:t>
      </w:r>
      <w:r>
        <w:t xml:space="preserve"> </w:t>
      </w:r>
      <w:r>
        <w:t xml:space="preserve">receiving inappropriate advice and being victims of mis-selling.539 A relative majority of</w:t>
      </w:r>
      <w:r>
        <w:t xml:space="preserve"> </w:t>
      </w:r>
      <w:r>
        <w:t xml:space="preserve">stakeholders consulted by the Commission on the HLF’s recommendations in the form of a</w:t>
      </w:r>
      <w:r>
        <w:t xml:space="preserve"> </w:t>
      </w:r>
      <w:r>
        <w:t xml:space="preserve">feedback process (39% of those taking a position) agreed that the qualification of advisors was a</w:t>
      </w:r>
      <w:r>
        <w:t xml:space="preserve"> </w:t>
      </w:r>
      <w:r>
        <w:t xml:space="preserve">very important or rather important issue to tackle (37% thought it was rather not important or not</w:t>
      </w:r>
      <w:r>
        <w:t xml:space="preserve"> </w:t>
      </w:r>
      <w:r>
        <w:t xml:space="preserve">important at all, 25% neutral). Support for this view was greatest amongst companies and business</w:t>
      </w:r>
      <w:r>
        <w:t xml:space="preserve"> </w:t>
      </w:r>
      <w:r>
        <w:t xml:space="preserve">organisations (66%), but less pronounced amongst business associations (33%) and public</w:t>
      </w:r>
    </w:p>
    <w:p>
      <w:pPr>
        <w:pStyle w:val="BodyText"/>
      </w:pPr>
      <w:r>
        <w:t xml:space="preserve">537 A Polish study asked consumers to rate their experience with financial advisors. It concluded that</w:t>
      </w:r>
      <w:r>
        <w:t xml:space="preserve"> </w:t>
      </w:r>
      <w:r>
        <w:t xml:space="preserve">judgements were predominantly about difference in risk attitudes between advisor and customer by</w:t>
      </w:r>
      <w:r>
        <w:t xml:space="preserve"> </w:t>
      </w:r>
      <w:r>
        <w:t xml:space="preserve">customers with low tolerance for risk. See Barnaba, D. et al. (2020), ‘Expertise is in the eye of the</w:t>
      </w:r>
      <w:r>
        <w:t xml:space="preserve"> </w:t>
      </w:r>
      <w:r>
        <w:t xml:space="preserve">beholder: financial advisor evaluations and client satisfaction as a result of advisor recommendations’,</w:t>
      </w:r>
      <w:r>
        <w:t xml:space="preserve"> </w:t>
      </w:r>
      <w:r>
        <w:t xml:space="preserve">Polish Psychological Bulletin, Vol. 51, No. 1.</w:t>
      </w:r>
      <w:r>
        <w:t xml:space="preserve"> </w:t>
      </w:r>
      <w:r>
        <w:t xml:space="preserve">538 Report on the current framework for qualification of financial advisors in the EU and assessment of</w:t>
      </w:r>
      <w:r>
        <w:t xml:space="preserve"> </w:t>
      </w:r>
      <w:r>
        <w:t xml:space="preserve">possible ways forward, SWD(2022) 184 final.</w:t>
      </w:r>
      <w:r>
        <w:t xml:space="preserve"> </w:t>
      </w:r>
      <w:r>
        <w:t xml:space="preserve">539 See: ‘A new Vision for Europe’s capital markets – Final Report of the High Level Forum on the Capital</w:t>
      </w:r>
      <w:r>
        <w:t xml:space="preserve"> </w:t>
      </w:r>
      <w:r>
        <w:t xml:space="preserve">Markets Union’, June 2020.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authorities (17%). Consumer associations, which were represented amongst the experts of the HLF</w:t>
      </w:r>
      <w:r>
        <w:t xml:space="preserve"> </w:t>
      </w:r>
      <w:r>
        <w:t xml:space="preserve">and took part in preparing the HLF report, did not provide additional feedback.</w:t>
      </w:r>
      <w:r>
        <w:br/>
      </w:r>
      <w:r>
        <w:t xml:space="preserve">The existence of issues was also confirmed by respondents to the 2020 consultation on the ‘Review</w:t>
      </w:r>
      <w:r>
        <w:t xml:space="preserve"> </w:t>
      </w:r>
      <w:r>
        <w:t xml:space="preserve">of the regulatory framework for investment firms and market operators’, which sought evidence</w:t>
      </w:r>
      <w:r>
        <w:t xml:space="preserve"> </w:t>
      </w:r>
      <w:r>
        <w:t xml:space="preserve">from stakeholders on areas that would merit targeted adjustments to MiFID II and MiFIR, which</w:t>
      </w:r>
      <w:r>
        <w:t xml:space="preserve"> </w:t>
      </w:r>
      <w:r>
        <w:t xml:space="preserve">started to apply in January 2018. A substantial part (39%) of all respondents that took a position</w:t>
      </w:r>
      <w:r>
        <w:t xml:space="preserve"> </w:t>
      </w:r>
      <w:r>
        <w:t xml:space="preserve">on this question agreed that there would be merit in setting up a certification requirement for staff</w:t>
      </w:r>
      <w:r>
        <w:t xml:space="preserve"> </w:t>
      </w:r>
      <w:r>
        <w:t xml:space="preserve">providing investment advice and other relevant information. Amongst others, proponents of a</w:t>
      </w:r>
      <w:r>
        <w:t xml:space="preserve"> </w:t>
      </w:r>
      <w:r>
        <w:t xml:space="preserve">certification requirement pointed out the need for harmonisation and for having a minimum</w:t>
      </w:r>
      <w:r>
        <w:t xml:space="preserve"> </w:t>
      </w:r>
      <w:r>
        <w:t xml:space="preserve">standard for all advisors, the high impact investment advice can have on the overall economic</w:t>
      </w:r>
      <w:r>
        <w:t xml:space="preserve"> </w:t>
      </w:r>
      <w:r>
        <w:t xml:space="preserve">situation of European citizens and the high influence the quality of investment advice can have on</w:t>
      </w:r>
      <w:r>
        <w:t xml:space="preserve"> </w:t>
      </w:r>
      <w:r>
        <w:t xml:space="preserve">a financial institution’s reputation.</w:t>
      </w:r>
      <w:r>
        <w:br/>
      </w:r>
      <w:r>
        <w:t xml:space="preserve">1.2 What are the available policy options?</w:t>
      </w:r>
      <w:r>
        <w:t xml:space="preserve"> </w:t>
      </w:r>
      <w:r>
        <w:t xml:space="preserve">In addition to the baseline scenario, the impact assessment identifies two policy options to address</w:t>
      </w:r>
      <w:r>
        <w:t xml:space="preserve"> </w:t>
      </w:r>
      <w:r>
        <w:t xml:space="preserve">the identified problem. Both options aim at improving investor protection and addressing market</w:t>
      </w:r>
      <w:r>
        <w:t xml:space="preserve"> </w:t>
      </w:r>
      <w:r>
        <w:t xml:space="preserve">fragmentation. They are linked, in particular, to SO2, i.e. better aligning interests between</w:t>
      </w:r>
      <w:r>
        <w:t xml:space="preserve"> </w:t>
      </w:r>
      <w:r>
        <w:t xml:space="preserve">intermediaries and investors, to ensure that the advice is of better quality and can therefore better</w:t>
      </w:r>
      <w:r>
        <w:t xml:space="preserve"> </w:t>
      </w:r>
      <w:r>
        <w:t xml:space="preserve">identify and address the needs, preferences and objectives of investors. In addition, such better</w:t>
      </w:r>
      <w:r>
        <w:t xml:space="preserve"> </w:t>
      </w:r>
      <w:r>
        <w:t xml:space="preserve">alignment might also lead to more cost-effective products offered to investors (SO3). Finally, the</w:t>
      </w:r>
      <w:r>
        <w:t xml:space="preserve"> </w:t>
      </w:r>
      <w:r>
        <w:t xml:space="preserve">options might support SO1, improving the information provided to investors, as more qualified</w:t>
      </w:r>
      <w:r>
        <w:t xml:space="preserve"> </w:t>
      </w:r>
      <w:r>
        <w:t xml:space="preserve">advisors should be capable to better tailor the information provided to the clients’ needs. The</w:t>
      </w:r>
      <w:r>
        <w:t xml:space="preserve"> </w:t>
      </w:r>
      <w:r>
        <w:t xml:space="preserve">measures considered can, however, not address the identified underlying problems in full and</w:t>
      </w:r>
      <w:r>
        <w:t xml:space="preserve"> </w:t>
      </w:r>
      <w:r>
        <w:t xml:space="preserve">should be seen as complementary to other measures assessed in this impact assessment.</w:t>
      </w:r>
      <w:r>
        <w:t xml:space="preserve"> </w:t>
      </w:r>
      <w:r>
        <w:t xml:space="preserve">Under the baseline (option 1), no action would be taken and hence the existing requirements set</w:t>
      </w:r>
      <w:r>
        <w:t xml:space="preserve"> </w:t>
      </w:r>
      <w:r>
        <w:t xml:space="preserve">out in MiFID II and IDD would be maintained. With regard to MiFID, current non-binding ESMA</w:t>
      </w:r>
      <w:r>
        <w:t xml:space="preserve"> </w:t>
      </w:r>
      <w:r>
        <w:t xml:space="preserve">guidelines would continue to apply, but fail to achieve convergence across Member States.</w:t>
      </w:r>
      <w:r>
        <w:t xml:space="preserve"> </w:t>
      </w:r>
      <w:r>
        <w:t xml:space="preserve">Qualification requirements and modalities around examination and verification of qualifications</w:t>
      </w:r>
      <w:r>
        <w:t xml:space="preserve"> </w:t>
      </w:r>
      <w:r>
        <w:t xml:space="preserve">would continue to be largely determined by Member States. Some principles would continue to be</w:t>
      </w:r>
      <w:r>
        <w:t xml:space="preserve"> </w:t>
      </w:r>
      <w:r>
        <w:t xml:space="preserve">set out under the relevant provisions in MiFID II and IDD and Member States would maintain the</w:t>
      </w:r>
      <w:r>
        <w:t xml:space="preserve"> </w:t>
      </w:r>
      <w:r>
        <w:t xml:space="preserve">possibility to exempt advisors from these rules under certain conditions540, as is currently the case.</w:t>
      </w:r>
      <w:r>
        <w:t xml:space="preserve"> </w:t>
      </w:r>
      <w:r>
        <w:t xml:space="preserve">As a result, the level of qualification of advisors would continue to diverge amongst Member States</w:t>
      </w:r>
      <w:r>
        <w:t xml:space="preserve"> </w:t>
      </w:r>
      <w:r>
        <w:t xml:space="preserve">and amongst advisors operating under different legal frameworks. Investors would therefore</w:t>
      </w:r>
      <w:r>
        <w:t xml:space="preserve"> </w:t>
      </w:r>
      <w:r>
        <w:t xml:space="preserve">continue to be distrustful of advice and this would continue to have an impact on retail investor</w:t>
      </w:r>
      <w:r>
        <w:t xml:space="preserve"> </w:t>
      </w:r>
      <w:r>
        <w:t xml:space="preserve">participation in capital markets.</w:t>
      </w:r>
      <w:r>
        <w:br/>
      </w:r>
      <w:r>
        <w:t xml:space="preserve">Option 2 would seek to strengthen the existing standards and further harmonise requirements set</w:t>
      </w:r>
      <w:r>
        <w:t xml:space="preserve"> </w:t>
      </w:r>
      <w:r>
        <w:t xml:space="preserve">out in MiFID II/IDD. Under this scenario, the requirements for necessary knowledge and</w:t>
      </w:r>
      <w:r>
        <w:t xml:space="preserve"> </w:t>
      </w:r>
      <w:r>
        <w:t xml:space="preserve">competence of financial advisors currently set out in MiFID II/IDD could be further strengthened</w:t>
      </w:r>
      <w:r>
        <w:t xml:space="preserve"> </w:t>
      </w:r>
      <w:r>
        <w:t xml:space="preserve">and some elements around the evaluation of competences of advisors could be further specified.</w:t>
      </w:r>
      <w:r>
        <w:t xml:space="preserve"> </w:t>
      </w:r>
      <w:r>
        <w:t xml:space="preserve">This would involve the transfer of some high level principles and other elements from the existing</w:t>
      </w:r>
      <w:r>
        <w:t xml:space="preserve"> </w:t>
      </w:r>
      <w:r>
        <w:t xml:space="preserve">non-binding ESMA guidelines into the level 1 and possibly level 2 legislative framework of MiFID</w:t>
      </w:r>
      <w:r>
        <w:t xml:space="preserve"> </w:t>
      </w:r>
      <w:r>
        <w:t xml:space="preserve">II to ensure a more harmonised application in the Member States and its extension to the IDD</w:t>
      </w:r>
    </w:p>
    <w:p>
      <w:pPr>
        <w:pStyle w:val="BodyText"/>
      </w:pPr>
      <w:r>
        <w:t xml:space="preserve">540 i.e. where advice is provided outside the MiFID II framework, based on the Article 3 exemption.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framework. Furthermore, the IDD requirements on continuous training could be further detailed</w:t>
      </w:r>
      <w:r>
        <w:t xml:space="preserve"> </w:t>
      </w:r>
      <w:r>
        <w:t xml:space="preserve">and extended to MiFID II. Inclusion of certain knowledge of sustainability as part of the training</w:t>
      </w:r>
      <w:r>
        <w:t xml:space="preserve"> </w:t>
      </w:r>
      <w:r>
        <w:t xml:space="preserve">of financial advisors could be included as well. Strengthening the existing standards could also</w:t>
      </w:r>
      <w:r>
        <w:t xml:space="preserve"> </w:t>
      </w:r>
      <w:r>
        <w:t xml:space="preserve">include the introduction of additional conditions for the Member States applying the Article 3</w:t>
      </w:r>
      <w:r>
        <w:t xml:space="preserve"> </w:t>
      </w:r>
      <w:r>
        <w:t xml:space="preserve">exemption under MiFID II (e.g. requiring the Member States to ensure that equivalent standards as</w:t>
      </w:r>
      <w:r>
        <w:t xml:space="preserve"> </w:t>
      </w:r>
      <w:r>
        <w:t xml:space="preserve">regards knowledge and competence are applicable to the advisors operating outside the MiFID II</w:t>
      </w:r>
      <w:r>
        <w:t xml:space="preserve"> </w:t>
      </w:r>
      <w:r>
        <w:t xml:space="preserve">framework).</w:t>
      </w:r>
      <w:r>
        <w:t xml:space="preserve"> </w:t>
      </w:r>
      <w:r>
        <w:t xml:space="preserve">Option 3 would seek to create and completely harmonise detailed qualification requirements for</w:t>
      </w:r>
      <w:r>
        <w:t xml:space="preserve"> </w:t>
      </w:r>
      <w:r>
        <w:t xml:space="preserve">all financial advisors – whether operating under MiFID II or IDD or under the existing exemptions.</w:t>
      </w:r>
      <w:r>
        <w:t xml:space="preserve"> </w:t>
      </w:r>
      <w:r>
        <w:t xml:space="preserve">This would entail a detailed assessment of the necessary skills, knowledge and competences and</w:t>
      </w:r>
      <w:r>
        <w:t xml:space="preserve"> </w:t>
      </w:r>
      <w:r>
        <w:t xml:space="preserve">their establishment through primary and secondary legislation whilst leaving little discretion at</w:t>
      </w:r>
      <w:r>
        <w:t xml:space="preserve"> </w:t>
      </w:r>
      <w:r>
        <w:t xml:space="preserve">national level. It would also require the development of a regulatory mechanism to ensure that these</w:t>
      </w:r>
      <w:r>
        <w:t xml:space="preserve"> </w:t>
      </w:r>
      <w:r>
        <w:t xml:space="preserve">requirements are updated on a sufficiently frequent basis to take into account developments in the</w:t>
      </w:r>
      <w:r>
        <w:t xml:space="preserve"> </w:t>
      </w:r>
      <w:r>
        <w:t xml:space="preserve">area of finance, i.e. digitalisation, sustainability, new economic and financial concepts and models.</w:t>
      </w:r>
      <w:r>
        <w:br/>
      </w:r>
      <w:r>
        <w:t xml:space="preserve">Option label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t xml:space="preserve"> </w:t>
      </w:r>
      <w:r>
        <w:t xml:space="preserve">No changes to the legal frameworks</w:t>
      </w:r>
      <w:r>
        <w:br/>
      </w:r>
      <w:r>
        <w:t xml:space="preserve">Option 2</w:t>
      </w:r>
      <w:r>
        <w:t xml:space="preserve"> </w:t>
      </w:r>
      <w:r>
        <w:t xml:space="preserve">Strengthening of the existing standards and further harmonising some</w:t>
      </w:r>
      <w:r>
        <w:t xml:space="preserve"> </w:t>
      </w:r>
      <w:r>
        <w:t xml:space="preserve">of the requirements set out in MiFID II and IDD</w:t>
      </w:r>
      <w:r>
        <w:t xml:space="preserve"> </w:t>
      </w:r>
      <w:r>
        <w:t xml:space="preserve">Option 3</w:t>
      </w:r>
      <w:r>
        <w:t xml:space="preserve"> </w:t>
      </w:r>
      <w:r>
        <w:t xml:space="preserve">Maximum harmonisation of the requirements related to qualification</w:t>
      </w:r>
      <w:r>
        <w:t xml:space="preserve"> </w:t>
      </w:r>
      <w:r>
        <w:t xml:space="preserve">under MiFID II and IDD.</w:t>
      </w:r>
    </w:p>
    <w:p>
      <w:pPr>
        <w:pStyle w:val="BodyText"/>
      </w:pPr>
      <w:r>
        <w:t xml:space="preserve">1.3 What are the impacts of the options and how do they compare?</w:t>
      </w:r>
    </w:p>
    <w:p>
      <w:pPr>
        <w:pStyle w:val="BodyText"/>
      </w:pPr>
      <w:r>
        <w:t xml:space="preserve">1.3.1 Benefits</w:t>
      </w:r>
      <w:r>
        <w:t xml:space="preserve"> </w:t>
      </w:r>
      <w:r>
        <w:t xml:space="preserve">The baseline (Option 1) would maintain the status quo. Some principles regarding the</w:t>
      </w:r>
      <w:r>
        <w:t xml:space="preserve"> </w:t>
      </w:r>
      <w:r>
        <w:t xml:space="preserve">qualification requirements would continue to be set out in MiFID II and IDD, however they would</w:t>
      </w:r>
      <w:r>
        <w:t xml:space="preserve"> </w:t>
      </w:r>
      <w:r>
        <w:t xml:space="preserve">likely continue to diverge between Member States and between the legislative frameworks. Retail</w:t>
      </w:r>
      <w:r>
        <w:t xml:space="preserve"> </w:t>
      </w:r>
      <w:r>
        <w:t xml:space="preserve">investors will continue to obtain a largely divergent quality of advice across the EU, mistrust</w:t>
      </w:r>
      <w:r>
        <w:t xml:space="preserve"> </w:t>
      </w:r>
      <w:r>
        <w:t xml:space="preserve">towards advisors and advice would continue to persist and would influence the decision of a large</w:t>
      </w:r>
      <w:r>
        <w:t xml:space="preserve"> </w:t>
      </w:r>
      <w:r>
        <w:t xml:space="preserve">number of retail investors to refrain from engaging with capital markets.</w:t>
      </w:r>
      <w:r>
        <w:t xml:space="preserve"> </w:t>
      </w:r>
      <w:r>
        <w:t xml:space="preserve">Under option 2 some additional qualification requirements would be introduced and further</w:t>
      </w:r>
      <w:r>
        <w:t xml:space="preserve"> </w:t>
      </w:r>
      <w:r>
        <w:t xml:space="preserve">harmonised at EU level, hence contributing to a better alignment of rules on advisors’ knowledge</w:t>
      </w:r>
      <w:r>
        <w:t xml:space="preserve"> </w:t>
      </w:r>
      <w:r>
        <w:t xml:space="preserve">and competence both across Member States and across different types of providers of advice (e.g. </w:t>
      </w:r>
      <w:r>
        <w:t xml:space="preserve"> </w:t>
      </w:r>
      <w:r>
        <w:t xml:space="preserve">advisors on regular investment products and insurance-based investment products). Certain</w:t>
      </w:r>
      <w:r>
        <w:t xml:space="preserve"> </w:t>
      </w:r>
      <w:r>
        <w:t xml:space="preserve">equivalent requirements would also become mandatory for advisors falling under the MiFID II</w:t>
      </w:r>
      <w:r>
        <w:t xml:space="preserve"> </w:t>
      </w:r>
      <w:r>
        <w:t xml:space="preserve">Article 3 exemption. This would raise the standards for individuals carrying out activities as</w:t>
      </w:r>
      <w:r>
        <w:t xml:space="preserve"> </w:t>
      </w:r>
      <w:r>
        <w:t xml:space="preserve">advisors where these are currently lower and, as a result, help reduce instances of unsuitable</w:t>
      </w:r>
      <w:r>
        <w:t xml:space="preserve"> </w:t>
      </w:r>
      <w:r>
        <w:t xml:space="preserve">products recommended to clients where this is related to an advisor’s deficiencies of knowledge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and competence. It would also improve the level playing-field amongst advisors operating from</w:t>
      </w:r>
      <w:r>
        <w:t xml:space="preserve"> </w:t>
      </w:r>
      <w:r>
        <w:t xml:space="preserve">different Member States and make it easier for them to offer their services cross-border.</w:t>
      </w:r>
      <w:r>
        <w:t xml:space="preserve"> </w:t>
      </w:r>
      <w:r>
        <w:t xml:space="preserve">This would primarily benefit retail investors that would receive better advice. The resulting</w:t>
      </w:r>
      <w:r>
        <w:t xml:space="preserve"> </w:t>
      </w:r>
      <w:r>
        <w:t xml:space="preserve">increase of trust in financial advice would allow retail investors to make better use of the</w:t>
      </w:r>
      <w:r>
        <w:t xml:space="preserve"> </w:t>
      </w:r>
      <w:r>
        <w:t xml:space="preserve">opportunities offered by capital markets to help them cater for their long-term needs.</w:t>
      </w:r>
      <w:r>
        <w:t xml:space="preserve"> </w:t>
      </w:r>
      <w:r>
        <w:t xml:space="preserve">Option 3 would help raise standards even further by establishing a high and homogenous standard</w:t>
      </w:r>
      <w:r>
        <w:t xml:space="preserve"> </w:t>
      </w:r>
      <w:r>
        <w:t xml:space="preserve">for knowledge and competence of financial advisors operating in the EU. This could significantly</w:t>
      </w:r>
      <w:r>
        <w:t xml:space="preserve"> </w:t>
      </w:r>
      <w:r>
        <w:t xml:space="preserve">raise the standards and level of investor protection in some Member States, however a rigid</w:t>
      </w:r>
      <w:r>
        <w:t xml:space="preserve"> </w:t>
      </w:r>
      <w:r>
        <w:t xml:space="preserve">framework set out at European level could also risk reducing the standards in the Member States</w:t>
      </w:r>
      <w:r>
        <w:t xml:space="preserve"> </w:t>
      </w:r>
      <w:r>
        <w:t xml:space="preserve">with well-developed national frameworks, which are adapted to the specific national context. The</w:t>
      </w:r>
      <w:r>
        <w:t xml:space="preserve"> </w:t>
      </w:r>
      <w:r>
        <w:t xml:space="preserve">benefits to retail investors under option 3 would therefore likely be only marginally higher overall</w:t>
      </w:r>
      <w:r>
        <w:t xml:space="preserve"> </w:t>
      </w:r>
      <w:r>
        <w:t xml:space="preserve">than the benefits to them under option 2 (please see more on this in section 1.3.3).</w:t>
      </w:r>
      <w:r>
        <w:t xml:space="preserve"> </w:t>
      </w:r>
      <w:r>
        <w:t xml:space="preserve">1.3.2 Costs</w:t>
      </w:r>
      <w:r>
        <w:t xml:space="preserve"> </w:t>
      </w:r>
      <w:r>
        <w:t xml:space="preserve">The costs related to option 2 would depend on the current situation in the Member State concerned.</w:t>
      </w:r>
      <w:r>
        <w:t xml:space="preserve"> </w:t>
      </w:r>
      <w:r>
        <w:t xml:space="preserve">In some Member States the adjustment to meet the new requirements may be very small, in others</w:t>
      </w:r>
      <w:r>
        <w:t xml:space="preserve"> </w:t>
      </w:r>
      <w:r>
        <w:t xml:space="preserve">(notably where the standards are currently lower) more significant changes might be necessary.</w:t>
      </w:r>
      <w:r>
        <w:t xml:space="preserve"> </w:t>
      </w:r>
      <w:r>
        <w:t xml:space="preserve">The costs for investment firms and insurance distributors could increase where bigger adjustments</w:t>
      </w:r>
      <w:r>
        <w:t xml:space="preserve"> </w:t>
      </w:r>
      <w:r>
        <w:t xml:space="preserve">to the framework are necessary, as hiring well-qualified advisors and continuing training may</w:t>
      </w:r>
      <w:r>
        <w:t xml:space="preserve"> </w:t>
      </w:r>
      <w:r>
        <w:t xml:space="preserve">become more expensive</w:t>
      </w:r>
      <w:r>
        <w:br/>
      </w:r>
      <w:r>
        <w:t xml:space="preserve">Advisors may incur additional costs to meet the potentially higher requirements linked to accessing</w:t>
      </w:r>
      <w:r>
        <w:t xml:space="preserve"> </w:t>
      </w:r>
      <w:r>
        <w:t xml:space="preserve">the profession and for continuous training.</w:t>
      </w:r>
      <w:r>
        <w:t xml:space="preserve"> </w:t>
      </w:r>
      <w:r>
        <w:t xml:space="preserve">Some public authorities may have to incur costs related to the testing and certification procedures</w:t>
      </w:r>
      <w:r>
        <w:t xml:space="preserve"> </w:t>
      </w:r>
      <w:r>
        <w:t xml:space="preserve">and, where relevant, adapting supervisory practices under the new legislative setting.</w:t>
      </w:r>
      <w:r>
        <w:br/>
      </w:r>
      <w:r>
        <w:t xml:space="preserve">The overall administrative burden should however remain similar as the new requirements</w:t>
      </w:r>
      <w:r>
        <w:t xml:space="preserve"> </w:t>
      </w:r>
      <w:r>
        <w:t xml:space="preserve">introduced at EU level would largely replace existing diverging requirements at national level. For</w:t>
      </w:r>
      <w:r>
        <w:t xml:space="preserve"> </w:t>
      </w:r>
      <w:r>
        <w:t xml:space="preserve">companies and advisors operating in several legal jurisdictions, the administrative burden would</w:t>
      </w:r>
      <w:r>
        <w:t xml:space="preserve"> </w:t>
      </w:r>
      <w:r>
        <w:t xml:space="preserve">likely be somewhat reduced given that there would be fever divergences in standards and</w:t>
      </w:r>
      <w:r>
        <w:t xml:space="preserve"> </w:t>
      </w:r>
      <w:r>
        <w:t xml:space="preserve">requirements.</w:t>
      </w:r>
      <w:r>
        <w:br/>
      </w:r>
      <w:r>
        <w:t xml:space="preserve">Option 3 would imply significantly higher costs than option 2. Setting out fully harmonised</w:t>
      </w:r>
      <w:r>
        <w:t xml:space="preserve"> </w:t>
      </w:r>
      <w:r>
        <w:t xml:space="preserve">requirements at EU level would necessitate a lot of adjustments by market participants (investment</w:t>
      </w:r>
      <w:r>
        <w:t xml:space="preserve"> </w:t>
      </w:r>
      <w:r>
        <w:t xml:space="preserve">firms and insurance distributors) and advisors/experts across the majority of Member States to a</w:t>
      </w:r>
      <w:r>
        <w:t xml:space="preserve"> </w:t>
      </w:r>
      <w:r>
        <w:t xml:space="preserve">likely quite different – compared to the status quo - set of new rules and processes. This would be</w:t>
      </w:r>
      <w:r>
        <w:t xml:space="preserve"> </w:t>
      </w:r>
      <w:r>
        <w:t xml:space="preserve">due to the fact that requirements would be completely harmonised at EU level and therefore even</w:t>
      </w:r>
      <w:r>
        <w:t xml:space="preserve"> </w:t>
      </w:r>
      <w:r>
        <w:t xml:space="preserve">Member States with a comparable level of requirements would have to adjust their national</w:t>
      </w:r>
      <w:r>
        <w:t xml:space="preserve"> </w:t>
      </w:r>
      <w:r>
        <w:t xml:space="preserve">systems. This option would also present more significant on-going administrative costs for public</w:t>
      </w:r>
      <w:r>
        <w:t xml:space="preserve"> </w:t>
      </w:r>
      <w:r>
        <w:t xml:space="preserve">authorities related to the certification system and for European authorities as well as costs related</w:t>
      </w:r>
      <w:r>
        <w:t xml:space="preserve"> </w:t>
      </w:r>
      <w:r>
        <w:t xml:space="preserve">to the review and updating of the pan-European requirements which would be more rigid and less</w:t>
      </w:r>
      <w:r>
        <w:t xml:space="preserve"> </w:t>
      </w:r>
      <w:r>
        <w:t xml:space="preserve">able to adapt to market developments in a timely manner given the nature of the European Union’s</w:t>
      </w:r>
      <w:r>
        <w:t xml:space="preserve"> </w:t>
      </w:r>
      <w:r>
        <w:t xml:space="preserve">legislative procedures.</w:t>
      </w:r>
      <w:r>
        <w:t xml:space="preserve"> </w:t>
      </w:r>
      <w:r>
        <w:t xml:space="preserve">1.3.3 Overall assessment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When considering both benefits and costs, as set out above, option 3 may be a marginally more</w:t>
      </w:r>
      <w:r>
        <w:t xml:space="preserve"> </w:t>
      </w:r>
      <w:r>
        <w:t xml:space="preserve">effective measure to increase the level of knowledge and competence of advisors across the EU</w:t>
      </w:r>
      <w:r>
        <w:t xml:space="preserve"> </w:t>
      </w:r>
      <w:r>
        <w:t xml:space="preserve">(and consequentially of the quality of advice provided to retail investors in all Member States) than</w:t>
      </w:r>
      <w:r>
        <w:t xml:space="preserve"> </w:t>
      </w:r>
      <w:r>
        <w:t xml:space="preserve">option 2. It would ensure the widest possible coverage, benefitting clients of insurance</w:t>
      </w:r>
      <w:r>
        <w:t xml:space="preserve"> </w:t>
      </w:r>
      <w:r>
        <w:t xml:space="preserve">intermediaries and investment firms, and the highest level of professional competence from which</w:t>
      </w:r>
      <w:r>
        <w:t xml:space="preserve"> </w:t>
      </w:r>
      <w:r>
        <w:t xml:space="preserve">no Member State would be allowed to depart. Nevertheless, option 3 is likely to be a very intrusive</w:t>
      </w:r>
      <w:r>
        <w:t xml:space="preserve"> </w:t>
      </w:r>
      <w:r>
        <w:t xml:space="preserve">option that, given its maximum harmonisation nature, would also not allow catering for national</w:t>
      </w:r>
      <w:r>
        <w:t xml:space="preserve"> </w:t>
      </w:r>
      <w:r>
        <w:t xml:space="preserve">specificities, hence potentially representing downsides attributable to any one-size-fits-all</w:t>
      </w:r>
      <w:r>
        <w:t xml:space="preserve"> </w:t>
      </w:r>
      <w:r>
        <w:t xml:space="preserve">approach. This appears more relevant in the area of professional qualifications, where national</w:t>
      </w:r>
      <w:r>
        <w:t xml:space="preserve"> </w:t>
      </w:r>
      <w:r>
        <w:t xml:space="preserve">specificities (for example related to features of the existing education system in a given Member</w:t>
      </w:r>
      <w:r>
        <w:t xml:space="preserve"> </w:t>
      </w:r>
      <w:r>
        <w:t xml:space="preserve">State) can be relevant. Furthermore, option 3 may not allow for the set-up of a certification system</w:t>
      </w:r>
      <w:r>
        <w:t xml:space="preserve"> </w:t>
      </w:r>
      <w:r>
        <w:t xml:space="preserve">adequately fitting the national capital market context, e.g. adjusting it to financial products and</w:t>
      </w:r>
      <w:r>
        <w:t xml:space="preserve"> </w:t>
      </w:r>
      <w:r>
        <w:t xml:space="preserve">services exclusively offered or more popular in a given Member State. This could represent a</w:t>
      </w:r>
      <w:r>
        <w:t xml:space="preserve"> </w:t>
      </w:r>
      <w:r>
        <w:t xml:space="preserve">further shortcoming of option 3, keeping in mind that some respondents to the public consultation</w:t>
      </w:r>
      <w:r>
        <w:t xml:space="preserve"> </w:t>
      </w:r>
      <w:r>
        <w:t xml:space="preserve">also consider that the mechanisms to control and assess knowledge and competence should rather</w:t>
      </w:r>
      <w:r>
        <w:t xml:space="preserve"> </w:t>
      </w:r>
      <w:r>
        <w:t xml:space="preserve">be organised by local regulators who know their ecosystems.</w:t>
      </w:r>
      <w:r>
        <w:br/>
      </w:r>
      <w:r>
        <w:t xml:space="preserve">In addition, option 3 would likely entail significantly higher costs than option 2, rendering it less</w:t>
      </w:r>
      <w:r>
        <w:t xml:space="preserve"> </w:t>
      </w:r>
      <w:r>
        <w:t xml:space="preserve">cost efficient. As outlined in the sections above, both options would present comparable added</w:t>
      </w:r>
      <w:r>
        <w:t xml:space="preserve"> </w:t>
      </w:r>
      <w:r>
        <w:t xml:space="preserve">value to retail investors, whilst the costs of option 3 which would require a complete harmonisation</w:t>
      </w:r>
      <w:r>
        <w:t xml:space="preserve"> </w:t>
      </w:r>
      <w:r>
        <w:t xml:space="preserve">of measures at EU level would be significantly higher – both one-off costs, due to the need to</w:t>
      </w:r>
      <w:r>
        <w:t xml:space="preserve"> </w:t>
      </w:r>
      <w:r>
        <w:t xml:space="preserve">initiate more substantive changes to the existing requirements in order to harmonise them, and on-</w:t>
      </w:r>
      <w:r>
        <w:t xml:space="preserve"> </w:t>
      </w:r>
      <w:r>
        <w:t xml:space="preserve">going costs for firms, due to the rigidity of the one-size-fits-all framework and difficulty to adapt</w:t>
      </w:r>
      <w:r>
        <w:t xml:space="preserve"> </w:t>
      </w:r>
      <w:r>
        <w:t xml:space="preserve">the requirements as necessary in a timely manner. Option 2 is thus on balance more cost efficient,</w:t>
      </w:r>
      <w:r>
        <w:t xml:space="preserve"> </w:t>
      </w:r>
      <w:r>
        <w:t xml:space="preserve">while not necessarily less effective in addressing the problem, and for those reasons should be</w:t>
      </w:r>
      <w:r>
        <w:t xml:space="preserve"> </w:t>
      </w:r>
      <w:r>
        <w:t xml:space="preserve">preferred to option 3.</w:t>
      </w:r>
      <w:r>
        <w:t xml:space="preserve"> </w:t>
      </w:r>
      <w:r>
        <w:t xml:space="preserve">Under both measures, the on-going administrative burden would be likely neutral as the newly</w:t>
      </w:r>
      <w:r>
        <w:t xml:space="preserve"> </w:t>
      </w:r>
      <w:r>
        <w:t xml:space="preserve">introduced pan-European requirements would replace the diverging national requirements</w:t>
      </w:r>
      <w:r>
        <w:t xml:space="preserve"> </w:t>
      </w:r>
      <w:r>
        <w:t xml:space="preserve">currently in place.</w:t>
      </w:r>
      <w:r>
        <w:t xml:space="preserve"> </w:t>
      </w:r>
      <w:r>
        <w:t xml:space="preserve">Option 2 would effectively reduce the currently existing significant variations of competence of</w:t>
      </w:r>
      <w:r>
        <w:t xml:space="preserve"> </w:t>
      </w:r>
      <w:r>
        <w:t xml:space="preserve">advisors across the EU and between advisors captured under MiFID II and IDD (without, however,</w:t>
      </w:r>
      <w:r>
        <w:t xml:space="preserve"> </w:t>
      </w:r>
      <w:r>
        <w:t xml:space="preserve">fully eliminating them). Option 2 would also lower the risk of investment products being sold to</w:t>
      </w:r>
      <w:r>
        <w:t xml:space="preserve"> </w:t>
      </w:r>
      <w:r>
        <w:t xml:space="preserve">retail investors across the whole EU that are poorly aligned with their needs, preferences and</w:t>
      </w:r>
      <w:r>
        <w:t xml:space="preserve"> </w:t>
      </w:r>
      <w:r>
        <w:t xml:space="preserve">objectives, to the extent that this results from insufficient knowledge and competence of advisors.</w:t>
      </w:r>
      <w:r>
        <w:t xml:space="preserve"> </w:t>
      </w:r>
      <w:r>
        <w:t xml:space="preserve">Including sustainability aspects in the competence requirements set out at EU level would help</w:t>
      </w:r>
      <w:r>
        <w:t xml:space="preserve"> </w:t>
      </w:r>
      <w:r>
        <w:t xml:space="preserve">ensure that advisors are well placed to carry out the necessary assessment of clients’ sustainability</w:t>
      </w:r>
      <w:r>
        <w:t xml:space="preserve"> </w:t>
      </w:r>
      <w:r>
        <w:t xml:space="preserve">preferences in line with the key objective of the EU in the area of sustainability and green transition.</w:t>
      </w:r>
      <w:r>
        <w:t xml:space="preserve"> </w:t>
      </w:r>
      <w:r>
        <w:t xml:space="preserve">The overall cost-effectiveness of option 2 would be positive due to the low associated costs.</w:t>
      </w:r>
      <w:r>
        <w:t xml:space="preserve"> </w:t>
      </w:r>
      <w:r>
        <w:t xml:space="preserve">Whereas option 3 would have lower cost-efficiency, albeit still positive, depending however on the</w:t>
      </w:r>
      <w:r>
        <w:t xml:space="preserve"> </w:t>
      </w:r>
      <w:r>
        <w:t xml:space="preserve">extent of changes to the existing national requirements arising due to a complete harmonisation</w:t>
      </w:r>
      <w:r>
        <w:t xml:space="preserve"> </w:t>
      </w:r>
      <w:r>
        <w:t xml:space="preserve">exercise which is difficult to quantify.</w:t>
      </w:r>
      <w:r>
        <w:br/>
      </w:r>
      <w:r>
        <w:t xml:space="preserve">Based on the overall assessment described above, option 2 is the preferred option.</w:t>
      </w:r>
      <w:r>
        <w:t xml:space="preserve"> </w:t>
      </w:r>
      <w:r>
        <w:t xml:space="preserve">1.3.4 Summary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Improved</w:t>
      </w:r>
      <w:r>
        <w:t xml:space="preserve"> </w:t>
      </w:r>
      <w:r>
        <w:t xml:space="preserve">investor</w:t>
      </w:r>
      <w:r>
        <w:t xml:space="preserve"> </w:t>
      </w:r>
      <w:r>
        <w:t xml:space="preserve">protection</w:t>
      </w:r>
      <w:r>
        <w:t xml:space="preserve"> </w:t>
      </w:r>
      <w:r>
        <w:t xml:space="preserve">Reduced market</w:t>
      </w:r>
      <w:r>
        <w:t xml:space="preserve"> </w:t>
      </w:r>
      <w:r>
        <w:t xml:space="preserve">fragmentation</w:t>
      </w:r>
      <w:r>
        <w:t xml:space="preserve"> </w:t>
      </w:r>
      <w:r>
        <w:t xml:space="preserve">Increased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advisors and</w:t>
      </w:r>
      <w:r>
        <w:t xml:space="preserve"> </w:t>
      </w:r>
      <w:r>
        <w:t xml:space="preserve">firms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Option 3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ANNEX 11: EVALUATION OF THE RETAIL INVESTOR</w:t>
      </w:r>
      <w:r>
        <w:t xml:space="preserve"> </w:t>
      </w:r>
      <w:r>
        <w:t xml:space="preserve">PROTECTION FRAMEWORK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7.</w:t>
      </w:r>
      <w:r>
        <w:t xml:space="preserve"> </w:t>
      </w:r>
      <w:r>
        <w:t xml:space="preserve">1.1 Purpose and scope of the evaluation</w:t>
      </w:r>
      <w:r>
        <w:t xml:space="preserve"> </w:t>
      </w:r>
      <w:r>
        <w:t xml:space="preserve">As set out in the September 2020 Capital Markets Union (CMU) Action Plan, the CMU aims to</w:t>
      </w:r>
      <w:r>
        <w:t xml:space="preserve"> </w:t>
      </w:r>
      <w:r>
        <w:t xml:space="preserve">put capital markets at the service of people, offering them both sustainable investment opportunities</w:t>
      </w:r>
      <w:r>
        <w:t xml:space="preserve"> </w:t>
      </w:r>
      <w:r>
        <w:t xml:space="preserve">and strong investor protection. Investor protection rules are currently set out in a number of sector</w:t>
      </w:r>
      <w:r>
        <w:t xml:space="preserve"> </w:t>
      </w:r>
      <w:r>
        <w:t xml:space="preserve">specific legislative instruments, including Markets in Financial Instruments Directive (MiFID</w:t>
      </w:r>
      <w:r>
        <w:t xml:space="preserve"> </w:t>
      </w:r>
      <w:r>
        <w:t xml:space="preserve">II)541, Insurance Distribution Directive (IDD)542, Packaged Retail and Insurance-Based Investment</w:t>
      </w:r>
      <w:r>
        <w:t xml:space="preserve"> </w:t>
      </w:r>
      <w:r>
        <w:t xml:space="preserve">Products Regulation (PRIIPs)543, Undertakings for the Collective Investment in Transferable</w:t>
      </w:r>
      <w:r>
        <w:t xml:space="preserve"> </w:t>
      </w:r>
      <w:r>
        <w:t xml:space="preserve">Securities Directive (UCITS)544, Solvency II Directive545, Alternative Investment Fund Managers</w:t>
      </w:r>
      <w:r>
        <w:t xml:space="preserve"> </w:t>
      </w:r>
      <w:r>
        <w:t xml:space="preserve">Directive (AIFMD)546 and Pan-European Personal Pension Product Regulation (PEPP)547. The</w:t>
      </w:r>
      <w:r>
        <w:t xml:space="preserve"> </w:t>
      </w:r>
      <w:r>
        <w:t xml:space="preserve">scope of the evaluation, which is targeted and deals exclusively with retail investor protection</w:t>
      </w:r>
      <w:r>
        <w:t xml:space="preserve"> </w:t>
      </w:r>
      <w:r>
        <w:t xml:space="preserve">aspects, focuses in particular on MiFID, IDD, PRIIPs, UCITS with regard to product governance</w:t>
      </w:r>
      <w:r>
        <w:t xml:space="preserve"> </w:t>
      </w:r>
      <w:r>
        <w:t xml:space="preserve">and oversight and Solvency II with regard to disclosures548 rules, however, AIFMD549 and PEPP550</w:t>
      </w:r>
      <w:r>
        <w:t xml:space="preserve"> </w:t>
      </w:r>
      <w:r>
        <w:t xml:space="preserve">are not assessed.</w:t>
      </w:r>
    </w:p>
    <w:p>
      <w:pPr>
        <w:pStyle w:val="BodyText"/>
      </w:pPr>
      <w:r>
        <w:t xml:space="preserve">541 Directive (EU) 2014/65 of the European Parliament and of the Council of 15 May 2014 on markets in</w:t>
      </w:r>
      <w:r>
        <w:t xml:space="preserve"> </w:t>
      </w:r>
      <w:r>
        <w:t xml:space="preserve">financial instruments.</w:t>
      </w:r>
      <w:r>
        <w:t xml:space="preserve"> </w:t>
      </w:r>
      <w:r>
        <w:t xml:space="preserve">542 Directive (EU) 2016/97 of the European Parliament and of the Council of 20 January 2016 on insurance</w:t>
      </w:r>
      <w:r>
        <w:t xml:space="preserve"> </w:t>
      </w:r>
      <w:r>
        <w:t xml:space="preserve">distribution.</w:t>
      </w:r>
      <w:r>
        <w:t xml:space="preserve"> </w:t>
      </w:r>
      <w:r>
        <w:t xml:space="preserve">543 Regulation (EU) No 1286/2014 of the European Parliament and of the Council of 26 November 2014 on</w:t>
      </w:r>
      <w:r>
        <w:t xml:space="preserve"> </w:t>
      </w:r>
      <w:r>
        <w:t xml:space="preserve">key information documents for packaged retail and insurance-based investment products (PRIIPs).</w:t>
      </w:r>
      <w:r>
        <w:t xml:space="preserve"> </w:t>
      </w:r>
      <w:r>
        <w:t xml:space="preserve">544 Directive 2009/65/EC of the European Parliament and of the Council of 13 July 2009 on the</w:t>
      </w:r>
      <w:r>
        <w:t xml:space="preserve"> </w:t>
      </w:r>
      <w:r>
        <w:t xml:space="preserve">coordination of laws, regulations and administrative provisions relating to undertakings for collective</w:t>
      </w:r>
      <w:r>
        <w:t xml:space="preserve"> </w:t>
      </w:r>
      <w:r>
        <w:t xml:space="preserve">investment in transferable securities (UCITS).</w:t>
      </w:r>
      <w:r>
        <w:br/>
      </w:r>
      <w:r>
        <w:t xml:space="preserve">545 Directive 2009/138/EC of the European Parliament and of the Council of 25 November 2009 on the</w:t>
      </w:r>
      <w:r>
        <w:t xml:space="preserve"> </w:t>
      </w:r>
      <w:r>
        <w:t xml:space="preserve">taking-up and pursuit of the business of Insurance and Reinsurance (Solvency II).</w:t>
      </w:r>
      <w:r>
        <w:t xml:space="preserve"> </w:t>
      </w:r>
      <w:r>
        <w:t xml:space="preserve">546 Directive 2011/61/EU of the European Parliament and of the Council of 8 June 2011 on Alternative</w:t>
      </w:r>
      <w:r>
        <w:t xml:space="preserve"> </w:t>
      </w:r>
      <w:r>
        <w:t xml:space="preserve">Investment Fund Managers (AIFMD).</w:t>
      </w:r>
      <w:r>
        <w:t xml:space="preserve"> </w:t>
      </w:r>
      <w:r>
        <w:t xml:space="preserve">547 Regulation 2019/1238 of the European Parliament and of the Council of 20 June 2019 on a pan-</w:t>
      </w:r>
      <w:r>
        <w:t xml:space="preserve"> </w:t>
      </w:r>
      <w:r>
        <w:t xml:space="preserve">European Personal Pension Product (PEPP).</w:t>
      </w:r>
      <w:r>
        <w:t xml:space="preserve"> </w:t>
      </w:r>
      <w:r>
        <w:t xml:space="preserve">548 Solvency II recently had a separate review process focusing on prudential aspects (Solvency II review -</w:t>
      </w:r>
      <w:r>
        <w:t xml:space="preserve"> </w:t>
      </w:r>
      <w:r>
        <w:t xml:space="preserve">Have your say). The framework does not include many aspects related to investor protection. However, the</w:t>
      </w:r>
      <w:r>
        <w:t xml:space="preserve"> </w:t>
      </w:r>
      <w:r>
        <w:t xml:space="preserve">rules on disclosures, are assessed as they concern investor protection aspects.</w:t>
      </w:r>
      <w:r>
        <w:br/>
      </w:r>
      <w:r>
        <w:t xml:space="preserve">549 AIFMD recently had a separate review process (AIFMD review - Have your say) which looked more</w:t>
      </w:r>
      <w:r>
        <w:t xml:space="preserve"> </w:t>
      </w:r>
      <w:r>
        <w:t xml:space="preserve">broadly at the areas covered by the Directives and are currently under negotiations. The review has been</w:t>
      </w:r>
      <w:r>
        <w:t xml:space="preserve"> </w:t>
      </w:r>
      <w:r>
        <w:t xml:space="preserve">comprehensive and covered investor protection aspects; hence it would not be appropriate to review the rules</w:t>
      </w:r>
      <w:r>
        <w:t xml:space="preserve"> </w:t>
      </w:r>
      <w:r>
        <w:t xml:space="preserve">in parallel or before they start to apply and sufficient experience with their functioning is gathered.</w:t>
      </w:r>
      <w:r>
        <w:br/>
      </w:r>
      <w:r>
        <w:t xml:space="preserve">550 The PEPP Regulation started to apply on 22.03.2022. It is therefore premature to evaluate this framework</w:t>
      </w:r>
      <w:r>
        <w:t xml:space="preserve"> </w:t>
      </w:r>
      <w:r>
        <w:t xml:space="preserve">as we do not intend to review it at this stage.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The Commission is preparing this evaluation of the current investor protection rules in order to</w:t>
      </w:r>
      <w:r>
        <w:t xml:space="preserve"> </w:t>
      </w:r>
      <w:r>
        <w:t xml:space="preserve">assess whether the original objectives of the legislative acts have been sufficiently achieved, and</w:t>
      </w:r>
      <w:r>
        <w:t xml:space="preserve"> </w:t>
      </w:r>
      <w:r>
        <w:t xml:space="preserve">whether the current rules are able to sufficiently address new developments. This evaluation also</w:t>
      </w:r>
      <w:r>
        <w:t xml:space="preserve"> </w:t>
      </w:r>
      <w:r>
        <w:t xml:space="preserve">fulfils the legal mandates set out in the different legislative acts requiring the Commission to review</w:t>
      </w:r>
      <w:r>
        <w:t xml:space="preserve"> </w:t>
      </w:r>
      <w:r>
        <w:t xml:space="preserve">legislation551.</w:t>
      </w:r>
      <w:r>
        <w:br/>
      </w:r>
      <w:r>
        <w:t xml:space="preserve">The evaluation focusses on aspects of the framework which are directly related to retail investor</w:t>
      </w:r>
      <w:r>
        <w:t xml:space="preserve"> </w:t>
      </w:r>
      <w:r>
        <w:t xml:space="preserve">protection, namely:</w:t>
      </w:r>
      <w:r>
        <w:t xml:space="preserve"> </w:t>
      </w:r>
      <w:r>
        <w:t xml:space="preserve"> How the rules on disclosures have achieved their objective to improve transparency</w:t>
      </w:r>
      <w:r>
        <w:t xml:space="preserve"> </w:t>
      </w:r>
      <w:r>
        <w:t xml:space="preserve">and fairness of information and assist retail investors in making optimal investment</w:t>
      </w:r>
      <w:r>
        <w:t xml:space="preserve"> </w:t>
      </w:r>
      <w:r>
        <w:t xml:space="preserve">decisions.</w:t>
      </w:r>
      <w:r>
        <w:br/>
      </w:r>
      <w:r>
        <w:t xml:space="preserve"> How the rules on “inducements” (i.e. the payment or receipt of fees, commissions</w:t>
      </w:r>
      <w:r>
        <w:t xml:space="preserve"> </w:t>
      </w:r>
      <w:r>
        <w:t xml:space="preserve">and monetary or non-monetary benefits by third parties in relation to the provision</w:t>
      </w:r>
      <w:r>
        <w:t xml:space="preserve"> </w:t>
      </w:r>
      <w:r>
        <w:t xml:space="preserve">of financial services to retail investors) have impacted the distribution of retail</w:t>
      </w:r>
      <w:r>
        <w:t xml:space="preserve"> </w:t>
      </w:r>
      <w:r>
        <w:t xml:space="preserve">investment products across the Union, and the extent to which they have improved</w:t>
      </w:r>
      <w:r>
        <w:t xml:space="preserve"> </w:t>
      </w:r>
      <w:r>
        <w:t xml:space="preserve">the quality and impartiality of advice to retail investors.</w:t>
      </w:r>
      <w:r>
        <w:br/>
      </w:r>
      <w:r>
        <w:t xml:space="preserve"> How the rules on suitability and appropriateness assessments have fulfilled their</w:t>
      </w:r>
      <w:r>
        <w:t xml:space="preserve"> </w:t>
      </w:r>
      <w:r>
        <w:t xml:space="preserve">intended objectives of ensuring that advisers recommend financial products that are</w:t>
      </w:r>
      <w:r>
        <w:t xml:space="preserve"> </w:t>
      </w:r>
      <w:r>
        <w:t xml:space="preserve">suitable for retail investors or, when acting without advice, retail investors invest in</w:t>
      </w:r>
      <w:r>
        <w:t xml:space="preserve"> </w:t>
      </w:r>
      <w:r>
        <w:t xml:space="preserve">financial products that are appropriate for them.</w:t>
      </w:r>
      <w:r>
        <w:t xml:space="preserve"> </w:t>
      </w:r>
      <w:r>
        <w:t xml:space="preserve"> How product oversight and governance rules have fulfilled their intended objectives</w:t>
      </w:r>
      <w:r>
        <w:t xml:space="preserve"> </w:t>
      </w:r>
      <w:r>
        <w:t xml:space="preserve">of ensuring that the products that are offered target the appropriate market, i.e. </w:t>
      </w:r>
      <w:r>
        <w:t xml:space="preserve"> </w:t>
      </w:r>
      <w:r>
        <w:t xml:space="preserve">features of products are aligned with needs of groups of clients reached by those</w:t>
      </w:r>
      <w:r>
        <w:t xml:space="preserve"> </w:t>
      </w:r>
      <w:r>
        <w:t xml:space="preserve">products.</w:t>
      </w:r>
      <w:r>
        <w:br/>
      </w:r>
      <w:r>
        <w:t xml:space="preserve">The evaluation is based on several sources of information, in particular:</w:t>
      </w:r>
      <w:r>
        <w:br/>
      </w:r>
      <w:r>
        <w:t xml:space="preserve"></w:t>
      </w:r>
      <w:r>
        <w:t xml:space="preserve"> </w:t>
      </w:r>
      <w:r>
        <w:t xml:space="preserve">A comprehensive study552 which was designed to capture the whole process of</w:t>
      </w:r>
      <w:r>
        <w:t xml:space="preserve"> </w:t>
      </w:r>
      <w:r>
        <w:t xml:space="preserve">retail investor decision-making, from searching for information, reviewing</w:t>
      </w:r>
      <w:r>
        <w:t xml:space="preserve"> </w:t>
      </w:r>
      <w:r>
        <w:t xml:space="preserve">information documents, to undergoing a suitability assessment/ demands and need</w:t>
      </w:r>
      <w:r>
        <w:t xml:space="preserve"> </w:t>
      </w:r>
      <w:r>
        <w:t xml:space="preserve">test, and receiving advice. The methodology used for the study included legal</w:t>
      </w:r>
      <w:r>
        <w:t xml:space="preserve"> </w:t>
      </w:r>
      <w:r>
        <w:t xml:space="preserve">research which covered a detailed review and assessment of the legal framework</w:t>
      </w:r>
      <w:r>
        <w:t xml:space="preserve"> </w:t>
      </w:r>
      <w:r>
        <w:t xml:space="preserve">at EU and national levels, 149 in depth interviews553 covering national regulators,</w:t>
      </w:r>
      <w:r>
        <w:t xml:space="preserve"> </w:t>
      </w:r>
      <w:r>
        <w:t xml:space="preserve">consumer protection bodies, industry associations, distributors and manufacturers</w:t>
      </w:r>
      <w:r>
        <w:t xml:space="preserve"> </w:t>
      </w:r>
      <w:r>
        <w:t xml:space="preserve">across 15 Member States, interviews, reviewing and scoring information</w:t>
      </w:r>
      <w:r>
        <w:t xml:space="preserve"> </w:t>
      </w:r>
      <w:r>
        <w:t xml:space="preserve">documents for a sample of 560 investment products in 15 Member States, mystery</w:t>
      </w:r>
      <w:r>
        <w:t xml:space="preserve"> </w:t>
      </w:r>
      <w:r>
        <w:t xml:space="preserve">shopping that concluded in 240 observations for traditional distribution channels</w:t>
      </w:r>
      <w:r>
        <w:t xml:space="preserve"> </w:t>
      </w:r>
      <w:r>
        <w:t xml:space="preserve">in 8 Member States and 13 observations for robo-advisors, a consumer survey</w:t>
      </w:r>
      <w:r>
        <w:t xml:space="preserve"> </w:t>
      </w:r>
      <w:r>
        <w:t xml:space="preserve">with an integrated behavioural experiment with 11497 respondents across 10</w:t>
      </w:r>
      <w:r>
        <w:t xml:space="preserve"> </w:t>
      </w:r>
      <w:r>
        <w:t xml:space="preserve">Member States. This evaluation is largely based on the study which has assessed</w:t>
      </w:r>
      <w:r>
        <w:t xml:space="preserve"> </w:t>
      </w:r>
      <w:r>
        <w:t xml:space="preserve">the rules applying the five evaluation criteria.</w:t>
      </w:r>
      <w:r>
        <w:t xml:space="preserve"> </w:t>
      </w:r>
      <w:r>
        <w:t xml:space="preserve"></w:t>
      </w:r>
      <w:r>
        <w:t xml:space="preserve"> </w:t>
      </w:r>
      <w:r>
        <w:t xml:space="preserve">A public consultation that gathered views from a broad group of stakeholders on</w:t>
      </w:r>
      <w:r>
        <w:t xml:space="preserve"> </w:t>
      </w:r>
      <w:r>
        <w:t xml:space="preserve">how the current framework for retail investments is functioning and how it could</w:t>
      </w:r>
    </w:p>
    <w:p>
      <w:pPr>
        <w:pStyle w:val="BodyText"/>
      </w:pPr>
      <w:r>
        <w:t xml:space="preserve">551 PRIIPs Article 33, IDD Article 41, and MiFID II Article 90.</w:t>
      </w:r>
      <w:r>
        <w:t xml:space="preserve"> </w:t>
      </w:r>
      <w:r>
        <w:t xml:space="preserve">552 Retail investment study.</w:t>
      </w:r>
      <w:r>
        <w:t xml:space="preserve"> </w:t>
      </w:r>
      <w:r>
        <w:t xml:space="preserve">553 249 respondents participated in those interviews.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possibly be improved. A total of 186 respondents responded to the public</w:t>
      </w:r>
      <w:r>
        <w:t xml:space="preserve"> </w:t>
      </w:r>
      <w:r>
        <w:t xml:space="preserve">consultation (the results are presented in Annex 2).</w:t>
      </w:r>
      <w:r>
        <w:br/>
      </w:r>
      <w:r>
        <w:t xml:space="preserve"></w:t>
      </w:r>
      <w:r>
        <w:t xml:space="preserve"> </w:t>
      </w:r>
      <w:r>
        <w:t xml:space="preserve">ESA’s recommendations as a reply to the call for evidence issued by Commission</w:t>
      </w:r>
      <w:r>
        <w:t xml:space="preserve"> </w:t>
      </w:r>
      <w:r>
        <w:t xml:space="preserve">in 2021 (the results are presented in Annex 2).</w:t>
      </w:r>
      <w:r>
        <w:t xml:space="preserve"> </w:t>
      </w:r>
      <w:r>
        <w:t xml:space="preserve"></w:t>
      </w:r>
      <w:r>
        <w:t xml:space="preserve"> </w:t>
      </w:r>
      <w:r>
        <w:t xml:space="preserve">Reviews and reports published by the ESAs554.</w:t>
      </w:r>
      <w:r>
        <w:t xml:space="preserve"> </w:t>
      </w:r>
      <w:r>
        <w:t xml:space="preserve"></w:t>
      </w:r>
      <w:r>
        <w:t xml:space="preserve"> </w:t>
      </w:r>
      <w:r>
        <w:t xml:space="preserve">The results of specific consultation processes with various stakeholders (the</w:t>
      </w:r>
      <w:r>
        <w:t xml:space="preserve"> </w:t>
      </w:r>
      <w:r>
        <w:t xml:space="preserve">results are presented in Annex 2).</w:t>
      </w:r>
      <w:r>
        <w:br/>
      </w:r>
      <w:r>
        <w:t xml:space="preserve"></w:t>
      </w:r>
      <w:r>
        <w:t xml:space="preserve"> </w:t>
      </w:r>
      <w:r>
        <w:t xml:space="preserve">The IOSCO report555 on retail distribution and digitalisation which looked at the</w:t>
      </w:r>
      <w:r>
        <w:t xml:space="preserve"> </w:t>
      </w:r>
      <w:r>
        <w:t xml:space="preserve">rapid growth in digitalisation and use of social media in the marketing and</w:t>
      </w:r>
      <w:r>
        <w:t xml:space="preserve"> </w:t>
      </w:r>
      <w:r>
        <w:t xml:space="preserve">distribution of financial products.</w:t>
      </w:r>
      <w:r>
        <w:t xml:space="preserve"> </w:t>
      </w:r>
      <w:r>
        <w:t xml:space="preserve">The purpose of this evaluation is to assess to what extent the existing EU rules on disclosures,</w:t>
      </w:r>
      <w:r>
        <w:t xml:space="preserve"> </w:t>
      </w:r>
      <w:r>
        <w:t xml:space="preserve">inducements, suitability and appropriateness assessments and product governance have met their</w:t>
      </w:r>
      <w:r>
        <w:t xml:space="preserve"> </w:t>
      </w:r>
      <w:r>
        <w:t xml:space="preserve">objectives in relation to investor protection and whether they have been efficient, coherent, relevant</w:t>
      </w:r>
      <w:r>
        <w:t xml:space="preserve"> </w:t>
      </w:r>
      <w:r>
        <w:t xml:space="preserve">and have provided EU added value.</w:t>
      </w:r>
      <w:r>
        <w:br/>
      </w:r>
      <w:r>
        <w:t xml:space="preserve">2.</w:t>
      </w:r>
      <w:r>
        <w:t xml:space="preserve"> </w:t>
      </w:r>
      <w:r>
        <w:t xml:space="preserve">WHAT WAS THE EXPECTED OUTCOME OF THE INTERVENTION?</w:t>
      </w:r>
      <w:r>
        <w:t xml:space="preserve"> </w:t>
      </w:r>
      <w:r>
        <w:t xml:space="preserve">8.</w:t>
      </w:r>
      <w:r>
        <w:t xml:space="preserve"> </w:t>
      </w:r>
      <w:r>
        <w:t xml:space="preserve">2.1 Description of the intervention and its objectives</w:t>
      </w:r>
      <w:r>
        <w:t xml:space="preserve"> </w:t>
      </w:r>
      <w:r>
        <w:t xml:space="preserve">Given the focus of this evaluation is on how the current legal framework is addressing problems</w:t>
      </w:r>
      <w:r>
        <w:t xml:space="preserve"> </w:t>
      </w:r>
      <w:r>
        <w:t xml:space="preserve">related to investor protection in retail financial services, and more specifically in the areas of</w:t>
      </w:r>
      <w:r>
        <w:t xml:space="preserve"> </w:t>
      </w:r>
      <w:r>
        <w:t xml:space="preserve">disclosures, inducements, suitability and product oversight and governance, this section examines</w:t>
      </w:r>
      <w:r>
        <w:t xml:space="preserve"> </w:t>
      </w:r>
      <w:r>
        <w:t xml:space="preserve">how the rules in each area apply across the sectoral legislation and how the intervention logic works</w:t>
      </w:r>
      <w:r>
        <w:t xml:space="preserve"> </w:t>
      </w:r>
      <w:r>
        <w:t xml:space="preserve">for each topic.</w:t>
      </w:r>
      <w:r>
        <w:t xml:space="preserve"> </w:t>
      </w:r>
      <w:r>
        <w:t xml:space="preserve">2.1.a Disclosures</w:t>
      </w:r>
      <w:r>
        <w:t xml:space="preserve"> </w:t>
      </w:r>
      <w:r>
        <w:t xml:space="preserve">Disclosures aim to promote informed and effective decision-making by providing retail</w:t>
      </w:r>
      <w:r>
        <w:t xml:space="preserve"> </w:t>
      </w:r>
      <w:r>
        <w:t xml:space="preserve">investors with information that is fair, easy to read, understandable, comparable and not</w:t>
      </w:r>
      <w:r>
        <w:t xml:space="preserve"> </w:t>
      </w:r>
      <w:r>
        <w:t xml:space="preserve">misleading. The rules are intended to improve transparency and engage consumers and to</w:t>
      </w:r>
      <w:r>
        <w:t xml:space="preserve"> </w:t>
      </w:r>
      <w:r>
        <w:t xml:space="preserve">encourage them to inform themselves about relevant product features. This is in line with</w:t>
      </w:r>
      <w:r>
        <w:t xml:space="preserve"> </w:t>
      </w:r>
      <w:r>
        <w:t xml:space="preserve">the broader aim of reducing information asymmetries between retail investors and financial</w:t>
      </w:r>
      <w:r>
        <w:t xml:space="preserve"> </w:t>
      </w:r>
      <w:r>
        <w:t xml:space="preserve">service providers, which should, in turn, promote more competitive and efficient markets,</w:t>
      </w:r>
      <w:r>
        <w:t xml:space="preserve"> </w:t>
      </w:r>
      <w:r>
        <w:t xml:space="preserve">i.e. on the basis of more informed investment decisions.</w:t>
      </w:r>
      <w:r>
        <w:t xml:space="preserve"> </w:t>
      </w:r>
      <w:r>
        <w:t xml:space="preserve">After the global financial crisis, an important focus was placed on information disclosure556</w:t>
      </w:r>
      <w:r>
        <w:t xml:space="preserve"> </w:t>
      </w:r>
      <w:r>
        <w:t xml:space="preserve">as a way of limiting market failures arising from information asymmetries and driving</w:t>
      </w:r>
      <w:r>
        <w:t xml:space="preserve"> </w:t>
      </w:r>
      <w:r>
        <w:t xml:space="preserve">better retail investor outcomes557, thus improving investor protection.</w:t>
      </w:r>
    </w:p>
    <w:p>
      <w:pPr>
        <w:pStyle w:val="BodyText"/>
      </w:pPr>
      <w:r>
        <w:t xml:space="preserve">554 Reports and reviews published by the ESAs are sources for this evaluation and are referenced in detail</w:t>
      </w:r>
      <w:r>
        <w:t xml:space="preserve"> </w:t>
      </w:r>
      <w:r>
        <w:t xml:space="preserve">at the corresponding section throughout the document.</w:t>
      </w:r>
      <w:r>
        <w:br/>
      </w:r>
      <w:r>
        <w:t xml:space="preserve">555 IOSCO report on retail distribution and digitalisation.</w:t>
      </w:r>
      <w:r>
        <w:t xml:space="preserve"> </w:t>
      </w:r>
      <w:r>
        <w:t xml:space="preserve">556 Seira, Elizondo, &amp; Laguna-Müggenburg, 2017</w:t>
      </w:r>
      <w:r>
        <w:t xml:space="preserve"> </w:t>
      </w:r>
      <w:r>
        <w:t xml:space="preserve">557 Australian Securities and Investments Commission (ASIC) &amp; Dutch Authority for Financial Markets</w:t>
      </w:r>
      <w:r>
        <w:t xml:space="preserve"> </w:t>
      </w:r>
      <w:r>
        <w:t xml:space="preserve">(AFM), 2019).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Relevant legal provisions</w:t>
      </w:r>
      <w:r>
        <w:br/>
      </w:r>
      <w:r>
        <w:t xml:space="preserve">Disclosure requirements are covered in a large and multi-layered set of rules at EU level.</w:t>
      </w:r>
      <w:r>
        <w:t xml:space="preserve"> </w:t>
      </w:r>
      <w:r>
        <w:t xml:space="preserve">Retail investor disclosures include the provision of information to clients at pre-contractual</w:t>
      </w:r>
      <w:r>
        <w:t xml:space="preserve"> </w:t>
      </w:r>
      <w:r>
        <w:t xml:space="preserve">(generic information on the products), contractual and post-contractual stages (targeted</w:t>
      </w:r>
      <w:r>
        <w:t xml:space="preserve"> </w:t>
      </w:r>
      <w:r>
        <w:t xml:space="preserve">information to the consumer’s situation), to ensure that at all stages of the consumer</w:t>
      </w:r>
      <w:r>
        <w:t xml:space="preserve"> </w:t>
      </w:r>
      <w:r>
        <w:t xml:space="preserve">journey, clients receive the information they need for well-informed investment decisions</w:t>
      </w:r>
      <w:r>
        <w:t xml:space="preserve"> </w:t>
      </w:r>
      <w:r>
        <w:t xml:space="preserve">and to ensure their protection.</w:t>
      </w:r>
      <w:r>
        <w:br/>
      </w:r>
      <w:r>
        <w:t xml:space="preserve">Product disclosures are provided in the PRIIPs KID558 (Key Information Document) and</w:t>
      </w:r>
      <w:r>
        <w:t xml:space="preserve"> </w:t>
      </w:r>
      <w:r>
        <w:t xml:space="preserve">the UCITS KIID559 (Key Investor Information Document) at a pre-contractual stage.</w:t>
      </w:r>
      <w:r>
        <w:br/>
      </w:r>
      <w:r>
        <w:t xml:space="preserve">The PRIIPs regulation introduced uniform rules on transparency for retail investment</w:t>
      </w:r>
      <w:r>
        <w:t xml:space="preserve"> </w:t>
      </w:r>
      <w:r>
        <w:t xml:space="preserve">products that their manufacturers and distributors must abide by. Specifically, it requires</w:t>
      </w:r>
      <w:r>
        <w:t xml:space="preserve"> </w:t>
      </w:r>
      <w:r>
        <w:t xml:space="preserve">providers of financial products to produce a KID, capturing the key information about an</w:t>
      </w:r>
      <w:r>
        <w:t xml:space="preserve"> </w:t>
      </w:r>
      <w:r>
        <w:t xml:space="preserve">investment product and to make it available to retail investors. The regulation sets out rules</w:t>
      </w:r>
      <w:r>
        <w:t xml:space="preserve"> </w:t>
      </w:r>
      <w:r>
        <w:t xml:space="preserve">on the contents of the KIDs and their presentation. It also covers updating of the</w:t>
      </w:r>
      <w:r>
        <w:t xml:space="preserve"> </w:t>
      </w:r>
      <w:r>
        <w:t xml:space="preserve">information included in KIDs and supervision. One article also requires that marketing</w:t>
      </w:r>
      <w:r>
        <w:t xml:space="preserve"> </w:t>
      </w:r>
      <w:r>
        <w:t xml:space="preserve">communication should not contradict the contents of the KIDs. The specification of</w:t>
      </w:r>
      <w:r>
        <w:t xml:space="preserve"> </w:t>
      </w:r>
      <w:r>
        <w:t xml:space="preserve">relevant rules, notably on the content, presentation and timing of delivery of the KIDs,</w:t>
      </w:r>
      <w:r>
        <w:t xml:space="preserve"> </w:t>
      </w:r>
      <w:r>
        <w:t xml:space="preserve">have been further developed through regulatory technical standards.</w:t>
      </w:r>
      <w:r>
        <w:br/>
      </w:r>
      <w:r>
        <w:t xml:space="preserve">PRIIPs applies to all products manufactured by the financial services sector which provide</w:t>
      </w:r>
      <w:r>
        <w:t xml:space="preserve"> </w:t>
      </w:r>
      <w:r>
        <w:t xml:space="preserve">an investment opportunity to retail investors and where (irrespective of the investment’s</w:t>
      </w:r>
      <w:r>
        <w:t xml:space="preserve"> </w:t>
      </w:r>
      <w:r>
        <w:t xml:space="preserve">legal form) the product’s return is subject to the performance of assets which are not</w:t>
      </w:r>
      <w:r>
        <w:t xml:space="preserve"> </w:t>
      </w:r>
      <w:r>
        <w:t xml:space="preserve">directly purchased by the retail investor or subject to fluctuation because of exposure to</w:t>
      </w:r>
      <w:r>
        <w:t xml:space="preserve"> </w:t>
      </w:r>
      <w:r>
        <w:t xml:space="preserve">reference values. Therefore, the PRIIPs KID is required for structured banking products,</w:t>
      </w:r>
      <w:r>
        <w:t xml:space="preserve"> </w:t>
      </w:r>
      <w:r>
        <w:t xml:space="preserve">investment-based insurance products (IBIPs) and packaged retail investment products</w:t>
      </w:r>
      <w:r>
        <w:t xml:space="preserve"> </w:t>
      </w:r>
      <w:r>
        <w:t xml:space="preserve">available to retail clients.560</w:t>
      </w:r>
      <w:r>
        <w:br/>
      </w:r>
      <w:r>
        <w:t xml:space="preserve">Product manufacturers of UCITS funds had to produce and make available a similar</w:t>
      </w:r>
      <w:r>
        <w:t xml:space="preserve"> </w:t>
      </w:r>
      <w:r>
        <w:t xml:space="preserve">document, the UCITS KIID. As of January 2023, the UCITS KIID has been replaced by</w:t>
      </w:r>
      <w:r>
        <w:t xml:space="preserve"> </w:t>
      </w:r>
      <w:r>
        <w:t xml:space="preserve">the PRIIPs KID561. The disclosure rules of the new Regulatory Technical Standards are</w:t>
      </w:r>
    </w:p>
    <w:p>
      <w:pPr>
        <w:pStyle w:val="BodyText"/>
      </w:pPr>
      <w:r>
        <w:t xml:space="preserve">558 Chapter II PRIIPs.</w:t>
      </w:r>
      <w:r>
        <w:t xml:space="preserve"> </w:t>
      </w:r>
      <w:r>
        <w:t xml:space="preserve">559 Chapter IX, Section 3 UCITS.</w:t>
      </w:r>
      <w:r>
        <w:br/>
      </w:r>
      <w:r>
        <w:t xml:space="preserve">560 The PRIIPs applies to product information across different sectors: The same key information</w:t>
      </w:r>
      <w:r>
        <w:t xml:space="preserve"> </w:t>
      </w:r>
      <w:r>
        <w:t xml:space="preserve">document applies for structured deposits (banking product), insurance-based investment products</w:t>
      </w:r>
      <w:r>
        <w:t xml:space="preserve"> </w:t>
      </w:r>
      <w:r>
        <w:t xml:space="preserve">(insurance product) and packaged financial instruments (investment product). This means that AIFs which</w:t>
      </w:r>
      <w:r>
        <w:t xml:space="preserve"> </w:t>
      </w:r>
      <w:r>
        <w:t xml:space="preserve">are marketed to retail investors under Article 43 of the AIFMD are also captured by PRIIPs obligations.</w:t>
      </w:r>
      <w:r>
        <w:br/>
      </w:r>
      <w:r>
        <w:t xml:space="preserve">561 Regulation (EU) 2021/2259 of the European Parliament and of the Council of 15 December 2021</w:t>
      </w:r>
      <w:r>
        <w:t xml:space="preserve"> </w:t>
      </w:r>
      <w:r>
        <w:t xml:space="preserve">amending Regulation (EU) No 1286/2014 as regards the extension of the transitional arrangement for</w:t>
      </w:r>
      <w:r>
        <w:t xml:space="preserve"> </w:t>
      </w:r>
      <w:r>
        <w:t xml:space="preserve">management companies, investment companies and persons advising on, or selling, units of undertakings</w:t>
      </w:r>
      <w:r>
        <w:t xml:space="preserve"> </w:t>
      </w:r>
      <w:r>
        <w:t xml:space="preserve">for collective investment in transferable securities (UCITS) and non-UCITS, OJ L 455, 20.12.2021, pages</w:t>
      </w:r>
      <w:r>
        <w:t xml:space="preserve"> </w:t>
      </w:r>
      <w:r>
        <w:t xml:space="preserve">1–3.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designed to make the PRIIPs KIDs for UCITS fully applicable562. In light of the date of</w:t>
      </w:r>
      <w:r>
        <w:t xml:space="preserve"> </w:t>
      </w:r>
      <w:r>
        <w:t xml:space="preserve">application, the impact of this change cannot be assessed in this evaluation but is part of</w:t>
      </w:r>
      <w:r>
        <w:t xml:space="preserve"> </w:t>
      </w:r>
      <w:r>
        <w:t xml:space="preserve">the baseline in the impact assessment.</w:t>
      </w:r>
      <w:r>
        <w:br/>
      </w:r>
      <w:r>
        <w:t xml:space="preserve">MiFID II considers the provision of information at all stages of the consumer journey and requires</w:t>
      </w:r>
      <w:r>
        <w:t xml:space="preserve"> </w:t>
      </w:r>
      <w:r>
        <w:t xml:space="preserve">that all information, including marketing communications, addressed by the investment firm to</w:t>
      </w:r>
      <w:r>
        <w:t xml:space="preserve"> </w:t>
      </w:r>
      <w:r>
        <w:t xml:space="preserve">clients is fair, clear and not misleading563. It also specifies that appropriate information about the</w:t>
      </w:r>
      <w:r>
        <w:t xml:space="preserve"> </w:t>
      </w:r>
      <w:r>
        <w:t xml:space="preserve">investment firm and its services, the financial instruments and proposed investment strategies,</w:t>
      </w:r>
      <w:r>
        <w:t xml:space="preserve"> </w:t>
      </w:r>
      <w:r>
        <w:t xml:space="preserve">execution venues and all costs and related charges must be provided in good time to the client564.</w:t>
      </w:r>
      <w:r>
        <w:t xml:space="preserve"> </w:t>
      </w:r>
      <w:r>
        <w:t xml:space="preserve">In particular, MiFID II requires that information on all costs and charges in connection with the</w:t>
      </w:r>
      <w:r>
        <w:t xml:space="preserve"> </w:t>
      </w:r>
      <w:r>
        <w:t xml:space="preserve">investment services and the financial instruments are aggregated to allow the client to understand</w:t>
      </w:r>
      <w:r>
        <w:t xml:space="preserve"> </w:t>
      </w:r>
      <w:r>
        <w:t xml:space="preserve">the overall cost, as well as the cumulative effect on return of the investment565. Where applicable,</w:t>
      </w:r>
      <w:r>
        <w:t xml:space="preserve"> </w:t>
      </w:r>
      <w:r>
        <w:t xml:space="preserve">such information must also be provided to the client on a regular basis, at least annually, during the</w:t>
      </w:r>
      <w:r>
        <w:t xml:space="preserve"> </w:t>
      </w:r>
      <w:r>
        <w:t xml:space="preserve">life of the investment.</w:t>
      </w:r>
      <w:r>
        <w:br/>
      </w:r>
      <w:r>
        <w:t xml:space="preserve">The MiFID rules require that the above-mentioned information is provided in a comprehensible</w:t>
      </w:r>
      <w:r>
        <w:t xml:space="preserve"> </w:t>
      </w:r>
      <w:r>
        <w:t xml:space="preserve">form but do not establish an information template or document. Member States may however</w:t>
      </w:r>
      <w:r>
        <w:t xml:space="preserve"> </w:t>
      </w:r>
      <w:r>
        <w:t xml:space="preserve">require that information is provided in a standardised format566. MiFID II Delegated Regulation</w:t>
      </w:r>
      <w:r>
        <w:t xml:space="preserve"> </w:t>
      </w:r>
      <w:r>
        <w:t xml:space="preserve">(EU) 2017/565 lays down further requirements on information to be provided to retail clients,</w:t>
      </w:r>
      <w:r>
        <w:t xml:space="preserve"> </w:t>
      </w:r>
      <w:r>
        <w:t xml:space="preserve">including on marketing communications567.</w:t>
      </w:r>
      <w:r>
        <w:t xml:space="preserve"> </w:t>
      </w:r>
      <w:r>
        <w:t xml:space="preserve">IDD obliges insurance distributors to provide, in good time before the conclusion of an</w:t>
      </w:r>
      <w:r>
        <w:t xml:space="preserve"> </w:t>
      </w:r>
      <w:r>
        <w:t xml:space="preserve">insurance contract, information about their identity and registration data, any group</w:t>
      </w:r>
      <w:r>
        <w:t xml:space="preserve"> </w:t>
      </w:r>
      <w:r>
        <w:t xml:space="preserve">relationships with insurance companies and the form of advice they provide and they nature</w:t>
      </w:r>
      <w:r>
        <w:t xml:space="preserve"> </w:t>
      </w:r>
      <w:r>
        <w:t xml:space="preserve">(but not the amount) of their remuneration568 as well as specific information requirements,</w:t>
      </w:r>
      <w:r>
        <w:t xml:space="preserve"> </w:t>
      </w:r>
      <w:r>
        <w:t xml:space="preserve">in particular information about the risks and all costs and charges, in relation to the</w:t>
      </w:r>
      <w:r>
        <w:t xml:space="preserve"> </w:t>
      </w:r>
      <w:r>
        <w:t xml:space="preserve">distribution of IBIPs569.</w:t>
      </w:r>
      <w:r>
        <w:br/>
      </w:r>
      <w:r>
        <w:t xml:space="preserve">Finally, Solvency II lays down some general information requirements, to be disclosed</w:t>
      </w:r>
      <w:r>
        <w:t xml:space="preserve"> </w:t>
      </w:r>
      <w:r>
        <w:t xml:space="preserve">before a life insurance contract is concluded570.</w:t>
      </w:r>
    </w:p>
    <w:p>
      <w:pPr>
        <w:pStyle w:val="BodyText"/>
      </w:pPr>
      <w:r>
        <w:t xml:space="preserve">562 Commission Delegated Regulation (EU) 2021/2268 of 6 September 2021 amending the regulatory</w:t>
      </w:r>
      <w:r>
        <w:t xml:space="preserve"> </w:t>
      </w:r>
      <w:r>
        <w:t xml:space="preserve">technical standards laid down in Commission Delegated Regulation (EU) 2017/653 as regards the</w:t>
      </w:r>
      <w:r>
        <w:t xml:space="preserve"> </w:t>
      </w:r>
      <w:r>
        <w:t xml:space="preserve">underpinning methodology and presentation of performance scenarios, the presentation of costs and the</w:t>
      </w:r>
      <w:r>
        <w:t xml:space="preserve"> </w:t>
      </w:r>
      <w:r>
        <w:t xml:space="preserve">methodology for the calculation of summary cost indicators, the presentation and content of information on</w:t>
      </w:r>
      <w:r>
        <w:t xml:space="preserve"> </w:t>
      </w:r>
      <w:r>
        <w:t xml:space="preserve">past performance and the presentation of costs by packaged retail and insurance-based investment products</w:t>
      </w:r>
      <w:r>
        <w:t xml:space="preserve"> </w:t>
      </w:r>
      <w:r>
        <w:t xml:space="preserve">(PRIIPs) offering a range of options for investment and alignment of the transitional arrangement for PRIIP</w:t>
      </w:r>
      <w:r>
        <w:t xml:space="preserve"> </w:t>
      </w:r>
      <w:r>
        <w:t xml:space="preserve">manufacturers offering units of funds referred to in Article 32 of Regulation (EU) No 1286/2014 of the</w:t>
      </w:r>
      <w:r>
        <w:t xml:space="preserve"> </w:t>
      </w:r>
      <w:r>
        <w:t xml:space="preserve">European Parliament and of the Council as underlying investment options with the prolonged transitional</w:t>
      </w:r>
      <w:r>
        <w:t xml:space="preserve"> </w:t>
      </w:r>
      <w:r>
        <w:t xml:space="preserve">arrangement laid down in that Article, OJ L 455I , 20.12.2021, pages 1–55.</w:t>
      </w:r>
      <w:r>
        <w:br/>
      </w:r>
      <w:r>
        <w:t xml:space="preserve">563 Article 24(3) MIFID II.</w:t>
      </w:r>
      <w:r>
        <w:t xml:space="preserve"> </w:t>
      </w:r>
      <w:r>
        <w:t xml:space="preserve">564 Idem Article 24(4).</w:t>
      </w:r>
      <w:r>
        <w:t xml:space="preserve"> </w:t>
      </w:r>
      <w:r>
        <w:t xml:space="preserve">565 Ibid.</w:t>
      </w:r>
      <w:r>
        <w:t xml:space="preserve"> </w:t>
      </w:r>
      <w:r>
        <w:t xml:space="preserve">566 Idem, Article 24(5).</w:t>
      </w:r>
      <w:r>
        <w:t xml:space="preserve"> </w:t>
      </w:r>
      <w:r>
        <w:t xml:space="preserve">567 Chapter II of delegated regulation 2017/565.</w:t>
      </w:r>
      <w:r>
        <w:t xml:space="preserve"> </w:t>
      </w:r>
      <w:r>
        <w:t xml:space="preserve">568 Article 18 IDD.</w:t>
      </w:r>
      <w:r>
        <w:t xml:space="preserve"> </w:t>
      </w:r>
      <w:r>
        <w:t xml:space="preserve">569 Idem, Article 29.</w:t>
      </w:r>
      <w:r>
        <w:t xml:space="preserve"> </w:t>
      </w:r>
      <w:r>
        <w:t xml:space="preserve">570 Article 185, Solvency II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Pre-contractual information requirements stemming from multiple Directives and</w:t>
      </w:r>
      <w:r>
        <w:t xml:space="preserve"> </w:t>
      </w:r>
      <w:r>
        <w:t xml:space="preserve">Regulations need to be respected, depending on the investment product or service to be</w:t>
      </w:r>
      <w:r>
        <w:t xml:space="preserve"> </w:t>
      </w:r>
      <w:r>
        <w:t xml:space="preserve">sold. Nevertheless, the role of pre-contractual (product level) disclosures and disclosures</w:t>
      </w:r>
      <w:r>
        <w:t xml:space="preserve"> </w:t>
      </w:r>
      <w:r>
        <w:t xml:space="preserve">at distributor level is different and generally complementary. Product-level disclosures,</w:t>
      </w:r>
      <w:r>
        <w:t xml:space="preserve"> </w:t>
      </w:r>
      <w:r>
        <w:t xml:space="preserve">besides providing information directly for those retail clients that actively search for them,</w:t>
      </w:r>
      <w:r>
        <w:t xml:space="preserve"> </w:t>
      </w:r>
      <w:r>
        <w:t xml:space="preserve">are also intended to provide distributors with the elements they need to feed into their own</w:t>
      </w:r>
      <w:r>
        <w:t xml:space="preserve"> </w:t>
      </w:r>
      <w:r>
        <w:t xml:space="preserve">obligation to provide risk and cost information on products they sell.</w:t>
      </w:r>
      <w:r>
        <w:t xml:space="preserve"> </w:t>
      </w:r>
      <w:r>
        <w:t xml:space="preserve">Intervention logic of disclosure rules</w:t>
      </w:r>
      <w:r>
        <w:br/>
      </w:r>
      <w:r>
        <w:t xml:space="preserve">The legal provisions governing disclosure are spread across multiple legal frameworks.</w:t>
      </w:r>
      <w:r>
        <w:t xml:space="preserve"> </w:t>
      </w:r>
      <w:r>
        <w:t xml:space="preserve">The following intervention logic has been reconstructed focusing on disclosures, to present</w:t>
      </w:r>
      <w:r>
        <w:t xml:space="preserve"> </w:t>
      </w:r>
      <w:r>
        <w:t xml:space="preserve">the logical links between the different legal instruments, policy objectives and expected</w:t>
      </w:r>
      <w:r>
        <w:t xml:space="preserve"> </w:t>
      </w:r>
      <w:r>
        <w:t xml:space="preserve">outputs, results, and impacts.</w:t>
      </w:r>
      <w:r>
        <w:br/>
      </w:r>
      <w:r>
        <w:t xml:space="preserve">EU action on information disclosure regimes for retail investments was considered</w:t>
      </w:r>
      <w:r>
        <w:t xml:space="preserve"> </w:t>
      </w:r>
      <w:r>
        <w:t xml:space="preserve">necessary to address market failures due to informational asymmetries between retail</w:t>
      </w:r>
      <w:r>
        <w:t xml:space="preserve"> </w:t>
      </w:r>
      <w:r>
        <w:t xml:space="preserve">investors and advisors and prevent retail investors from making uninformed or biased</w:t>
      </w:r>
      <w:r>
        <w:t xml:space="preserve"> </w:t>
      </w:r>
      <w:r>
        <w:t xml:space="preserve">choices when making investment decisions. Specific disclosure requirements were</w:t>
      </w:r>
      <w:r>
        <w:t xml:space="preserve"> </w:t>
      </w:r>
      <w:r>
        <w:t xml:space="preserve">introduced as part of PRIIPs, UCITS, IDD, MiFID II and Solvency II, with the objective</w:t>
      </w:r>
      <w:r>
        <w:t xml:space="preserve"> </w:t>
      </w:r>
      <w:r>
        <w:t xml:space="preserve">of improving clarity, transparency and comparability of information in order to guide</w:t>
      </w:r>
      <w:r>
        <w:t xml:space="preserve"> </w:t>
      </w:r>
      <w:r>
        <w:t xml:space="preserve">investors to choose optimal products.</w:t>
      </w:r>
      <w:r>
        <w:br/>
      </w:r>
      <w:r>
        <w:t xml:space="preserve">The rules overall require that certain information on the firm and the services is provided</w:t>
      </w:r>
      <w:r>
        <w:t xml:space="preserve"> </w:t>
      </w:r>
      <w:r>
        <w:t xml:space="preserve">to the potential client and that distributors prepare and regularly review key information</w:t>
      </w:r>
      <w:r>
        <w:t xml:space="preserve"> </w:t>
      </w:r>
      <w:r>
        <w:t xml:space="preserve">documents and provide guidance and training to advisors. The information to be provided</w:t>
      </w:r>
      <w:r>
        <w:t xml:space="preserve"> </w:t>
      </w:r>
      <w:r>
        <w:t xml:space="preserve">is defined by the regulation and needs to be accessible by the retail investors at all times.</w:t>
      </w:r>
      <w:r>
        <w:t xml:space="preserve"> </w:t>
      </w:r>
      <w:r>
        <w:t xml:space="preserve">The desired impact is so that investors have access to information that is clear, comparable,</w:t>
      </w:r>
      <w:r>
        <w:t xml:space="preserve"> </w:t>
      </w:r>
      <w:r>
        <w:t xml:space="preserve">not misleading and understood and that ultimately, they are able to make informed and</w:t>
      </w:r>
      <w:r>
        <w:t xml:space="preserve"> </w:t>
      </w:r>
      <w:r>
        <w:t xml:space="preserve">optimal decisions when choosing investment products. The transparency and</w:t>
      </w:r>
      <w:r>
        <w:t xml:space="preserve"> </w:t>
      </w:r>
      <w:r>
        <w:t xml:space="preserve">comparability of information would also help increase competition in the market.</w:t>
      </w:r>
      <w:r>
        <w:br/>
      </w:r>
      <w:r>
        <w:t xml:space="preserve">Figure.1 - Reconstructed intervention logic571</w:t>
      </w:r>
    </w:p>
    <w:p>
      <w:pPr>
        <w:pStyle w:val="BodyText"/>
      </w:pPr>
      <w:r>
        <w:t xml:space="preserve">571 As presented in the Retail investment study for the disclosure rules of information documents.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Source: Consortium.</w:t>
      </w:r>
      <w:r>
        <w:br/>
      </w:r>
      <w:r>
        <w:t xml:space="preserve">2.1.b Inducements and advice</w:t>
      </w:r>
      <w:r>
        <w:t xml:space="preserve"> </w:t>
      </w:r>
      <w:r>
        <w:t xml:space="preserve">Professional advice assists retail investors in decision-making when choosing investment products.</w:t>
      </w:r>
      <w:r>
        <w:t xml:space="preserve"> </w:t>
      </w:r>
      <w:r>
        <w:t xml:space="preserve">However, the advice process is affected by strong information asymmetries between the advisor</w:t>
      </w:r>
      <w:r>
        <w:t xml:space="preserve"> </w:t>
      </w:r>
      <w:r>
        <w:t xml:space="preserve">and the potential investor. Informational asymmetries can play an even greater role where</w:t>
      </w:r>
      <w:r>
        <w:t xml:space="preserve"> </w:t>
      </w:r>
      <w:r>
        <w:t xml:space="preserve">inducements are paid by product manufacturers to advisors, which can potentially result in biased</w:t>
      </w:r>
      <w:r>
        <w:t xml:space="preserve"> </w:t>
      </w:r>
      <w:r>
        <w:t xml:space="preserve">advice.</w:t>
      </w:r>
      <w:r>
        <w:br/>
      </w:r>
      <w:r>
        <w:t xml:space="preserve">In general, inducements are payments that distributors/intermediaries receive by means of</w:t>
      </w:r>
      <w:r>
        <w:t xml:space="preserve"> </w:t>
      </w:r>
      <w:r>
        <w:t xml:space="preserve">retrocessions from the product manufacturers (e.g. the asset managers). They represent a portion</w:t>
      </w:r>
      <w:r>
        <w:t xml:space="preserve"> </w:t>
      </w:r>
      <w:r>
        <w:t xml:space="preserve">of the total costs that are paid by the retail investor. The following example illustrates in general</w:t>
      </w:r>
      <w:r>
        <w:t xml:space="preserve"> </w:t>
      </w:r>
      <w:r>
        <w:t xml:space="preserve">terms the fee flows and the payment of inducements between different parties in the distribution of</w:t>
      </w:r>
      <w:r>
        <w:t xml:space="preserve"> </w:t>
      </w:r>
      <w:r>
        <w:t xml:space="preserve">an investment fund572.</w:t>
      </w:r>
    </w:p>
    <w:p>
      <w:pPr>
        <w:pStyle w:val="BodyText"/>
      </w:pPr>
      <w:r>
        <w:t xml:space="preserve">Source: Study on distribution systems of retail investment products, 2018</w:t>
      </w:r>
      <w:r>
        <w:t xml:space="preserve"> </w:t>
      </w:r>
      <w:r>
        <w:t xml:space="preserve">The EU legal framework aims to improve investor protection by imposing rules governing the</w:t>
      </w:r>
      <w:r>
        <w:t xml:space="preserve"> </w:t>
      </w:r>
      <w:r>
        <w:t xml:space="preserve">payment of inducements.</w:t>
      </w:r>
    </w:p>
    <w:p>
      <w:pPr>
        <w:pStyle w:val="BodyText"/>
      </w:pPr>
      <w:r>
        <w:t xml:space="preserve">572 Note: the distribution of retail investment products may vary per product category, distribution</w:t>
      </w:r>
      <w:r>
        <w:t xml:space="preserve"> </w:t>
      </w:r>
      <w:r>
        <w:t xml:space="preserve">channel and jurisdiction.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The rules on inducements aim to:</w:t>
      </w:r>
      <w:r>
        <w:br/>
      </w:r>
      <w:r>
        <w:t xml:space="preserve"> minimise conflicts of interest so as to ensure that advice and other services that are</w:t>
      </w:r>
      <w:r>
        <w:t xml:space="preserve"> </w:t>
      </w:r>
      <w:r>
        <w:t xml:space="preserve">delivered to prospective investors are in their best interest;</w:t>
      </w:r>
      <w:r>
        <w:br/>
      </w:r>
      <w:r>
        <w:t xml:space="preserve"> inform prospective investors whether the advice given is independent or non-</w:t>
      </w:r>
      <w:r>
        <w:t xml:space="preserve"> </w:t>
      </w:r>
      <w:r>
        <w:t xml:space="preserve">independent and whether the investment firm or insurance distributor receives an</w:t>
      </w:r>
      <w:r>
        <w:t xml:space="preserve"> </w:t>
      </w:r>
      <w:r>
        <w:t xml:space="preserve">inducement for the sale of a given product, so that retail investors are aware of their</w:t>
      </w:r>
      <w:r>
        <w:t xml:space="preserve"> </w:t>
      </w:r>
      <w:r>
        <w:t xml:space="preserve">relationship with the product manufacturer and take it into account when making</w:t>
      </w:r>
      <w:r>
        <w:t xml:space="preserve"> </w:t>
      </w:r>
      <w:r>
        <w:t xml:space="preserve">their investment decision;</w:t>
      </w:r>
      <w:r>
        <w:br/>
      </w:r>
      <w:r>
        <w:t xml:space="preserve"> more generally, improve the quality of advice and reinforce the duty of care of retail</w:t>
      </w:r>
      <w:r>
        <w:t xml:space="preserve"> </w:t>
      </w:r>
      <w:r>
        <w:t xml:space="preserve">financial product distributors, as well as to make sure that prospective investors are</w:t>
      </w:r>
      <w:r>
        <w:t xml:space="preserve"> </w:t>
      </w:r>
      <w:r>
        <w:t xml:space="preserve">well informed and understand the advice.</w:t>
      </w:r>
      <w:r>
        <w:br/>
      </w:r>
      <w:r>
        <w:t xml:space="preserve">Summary of the relevant legal provisions and the scope of their application</w:t>
      </w:r>
      <w:r>
        <w:br/>
      </w:r>
      <w:r>
        <w:t xml:space="preserve">Depending on the type of distributor and investment product, different rules may apply under the</w:t>
      </w:r>
      <w:r>
        <w:t xml:space="preserve"> </w:t>
      </w:r>
      <w:r>
        <w:t xml:space="preserve">current framework. The main legal texts concerned are MiFID II and IDD, which contain specific</w:t>
      </w:r>
      <w:r>
        <w:t xml:space="preserve"> </w:t>
      </w:r>
      <w:r>
        <w:t xml:space="preserve">rules on inducements. Furthermore, both MiFID II and IDD set out the duty of care obligation and</w:t>
      </w:r>
      <w:r>
        <w:t xml:space="preserve"> </w:t>
      </w:r>
      <w:r>
        <w:t xml:space="preserve">contain rules to avoid conflicts of interest, such as continuous organisational rules and</w:t>
      </w:r>
      <w:r>
        <w:t xml:space="preserve"> </w:t>
      </w:r>
      <w:r>
        <w:t xml:space="preserve">remuneration policies.</w:t>
      </w:r>
      <w:r>
        <w:br/>
      </w:r>
      <w:r>
        <w:t xml:space="preserve">The MiFID II inducement regime applies to investment firms and the IDD inducement regime</w:t>
      </w:r>
      <w:r>
        <w:t xml:space="preserve"> </w:t>
      </w:r>
      <w:r>
        <w:t xml:space="preserve">applies to insurance intermediaries or undertakings distributing insurance-based investment</w:t>
      </w:r>
      <w:r>
        <w:t xml:space="preserve"> </w:t>
      </w:r>
      <w:r>
        <w:t xml:space="preserve">products (IBIPs). The application of inducement regimes to the different types of products is</w:t>
      </w:r>
      <w:r>
        <w:t xml:space="preserve"> </w:t>
      </w:r>
      <w:r>
        <w:t xml:space="preserve">summarised below:</w:t>
      </w:r>
    </w:p>
    <w:p>
      <w:pPr>
        <w:pStyle w:val="BodyText"/>
      </w:pPr>
      <w:r>
        <w:t xml:space="preserve">While MiFID II and IDD rules on inducements aim to achieve the same objective, they differ as</w:t>
      </w:r>
      <w:r>
        <w:t xml:space="preserve"> </w:t>
      </w:r>
      <w:r>
        <w:t xml:space="preserve">regards the specific conditions:</w:t>
      </w:r>
      <w:r>
        <w:br/>
      </w:r>
      <w:r>
        <w:t xml:space="preserve"> Under MiFID II, inducements (i.e. fees, commissions or any monetary or non-</w:t>
      </w:r>
      <w:r>
        <w:t xml:space="preserve"> </w:t>
      </w:r>
      <w:r>
        <w:t xml:space="preserve">monetary benefits paid or provided by any third party or a person acting on behalf of</w:t>
      </w:r>
      <w:r>
        <w:t xml:space="preserve"> </w:t>
      </w:r>
      <w:r>
        <w:t xml:space="preserve">a third party in relation to the provision of the service to clients) are prohibited for</w:t>
      </w:r>
      <w:r>
        <w:t xml:space="preserve"> </w:t>
      </w:r>
      <w:r>
        <w:t xml:space="preserve">portfolio management and independent advice. Where inducements remain possible,</w:t>
      </w:r>
      <w:r>
        <w:t xml:space="preserve"> </w:t>
      </w:r>
      <w:r>
        <w:t xml:space="preserve">the MiFID II framework only allows them if they are designed to enhance the quality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of the relevant service to the client; nor should they impair compliance with the</w:t>
      </w:r>
      <w:r>
        <w:t xml:space="preserve"> </w:t>
      </w:r>
      <w:r>
        <w:t xml:space="preserve">investment firm’s duty to act honestly, fairly and professionally.</w:t>
      </w:r>
      <w:r>
        <w:br/>
      </w:r>
      <w:r>
        <w:t xml:space="preserve"> Under the IDD framework, inducements (similarly defined as fees or commissions,</w:t>
      </w:r>
      <w:r>
        <w:t xml:space="preserve"> </w:t>
      </w:r>
      <w:r>
        <w:t xml:space="preserve">or any non-monetary benefits in connection with the distribution of an insurance-</w:t>
      </w:r>
      <w:r>
        <w:t xml:space="preserve"> </w:t>
      </w:r>
      <w:r>
        <w:t xml:space="preserve">based investment product or an ancillary service, provided to or by any party except</w:t>
      </w:r>
      <w:r>
        <w:t xml:space="preserve"> </w:t>
      </w:r>
      <w:r>
        <w:t xml:space="preserve">the customer or a person on behalf of the customer only) are generally allowed,</w:t>
      </w:r>
      <w:r>
        <w:t xml:space="preserve"> </w:t>
      </w:r>
      <w:r>
        <w:t xml:space="preserve">provided that they do not have a detrimental impact on the quality of the relevant</w:t>
      </w:r>
      <w:r>
        <w:t xml:space="preserve"> </w:t>
      </w:r>
      <w:r>
        <w:t xml:space="preserve">service to the customer and do not impair compliance with the distributor’s duty to</w:t>
      </w:r>
      <w:r>
        <w:t xml:space="preserve"> </w:t>
      </w:r>
      <w:r>
        <w:t xml:space="preserve">act honestly, fairly and professionally.</w:t>
      </w:r>
      <w:r>
        <w:t xml:space="preserve"> </w:t>
      </w:r>
      <w:r>
        <w:t xml:space="preserve">Quality enhancement test (MiFID II) and Detrimental impact test (IDD)</w:t>
      </w:r>
      <w:r>
        <w:br/>
      </w:r>
      <w:r>
        <w:t xml:space="preserve">The nature as well as the conditions of the quality enhancement test under MiFID II and the</w:t>
      </w:r>
      <w:r>
        <w:t xml:space="preserve"> </w:t>
      </w:r>
      <w:r>
        <w:t xml:space="preserve">detrimental impact test pursuant to IDD are different.</w:t>
      </w:r>
      <w:r>
        <w:br/>
      </w:r>
      <w:r>
        <w:t xml:space="preserve">On the basis of Article 11(2) of the MiFID II Delegated Directive573, an inducement shall be</w:t>
      </w:r>
      <w:r>
        <w:t xml:space="preserve"> </w:t>
      </w:r>
      <w:r>
        <w:t xml:space="preserve">considered to enhance the quality of the relevant service to the client if:</w:t>
      </w:r>
      <w:r>
        <w:br/>
      </w:r>
      <w:r>
        <w:t xml:space="preserve"></w:t>
      </w:r>
      <w:r>
        <w:t xml:space="preserve"> </w:t>
      </w:r>
      <w:r>
        <w:t xml:space="preserve">the inducement is justified by the provision of an additional (or higher) level of</w:t>
      </w:r>
      <w:r>
        <w:t xml:space="preserve"> </w:t>
      </w:r>
      <w:r>
        <w:t xml:space="preserve">service to the client;</w:t>
      </w:r>
      <w:r>
        <w:br/>
      </w:r>
      <w:r>
        <w:t xml:space="preserve"></w:t>
      </w:r>
      <w:r>
        <w:t xml:space="preserve"> </w:t>
      </w:r>
      <w:r>
        <w:t xml:space="preserve">the inducement does not directly benefit the recipient firm (its shareholders or</w:t>
      </w:r>
      <w:r>
        <w:t xml:space="preserve"> </w:t>
      </w:r>
      <w:r>
        <w:t xml:space="preserve">employees included) without tangible benefit to the relevant client and;</w:t>
      </w:r>
      <w:r>
        <w:br/>
      </w:r>
      <w:r>
        <w:t xml:space="preserve"></w:t>
      </w:r>
      <w:r>
        <w:t xml:space="preserve"> </w:t>
      </w:r>
      <w:r>
        <w:t xml:space="preserve">the inducement is justified by the provision of an on-going benefit to the client</w:t>
      </w:r>
      <w:r>
        <w:t xml:space="preserve"> </w:t>
      </w:r>
      <w:r>
        <w:t xml:space="preserve">The MiFID II Delegated Directive also establishes a number of conditions requiring justification</w:t>
      </w:r>
      <w:r>
        <w:t xml:space="preserve"> </w:t>
      </w:r>
      <w:r>
        <w:t xml:space="preserve">of the provision of an additional or higher-level service to the relevant client574:</w:t>
      </w:r>
      <w:r>
        <w:t xml:space="preserve"> </w:t>
      </w:r>
      <w:r>
        <w:t xml:space="preserve"> provision of non-independent investment advice, access to a wide range of suitable</w:t>
      </w:r>
      <w:r>
        <w:t xml:space="preserve"> </w:t>
      </w:r>
      <w:r>
        <w:t xml:space="preserve">financial instruments including instruments from a third party;</w:t>
      </w:r>
      <w:r>
        <w:br/>
      </w:r>
      <w:r>
        <w:t xml:space="preserve"> provision of non-independent investment advice combined with either: (a) an offer</w:t>
      </w:r>
      <w:r>
        <w:t xml:space="preserve"> </w:t>
      </w:r>
      <w:r>
        <w:t xml:space="preserve">to the client to assess the continuing suitability of the financial instruments; or (b)</w:t>
      </w:r>
      <w:r>
        <w:t xml:space="preserve"> </w:t>
      </w:r>
      <w:r>
        <w:t xml:space="preserve">with another on-going service about the optimal asset allocation of the client; or</w:t>
      </w:r>
      <w:r>
        <w:t xml:space="preserve"> </w:t>
      </w:r>
      <w:r>
        <w:t xml:space="preserve"> provision of access to a wide range of financial instruments that are likely to meet</w:t>
      </w:r>
      <w:r>
        <w:t xml:space="preserve"> </w:t>
      </w:r>
      <w:r>
        <w:t xml:space="preserve">the needs of the client, including instruments from third-party product providers.</w:t>
      </w:r>
      <w:r>
        <w:t xml:space="preserve"> </w:t>
      </w:r>
      <w:r>
        <w:t xml:space="preserve">For the detrimental impact test, pursuant to the IDD regime, the following criteria are relevant575:</w:t>
      </w:r>
      <w:r>
        <w:br/>
      </w:r>
      <w:r>
        <w:t xml:space="preserve"> whether the inducement could provide an incentive to the insurance</w:t>
      </w:r>
      <w:r>
        <w:t xml:space="preserve"> </w:t>
      </w:r>
      <w:r>
        <w:t xml:space="preserve">intermediary/undertaking to offer/recommend an insurance product/service to the</w:t>
      </w:r>
      <w:r>
        <w:t xml:space="preserve"> </w:t>
      </w:r>
      <w:r>
        <w:t xml:space="preserve">client despite the fact that another insurance product or service would better meet</w:t>
      </w:r>
      <w:r>
        <w:t xml:space="preserve"> </w:t>
      </w:r>
      <w:r>
        <w:t xml:space="preserve">the client’s needs;</w:t>
      </w:r>
    </w:p>
    <w:p>
      <w:pPr>
        <w:pStyle w:val="BodyText"/>
      </w:pPr>
      <w:r>
        <w:t xml:space="preserve">573 Commission Delegated Directive (EU) 2017/593 of 7 April 2016 supplementing Directive 2014/65/EU of</w:t>
      </w:r>
      <w:r>
        <w:t xml:space="preserve"> </w:t>
      </w:r>
      <w:r>
        <w:t xml:space="preserve">the European Parliament and of the Council with regard to safeguarding of financial instruments and</w:t>
      </w:r>
      <w:r>
        <w:t xml:space="preserve"> </w:t>
      </w:r>
      <w:r>
        <w:t xml:space="preserve">funds belonging to clients, product governance obligations and the rules applicable to the provision or</w:t>
      </w:r>
      <w:r>
        <w:t xml:space="preserve"> </w:t>
      </w:r>
      <w:r>
        <w:t xml:space="preserve">reception of fees, commissions or any monetary or non-monetary benefits.</w:t>
      </w:r>
      <w:r>
        <w:t xml:space="preserve"> </w:t>
      </w:r>
      <w:r>
        <w:t xml:space="preserve">574 Idem, Article 11(2).</w:t>
      </w:r>
      <w:r>
        <w:t xml:space="preserve"> </w:t>
      </w:r>
      <w:r>
        <w:t xml:space="preserve">575 Article 8(2), second subparagraph of IDD Delegated Regulation.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 whether the inducement is mainly based on quantitative commercial criteria/</w:t>
      </w:r>
      <w:r>
        <w:t xml:space="preserve"> </w:t>
      </w:r>
      <w:r>
        <w:t xml:space="preserve">whether it takes into account appropriate qualitative criteria (such as compliance</w:t>
      </w:r>
      <w:r>
        <w:t xml:space="preserve"> </w:t>
      </w:r>
      <w:r>
        <w:t xml:space="preserve">with applicable regulations, the quality of services provided, client satisfaction);</w:t>
      </w:r>
      <w:r>
        <w:t xml:space="preserve"> </w:t>
      </w:r>
      <w:r>
        <w:t xml:space="preserve"> the value of the inducement paid in relation to the value of the product/service;</w:t>
      </w:r>
      <w:r>
        <w:br/>
      </w:r>
      <w:r>
        <w:t xml:space="preserve"> whether the inducement is paid at the conclusion of the contract or is extended for</w:t>
      </w:r>
      <w:r>
        <w:t xml:space="preserve"> </w:t>
      </w:r>
      <w:r>
        <w:t xml:space="preserve">the whole term of that contract;</w:t>
      </w:r>
      <w:r>
        <w:br/>
      </w:r>
      <w:r>
        <w:t xml:space="preserve"> the existence of a mechanism for reclaiming the inducement;</w:t>
      </w:r>
      <w:r>
        <w:t xml:space="preserve"> </w:t>
      </w:r>
      <w:r>
        <w:t xml:space="preserve"> the existence of any form of contingent threshold unlocked by “attaining a target</w:t>
      </w:r>
      <w:r>
        <w:t xml:space="preserve"> </w:t>
      </w:r>
      <w:r>
        <w:t xml:space="preserve">based on volume or value of sales”.</w:t>
      </w:r>
      <w:r>
        <w:br/>
      </w:r>
      <w:r>
        <w:t xml:space="preserve">All the relevant legal frameworks (IDD576, MiFID II577, UCITS578) contain provisions on the</w:t>
      </w:r>
      <w:r>
        <w:t xml:space="preserve"> </w:t>
      </w:r>
      <w:r>
        <w:t xml:space="preserve">principle of duty of care. These provisions are set out in the conduct of business rules applicable</w:t>
      </w:r>
      <w:r>
        <w:t xml:space="preserve"> </w:t>
      </w:r>
      <w:r>
        <w:t xml:space="preserve">when services are provided to the client. They apply to all aspects of business and not only to advice</w:t>
      </w:r>
      <w:r>
        <w:t xml:space="preserve"> </w:t>
      </w:r>
      <w:r>
        <w:t xml:space="preserve">while receiving inducements.</w:t>
      </w:r>
      <w:r>
        <w:t xml:space="preserve"> </w:t>
      </w:r>
      <w:r>
        <w:t xml:space="preserve">Furthermore, Solvency II, IDD, MiFID II, UCITS and AIFMD also contain other rules on</w:t>
      </w:r>
      <w:r>
        <w:t xml:space="preserve"> </w:t>
      </w:r>
      <w:r>
        <w:t xml:space="preserve">avoiding or mitigating conflicts of interest, such as continuous organisational rules and</w:t>
      </w:r>
      <w:r>
        <w:t xml:space="preserve"> </w:t>
      </w:r>
      <w:r>
        <w:t xml:space="preserve">remuneration policies.</w:t>
      </w:r>
      <w:r>
        <w:br/>
      </w:r>
      <w:r>
        <w:t xml:space="preserve">Continuous organisational rules and administrative arrangements:</w:t>
      </w:r>
      <w:r>
        <w:t xml:space="preserve"> </w:t>
      </w:r>
      <w:r>
        <w:t xml:space="preserve">Under the MiFID II and IDD regimes, there is an obligation to identify conflicts of interest in the</w:t>
      </w:r>
      <w:r>
        <w:t xml:space="preserve"> </w:t>
      </w:r>
      <w:r>
        <w:t xml:space="preserve">course of the service provision. The MiFID II regime579 makes it mandatory to identify conflicts of</w:t>
      </w:r>
      <w:r>
        <w:t xml:space="preserve"> </w:t>
      </w:r>
      <w:r>
        <w:t xml:space="preserve">interest between investment firms, and their clients, or a conflict between one client and another,</w:t>
      </w:r>
      <w:r>
        <w:t xml:space="preserve"> </w:t>
      </w:r>
      <w:r>
        <w:t xml:space="preserve">including those caused by the receipt of inducements from third parties, or by the investment firm’s</w:t>
      </w:r>
      <w:r>
        <w:t xml:space="preserve"> </w:t>
      </w:r>
      <w:r>
        <w:t xml:space="preserve">own remuneration and other incentive structures. The IDD regime makes it mandatory to identify</w:t>
      </w:r>
      <w:r>
        <w:t xml:space="preserve"> </w:t>
      </w:r>
      <w:r>
        <w:t xml:space="preserve">conflicts of interest between insurance intermediaries and insurance undertakings, including their</w:t>
      </w:r>
      <w:r>
        <w:t xml:space="preserve"> </w:t>
      </w:r>
      <w:r>
        <w:t xml:space="preserve">managers and employees, or any person directly or indirectly linked to them by control and their</w:t>
      </w:r>
      <w:r>
        <w:t xml:space="preserve"> </w:t>
      </w:r>
      <w:r>
        <w:t xml:space="preserve">clients, or between one client and another.</w:t>
      </w:r>
      <w:r>
        <w:br/>
      </w:r>
      <w:r>
        <w:t xml:space="preserve">The MiFID II and IDD regimes also contain continuous organisational rules obliging service</w:t>
      </w:r>
      <w:r>
        <w:t xml:space="preserve"> </w:t>
      </w:r>
      <w:r>
        <w:t xml:space="preserve">providers to take all appropriate steps to prevent or manage conflicts of interest between a client</w:t>
      </w:r>
      <w:r>
        <w:t xml:space="preserve"> </w:t>
      </w:r>
      <w:r>
        <w:t xml:space="preserve">and themselves (including service providers’ managers, employees, tied agents, or any other person</w:t>
      </w:r>
      <w:r>
        <w:t xml:space="preserve"> </w:t>
      </w:r>
      <w:r>
        <w:t xml:space="preserve">linked directly or not directly by control). Overall, the MiFID II and IDD regimes are consistent in</w:t>
      </w:r>
      <w:r>
        <w:t xml:space="preserve"> </w:t>
      </w:r>
      <w:r>
        <w:t xml:space="preserve">applying comparable regimes to prevent conflicts of interest in the context of continuous</w:t>
      </w:r>
      <w:r>
        <w:t xml:space="preserve"> </w:t>
      </w:r>
      <w:r>
        <w:t xml:space="preserve">organisational rules and administrative arrangements. In cases where organisational or</w:t>
      </w:r>
      <w:r>
        <w:t xml:space="preserve"> </w:t>
      </w:r>
      <w:r>
        <w:t xml:space="preserve">administrative arrangements for preventing conflicts of interest are not sufficient to ensure that</w:t>
      </w:r>
      <w:r>
        <w:t xml:space="preserve"> </w:t>
      </w:r>
      <w:r>
        <w:t xml:space="preserve">risks of damage to client interests are prevented, such conflicts of interest should be clearly</w:t>
      </w:r>
      <w:r>
        <w:t xml:space="preserve"> </w:t>
      </w:r>
      <w:r>
        <w:t xml:space="preserve">disclosed to the client.</w:t>
      </w:r>
      <w:r>
        <w:br/>
      </w:r>
      <w:r>
        <w:t xml:space="preserve">Disclosure of conflicts of interest:</w:t>
      </w:r>
    </w:p>
    <w:p>
      <w:pPr>
        <w:pStyle w:val="BodyText"/>
      </w:pPr>
      <w:r>
        <w:t xml:space="preserve">576 Please refer to Article 17(1) IDD.</w:t>
      </w:r>
      <w:r>
        <w:br/>
      </w:r>
      <w:r>
        <w:t xml:space="preserve">577 Please refer to Article 24(1) MiFID II.</w:t>
      </w:r>
      <w:r>
        <w:br/>
      </w:r>
      <w:r>
        <w:t xml:space="preserve">578 Please refer to Article 29 UCITS Implementing Directive.</w:t>
      </w:r>
      <w:r>
        <w:t xml:space="preserve"> </w:t>
      </w:r>
      <w:r>
        <w:t xml:space="preserve">579 Article 16(3) and Article 23 MiFID II.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The rules on the disclosure of conflicts of interest under MiFID II and IDD are consistent and</w:t>
      </w:r>
      <w:r>
        <w:t xml:space="preserve"> </w:t>
      </w:r>
      <w:r>
        <w:t xml:space="preserve">contain an obligation to disclose conflicts of interest under a condition of last resort580, the rules on</w:t>
      </w:r>
      <w:r>
        <w:t xml:space="preserve"> </w:t>
      </w:r>
      <w:r>
        <w:t xml:space="preserve">how disclosure should be made (e.g. on a durable medium) and the rules covering the content of</w:t>
      </w:r>
      <w:r>
        <w:t xml:space="preserve"> </w:t>
      </w:r>
      <w:r>
        <w:t xml:space="preserve">such disclosure581.</w:t>
      </w:r>
      <w:r>
        <w:br/>
      </w:r>
      <w:r>
        <w:t xml:space="preserve">Remuneration policies and disclosure of remuneration</w:t>
      </w:r>
      <w:r>
        <w:br/>
      </w:r>
      <w:r>
        <w:t xml:space="preserve">Remuneration policies aim to reduce the risk that a financial service provider’s remuneration and</w:t>
      </w:r>
      <w:r>
        <w:t xml:space="preserve"> </w:t>
      </w:r>
      <w:r>
        <w:t xml:space="preserve">incentive practices could give rise to conflicts of interest with its clients. The MiFID II delegated</w:t>
      </w:r>
      <w:r>
        <w:t xml:space="preserve"> </w:t>
      </w:r>
      <w:r>
        <w:t xml:space="preserve">regulation provides that a firm’s remuneration policy, as approved by the managing body, ensures</w:t>
      </w:r>
      <w:r>
        <w:t xml:space="preserve"> </w:t>
      </w:r>
      <w:r>
        <w:t xml:space="preserve">that the interests of the firm’s clients are treated fairly and are not impaired by the remuneration</w:t>
      </w:r>
      <w:r>
        <w:t xml:space="preserve"> </w:t>
      </w:r>
      <w:r>
        <w:t xml:space="preserve">practices adopted by the firm in the short, medium or long term. More specifically, the policy</w:t>
      </w:r>
      <w:r>
        <w:t xml:space="preserve"> </w:t>
      </w:r>
      <w:r>
        <w:t xml:space="preserve">should be designed in a way that firm members are not incentivised to favour the firm’s or their</w:t>
      </w:r>
      <w:r>
        <w:t xml:space="preserve"> </w:t>
      </w:r>
      <w:r>
        <w:t xml:space="preserve">own interest, to the detriment of its clients’. Under IDD, remuneration policies should not conflict</w:t>
      </w:r>
      <w:r>
        <w:t xml:space="preserve"> </w:t>
      </w:r>
      <w:r>
        <w:t xml:space="preserve">with the duty to act in the best interest of the client. Such policies should prevent sales targets or</w:t>
      </w:r>
      <w:r>
        <w:t xml:space="preserve"> </w:t>
      </w:r>
      <w:r>
        <w:t xml:space="preserve">other arrangements that could provide an incentive to recommend a particular financial instrument</w:t>
      </w:r>
      <w:r>
        <w:t xml:space="preserve"> </w:t>
      </w:r>
      <w:r>
        <w:t xml:space="preserve">when the financial services provider could otherwise offer another financial instrument more</w:t>
      </w:r>
      <w:r>
        <w:t xml:space="preserve"> </w:t>
      </w:r>
      <w:r>
        <w:t xml:space="preserve">appropriate to the client’s needs.</w:t>
      </w:r>
      <w:r>
        <w:t xml:space="preserve"> </w:t>
      </w:r>
      <w:r>
        <w:t xml:space="preserve">Intervention logic of the measures concerning inducements and advice</w:t>
      </w:r>
      <w:r>
        <w:br/>
      </w:r>
      <w:r>
        <w:t xml:space="preserve">Rules on inducements are covered under MiFID II and IDD. In order to facilitate the presentation</w:t>
      </w:r>
      <w:r>
        <w:t xml:space="preserve"> </w:t>
      </w:r>
      <w:r>
        <w:t xml:space="preserve">of why an intervention was required on the rules on inducements at a European level, an</w:t>
      </w:r>
      <w:r>
        <w:t xml:space="preserve"> </w:t>
      </w:r>
      <w:r>
        <w:t xml:space="preserve">intervention logic has been reconstructed presenting the logical links between the different legal</w:t>
      </w:r>
      <w:r>
        <w:t xml:space="preserve"> </w:t>
      </w:r>
      <w:r>
        <w:t xml:space="preserve">instruments, policy objectives and expected outputs, results and impacts.</w:t>
      </w:r>
      <w:r>
        <w:t xml:space="preserve"> </w:t>
      </w:r>
      <w:r>
        <w:t xml:space="preserve">The introduction of rules on inducements and advice was considered necessary due to the existence</w:t>
      </w:r>
      <w:r>
        <w:t xml:space="preserve"> </w:t>
      </w:r>
      <w:r>
        <w:t xml:space="preserve">of informational asymmetries and the risk of product bias in the distribution process and mis-selling</w:t>
      </w:r>
      <w:r>
        <w:t xml:space="preserve"> </w:t>
      </w:r>
      <w:r>
        <w:t xml:space="preserve">practices that hindered trust in investment markets. Specific requirements for investment advice</w:t>
      </w:r>
      <w:r>
        <w:t xml:space="preserve"> </w:t>
      </w:r>
      <w:r>
        <w:t xml:space="preserve">and inducements were introduced in IDD and MiFID II with the objective of ensuring that the</w:t>
      </w:r>
      <w:r>
        <w:t xml:space="preserve"> </w:t>
      </w:r>
      <w:r>
        <w:t xml:space="preserve">payment of inducements is transparent and does not have a detrimental impact on retail investors</w:t>
      </w:r>
      <w:r>
        <w:t xml:space="preserve"> </w:t>
      </w:r>
      <w:r>
        <w:t xml:space="preserve">(IDD) or improves the quality of the advice (MiFID II).</w:t>
      </w:r>
      <w:r>
        <w:br/>
      </w:r>
      <w:r>
        <w:t xml:space="preserve">Under the MiFID rules, inducements can only be put in place where they are justified by</w:t>
      </w:r>
      <w:r>
        <w:t xml:space="preserve"> </w:t>
      </w:r>
      <w:r>
        <w:t xml:space="preserve">an enhancement of the service provided to end-investors. Distributors are required to</w:t>
      </w:r>
      <w:r>
        <w:t xml:space="preserve"> </w:t>
      </w:r>
      <w:r>
        <w:t xml:space="preserve">review existing practices and apply quality enhancement and detrimental tests respectively</w:t>
      </w:r>
      <w:r>
        <w:t xml:space="preserve"> </w:t>
      </w:r>
      <w:r>
        <w:t xml:space="preserve">to justify the presence of inducements. Distributors must also inform retail investors about</w:t>
      </w:r>
      <w:r>
        <w:t xml:space="preserve"> </w:t>
      </w:r>
      <w:r>
        <w:t xml:space="preserve">the key features of the products offered and disclose information about the type of advice</w:t>
      </w:r>
      <w:r>
        <w:t xml:space="preserve"> </w:t>
      </w:r>
      <w:r>
        <w:t xml:space="preserve">provided (e.g. independent or non-independent), as well as on the existence of any</w:t>
      </w:r>
    </w:p>
    <w:p>
      <w:pPr>
        <w:pStyle w:val="BodyText"/>
      </w:pPr>
      <w:r>
        <w:t xml:space="preserve">580 To be used only where the organisational and administrative arrangements established by an</w:t>
      </w:r>
      <w:r>
        <w:t xml:space="preserve"> </w:t>
      </w:r>
      <w:r>
        <w:t xml:space="preserve">investment firm are “not sufficient to ensure, with reasonable confidence, that risks of damage to client</w:t>
      </w:r>
      <w:r>
        <w:t xml:space="preserve"> </w:t>
      </w:r>
      <w:r>
        <w:t xml:space="preserve">interests will be prevented”.</w:t>
      </w:r>
      <w:r>
        <w:br/>
      </w:r>
      <w:r>
        <w:t xml:space="preserve">581 Content such as: sufficient details, consideration of the nature of the client allowing the client to take</w:t>
      </w:r>
      <w:r>
        <w:t xml:space="preserve"> </w:t>
      </w:r>
      <w:r>
        <w:t xml:space="preserve">an informed decision in the context of which the conflict of interest arises, description of the conflict of</w:t>
      </w:r>
      <w:r>
        <w:t xml:space="preserve"> </w:t>
      </w:r>
      <w:r>
        <w:t xml:space="preserve">interest, organisational and administrative arrangements established to prevent or manage conflicts of</w:t>
      </w:r>
      <w:r>
        <w:t xml:space="preserve"> </w:t>
      </w:r>
      <w:r>
        <w:t xml:space="preserve">interest, as well as a specific description of the conflict of interest, the general nature and sources of</w:t>
      </w:r>
      <w:r>
        <w:t xml:space="preserve"> </w:t>
      </w:r>
      <w:r>
        <w:t xml:space="preserve">conflicts of interest, the risks to the client that arise as a result of the conflicts of interest, the steps</w:t>
      </w:r>
      <w:r>
        <w:t xml:space="preserve"> </w:t>
      </w:r>
      <w:r>
        <w:t xml:space="preserve">undertaken to mitigate these risks, and the level of detail to enable that the client would take an</w:t>
      </w:r>
      <w:r>
        <w:t xml:space="preserve"> </w:t>
      </w:r>
      <w:r>
        <w:t xml:space="preserve">informed decision.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inducements. Lastly, the rules require distributors to implement practices around the</w:t>
      </w:r>
      <w:r>
        <w:t xml:space="preserve"> </w:t>
      </w:r>
      <w:r>
        <w:t xml:space="preserve">training of advisors, management of conflict of interest and remuneration.</w:t>
      </w:r>
      <w:r>
        <w:br/>
      </w:r>
      <w:r>
        <w:t xml:space="preserve">Under the IDD rules, inducements are only allowed if it can be demonstrated that they do</w:t>
      </w:r>
      <w:r>
        <w:t xml:space="preserve"> </w:t>
      </w:r>
      <w:r>
        <w:t xml:space="preserve">not have a detrimental impact on the quality of the relevant service to the customer and do</w:t>
      </w:r>
      <w:r>
        <w:t xml:space="preserve"> </w:t>
      </w:r>
      <w:r>
        <w:t xml:space="preserve">not impair compliance with the distributor’s duty to act honestly, fairly and professionally,</w:t>
      </w:r>
      <w:r>
        <w:t xml:space="preserve"> </w:t>
      </w:r>
      <w:r>
        <w:t xml:space="preserve">in accordance with the best interests of their customers. Similar to the MiFID rules,</w:t>
      </w:r>
      <w:r>
        <w:t xml:space="preserve"> </w:t>
      </w:r>
      <w:r>
        <w:t xml:space="preserve">distributors have to inform retail investors about the key features of the product offered</w:t>
      </w:r>
      <w:r>
        <w:t xml:space="preserve"> </w:t>
      </w:r>
      <w:r>
        <w:t xml:space="preserve">and about the type of advice provided and the form of the remuneration received. However,</w:t>
      </w:r>
      <w:r>
        <w:t xml:space="preserve"> </w:t>
      </w:r>
      <w:r>
        <w:t xml:space="preserve">they are not required to disclose the amount of inducement received. The concept of</w:t>
      </w:r>
      <w:r>
        <w:t xml:space="preserve"> </w:t>
      </w:r>
      <w:r>
        <w:t xml:space="preserve">independent advice does not exist under the IDD framework.</w:t>
      </w:r>
      <w:r>
        <w:t xml:space="preserve"> </w:t>
      </w:r>
      <w:r>
        <w:t xml:space="preserve">The desired impact is that retail investors receive unbiased advice, better and wider offer</w:t>
      </w:r>
      <w:r>
        <w:t xml:space="preserve"> </w:t>
      </w:r>
      <w:r>
        <w:t xml:space="preserve">of products which allows them to make better choices. Greater transparency of</w:t>
      </w:r>
      <w:r>
        <w:t xml:space="preserve"> </w:t>
      </w:r>
      <w:r>
        <w:t xml:space="preserve">remuneration would lead to a decline in inducements. As a result, the rules would improve</w:t>
      </w:r>
      <w:r>
        <w:t xml:space="preserve"> </w:t>
      </w:r>
      <w:r>
        <w:t xml:space="preserve">the market as mis-selling would be reduced and there would be a higher share of consumers</w:t>
      </w:r>
      <w:r>
        <w:t xml:space="preserve"> </w:t>
      </w:r>
      <w:r>
        <w:t xml:space="preserve">offered suitable products.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Figure.2 - Reconstructed intervention logic582</w:t>
      </w:r>
    </w:p>
    <w:p>
      <w:pPr>
        <w:pStyle w:val="BodyText"/>
      </w:pPr>
      <w:r>
        <w:t xml:space="preserve">Source: Consortium.</w:t>
      </w:r>
      <w:r>
        <w:br/>
      </w:r>
      <w:r>
        <w:t xml:space="preserve">2.1.c Suitability/Appropriateness</w:t>
      </w:r>
      <w:r>
        <w:t xml:space="preserve"> </w:t>
      </w:r>
      <w:r>
        <w:t xml:space="preserve">Depending on the financial services offered to their clients, firms must perform a know-your-client</w:t>
      </w:r>
      <w:r>
        <w:t xml:space="preserve"> </w:t>
      </w:r>
      <w:r>
        <w:t xml:space="preserve">assessment in order to ensure that the products that may be purchased are suitable or appropriate.</w:t>
      </w:r>
      <w:r>
        <w:t xml:space="preserve"> </w:t>
      </w:r>
      <w:r>
        <w:t xml:space="preserve">Retail investors without professional experience are prone to making investment decisions that may</w:t>
      </w:r>
      <w:r>
        <w:t xml:space="preserve"> </w:t>
      </w:r>
      <w:r>
        <w:t xml:space="preserve">not be optimal or they may even be the target of mis-selling practices. Assessing the profile of retail</w:t>
      </w:r>
      <w:r>
        <w:t xml:space="preserve"> </w:t>
      </w:r>
      <w:r>
        <w:t xml:space="preserve">investors is an important component of the investor protection framework. The suitability</w:t>
      </w:r>
      <w:r>
        <w:t xml:space="preserve"> </w:t>
      </w:r>
      <w:r>
        <w:t xml:space="preserve">assessment aims to ensure retail investors are not recommended financial products or services that</w:t>
      </w:r>
      <w:r>
        <w:t xml:space="preserve"> </w:t>
      </w:r>
      <w:r>
        <w:t xml:space="preserve">are not suitable for them. The appropriateness assessment (when the client makes a decision</w:t>
      </w:r>
      <w:r>
        <w:t xml:space="preserve"> </w:t>
      </w:r>
      <w:r>
        <w:t xml:space="preserve">without advice) aims to ensure that the client is warned in case the financial product is not</w:t>
      </w:r>
      <w:r>
        <w:t xml:space="preserve"> </w:t>
      </w:r>
      <w:r>
        <w:t xml:space="preserve">appropriate.</w:t>
      </w:r>
      <w:r>
        <w:br/>
      </w:r>
      <w:r>
        <w:t xml:space="preserve">Relevant legal provisions and the scope of their application</w:t>
      </w:r>
      <w:r>
        <w:br/>
      </w:r>
      <w:r>
        <w:t xml:space="preserve">The rules on suitability assessments generally cover the same principles under MiFID II and IDD:</w:t>
      </w:r>
      <w:r>
        <w:br/>
      </w:r>
      <w:r>
        <w:t xml:space="preserve"> Under MiFID II rules, investment firms must conduct a suitability assessment</w:t>
      </w:r>
      <w:r>
        <w:t xml:space="preserve"> </w:t>
      </w:r>
      <w:r>
        <w:t xml:space="preserve">when providing investment advice or portfolio management583. The assessment</w:t>
      </w:r>
      <w:r>
        <w:t xml:space="preserve"> </w:t>
      </w:r>
      <w:r>
        <w:t xml:space="preserve">covers the client’s (i) level of knowledge and experience in the relevant financial</w:t>
      </w:r>
      <w:r>
        <w:t xml:space="preserve"> </w:t>
      </w:r>
      <w:r>
        <w:t xml:space="preserve">instrument or investment service field, (ii) financial situation and ability to bear</w:t>
      </w:r>
      <w:r>
        <w:t xml:space="preserve"> </w:t>
      </w:r>
      <w:r>
        <w:t xml:space="preserve">losses, and (iii) investment objectives, including risk tolerance. The result of this</w:t>
      </w:r>
      <w:r>
        <w:t xml:space="preserve"> </w:t>
      </w:r>
      <w:r>
        <w:t xml:space="preserve">procedure is that firms providing investment advice or performing portfolio</w:t>
      </w:r>
      <w:r>
        <w:t xml:space="preserve"> </w:t>
      </w:r>
      <w:r>
        <w:t xml:space="preserve">management must ensure that they understand the essential facts about the client</w:t>
      </w:r>
    </w:p>
    <w:p>
      <w:pPr>
        <w:pStyle w:val="BodyText"/>
      </w:pPr>
      <w:r>
        <w:t xml:space="preserve">582 As presented in the Retail investment study.</w:t>
      </w:r>
      <w:r>
        <w:t xml:space="preserve"> </w:t>
      </w:r>
      <w:r>
        <w:t xml:space="preserve">583 Article 25(2) MiFID II and Articles 54 and 55 of MiFID II Delegated Regulation.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and have a reasonable basis for determining that the transaction to be recommended</w:t>
      </w:r>
      <w:r>
        <w:t xml:space="preserve"> </w:t>
      </w:r>
      <w:r>
        <w:t xml:space="preserve">or to be made in the course of the advice/portfolio management meets the</w:t>
      </w:r>
      <w:r>
        <w:t xml:space="preserve"> </w:t>
      </w:r>
      <w:r>
        <w:t xml:space="preserve">investment objectives and risk tolerance of the client and that the client is able</w:t>
      </w:r>
      <w:r>
        <w:t xml:space="preserve"> </w:t>
      </w:r>
      <w:r>
        <w:t xml:space="preserve">financially to bear the investment risks consistent with their investment objectives.</w:t>
      </w:r>
      <w:r>
        <w:br/>
      </w:r>
      <w:r>
        <w:t xml:space="preserve"> Under IDD584 a ‘demands and needs’ test needs to be performed by the distributor</w:t>
      </w:r>
      <w:r>
        <w:t xml:space="preserve"> </w:t>
      </w:r>
      <w:r>
        <w:t xml:space="preserve">before the establishment of a contract. This test is mandatory for all insurance</w:t>
      </w:r>
      <w:r>
        <w:t xml:space="preserve"> </w:t>
      </w:r>
      <w:r>
        <w:t xml:space="preserve">products, including IBIPs585. In the case of advised sales of IBIPs, a suitability</w:t>
      </w:r>
      <w:r>
        <w:t xml:space="preserve"> </w:t>
      </w:r>
      <w:r>
        <w:t xml:space="preserve">assessment must be conducted under basically the same rules as under MiFID II.</w:t>
      </w:r>
      <w:r>
        <w:t xml:space="preserve"> </w:t>
      </w:r>
      <w:r>
        <w:t xml:space="preserve">The output of the requirement is a list of products in line with the client’s demands</w:t>
      </w:r>
      <w:r>
        <w:t xml:space="preserve"> </w:t>
      </w:r>
      <w:r>
        <w:t xml:space="preserve">and needs, and in the case of advised sales of IBIPs, products that are considered</w:t>
      </w:r>
      <w:r>
        <w:t xml:space="preserve"> </w:t>
      </w:r>
      <w:r>
        <w:t xml:space="preserve">suitable.</w:t>
      </w:r>
      <w:r>
        <w:br/>
      </w:r>
      <w:r>
        <w:t xml:space="preserve"> In the case of non-advised services (under MiFID II and under IDD for non-advised</w:t>
      </w:r>
      <w:r>
        <w:t xml:space="preserve"> </w:t>
      </w:r>
      <w:r>
        <w:t xml:space="preserve">sale of IBIPs), firms must undertake an appropriateness assessment is to ensure that</w:t>
      </w:r>
      <w:r>
        <w:t xml:space="preserve"> </w:t>
      </w:r>
      <w:r>
        <w:t xml:space="preserve">retail investors have the necessary experience and knowledge to understand the</w:t>
      </w:r>
      <w:r>
        <w:t xml:space="preserve"> </w:t>
      </w:r>
      <w:r>
        <w:t xml:space="preserve">risks of the financial products they are considering purchasing.</w:t>
      </w:r>
      <w:r>
        <w:br/>
      </w:r>
      <w:r>
        <w:t xml:space="preserve">Both MiFID II and IDD allow for exemptions from performing the appropriateness test under</w:t>
      </w:r>
      <w:r>
        <w:t xml:space="preserve"> </w:t>
      </w:r>
      <w:r>
        <w:t xml:space="preserve">certain circumstances (e.g. where the service only consists of executing a client’s order on non-</w:t>
      </w:r>
      <w:r>
        <w:t xml:space="preserve"> </w:t>
      </w:r>
      <w:r>
        <w:t xml:space="preserve">complex products).</w:t>
      </w:r>
      <w:r>
        <w:br/>
      </w:r>
      <w:r>
        <w:t xml:space="preserve">Table 2 - The scope of application of suitability and appropriateness assessments (and</w:t>
      </w:r>
      <w:r>
        <w:t xml:space="preserve"> </w:t>
      </w:r>
      <w:r>
        <w:t xml:space="preserve">demands and needs test)</w:t>
      </w:r>
    </w:p>
    <w:p>
      <w:pPr>
        <w:pStyle w:val="BodyText"/>
      </w:pPr>
      <w:r>
        <w:t xml:space="preserve">Source: Consortium.</w:t>
      </w:r>
    </w:p>
    <w:p>
      <w:pPr>
        <w:pStyle w:val="BodyText"/>
      </w:pPr>
      <w:r>
        <w:t xml:space="preserve">584 Article 20(1) IDD.</w:t>
      </w:r>
      <w:r>
        <w:t xml:space="preserve"> </w:t>
      </w:r>
      <w:r>
        <w:t xml:space="preserve">585 Additional provisions exist for IBIPs and PEPP Article 30(1) IDD; EIOPA Q&amp;A - QUESTION 1638 on IDD</w:t>
      </w:r>
      <w:r>
        <w:t xml:space="preserve"> </w:t>
      </w:r>
      <w:r>
        <w:t xml:space="preserve">available from: https://www.eiopa.europa.eu/content/1638_en and Article 23(1)(a) PEPP Regulation.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Intervention logic of the measures concerning suitability and appropriateness assessments and</w:t>
      </w:r>
      <w:r>
        <w:t xml:space="preserve"> </w:t>
      </w:r>
      <w:r>
        <w:t xml:space="preserve">demands and needs test</w:t>
      </w:r>
      <w:r>
        <w:br/>
      </w:r>
      <w:r>
        <w:t xml:space="preserve">The legal provisions governing the suitability assessments and demands and needs tests are set out</w:t>
      </w:r>
      <w:r>
        <w:t xml:space="preserve"> </w:t>
      </w:r>
      <w:r>
        <w:t xml:space="preserve">across several legislative texts. In order to facilitate the presentation of why an intervention was</w:t>
      </w:r>
      <w:r>
        <w:t xml:space="preserve"> </w:t>
      </w:r>
      <w:r>
        <w:t xml:space="preserve">required at a European level, an intervention logic has been reconstructed which presents the logical</w:t>
      </w:r>
      <w:r>
        <w:t xml:space="preserve"> </w:t>
      </w:r>
      <w:r>
        <w:t xml:space="preserve">links between the different legal instruments, policy objectives and expected outputs, results and</w:t>
      </w:r>
      <w:r>
        <w:t xml:space="preserve"> </w:t>
      </w:r>
      <w:r>
        <w:t xml:space="preserve">impacts.</w:t>
      </w:r>
      <w:r>
        <w:t xml:space="preserve"> </w:t>
      </w:r>
      <w:r>
        <w:t xml:space="preserve">The suitability and demands and needs assessments were introduced in legislation in order</w:t>
      </w:r>
      <w:r>
        <w:t xml:space="preserve"> </w:t>
      </w:r>
      <w:r>
        <w:t xml:space="preserve">to ensure retail investors do not invest in financial products that are too risky for them or</w:t>
      </w:r>
      <w:r>
        <w:t xml:space="preserve"> </w:t>
      </w:r>
      <w:r>
        <w:t xml:space="preserve">do not meet their investment objectives, and more generally to assist retail investors to</w:t>
      </w:r>
      <w:r>
        <w:t xml:space="preserve"> </w:t>
      </w:r>
      <w:r>
        <w:t xml:space="preserve">make optimal choices. The requirements were introduced into IDD and MiFID II with the</w:t>
      </w:r>
      <w:r>
        <w:t xml:space="preserve"> </w:t>
      </w:r>
      <w:r>
        <w:t xml:space="preserve">objective of preventing mis-selling of products and strengthening the decision-making</w:t>
      </w:r>
      <w:r>
        <w:t xml:space="preserve"> </w:t>
      </w:r>
      <w:r>
        <w:t xml:space="preserve">abilities of retail investors, in order to allow them to make optimal choices, thus increasing</w:t>
      </w:r>
      <w:r>
        <w:t xml:space="preserve"> </w:t>
      </w:r>
      <w:r>
        <w:t xml:space="preserve">consumer trust in the market.</w:t>
      </w:r>
      <w:r>
        <w:br/>
      </w:r>
      <w:r>
        <w:t xml:space="preserve">The rules require that distributors have policies and procedures in place that allow them to</w:t>
      </w:r>
      <w:r>
        <w:t xml:space="preserve"> </w:t>
      </w:r>
      <w:r>
        <w:t xml:space="preserve">perform suitability assessments and demands and needs tests, further clarified through EU</w:t>
      </w:r>
      <w:r>
        <w:t xml:space="preserve"> </w:t>
      </w:r>
      <w:r>
        <w:t xml:space="preserve">guidance586. The results of these tests must be documented and communicated to</w:t>
      </w:r>
      <w:r>
        <w:t xml:space="preserve"> </w:t>
      </w:r>
      <w:r>
        <w:t xml:space="preserve">consumers, and advisors must be trained to perform them. The desired impact is twofold:</w:t>
      </w:r>
      <w:r>
        <w:t xml:space="preserve"> </w:t>
      </w:r>
      <w:r>
        <w:t xml:space="preserve">to ensure that i) distributors consider the outcome of the screening when providing advice</w:t>
      </w:r>
      <w:r>
        <w:t xml:space="preserve"> </w:t>
      </w:r>
      <w:r>
        <w:t xml:space="preserve">and ii) retail investors are recommended products that are suitable for them. As a result,</w:t>
      </w:r>
      <w:r>
        <w:t xml:space="preserve"> </w:t>
      </w:r>
      <w:r>
        <w:t xml:space="preserve">the rules should improve the market by reducing mis-selling and increasing the share of</w:t>
      </w:r>
      <w:r>
        <w:t xml:space="preserve"> </w:t>
      </w:r>
      <w:r>
        <w:t xml:space="preserve">retail investors with suitable financial products.</w:t>
      </w:r>
    </w:p>
    <w:p>
      <w:pPr>
        <w:pStyle w:val="BodyText"/>
      </w:pPr>
      <w:r>
        <w:t xml:space="preserve">586 ESMA Guidelines on MIFID II Suitability requirements 2018 and 2022, EIOPA Q&amp;A on demands and</w:t>
      </w:r>
      <w:r>
        <w:t xml:space="preserve"> </w:t>
      </w:r>
      <w:r>
        <w:t xml:space="preserve">needs test, EIOPA guidance on integrating the customer’s sustainability preferences in the suitability</w:t>
      </w:r>
      <w:r>
        <w:t xml:space="preserve"> </w:t>
      </w:r>
      <w:r>
        <w:t xml:space="preserve">assessment under the IDD | Eiopa (europa.eu).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Figure.3 - Intervention logic for the suitability assessment and demands and needs test 587</w:t>
      </w:r>
    </w:p>
    <w:p>
      <w:pPr>
        <w:pStyle w:val="BodyText"/>
      </w:pPr>
      <w:r>
        <w:t xml:space="preserve">Source: Consortium.</w:t>
      </w:r>
      <w:r>
        <w:br/>
      </w:r>
      <w:r>
        <w:t xml:space="preserve">As regards the appropriateness assessment, the intervention logic follows a similar rationale. The</w:t>
      </w:r>
      <w:r>
        <w:t xml:space="preserve"> </w:t>
      </w:r>
      <w:r>
        <w:t xml:space="preserve">appropriateness assessment was introduced in order to ensure retail investors do not invest in</w:t>
      </w:r>
      <w:r>
        <w:t xml:space="preserve"> </w:t>
      </w:r>
      <w:r>
        <w:t xml:space="preserve">financial products (in particular the too risky ones) or services that are not appropriate for them and</w:t>
      </w:r>
      <w:r>
        <w:t xml:space="preserve"> </w:t>
      </w:r>
      <w:r>
        <w:t xml:space="preserve">to assist the retail investors in making optimal choices. The rules require that investors, when</w:t>
      </w:r>
      <w:r>
        <w:t xml:space="preserve"> </w:t>
      </w:r>
      <w:r>
        <w:t xml:space="preserve">investing on their own, need to undergo an appropriateness assessment. If the result of the</w:t>
      </w:r>
      <w:r>
        <w:t xml:space="preserve"> </w:t>
      </w:r>
      <w:r>
        <w:t xml:space="preserve">appropriateness assessment is negative, the firm must warn the client that the product is not</w:t>
      </w:r>
      <w:r>
        <w:t xml:space="preserve"> </w:t>
      </w:r>
      <w:r>
        <w:t xml:space="preserve">appropriate. The desired impact is that retail investors are warned if they want to invest in a</w:t>
      </w:r>
      <w:r>
        <w:t xml:space="preserve"> </w:t>
      </w:r>
      <w:r>
        <w:t xml:space="preserve">complex financial product, that is not appropriate for them.</w:t>
      </w:r>
      <w:r>
        <w:br/>
      </w:r>
      <w:r>
        <w:t xml:space="preserve">2.1.d - Product oversight and governance</w:t>
      </w:r>
      <w:r>
        <w:br/>
      </w:r>
      <w:r>
        <w:t xml:space="preserve">Relevant legal provisions and the scope of their application</w:t>
      </w:r>
      <w:r>
        <w:br/>
      </w:r>
      <w:r>
        <w:t xml:space="preserve">Product oversight and governance (POG) requirements aim at ensuring that the interests of</w:t>
      </w:r>
      <w:r>
        <w:t xml:space="preserve"> </w:t>
      </w:r>
      <w:r>
        <w:t xml:space="preserve">customers take prime importance during product design and throughout the lifecycle of a financial</w:t>
      </w:r>
      <w:r>
        <w:t xml:space="preserve"> </w:t>
      </w:r>
      <w:r>
        <w:t xml:space="preserve">instrument/product, including the arrangements for its distribution.</w:t>
      </w:r>
      <w:r>
        <w:t xml:space="preserve"> </w:t>
      </w:r>
      <w:r>
        <w:t xml:space="preserve">The POG requirements apply to investment firms and insurance undertakings which create,</w:t>
      </w:r>
      <w:r>
        <w:t xml:space="preserve"> </w:t>
      </w:r>
      <w:r>
        <w:t xml:space="preserve">develop, issue and/or design financial instruments or insurance products (manufacturing stage).</w:t>
      </w:r>
      <w:r>
        <w:t xml:space="preserve"> </w:t>
      </w:r>
      <w:r>
        <w:t xml:space="preserve">POG rules also apply to investment firms and insurance distributors which distribute financial</w:t>
      </w:r>
      <w:r>
        <w:t xml:space="preserve"> </w:t>
      </w:r>
      <w:r>
        <w:t xml:space="preserve">products and investment services to clients (distribution stage). An investment firm or an insurance</w:t>
      </w:r>
      <w:r>
        <w:t xml:space="preserve"> </w:t>
      </w:r>
      <w:r>
        <w:t xml:space="preserve">undertaking involved in both the manufacture and distribution of the relevant financial instruments</w:t>
      </w:r>
      <w:r>
        <w:t xml:space="preserve"> </w:t>
      </w:r>
      <w:r>
        <w:t xml:space="preserve">or insurance products will need to apply both sets of requirements. As with other financial</w:t>
      </w:r>
      <w:r>
        <w:t xml:space="preserve"> </w:t>
      </w:r>
      <w:r>
        <w:t xml:space="preserve">instruments, UCITS products are captured by MIFID and IDD POG rules, where distributed by</w:t>
      </w:r>
    </w:p>
    <w:p>
      <w:pPr>
        <w:pStyle w:val="BodyText"/>
      </w:pPr>
      <w:r>
        <w:t xml:space="preserve">587 As presented in the Retail investment study.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MIFID and IDD firms or by asset managers providing investment services under MIFID. This</w:t>
      </w:r>
      <w:r>
        <w:t xml:space="preserve"> </w:t>
      </w:r>
      <w:r>
        <w:t xml:space="preserve">applies also to compliance with relevant rules for product manufacturers.</w:t>
      </w:r>
      <w:r>
        <w:br/>
      </w:r>
      <w:r>
        <w:t xml:space="preserve">The POG requirements under MIFID and IDD have the following main features in common: an</w:t>
      </w:r>
      <w:r>
        <w:t xml:space="preserve"> </w:t>
      </w:r>
      <w:r>
        <w:t xml:space="preserve">obligation for firms to define target markets for the financial products, to have a product approval</w:t>
      </w:r>
      <w:r>
        <w:t xml:space="preserve"> </w:t>
      </w:r>
      <w:r>
        <w:t xml:space="preserve">process, a regular review, a distribution strategy, and to exchange information between</w:t>
      </w:r>
      <w:r>
        <w:t xml:space="preserve"> </w:t>
      </w:r>
      <w:r>
        <w:t xml:space="preserve">manufacturers and distributors. These requirements can be summarised as follows:</w:t>
      </w:r>
      <w:r>
        <w:br/>
      </w:r>
      <w:r>
        <w:t xml:space="preserve">•</w:t>
      </w:r>
      <w:r>
        <w:t xml:space="preserve"> </w:t>
      </w:r>
      <w:r>
        <w:t xml:space="preserve">A manufacturer of financial instruments/products or insurance products for sale to</w:t>
      </w:r>
      <w:r>
        <w:t xml:space="preserve"> </w:t>
      </w:r>
      <w:r>
        <w:t xml:space="preserve">end-clients/customers shall maintain, operate and review a process for the approval</w:t>
      </w:r>
      <w:r>
        <w:t xml:space="preserve"> </w:t>
      </w:r>
      <w:r>
        <w:t xml:space="preserve">of each financial instrument or insurance product and significant adaptations of</w:t>
      </w:r>
      <w:r>
        <w:t xml:space="preserve"> </w:t>
      </w:r>
      <w:r>
        <w:t xml:space="preserve">existing financial instruments or insurance products before they are marketed or</w:t>
      </w:r>
      <w:r>
        <w:t xml:space="preserve"> </w:t>
      </w:r>
      <w:r>
        <w:t xml:space="preserve">distributed to clients.</w:t>
      </w:r>
      <w:r>
        <w:br/>
      </w:r>
      <w:r>
        <w:t xml:space="preserve">•</w:t>
      </w:r>
      <w:r>
        <w:t xml:space="preserve"> </w:t>
      </w:r>
      <w:r>
        <w:t xml:space="preserve">The product approval process shall specify an identified target market of end-</w:t>
      </w:r>
      <w:r>
        <w:t xml:space="preserve"> </w:t>
      </w:r>
      <w:r>
        <w:t xml:space="preserve">clients within the relevant category of clients/customers for each financial</w:t>
      </w:r>
      <w:r>
        <w:t xml:space="preserve"> </w:t>
      </w:r>
      <w:r>
        <w:t xml:space="preserve">instrument or insurance product and shall ensure that all relevant risks to such</w:t>
      </w:r>
      <w:r>
        <w:t xml:space="preserve"> </w:t>
      </w:r>
      <w:r>
        <w:t xml:space="preserve">identified target market are assessed and that the intended distribution strategy is</w:t>
      </w:r>
      <w:r>
        <w:t xml:space="preserve"> </w:t>
      </w:r>
      <w:r>
        <w:t xml:space="preserve">consistent with the identified target market.</w:t>
      </w:r>
      <w:r>
        <w:br/>
      </w:r>
      <w:r>
        <w:t xml:space="preserve">•</w:t>
      </w:r>
      <w:r>
        <w:t xml:space="preserve"> </w:t>
      </w:r>
      <w:r>
        <w:t xml:space="preserve">A manufacturer shall also regularly review financial instruments or insurance</w:t>
      </w:r>
      <w:r>
        <w:t xml:space="preserve"> </w:t>
      </w:r>
      <w:r>
        <w:t xml:space="preserve">products it offers or markets, taking into account any event that could materially</w:t>
      </w:r>
      <w:r>
        <w:t xml:space="preserve"> </w:t>
      </w:r>
      <w:r>
        <w:t xml:space="preserve">affect the potential risk to the identified target market, to assess at least whether the</w:t>
      </w:r>
      <w:r>
        <w:t xml:space="preserve"> </w:t>
      </w:r>
      <w:r>
        <w:t xml:space="preserve">financial instrument or insurance product remains consistent with the needs of the</w:t>
      </w:r>
      <w:r>
        <w:t xml:space="preserve"> </w:t>
      </w:r>
      <w:r>
        <w:t xml:space="preserve">identified target market and whether the intended distribution strategy remains</w:t>
      </w:r>
      <w:r>
        <w:t xml:space="preserve"> </w:t>
      </w:r>
      <w:r>
        <w:t xml:space="preserve">appropriate.</w:t>
      </w:r>
      <w:r>
        <w:br/>
      </w:r>
      <w:r>
        <w:t xml:space="preserve">•</w:t>
      </w:r>
      <w:r>
        <w:t xml:space="preserve"> </w:t>
      </w:r>
      <w:r>
        <w:t xml:space="preserve">A manufacturer shall make available to any distributor all appropriate information</w:t>
      </w:r>
      <w:r>
        <w:t xml:space="preserve"> </w:t>
      </w:r>
      <w:r>
        <w:t xml:space="preserve">on the financial instrument or insurance product and the product approval process,</w:t>
      </w:r>
      <w:r>
        <w:t xml:space="preserve"> </w:t>
      </w:r>
      <w:r>
        <w:t xml:space="preserve">including the identified target market of the financial instrument/product.</w:t>
      </w:r>
      <w:r>
        <w:t xml:space="preserve"> </w:t>
      </w:r>
      <w:r>
        <w:t xml:space="preserve">•</w:t>
      </w:r>
      <w:r>
        <w:t xml:space="preserve"> </w:t>
      </w:r>
      <w:r>
        <w:t xml:space="preserve">The product distribution arrangements shall aim to prevent and mitigate customer</w:t>
      </w:r>
      <w:r>
        <w:t xml:space="preserve"> </w:t>
      </w:r>
      <w:r>
        <w:t xml:space="preserve">detriment and ensure that the objectives, interests and characteristics of customers</w:t>
      </w:r>
      <w:r>
        <w:t xml:space="preserve"> </w:t>
      </w:r>
      <w:r>
        <w:t xml:space="preserve">are duly taken into account.</w:t>
      </w:r>
      <w:r>
        <w:t xml:space="preserve"> </w:t>
      </w:r>
      <w:r>
        <w:t xml:space="preserve">While these main requirements are almost identical across MIFID and IDD, there are different</w:t>
      </w:r>
      <w:r>
        <w:t xml:space="preserve"> </w:t>
      </w:r>
      <w:r>
        <w:t xml:space="preserve">levels of granularity as regards the specific obligations that need to be fulfilled for each of them. In</w:t>
      </w:r>
      <w:r>
        <w:t xml:space="preserve"> </w:t>
      </w:r>
      <w:r>
        <w:t xml:space="preserve">particular, under MIFID there are explicit obligations for manufacturers to assess financial</w:t>
      </w:r>
      <w:r>
        <w:t xml:space="preserve"> </w:t>
      </w:r>
      <w:r>
        <w:t xml:space="preserve">instruments’ risk and reward profile and costs vs performance of products588, whereas in IDD there</w:t>
      </w:r>
      <w:r>
        <w:t xml:space="preserve"> </w:t>
      </w:r>
      <w:r>
        <w:t xml:space="preserve">are no specific provisions covering charging structures. MiFID II in particular requires from the</w:t>
      </w:r>
      <w:r>
        <w:t xml:space="preserve"> </w:t>
      </w:r>
      <w:r>
        <w:t xml:space="preserve">manufacturers of financial instruments that the design of those instruments is driven by features</w:t>
      </w:r>
      <w:r>
        <w:t xml:space="preserve"> </w:t>
      </w:r>
      <w:r>
        <w:t xml:space="preserve">that benefit the client and not by a business model that relies on poor client outcomes to be</w:t>
      </w:r>
    </w:p>
    <w:p>
      <w:pPr>
        <w:pStyle w:val="BodyText"/>
      </w:pPr>
      <w:r>
        <w:t xml:space="preserve">588 See Article 9(12) of Delegated Directive (EU) 2017/593: Obligation to consider the charging structure</w:t>
      </w:r>
      <w:r>
        <w:t xml:space="preserve"> </w:t>
      </w:r>
      <w:r>
        <w:t xml:space="preserve">proposed for the financial instrument, including by examining whether the financial instrument’s costs</w:t>
      </w:r>
      <w:r>
        <w:t xml:space="preserve"> </w:t>
      </w:r>
      <w:r>
        <w:t xml:space="preserve">and charges are compatible with the needs, objectives and characteristics of the target market, that</w:t>
      </w:r>
      <w:r>
        <w:t xml:space="preserve"> </w:t>
      </w:r>
      <w:r>
        <w:t xml:space="preserve">charges do not undermine the return expectations and that the charging structure is appropriately</w:t>
      </w:r>
      <w:r>
        <w:t xml:space="preserve"> </w:t>
      </w:r>
      <w:r>
        <w:t xml:space="preserve">transparent for the target market.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profitable589. Distributors, on their side, have to obtain from the manufacturers information to gain</w:t>
      </w:r>
      <w:r>
        <w:t xml:space="preserve"> </w:t>
      </w:r>
      <w:r>
        <w:t xml:space="preserve">the necessary understanding and knowledge of the products they intend to recommend or sell in</w:t>
      </w:r>
      <w:r>
        <w:t xml:space="preserve"> </w:t>
      </w:r>
      <w:r>
        <w:t xml:space="preserve">order to ensure that these products will be distributed in accordance with the needs, characteristics</w:t>
      </w:r>
      <w:r>
        <w:t xml:space="preserve"> </w:t>
      </w:r>
      <w:r>
        <w:t xml:space="preserve">and objectives of the identified target market590.</w:t>
      </w:r>
      <w:r>
        <w:t xml:space="preserve"> </w:t>
      </w:r>
      <w:r>
        <w:t xml:space="preserve">In addition to the MIFID/IDD rules, the UCITS directive sets out POG requirements for product</w:t>
      </w:r>
      <w:r>
        <w:t xml:space="preserve"> </w:t>
      </w:r>
      <w:r>
        <w:t xml:space="preserve">manufacturers of UCITS funds. These requirements are implemented at different levels.</w:t>
      </w:r>
      <w:r>
        <w:br/>
      </w:r>
      <w:r>
        <w:t xml:space="preserve">Firstly, UCITS funds are subject to authorisation by NCAs on the basis of several requirements,</w:t>
      </w:r>
      <w:r>
        <w:t xml:space="preserve"> </w:t>
      </w:r>
      <w:r>
        <w:t xml:space="preserve">including a clear strategy and an investment objective of the product. Before UCITS are authorised,</w:t>
      </w:r>
      <w:r>
        <w:t xml:space="preserve"> </w:t>
      </w:r>
      <w:r>
        <w:t xml:space="preserve">NCAs are provided with information on fee structures and have the powers to assess whether these</w:t>
      </w:r>
      <w:r>
        <w:t xml:space="preserve"> </w:t>
      </w:r>
      <w:r>
        <w:t xml:space="preserve">fee structures are suitable for the UCITS to meet its investment objective. NCAs make active use</w:t>
      </w:r>
      <w:r>
        <w:t xml:space="preserve"> </w:t>
      </w:r>
      <w:r>
        <w:t xml:space="preserve">of these powers including for ongoing supervision.</w:t>
      </w:r>
      <w:r>
        <w:t xml:space="preserve"> </w:t>
      </w:r>
      <w:r>
        <w:t xml:space="preserve">Secondly, UCITS management companies are subject to different product governance-type</w:t>
      </w:r>
      <w:r>
        <w:t xml:space="preserve"> </w:t>
      </w:r>
      <w:r>
        <w:t xml:space="preserve">rules, notably the obligation to act in the best interests of investors. This includes ensuring</w:t>
      </w:r>
      <w:r>
        <w:t xml:space="preserve"> </w:t>
      </w:r>
      <w:r>
        <w:t xml:space="preserve">that investors in UCITS are not charged undue costs591. They are subject to rules designed</w:t>
      </w:r>
      <w:r>
        <w:t xml:space="preserve"> </w:t>
      </w:r>
      <w:r>
        <w:t xml:space="preserve">to minimise the transaction costs charged to the UCITS in implementing their investment</w:t>
      </w:r>
      <w:r>
        <w:t xml:space="preserve"> </w:t>
      </w:r>
      <w:r>
        <w:t xml:space="preserve">decision592. UCITS management companies are also subject to rules on conflict of</w:t>
      </w:r>
      <w:r>
        <w:t xml:space="preserve"> </w:t>
      </w:r>
      <w:r>
        <w:t xml:space="preserve">interests. These rules are enforced through ongoing supervision.</w:t>
      </w:r>
      <w:r>
        <w:t xml:space="preserve"> </w:t>
      </w:r>
      <w:r>
        <w:t xml:space="preserve">Thirdly, the UCITS framework requires that investment products are subject to several</w:t>
      </w:r>
      <w:r>
        <w:t xml:space="preserve"> </w:t>
      </w:r>
      <w:r>
        <w:t xml:space="preserve">levels of oversight, the first being that of senior management which is responsible for</w:t>
      </w:r>
      <w:r>
        <w:t xml:space="preserve"> </w:t>
      </w:r>
      <w:r>
        <w:t xml:space="preserve">checking the adequacy of internal procedures593, including the process for charging costs</w:t>
      </w:r>
      <w:r>
        <w:t xml:space="preserve"> </w:t>
      </w:r>
      <w:r>
        <w:t xml:space="preserve">and fees and best execution/best selection rules. The second and third layers of control are</w:t>
      </w:r>
      <w:r>
        <w:t xml:space="preserve"> </w:t>
      </w:r>
      <w:r>
        <w:t xml:space="preserve">the permanent compliance function and the permanent internal audit function. The UCITS</w:t>
      </w:r>
      <w:r>
        <w:t xml:space="preserve"> </w:t>
      </w:r>
      <w:r>
        <w:t xml:space="preserve">framework also relies on a strong depositary function, entrusted with various tasks594,</w:t>
      </w:r>
      <w:r>
        <w:t xml:space="preserve"> </w:t>
      </w:r>
      <w:r>
        <w:t xml:space="preserve">including oversight that applies, among others, to checking whether POG rules are</w:t>
      </w:r>
      <w:r>
        <w:t xml:space="preserve"> </w:t>
      </w:r>
      <w:r>
        <w:t xml:space="preserve">respected. Depositaries are also subject to authorisation and supervision. Finally, UCITS</w:t>
      </w:r>
      <w:r>
        <w:t xml:space="preserve"> </w:t>
      </w:r>
      <w:r>
        <w:t xml:space="preserve">framework requires appointment of financial auditors at the level of the UCITS and of the</w:t>
      </w:r>
      <w:r>
        <w:t xml:space="preserve"> </w:t>
      </w:r>
      <w:r>
        <w:t xml:space="preserve">management company.</w:t>
      </w:r>
      <w:r>
        <w:br/>
      </w:r>
      <w:r>
        <w:t xml:space="preserve">Intervention logic of the measures concerning product oversight and governance</w:t>
      </w:r>
    </w:p>
    <w:p>
      <w:pPr>
        <w:pStyle w:val="BodyText"/>
      </w:pPr>
      <w:r>
        <w:t xml:space="preserve">589 Idem, Article 9(11)(b).</w:t>
      </w:r>
      <w:r>
        <w:br/>
      </w:r>
      <w:r>
        <w:t xml:space="preserve">590 Idem, Article 10(2).</w:t>
      </w:r>
      <w:r>
        <w:t xml:space="preserve"> </w:t>
      </w:r>
      <w:r>
        <w:t xml:space="preserve">591 Based on Article 14(1)(a) and (b) of the UCITS, the management company shall: (a) act honestly and</w:t>
      </w:r>
      <w:r>
        <w:t xml:space="preserve"> </w:t>
      </w:r>
      <w:r>
        <w:t xml:space="preserve">fairly in conducting its business activities in the best interests of the UCITS it manages and the integrity of</w:t>
      </w:r>
      <w:r>
        <w:t xml:space="preserve"> </w:t>
      </w:r>
      <w:r>
        <w:t xml:space="preserve">the market; (b) act with due skill, care and diligence, in the best interests of the UCITS it manages and the</w:t>
      </w:r>
      <w:r>
        <w:t xml:space="preserve"> </w:t>
      </w:r>
      <w:r>
        <w:t xml:space="preserve">integrity of the market. Article 22(4) of the Commission Directive 2010/43/EU (UCITS Level 2 Directive)</w:t>
      </w:r>
      <w:r>
        <w:t xml:space="preserve"> </w:t>
      </w:r>
      <w:r>
        <w:t xml:space="preserve">provides that Member States shall require management companies to act in such a way as to prevent</w:t>
      </w:r>
      <w:r>
        <w:t xml:space="preserve"> </w:t>
      </w:r>
      <w:r>
        <w:t xml:space="preserve">undue costs being charged to the UCITS and its unitholders. These are further specified through ESMA</w:t>
      </w:r>
      <w:r>
        <w:t xml:space="preserve"> </w:t>
      </w:r>
      <w:r>
        <w:t xml:space="preserve">supervisory briefing.</w:t>
      </w:r>
      <w:r>
        <w:br/>
      </w:r>
      <w:r>
        <w:t xml:space="preserve">592 Articles 26 and 27 of Commission Directive 2010/43/EU, similar to MIFID II best execution and best</w:t>
      </w:r>
      <w:r>
        <w:t xml:space="preserve"> </w:t>
      </w:r>
      <w:r>
        <w:t xml:space="preserve">selection rules.</w:t>
      </w:r>
      <w:r>
        <w:br/>
      </w:r>
      <w:r>
        <w:t xml:space="preserve">593 Idem, Article 9.</w:t>
      </w:r>
      <w:r>
        <w:t xml:space="preserve"> </w:t>
      </w:r>
      <w:r>
        <w:t xml:space="preserve">594 These obligations are set out mainly in Articles 22 to 26 of the UCITS.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The legal provisions governing POG are set out across multiple legislative instruments. In order to</w:t>
      </w:r>
      <w:r>
        <w:t xml:space="preserve"> </w:t>
      </w:r>
      <w:r>
        <w:t xml:space="preserve">facilitate the presentation of why an intervention was required on POG rules at European level, an</w:t>
      </w:r>
      <w:r>
        <w:t xml:space="preserve"> </w:t>
      </w:r>
      <w:r>
        <w:t xml:space="preserve">intervention logic has been reconstructed, presenting the logical links between the different legal</w:t>
      </w:r>
      <w:r>
        <w:t xml:space="preserve"> </w:t>
      </w:r>
      <w:r>
        <w:t xml:space="preserve">instruments, policy objectives and expected outputs, results and impacts.</w:t>
      </w:r>
      <w:r>
        <w:t xml:space="preserve"> </w:t>
      </w:r>
      <w:r>
        <w:t xml:space="preserve">POG requirements were introduced to ensure that the needs and interests of retail investors are</w:t>
      </w:r>
      <w:r>
        <w:t xml:space="preserve"> </w:t>
      </w:r>
      <w:r>
        <w:t xml:space="preserve">always at the centre of the lifecycle of a financial instrument/product. Specific POG requirements</w:t>
      </w:r>
      <w:r>
        <w:t xml:space="preserve"> </w:t>
      </w:r>
      <w:r>
        <w:t xml:space="preserve">were introduced under MIFID and IDD to ensure that the products that enter the market are</w:t>
      </w:r>
      <w:r>
        <w:t xml:space="preserve"> </w:t>
      </w:r>
      <w:r>
        <w:t xml:space="preserve">appropriate for the types of investors to whom they are intended to be distributed, thereby ensuring</w:t>
      </w:r>
      <w:r>
        <w:t xml:space="preserve"> </w:t>
      </w:r>
      <w:r>
        <w:t xml:space="preserve">that retail investors have access to good quality investment products.</w:t>
      </w:r>
      <w:r>
        <w:br/>
      </w:r>
      <w:r>
        <w:t xml:space="preserve">The rules require that manufacturers have policies and procedures in place for the approval of each</w:t>
      </w:r>
      <w:r>
        <w:t xml:space="preserve"> </w:t>
      </w:r>
      <w:r>
        <w:t xml:space="preserve">product and the defined target market and distribution strategy. Manufacturers must regularly</w:t>
      </w:r>
      <w:r>
        <w:t xml:space="preserve"> </w:t>
      </w:r>
      <w:r>
        <w:t xml:space="preserve">review the financial instruments offered to the market to ensure they continue to be suitable for the</w:t>
      </w:r>
      <w:r>
        <w:t xml:space="preserve"> </w:t>
      </w:r>
      <w:r>
        <w:t xml:space="preserve">target market and that all necessary information on the products is made available to the distributors</w:t>
      </w:r>
      <w:r>
        <w:t xml:space="preserve"> </w:t>
      </w:r>
      <w:r>
        <w:t xml:space="preserve">that will sell the product. The desired impact is that manufacturers test and approve their products</w:t>
      </w:r>
      <w:r>
        <w:t xml:space="preserve"> </w:t>
      </w:r>
      <w:r>
        <w:t xml:space="preserve">before they enter the market, and that the products are designed in a way that meets the needs of</w:t>
      </w:r>
      <w:r>
        <w:t xml:space="preserve"> </w:t>
      </w:r>
      <w:r>
        <w:t xml:space="preserve">the intended market. As a result, the quality of the products distributed to retail investors should</w:t>
      </w:r>
      <w:r>
        <w:t xml:space="preserve"> </w:t>
      </w:r>
      <w:r>
        <w:t xml:space="preserve">improve and products can better meet retail investors’ needs in terms of desired results.</w:t>
      </w:r>
      <w:r>
        <w:br/>
      </w:r>
      <w:r>
        <w:t xml:space="preserve">Figure.4 - Reconstructed intervention logic</w:t>
      </w:r>
    </w:p>
    <w:p>
      <w:pPr>
        <w:pStyle w:val="BodyText"/>
      </w:pPr>
      <w:r>
        <w:t xml:space="preserve">Source: Commission services</w:t>
      </w:r>
    </w:p>
    <w:p>
      <w:pPr>
        <w:pStyle w:val="BodyText"/>
      </w:pPr>
      <w:r>
        <w:t xml:space="preserve">276</w:t>
      </w:r>
    </w:p>
    <w:p>
      <w:pPr>
        <w:pStyle w:val="Compact"/>
        <w:numPr>
          <w:ilvl w:val="0"/>
          <w:numId w:val="1053"/>
        </w:numPr>
      </w:pPr>
      <w:r>
        <w:t xml:space="preserve">2.2 Point(s) of comparison</w:t>
      </w:r>
      <w:r>
        <w:br/>
      </w:r>
      <w:r>
        <w:t xml:space="preserve">The starting point to assess the effectiveness of the investor protection rules is the period 2014-</w:t>
      </w:r>
      <w:r>
        <w:t xml:space="preserve"> </w:t>
      </w:r>
      <w:r>
        <w:t xml:space="preserve">2016595, before the adoption of the legislation that now sets out the current framework of retail</w:t>
      </w:r>
      <w:r>
        <w:t xml:space="preserve"> </w:t>
      </w:r>
      <w:r>
        <w:t xml:space="preserve">investor protection rules across the different sectors. While all legislative instruments aim to protect</w:t>
      </w:r>
      <w:r>
        <w:t xml:space="preserve"> </w:t>
      </w:r>
      <w:r>
        <w:t xml:space="preserve">investors, they were not conceived as a common overarching framework and were subject to</w:t>
      </w:r>
      <w:r>
        <w:t xml:space="preserve"> </w:t>
      </w:r>
      <w:r>
        <w:t xml:space="preserve">sectoral differences. It is therefore more efficient to assess the points of comparison of the rules</w:t>
      </w:r>
      <w:r>
        <w:t xml:space="preserve"> </w:t>
      </w:r>
      <w:r>
        <w:t xml:space="preserve">separately.</w:t>
      </w:r>
      <w:r>
        <w:br/>
      </w:r>
      <w:r>
        <w:t xml:space="preserve">Prior to the introduction of MiFID II, rules on disclosure of important information to clients</w:t>
      </w:r>
      <w:r>
        <w:t xml:space="preserve"> </w:t>
      </w:r>
      <w:r>
        <w:t xml:space="preserve">were in place (e.g. on conflicts of interest), however they were more general and did not define in</w:t>
      </w:r>
      <w:r>
        <w:t xml:space="preserve"> </w:t>
      </w:r>
      <w:r>
        <w:t xml:space="preserve">detail the type of information that should be disclosed to clients.</w:t>
      </w:r>
      <w:r>
        <w:t xml:space="preserve"> </w:t>
      </w:r>
      <w:r>
        <w:t xml:space="preserve">In the area of inducements, the concept of independent advice, did not exist in the legal framework</w:t>
      </w:r>
      <w:r>
        <w:t xml:space="preserve"> </w:t>
      </w:r>
      <w:r>
        <w:t xml:space="preserve">under MiFID. Inducements were allowed for all types of services.</w:t>
      </w:r>
      <w:r>
        <w:br/>
      </w:r>
      <w:r>
        <w:t xml:space="preserve">As regards suitability and appropriateness assessments, rules were already in place prior to the</w:t>
      </w:r>
      <w:r>
        <w:t xml:space="preserve"> </w:t>
      </w:r>
      <w:r>
        <w:t xml:space="preserve">introduction of MiFID II to ensure that products offered to clients were suitable or appropriate</w:t>
      </w:r>
      <w:r>
        <w:t xml:space="preserve"> </w:t>
      </w:r>
      <w:r>
        <w:t xml:space="preserve">(depending on the service). The MiFID I regime was only marginally modified by MiFID II, and</w:t>
      </w:r>
      <w:r>
        <w:t xml:space="preserve"> </w:t>
      </w:r>
      <w:r>
        <w:t xml:space="preserve">the overall philosophy and functioning of the framework was maintained.</w:t>
      </w:r>
      <w:r>
        <w:br/>
      </w:r>
      <w:r>
        <w:t xml:space="preserve">Prior to the introduction of MiFID II, product manufacturers were not required to define a target</w:t>
      </w:r>
      <w:r>
        <w:t xml:space="preserve"> </w:t>
      </w:r>
      <w:r>
        <w:t xml:space="preserve">market for the products they conceived, and there were no requirements to ensure that product</w:t>
      </w:r>
      <w:r>
        <w:t xml:space="preserve"> </w:t>
      </w:r>
      <w:r>
        <w:t xml:space="preserve">manufacturing undergoes an approval process or that it is reviewed on a regular basis. This made</w:t>
      </w:r>
      <w:r>
        <w:t xml:space="preserve"> </w:t>
      </w:r>
      <w:r>
        <w:t xml:space="preserve">it difficult for supervisors to ensure the quality of the products that enter the market.</w:t>
      </w:r>
      <w:r>
        <w:br/>
      </w:r>
      <w:r>
        <w:t xml:space="preserve">Prior to the introduction of the IDD, there were no specific information and conduct of business</w:t>
      </w:r>
      <w:r>
        <w:t xml:space="preserve"> </w:t>
      </w:r>
      <w:r>
        <w:t xml:space="preserve">rules for the distribution of IBIPs. The general rules on disclosure of important information to</w:t>
      </w:r>
      <w:r>
        <w:t xml:space="preserve"> </w:t>
      </w:r>
      <w:r>
        <w:t xml:space="preserve">customers (such as on conflicts of interest or costs) were not sufficiently detailed to ensure retail</w:t>
      </w:r>
      <w:r>
        <w:t xml:space="preserve"> </w:t>
      </w:r>
      <w:r>
        <w:t xml:space="preserve">investors could make a fully informed decision. There was no obligation to disclose the amount of</w:t>
      </w:r>
      <w:r>
        <w:t xml:space="preserve"> </w:t>
      </w:r>
      <w:r>
        <w:t xml:space="preserve">commission or other inducements an intermediary received for the conclusion of an insurance</w:t>
      </w:r>
      <w:r>
        <w:t xml:space="preserve"> </w:t>
      </w:r>
      <w:r>
        <w:t xml:space="preserve">contract. Furthermore, the legal framework before the introduction of the IDD did not provide for</w:t>
      </w:r>
      <w:r>
        <w:t xml:space="preserve"> </w:t>
      </w:r>
      <w:r>
        <w:t xml:space="preserve">a general duty to act in customers’ best interests, or rules on investment advice such as the</w:t>
      </w:r>
      <w:r>
        <w:t xml:space="preserve"> </w:t>
      </w:r>
      <w:r>
        <w:t xml:space="preserve">suitability and appropriateness assessment, nor did it regulate in any way the product approval</w:t>
      </w:r>
      <w:r>
        <w:t xml:space="preserve"> </w:t>
      </w:r>
      <w:r>
        <w:t xml:space="preserve">process.</w:t>
      </w:r>
      <w:r>
        <w:t xml:space="preserve"> </w:t>
      </w:r>
      <w:r>
        <w:t xml:space="preserve">As a consequence, there was a significant regulatory difference between investment products</w:t>
      </w:r>
      <w:r>
        <w:t xml:space="preserve"> </w:t>
      </w:r>
      <w:r>
        <w:t xml:space="preserve">covered by MiFID and investment products with insurance elements that were subject to a more</w:t>
      </w:r>
      <w:r>
        <w:t xml:space="preserve"> </w:t>
      </w:r>
      <w:r>
        <w:t xml:space="preserve">rudimentary legal discipline. This was seen as a serious gap in investor protection and an incentive</w:t>
      </w:r>
      <w:r>
        <w:t xml:space="preserve"> </w:t>
      </w:r>
      <w:r>
        <w:t xml:space="preserve">to regulatory arbitrage.</w:t>
      </w:r>
      <w:r>
        <w:t xml:space="preserve"> </w:t>
      </w:r>
      <w:r>
        <w:t xml:space="preserve">Prior to the introduction of the PRIIPs KID, disclosures on packaged retail investment products</w:t>
      </w:r>
      <w:r>
        <w:t xml:space="preserve"> </w:t>
      </w:r>
      <w:r>
        <w:t xml:space="preserve">were uncoordinated and often did not help retail investors compare different products or understand</w:t>
      </w:r>
      <w:r>
        <w:t xml:space="preserve"> </w:t>
      </w:r>
      <w:r>
        <w:t xml:space="preserve">their features. This problem was especially pronounced for more complex products, that are</w:t>
      </w:r>
      <w:r>
        <w:t xml:space="preserve"> </w:t>
      </w:r>
      <w:r>
        <w:t xml:space="preserve">difficult to understand. Consequently, retail investors have often made investments without</w:t>
      </w:r>
    </w:p>
    <w:p>
      <w:pPr>
        <w:pStyle w:val="FirstParagraph"/>
      </w:pPr>
      <w:r>
        <w:t xml:space="preserve">595 Markets in Financial Instruments Directive (MiFID II) - 2014/65/EU replaced the previous framework</w:t>
      </w:r>
      <w:r>
        <w:t xml:space="preserve"> </w:t>
      </w:r>
      <w:r>
        <w:t xml:space="preserve">defined by MiFID I, adopted in 2004; Insurance Distribution Directive (IDD) (EU) 2016/97 replaced the</w:t>
      </w:r>
      <w:r>
        <w:t xml:space="preserve"> </w:t>
      </w:r>
      <w:r>
        <w:t xml:space="preserve">previous framework defined by the Insurance Mediation Directive (IMD), adopted in 2002; PRIIPs</w:t>
      </w:r>
      <w:r>
        <w:t xml:space="preserve"> </w:t>
      </w:r>
      <w:r>
        <w:t xml:space="preserve">Regulation No 1286/2014 was introduced in 2014.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understanding the associated risks and costs and have, on occasion, suffered unforeseen losses.</w:t>
      </w:r>
      <w:r>
        <w:t xml:space="preserve"> </w:t>
      </w:r>
      <w:r>
        <w:t xml:space="preserve">They may also have lacked confidence and refrained from investing. Divergent rules on</w:t>
      </w:r>
      <w:r>
        <w:t xml:space="preserve"> </w:t>
      </w:r>
      <w:r>
        <w:t xml:space="preserve">disclosures, governed by different product-specific and national frameworks, led to an unlevel</w:t>
      </w:r>
      <w:r>
        <w:t xml:space="preserve"> </w:t>
      </w:r>
      <w:r>
        <w:t xml:space="preserve">playing field between different products and distribution channels, and posed barriers to an internal</w:t>
      </w:r>
      <w:r>
        <w:t xml:space="preserve"> </w:t>
      </w:r>
      <w:r>
        <w:t xml:space="preserve">market in financial services and products. They also left unmitigated powerful asymmetries of</w:t>
      </w:r>
      <w:r>
        <w:t xml:space="preserve"> </w:t>
      </w:r>
      <w:r>
        <w:t xml:space="preserve">information between retail customers and the industry.</w:t>
      </w:r>
      <w:r>
        <w:t xml:space="preserve"> </w:t>
      </w:r>
      <w:r>
        <w:t xml:space="preserve">More specifically596, product disclosures for UCITS funds were provided under the Key Investor</w:t>
      </w:r>
      <w:r>
        <w:t xml:space="preserve"> </w:t>
      </w:r>
      <w:r>
        <w:t xml:space="preserve">Information (KII) of UCITS Directive, while other open-ended funds were only covered by high-</w:t>
      </w:r>
      <w:r>
        <w:t xml:space="preserve"> </w:t>
      </w:r>
      <w:r>
        <w:t xml:space="preserve">level product disclosure requirements for sale of financial instruments under MiFID (which also</w:t>
      </w:r>
      <w:r>
        <w:t xml:space="preserve"> </w:t>
      </w:r>
      <w:r>
        <w:t xml:space="preserve">applied to UCITS, structured securities and closed-end funds). Unit-linked life insurance products</w:t>
      </w:r>
      <w:r>
        <w:t xml:space="preserve"> </w:t>
      </w:r>
      <w:r>
        <w:t xml:space="preserve">were covered by Solvency II (CLD rules) and the Insurance Mediation Directive for some product</w:t>
      </w:r>
      <w:r>
        <w:t xml:space="preserve"> </w:t>
      </w:r>
      <w:r>
        <w:t xml:space="preserve">disclosure requirements. Finally, there were no rules at EU level capturing structured term deposits.</w:t>
      </w:r>
      <w:r>
        <w:t xml:space="preserve"> </w:t>
      </w:r>
      <w:r>
        <w:t xml:space="preserve">Most disclosure regimes were relatively high-level and did not set out in detail the form and</w:t>
      </w:r>
      <w:r>
        <w:t xml:space="preserve"> </w:t>
      </w:r>
      <w:r>
        <w:t xml:space="preserve">content, with the exception of the UCITS KIID regime. Moreover, there was substantial variation</w:t>
      </w:r>
      <w:r>
        <w:t xml:space="preserve"> </w:t>
      </w:r>
      <w:r>
        <w:t xml:space="preserve">in product disclosures across EU Member States.</w:t>
      </w:r>
      <w:r>
        <w:br/>
      </w:r>
      <w:r>
        <w:t xml:space="preserve">The UCITS directive, including the current product oversight and governance rules has been</w:t>
      </w:r>
      <w:r>
        <w:t xml:space="preserve"> </w:t>
      </w:r>
      <w:r>
        <w:t xml:space="preserve">unchanged since approximately the start of the reference period for the points of comparison of this</w:t>
      </w:r>
      <w:r>
        <w:t xml:space="preserve"> </w:t>
      </w:r>
      <w:r>
        <w:t xml:space="preserve">evaluation (2014-2016). The most recent review of UCITS directive597 took effect in 2014 (“UCITS</w:t>
      </w:r>
      <w:r>
        <w:t xml:space="preserve"> </w:t>
      </w:r>
      <w:r>
        <w:t xml:space="preserve">V”) and brought harmonisation and strengthening of some legal provisions related to retail investor</w:t>
      </w:r>
      <w:r>
        <w:t xml:space="preserve"> </w:t>
      </w:r>
      <w:r>
        <w:t xml:space="preserve">protection, such as the function of the depositary, remuneration policies of UCITS asset</w:t>
      </w:r>
      <w:r>
        <w:t xml:space="preserve"> </w:t>
      </w:r>
      <w:r>
        <w:t xml:space="preserve">management companies, and relevant sanctions. Prior to the introduction of UCITS V, the rules</w:t>
      </w:r>
      <w:r>
        <w:t xml:space="preserve"> </w:t>
      </w:r>
      <w:r>
        <w:t xml:space="preserve">under the UCITS framework did not provide sufficient protection of investors vis-à-vis managers</w:t>
      </w:r>
      <w:r>
        <w:t xml:space="preserve"> </w:t>
      </w:r>
      <w:r>
        <w:t xml:space="preserve">of UCITS funds and their depositaries and offences by UCITS managers were not always</w:t>
      </w:r>
      <w:r>
        <w:t xml:space="preserve"> </w:t>
      </w:r>
      <w:r>
        <w:t xml:space="preserve">adequately sanctioned.</w:t>
      </w:r>
      <w:r>
        <w:t xml:space="preserve"> </w:t>
      </w:r>
      <w:r>
        <w:t xml:space="preserve">3</w:t>
      </w:r>
      <w:r>
        <w:t xml:space="preserve"> </w:t>
      </w:r>
      <w:r>
        <w:t xml:space="preserve">HOW HAS THE SITUATION EVOLVED OVER THE EVALUATION PERIOD?</w:t>
      </w:r>
      <w:r>
        <w:t xml:space="preserve"> </w:t>
      </w:r>
      <w:r>
        <w:t xml:space="preserve">10.</w:t>
      </w:r>
      <w:r>
        <w:t xml:space="preserve"> </w:t>
      </w:r>
      <w:r>
        <w:t xml:space="preserve">Current state of play</w:t>
      </w:r>
      <w:r>
        <w:t xml:space="preserve"> </w:t>
      </w:r>
      <w:r>
        <w:t xml:space="preserve">The investor protection rules are currently set out in a number of sector-specific legislative</w:t>
      </w:r>
      <w:r>
        <w:t xml:space="preserve"> </w:t>
      </w:r>
      <w:r>
        <w:t xml:space="preserve">instruments. For the analysis of how the situation has evolved during the period, we present below</w:t>
      </w:r>
      <w:r>
        <w:t xml:space="preserve"> </w:t>
      </w:r>
      <w:r>
        <w:t xml:space="preserve">the state of play of these instruments and how they have been implemented:</w:t>
      </w:r>
      <w:r>
        <w:t xml:space="preserve"> </w:t>
      </w:r>
      <w:r>
        <w:t xml:space="preserve">MiFID II</w:t>
      </w:r>
      <w:r>
        <w:t xml:space="preserve"> </w:t>
      </w:r>
      <w:r>
        <w:t xml:space="preserve">Member States had to transpose Directive 2014/65/EU into national law by 3 July 2016 (extended</w:t>
      </w:r>
      <w:r>
        <w:t xml:space="preserve"> </w:t>
      </w:r>
      <w:r>
        <w:t xml:space="preserve">to 3 July 2017). Under MiFID II, Member States are required to provide notifications in case of</w:t>
      </w:r>
      <w:r>
        <w:t xml:space="preserve"> </w:t>
      </w:r>
      <w:r>
        <w:t xml:space="preserve">additional requirements that they may decide to impose on investment firms beyond those provided</w:t>
      </w:r>
      <w:r>
        <w:t xml:space="preserve"> </w:t>
      </w:r>
      <w:r>
        <w:t xml:space="preserve">by Directive 2014/65/EU. Additional requirements are only permitted in two areas a) the</w:t>
      </w:r>
      <w:r>
        <w:t xml:space="preserve"> </w:t>
      </w:r>
      <w:r>
        <w:t xml:space="preserve">safeguarding of client assets (as referred to in article 16(11) of the directive) and b) the general</w:t>
      </w:r>
      <w:r>
        <w:t xml:space="preserve"> </w:t>
      </w:r>
      <w:r>
        <w:t xml:space="preserve">principles of investor protection and the information to clients (as referred to in article 24(12)).</w:t>
      </w:r>
    </w:p>
    <w:p>
      <w:pPr>
        <w:pStyle w:val="BodyText"/>
      </w:pPr>
      <w:r>
        <w:t xml:space="preserve">596 See the Impact assessment on PRIIPs, notably the text on problem drivers and table 2.</w:t>
      </w:r>
      <w:r>
        <w:br/>
      </w:r>
      <w:r>
        <w:t xml:space="preserve">597 Directive 2014/91/EU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All Member States have communicated their full transposition of Directive 2014/65/EU. Following</w:t>
      </w:r>
      <w:r>
        <w:t xml:space="preserve"> </w:t>
      </w:r>
      <w:r>
        <w:t xml:space="preserve">internal assessment and review of the completeness assessments provided by an external contractor,</w:t>
      </w:r>
      <w:r>
        <w:t xml:space="preserve"> </w:t>
      </w:r>
      <w:r>
        <w:t xml:space="preserve">the state of completeness of the transposition is considered sufficient. DG FISMA is currently in</w:t>
      </w:r>
      <w:r>
        <w:t xml:space="preserve"> </w:t>
      </w:r>
      <w:r>
        <w:t xml:space="preserve">the process of carrying out a conformity assessment of key provisions of MiFID II. There are no</w:t>
      </w:r>
      <w:r>
        <w:t xml:space="preserve"> </w:t>
      </w:r>
      <w:r>
        <w:t xml:space="preserve">outstanding infringement cases or completeness examinations related to MiFID II itself598.</w:t>
      </w:r>
      <w:r>
        <w:br/>
      </w:r>
      <w:r>
        <w:t xml:space="preserve">IDD</w:t>
      </w:r>
      <w:r>
        <w:br/>
      </w:r>
      <w:r>
        <w:t xml:space="preserve">EU Member States had to transpose Directive (EU) 2016/97 into national law by 23 February 2018</w:t>
      </w:r>
      <w:r>
        <w:t xml:space="preserve"> </w:t>
      </w:r>
      <w:r>
        <w:t xml:space="preserve">(extended to 1 October 2018). All Member States have communicated their full transposition of</w:t>
      </w:r>
      <w:r>
        <w:t xml:space="preserve"> </w:t>
      </w:r>
      <w:r>
        <w:t xml:space="preserve">Directive (EU) 2016/97. Following internal assessment and review of the completeness</w:t>
      </w:r>
      <w:r>
        <w:t xml:space="preserve"> </w:t>
      </w:r>
      <w:r>
        <w:t xml:space="preserve">assessments provided by an external contractor, the state of completeness of the transposition is</w:t>
      </w:r>
      <w:r>
        <w:t xml:space="preserve"> </w:t>
      </w:r>
      <w:r>
        <w:t xml:space="preserve">considered sufficient for all but one Member State. DG FISMA is currently in the process of</w:t>
      </w:r>
      <w:r>
        <w:t xml:space="preserve"> </w:t>
      </w:r>
      <w:r>
        <w:t xml:space="preserve">carrying out a conformity assessment of the Directive.</w:t>
      </w:r>
      <w:r>
        <w:t xml:space="preserve"> </w:t>
      </w:r>
      <w:r>
        <w:t xml:space="preserve">The IDD is a minimum harmonisation directive, allowing Member States to introduce additional</w:t>
      </w:r>
      <w:r>
        <w:t xml:space="preserve"> </w:t>
      </w:r>
      <w:r>
        <w:t xml:space="preserve">provisions or to bring additional activities into the scope of the legislation. The IDD does not</w:t>
      </w:r>
      <w:r>
        <w:t xml:space="preserve"> </w:t>
      </w:r>
      <w:r>
        <w:t xml:space="preserve">prevent Member States from keeping or introducing more stringent provisions, as long as they are</w:t>
      </w:r>
      <w:r>
        <w:t xml:space="preserve"> </w:t>
      </w:r>
      <w:r>
        <w:t xml:space="preserve">consistent with the directive. This is explicitly confirmed by specific provisions covering stricter</w:t>
      </w:r>
      <w:r>
        <w:t xml:space="preserve"> </w:t>
      </w:r>
      <w:r>
        <w:t xml:space="preserve">requirements on inducements (including a ban) and rules on mandatory advice. The Directive also</w:t>
      </w:r>
      <w:r>
        <w:t xml:space="preserve"> </w:t>
      </w:r>
      <w:r>
        <w:t xml:space="preserve">states explicitly that where a Member State has decided to impose stricter provisions in its national</w:t>
      </w:r>
      <w:r>
        <w:t xml:space="preserve"> </w:t>
      </w:r>
      <w:r>
        <w:t xml:space="preserve">transposition, these requirements have to be complied with by all distributors selling products to</w:t>
      </w:r>
      <w:r>
        <w:t xml:space="preserve"> </w:t>
      </w:r>
      <w:r>
        <w:t xml:space="preserve">customers residing in the relevant Member State, including distributors from other Member States</w:t>
      </w:r>
      <w:r>
        <w:t xml:space="preserve"> </w:t>
      </w:r>
      <w:r>
        <w:t xml:space="preserve">operating under the freedom to provide services or the freedom of establishment. EIOPA has also</w:t>
      </w:r>
      <w:r>
        <w:t xml:space="preserve"> </w:t>
      </w:r>
      <w:r>
        <w:t xml:space="preserve">issued guidance on transposition and compliance in the form of Q&amp;As.</w:t>
      </w:r>
      <w:r>
        <w:br/>
      </w:r>
      <w:r>
        <w:t xml:space="preserve">PRIIPs</w:t>
      </w:r>
      <w:r>
        <w:t xml:space="preserve"> </w:t>
      </w:r>
      <w:r>
        <w:t xml:space="preserve">The PRIIPs Regulation ((EU) No 1286/2014) aims to improve the transparency and comparability</w:t>
      </w:r>
      <w:r>
        <w:t xml:space="preserve"> </w:t>
      </w:r>
      <w:r>
        <w:t xml:space="preserve">of investment products across the EU through key information documents (KIDs). PRIIPs is a</w:t>
      </w:r>
      <w:r>
        <w:t xml:space="preserve"> </w:t>
      </w:r>
      <w:r>
        <w:t xml:space="preserve">regulation, hence the rules did not need to be transposed. The contents and presentation of the KIDs</w:t>
      </w:r>
      <w:r>
        <w:t xml:space="preserve"> </w:t>
      </w:r>
      <w:r>
        <w:t xml:space="preserve">have been further developed through secondary legislation and ESA guidance.</w:t>
      </w:r>
      <w:r>
        <w:br/>
      </w:r>
      <w:r>
        <w:t xml:space="preserve">After consulting with the European Commission and European Parliament, the rules on KIDs were</w:t>
      </w:r>
      <w:r>
        <w:t xml:space="preserve"> </w:t>
      </w:r>
      <w:r>
        <w:t xml:space="preserve">published as Commission Delegated Regulation (EU) 2017/653 and came into force on 1 January</w:t>
      </w:r>
      <w:r>
        <w:t xml:space="preserve"> </w:t>
      </w:r>
      <w:r>
        <w:t xml:space="preserve">2018. Since then, KIDs must be provided by those producing or selling investment products to</w:t>
      </w:r>
      <w:r>
        <w:t xml:space="preserve"> </w:t>
      </w:r>
      <w:r>
        <w:t xml:space="preserve">retail investors.</w:t>
      </w:r>
      <w:r>
        <w:t xml:space="preserve"> </w:t>
      </w:r>
      <w:r>
        <w:t xml:space="preserve">Important changes to PRIIPs secondary legislation have very recently taken effect (1 January</w:t>
      </w:r>
      <w:r>
        <w:t xml:space="preserve"> </w:t>
      </w:r>
      <w:r>
        <w:t xml:space="preserve">2023), through an amended RTS. The disclosure rules of the new Regulatory Technical Standards</w:t>
      </w:r>
      <w:r>
        <w:t xml:space="preserve"> </w:t>
      </w:r>
      <w:r>
        <w:t xml:space="preserve">are designed to make the PRIIPs KIDs fully applicable for UCITS. Due to the very recent entry</w:t>
      </w:r>
      <w:r>
        <w:t xml:space="preserve"> </w:t>
      </w:r>
      <w:r>
        <w:t xml:space="preserve">into application of the RTS, there is not yet sufficient experience with their application of the</w:t>
      </w:r>
    </w:p>
    <w:p>
      <w:pPr>
        <w:pStyle w:val="BodyText"/>
      </w:pPr>
      <w:r>
        <w:t xml:space="preserve">598 However, MiFID II has been amended and supplemented on a number of occasions. More recently</w:t>
      </w:r>
      <w:r>
        <w:t xml:space="preserve"> </w:t>
      </w:r>
      <w:r>
        <w:t xml:space="preserve">introduced directives part of the MiFID package, such as the Capital Market Recovery Directive and the</w:t>
      </w:r>
      <w:r>
        <w:t xml:space="preserve"> </w:t>
      </w:r>
      <w:r>
        <w:t xml:space="preserve">Delegated Regulation and Directive relating to the integration of sustainability factors are in the early</w:t>
      </w:r>
      <w:r>
        <w:t xml:space="preserve"> </w:t>
      </w:r>
      <w:r>
        <w:t xml:space="preserve">stages of transposition assessment. In relation to others, namely Directive (EU) 2019/2177 and Directive</w:t>
      </w:r>
      <w:r>
        <w:t xml:space="preserve"> </w:t>
      </w:r>
      <w:r>
        <w:t xml:space="preserve">(EU) 2020/1504, there are ongoing infringement cases for non-transposition against a small number of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changes599 it introduced that would allow to assess their effectiveness, efficiency and coherence</w:t>
      </w:r>
      <w:r>
        <w:t xml:space="preserve"> </w:t>
      </w:r>
      <w:r>
        <w:t xml:space="preserve">hence, they are excluded from this review.</w:t>
      </w:r>
      <w:r>
        <w:br/>
      </w:r>
      <w:r>
        <w:t xml:space="preserve">UCITS</w:t>
      </w:r>
      <w:r>
        <w:t xml:space="preserve"> </w:t>
      </w:r>
      <w:r>
        <w:t xml:space="preserve">The most recent review of UCITS directive took effect in 2014 (“UCITS V”)600 with a deadline for</w:t>
      </w:r>
      <w:r>
        <w:t xml:space="preserve"> </w:t>
      </w:r>
      <w:r>
        <w:t xml:space="preserve">the transposition in national legal systems of 18 March 2016. All Member States have</w:t>
      </w:r>
      <w:r>
        <w:t xml:space="preserve"> </w:t>
      </w:r>
      <w:r>
        <w:t xml:space="preserve">communicated the national provisions transposing UCITS V by now. Following internal</w:t>
      </w:r>
      <w:r>
        <w:t xml:space="preserve"> </w:t>
      </w:r>
      <w:r>
        <w:t xml:space="preserve">assessment and review of the completeness assessments provided by an external contractor, the</w:t>
      </w:r>
      <w:r>
        <w:t xml:space="preserve"> </w:t>
      </w:r>
      <w:r>
        <w:t xml:space="preserve">state of completeness of the transposition is considered sufficient. With regards to conformity</w:t>
      </w:r>
      <w:r>
        <w:t xml:space="preserve"> </w:t>
      </w:r>
      <w:r>
        <w:t xml:space="preserve">checks, the outstanding issues have been assessed based on the clarifications from the national</w:t>
      </w:r>
      <w:r>
        <w:t xml:space="preserve"> </w:t>
      </w:r>
      <w:r>
        <w:t xml:space="preserve">authorities. In few cases, the informal exchanges concluded that minor amendments to the national</w:t>
      </w:r>
      <w:r>
        <w:t xml:space="preserve"> </w:t>
      </w:r>
      <w:r>
        <w:t xml:space="preserve">laws were required in order to ensure conformity with UCITS V Directive. UCITS V is now</w:t>
      </w:r>
      <w:r>
        <w:t xml:space="preserve"> </w:t>
      </w:r>
      <w:r>
        <w:t xml:space="preserve">considered fully transposed and implemented across EU Member States. Amendments to UCITS</w:t>
      </w:r>
      <w:r>
        <w:t xml:space="preserve"> </w:t>
      </w:r>
      <w:r>
        <w:t xml:space="preserve">since then include changes on cross-border distribution rules601, where transposition checks are still</w:t>
      </w:r>
      <w:r>
        <w:t xml:space="preserve"> </w:t>
      </w:r>
      <w:r>
        <w:t xml:space="preserve">ongoing. Finally, some amendments are currently under negotiation as part of the AIFMD review602</w:t>
      </w:r>
      <w:r>
        <w:t xml:space="preserve"> </w:t>
      </w:r>
      <w:r>
        <w:t xml:space="preserve">to ensure that the same MIFID product governance rules would apply when investment funds are</w:t>
      </w:r>
      <w:r>
        <w:t xml:space="preserve"> </w:t>
      </w:r>
      <w:r>
        <w:t xml:space="preserve">distributed directly by asset managers providing investment services.</w:t>
      </w:r>
      <w:r>
        <w:t xml:space="preserve"> </w:t>
      </w:r>
      <w:r>
        <w:t xml:space="preserve">4</w:t>
      </w:r>
      <w:r>
        <w:t xml:space="preserve"> </w:t>
      </w:r>
      <w:r>
        <w:t xml:space="preserve">EVALUATION FINDINGS (ANALYTICAL PART)</w:t>
      </w:r>
      <w:r>
        <w:t xml:space="preserve"> </w:t>
      </w:r>
      <w:r>
        <w:t xml:space="preserve">4.1 To what extent was the intervention successful and why?</w:t>
      </w:r>
      <w:r>
        <w:br/>
      </w:r>
      <w:r>
        <w:t xml:space="preserve">Has the retail investment framework been overall successful in improving investor protection?</w:t>
      </w:r>
      <w:r>
        <w:br/>
      </w:r>
      <w:r>
        <w:t xml:space="preserve">Overall, the EU legal framework was designed to ensure investor protection. The EU legislative</w:t>
      </w:r>
      <w:r>
        <w:t xml:space="preserve"> </w:t>
      </w:r>
      <w:r>
        <w:t xml:space="preserve">actions over the period 2014-2016 across the different financial services (see table 2.2.1) introduced</w:t>
      </w:r>
    </w:p>
    <w:p>
      <w:pPr>
        <w:pStyle w:val="BodyText"/>
      </w:pPr>
      <w:r>
        <w:t xml:space="preserve">599 The amended RTS notably has brought the following changes:</w:t>
      </w:r>
      <w:r>
        <w:br/>
      </w:r>
      <w:r>
        <w:t xml:space="preserve"></w:t>
      </w:r>
      <w:r>
        <w:t xml:space="preserve"> </w:t>
      </w:r>
      <w:r>
        <w:t xml:space="preserve">new methodologies for calculating appropriate performance scenarios and a revised</w:t>
      </w:r>
      <w:r>
        <w:t xml:space="preserve"> </w:t>
      </w:r>
      <w:r>
        <w:t xml:space="preserve">presentation of the scenarios, with a view to ensuring that retail investors are not provided with</w:t>
      </w:r>
      <w:r>
        <w:t xml:space="preserve"> </w:t>
      </w:r>
      <w:r>
        <w:t xml:space="preserve">inappropriate expectations as to possible returns;</w:t>
      </w:r>
      <w:r>
        <w:t xml:space="preserve"> </w:t>
      </w:r>
      <w:r>
        <w:t xml:space="preserve"></w:t>
      </w:r>
      <w:r>
        <w:t xml:space="preserve"> </w:t>
      </w:r>
      <w:r>
        <w:t xml:space="preserve">revised summary cost indicators and changes to the content and presentation of information on</w:t>
      </w:r>
      <w:r>
        <w:t xml:space="preserve"> </w:t>
      </w:r>
      <w:r>
        <w:t xml:space="preserve">the costs of PRIIPs, to allow retail investors to better understand the different types of cost</w:t>
      </w:r>
      <w:r>
        <w:t xml:space="preserve"> </w:t>
      </w:r>
      <w:r>
        <w:t xml:space="preserve">structure and to facilitate the use of this information by persons advising on or selling PRIIPs;</w:t>
      </w:r>
      <w:r>
        <w:t xml:space="preserve"> </w:t>
      </w:r>
      <w:r>
        <w:t xml:space="preserve"></w:t>
      </w:r>
      <w:r>
        <w:t xml:space="preserve"> </w:t>
      </w:r>
      <w:r>
        <w:t xml:space="preserve">a modified methodology for calculating transaction costs, to address practical challenges that</w:t>
      </w:r>
      <w:r>
        <w:t xml:space="preserve"> </w:t>
      </w:r>
      <w:r>
        <w:t xml:space="preserve">have arisen when applying the existing rules, and issues regarding their application to certain</w:t>
      </w:r>
      <w:r>
        <w:t xml:space="preserve"> </w:t>
      </w:r>
      <w:r>
        <w:t xml:space="preserve">types of investment;</w:t>
      </w:r>
      <w:r>
        <w:t xml:space="preserve"> </w:t>
      </w:r>
      <w:r>
        <w:t xml:space="preserve"></w:t>
      </w:r>
      <w:r>
        <w:t xml:space="preserve"> </w:t>
      </w:r>
      <w:r>
        <w:t xml:space="preserve">provisions in respect of past-performance information for certain types of UCITS, retail AIFs and</w:t>
      </w:r>
      <w:r>
        <w:t xml:space="preserve"> </w:t>
      </w:r>
      <w:r>
        <w:t xml:space="preserve">insurance-based investment products.</w:t>
      </w:r>
      <w:r>
        <w:t xml:space="preserve"> </w:t>
      </w:r>
      <w:r>
        <w:t xml:space="preserve">600 Directive 2014/91/EU amending Directive 2009/65/EC on the coordination of laws, regulations and</w:t>
      </w:r>
      <w:r>
        <w:t xml:space="preserve"> </w:t>
      </w:r>
      <w:r>
        <w:t xml:space="preserve">administrative provisions relating to undertakings for collective investment in transferable securities</w:t>
      </w:r>
      <w:r>
        <w:t xml:space="preserve"> </w:t>
      </w:r>
      <w:r>
        <w:t xml:space="preserve">(UCITS)</w:t>
      </w:r>
      <w:r>
        <w:t xml:space="preserve"> </w:t>
      </w:r>
      <w:r>
        <w:t xml:space="preserve">601 Directive 2019/1160/EU amending Directives 2009/65/EC and 2011/61/EU with regard to cross-border</w:t>
      </w:r>
      <w:r>
        <w:t xml:space="preserve"> </w:t>
      </w:r>
      <w:r>
        <w:t xml:space="preserve">distribution of collective investment undertakings.</w:t>
      </w:r>
      <w:r>
        <w:t xml:space="preserve"> </w:t>
      </w:r>
      <w:r>
        <w:t xml:space="preserve">602 Information about the 2021 AIFMD review is available at: https://ec.europa.eu/info/law/better-</w:t>
      </w:r>
      <w:r>
        <w:t xml:space="preserve"> </w:t>
      </w:r>
      <w:r>
        <w:t xml:space="preserve">regulation/have-your-say/initiatives/12648-Financial-services-review-of-EU-rules-on-alternative-</w:t>
      </w:r>
      <w:r>
        <w:t xml:space="preserve"> </w:t>
      </w:r>
      <w:r>
        <w:t xml:space="preserve">investment-fund-managers_en.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changes that included new elements and aimed to move towards a more integrated EU market and</w:t>
      </w:r>
      <w:r>
        <w:t xml:space="preserve"> </w:t>
      </w:r>
      <w:r>
        <w:t xml:space="preserve">increased investor protection.</w:t>
      </w:r>
      <w:r>
        <w:br/>
      </w:r>
      <w:r>
        <w:t xml:space="preserve">The framework has to a certain extent achieved its objectives to increase investor protection. The</w:t>
      </w:r>
      <w:r>
        <w:t xml:space="preserve"> </w:t>
      </w:r>
      <w:r>
        <w:t xml:space="preserve">details of the analysis are presented in the sections below per area of focus (disclosures,</w:t>
      </w:r>
      <w:r>
        <w:t xml:space="preserve"> </w:t>
      </w:r>
      <w:r>
        <w:t xml:space="preserve">inducements, suitability and product oversight and governance). In addition, according to the public</w:t>
      </w:r>
      <w:r>
        <w:t xml:space="preserve"> </w:t>
      </w:r>
      <w:r>
        <w:t xml:space="preserve">consultation603, slightly more than half of the respondents (52%), were of the view that the current</w:t>
      </w:r>
      <w:r>
        <w:t xml:space="preserve"> </w:t>
      </w:r>
      <w:r>
        <w:t xml:space="preserve">framework sufficiently empowered and protected retail investors.</w:t>
      </w:r>
      <w:r>
        <w:t xml:space="preserve"> </w:t>
      </w:r>
      <w:r>
        <w:t xml:space="preserve">However, when looking at where there might be scope for improvements to the framework, the</w:t>
      </w:r>
      <w:r>
        <w:t xml:space="preserve"> </w:t>
      </w:r>
      <w:r>
        <w:t xml:space="preserve">areas identified in the public consultation by the respondents were:</w:t>
      </w:r>
      <w:r>
        <w:t xml:space="preserve"> </w:t>
      </w:r>
      <w:r>
        <w:t xml:space="preserve"> financial literacy (supported by all groups),</w:t>
      </w:r>
      <w:r>
        <w:br/>
      </w:r>
      <w:r>
        <w:t xml:space="preserve"> improvements to the disclosure requirements, clear preference of consumer</w:t>
      </w:r>
      <w:r>
        <w:t xml:space="preserve"> </w:t>
      </w:r>
      <w:r>
        <w:t xml:space="preserve">organisations and NGOs, also priority area according to respondents from 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 the suitability and appropriateness assessment, clear preference of consumer</w:t>
      </w:r>
      <w:r>
        <w:t xml:space="preserve"> </w:t>
      </w:r>
      <w:r>
        <w:t xml:space="preserve">organisations and NGOs, and</w:t>
      </w:r>
      <w:r>
        <w:t xml:space="preserve"> </w:t>
      </w:r>
      <w:r>
        <w:t xml:space="preserve"> inducements and quality of advice, clear preference of consumer organisations and</w:t>
      </w:r>
      <w:r>
        <w:t xml:space="preserve"> </w:t>
      </w:r>
      <w:r>
        <w:t xml:space="preserve">NGOs, also priority area according to respondents from public authorities.</w:t>
      </w:r>
      <w:r>
        <w:t xml:space="preserve"> </w:t>
      </w:r>
      <w:r>
        <w:t xml:space="preserve">To further determine whether the intervention has been successful, we have assessed the</w:t>
      </w:r>
      <w:r>
        <w:t xml:space="preserve"> </w:t>
      </w:r>
      <w:r>
        <w:t xml:space="preserve">effectiveness, efficiency and coherence of the four areas that are captured below, and how the rules</w:t>
      </w:r>
      <w:r>
        <w:t xml:space="preserve"> </w:t>
      </w:r>
      <w:r>
        <w:t xml:space="preserve">in these areas contributed to improving the investor protection with the aim of identifying potential</w:t>
      </w:r>
      <w:r>
        <w:t xml:space="preserve"> </w:t>
      </w:r>
      <w:r>
        <w:t xml:space="preserve">areas of improvement.</w:t>
      </w:r>
    </w:p>
    <w:p>
      <w:pPr>
        <w:pStyle w:val="BodyText"/>
      </w:pPr>
      <w:r>
        <w:t xml:space="preserve">4.1.1 More specifically, have the disclosure rules been successful in</w:t>
      </w:r>
      <w:r>
        <w:t xml:space="preserve"> </w:t>
      </w:r>
      <w:r>
        <w:t xml:space="preserve">improving information for retail investors?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key elements identified in the retail study for the assessment of the effectiveness of the</w:t>
      </w:r>
      <w:r>
        <w:t xml:space="preserve"> </w:t>
      </w:r>
      <w:r>
        <w:t xml:space="preserve">framework on disclosures rules are the following:</w:t>
      </w:r>
      <w:r>
        <w:t xml:space="preserve"> </w:t>
      </w:r>
      <w:r>
        <w:t xml:space="preserve">Availability and accessibility: Information documents are generally available and accessible</w:t>
      </w:r>
      <w:r>
        <w:t xml:space="preserve"> </w:t>
      </w:r>
      <w:r>
        <w:t xml:space="preserve">when a consumer searches for them. However, the use of information documents when</w:t>
      </w:r>
      <w:r>
        <w:t xml:space="preserve"> </w:t>
      </w:r>
      <w:r>
        <w:t xml:space="preserve">firms/advisors give information to retail investors varies. Under the current legal requirements, pre-</w:t>
      </w:r>
      <w:r>
        <w:t xml:space="preserve"> </w:t>
      </w:r>
      <w:r>
        <w:t xml:space="preserve">contractual information should be disclosed “in good time” before the retail investor is bound by</w:t>
      </w:r>
      <w:r>
        <w:t xml:space="preserve"> </w:t>
      </w:r>
      <w:r>
        <w:t xml:space="preserve">any contract or offer relating to the product or service604. However, in practice, the documents are</w:t>
      </w:r>
      <w:r>
        <w:t xml:space="preserve"> </w:t>
      </w:r>
      <w:r>
        <w:t xml:space="preserve">not systematically provided to potential clients at a very early stage of their investor journey. Only</w:t>
      </w:r>
      <w:r>
        <w:t xml:space="preserve"> </w:t>
      </w:r>
      <w:r>
        <w:t xml:space="preserve">54% of mystery shoppers received a key information document or were referred to one online when</w:t>
      </w:r>
      <w:r>
        <w:t xml:space="preserve"> </w:t>
      </w:r>
      <w:r>
        <w:t xml:space="preserve">they were simulating the first contact with an advisor. It is possible that these advisors might have</w:t>
      </w:r>
      <w:r>
        <w:t xml:space="preserve"> </w:t>
      </w:r>
      <w:r>
        <w:t xml:space="preserve">provided the document at a later stage, which would however be too late to inform the decision-</w:t>
      </w:r>
      <w:r>
        <w:t xml:space="preserve"> </w:t>
      </w:r>
      <w:r>
        <w:t xml:space="preserve">making. Even when provided with the document, mystery shoppers were only very rarely given</w:t>
      </w:r>
      <w:r>
        <w:t xml:space="preserve"> </w:t>
      </w:r>
      <w:r>
        <w:t xml:space="preserve">time to read it. While all these practices may comply with the general requirement of “in good</w:t>
      </w:r>
    </w:p>
    <w:p>
      <w:pPr>
        <w:pStyle w:val="BodyText"/>
      </w:pPr>
      <w:r>
        <w:t xml:space="preserve">603 See Annex 2 for the summary of the results on stakeholder consultations.</w:t>
      </w:r>
      <w:r>
        <w:t xml:space="preserve"> </w:t>
      </w:r>
      <w:r>
        <w:t xml:space="preserve">604 PEPP, MiFID II and PRIIPs further specify at which point in the retail investor journey this disclosure</w:t>
      </w:r>
      <w:r>
        <w:t xml:space="preserve"> </w:t>
      </w:r>
      <w:r>
        <w:t xml:space="preserve">occurs.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time”, in practice, if disclosure information is provided at the end of the process or at the time of</w:t>
      </w:r>
      <w:r>
        <w:t xml:space="preserve"> </w:t>
      </w:r>
      <w:r>
        <w:t xml:space="preserve">the contract signature, it is likely that it will not allow retail investors to make informed decisions.</w:t>
      </w:r>
      <w:r>
        <w:t xml:space="preserve"> </w:t>
      </w:r>
      <w:r>
        <w:t xml:space="preserve">There is therefore a certain ambiguity in the definition of “in good time” which is intended to ensure</w:t>
      </w:r>
      <w:r>
        <w:t xml:space="preserve"> </w:t>
      </w:r>
      <w:r>
        <w:t xml:space="preserve">that KIDs and KIIDs are used as the main resource for the consumer’s decision-making. This is</w:t>
      </w:r>
      <w:r>
        <w:t xml:space="preserve"> </w:t>
      </w:r>
      <w:r>
        <w:t xml:space="preserve">also highlighted in recent case law (Judgment of 24 February 2022 in Joined Cases C-143/20 and</w:t>
      </w:r>
      <w:r>
        <w:t xml:space="preserve"> </w:t>
      </w:r>
      <w:r>
        <w:t xml:space="preserve">C-213/20, A and others (’Unit-linked’ Assurance Contracts), ECLI:EU:C:2022:118, point 116).</w:t>
      </w:r>
      <w:r>
        <w:t xml:space="preserve"> </w:t>
      </w:r>
      <w:r>
        <w:t xml:space="preserve">Furthermore, a substantial proportion of shoppers were provided with multiple documents, thus</w:t>
      </w:r>
      <w:r>
        <w:t xml:space="preserve"> </w:t>
      </w:r>
      <w:r>
        <w:t xml:space="preserve">contributing to information overload. Furthermore, as indicated by the Joint Committee of the</w:t>
      </w:r>
      <w:r>
        <w:t xml:space="preserve"> </w:t>
      </w:r>
      <w:r>
        <w:t xml:space="preserve">ESAs, the PRIIPs KID is not always easy to find on the PRIIP manufacturers’ website605.</w:t>
      </w:r>
      <w:r>
        <w:br/>
      </w:r>
      <w:r>
        <w:t xml:space="preserve">While many regulatory disclosures focus on the pre-contractual stage, periodic ex post disclosures</w:t>
      </w:r>
      <w:r>
        <w:t xml:space="preserve"> </w:t>
      </w:r>
      <w:r>
        <w:t xml:space="preserve">to retail investors, focusing on the costs and performance of the products in their portfolio, are more</w:t>
      </w:r>
      <w:r>
        <w:t xml:space="preserve"> </w:t>
      </w:r>
      <w:r>
        <w:t xml:space="preserve">limited. As identified in EIOPA’s advice on retail investor protection, in the area of IDD, some</w:t>
      </w:r>
      <w:r>
        <w:t xml:space="preserve"> </w:t>
      </w:r>
      <w:r>
        <w:t xml:space="preserve">Member States have developed national practices beyond the outdated rules in Solvency II, but</w:t>
      </w:r>
      <w:r>
        <w:t xml:space="preserve"> </w:t>
      </w:r>
      <w:r>
        <w:t xml:space="preserve">there is currently no common standard for ex post periodic disclosure in EU legislation which might</w:t>
      </w:r>
      <w:r>
        <w:t xml:space="preserve"> </w:t>
      </w:r>
      <w:r>
        <w:t xml:space="preserve">improve the comparability of different IBIPs and help inform investors about the costs and</w:t>
      </w:r>
      <w:r>
        <w:t xml:space="preserve"> </w:t>
      </w:r>
      <w:r>
        <w:t xml:space="preserve">performance of their portfolio. Both the MiFID and IDD rules606 require investment firms and</w:t>
      </w:r>
      <w:r>
        <w:t xml:space="preserve"> </w:t>
      </w:r>
      <w:r>
        <w:t xml:space="preserve">insurance distributors to provide investors with annual information on costs and charges related to</w:t>
      </w:r>
      <w:r>
        <w:t xml:space="preserve"> </w:t>
      </w:r>
      <w:r>
        <w:t xml:space="preserve">financial instrument(s), investment and ancillary services and IBIPs. However, as regards</w:t>
      </w:r>
      <w:r>
        <w:t xml:space="preserve"> </w:t>
      </w:r>
      <w:r>
        <w:t xml:space="preserve">investment services, this requirement only applies to situations where there is an ongoing</w:t>
      </w:r>
      <w:r>
        <w:t xml:space="preserve"> </w:t>
      </w:r>
      <w:r>
        <w:t xml:space="preserve">relationship between the client and the investment firm. The same report does not cover the</w:t>
      </w:r>
      <w:r>
        <w:t xml:space="preserve"> </w:t>
      </w:r>
      <w:r>
        <w:t xml:space="preserve">performance of the investor’s portfolio, taking into account the performance of the financial</w:t>
      </w:r>
      <w:r>
        <w:t xml:space="preserve"> </w:t>
      </w:r>
      <w:r>
        <w:t xml:space="preserve">products and the costs and fees borne by the investor.</w:t>
      </w:r>
      <w:r>
        <w:br/>
      </w:r>
      <w:r>
        <w:t xml:space="preserve">As a result, a significant number of investors do not receive appropriate ex-post information in an</w:t>
      </w:r>
      <w:r>
        <w:t xml:space="preserve"> </w:t>
      </w:r>
      <w:r>
        <w:t xml:space="preserve">easily accessible and comprehensible way, which limits their possibilities to effectively monitor</w:t>
      </w:r>
      <w:r>
        <w:t xml:space="preserve"> </w:t>
      </w:r>
      <w:r>
        <w:t xml:space="preserve">the developments of the investment product purchased, including performance and costs paid.</w:t>
      </w:r>
      <w:r>
        <w:br/>
      </w:r>
      <w:r>
        <w:t xml:space="preserve">Completeness and complexity of information: According to the retail study, disclosure</w:t>
      </w:r>
      <w:r>
        <w:t xml:space="preserve"> </w:t>
      </w:r>
      <w:r>
        <w:t xml:space="preserve">documents such as the PRIIPs KID capture relevant information that retail clients need to</w:t>
      </w:r>
      <w:r>
        <w:t xml:space="preserve"> </w:t>
      </w:r>
      <w:r>
        <w:t xml:space="preserve">understand investment products and that allows them to choose between products. When a sample</w:t>
      </w:r>
      <w:r>
        <w:t xml:space="preserve"> </w:t>
      </w:r>
      <w:r>
        <w:t xml:space="preserve">of disclosure documents was checked, the majority were compliant, complete in terms of items</w:t>
      </w:r>
      <w:r>
        <w:t xml:space="preserve"> </w:t>
      </w:r>
      <w:r>
        <w:t xml:space="preserve">covered and, in most cases, up-to-date. Where disclosure frameworks such as PRIIPs have</w:t>
      </w:r>
      <w:r>
        <w:t xml:space="preserve"> </w:t>
      </w:r>
      <w:r>
        <w:t xml:space="preserve">standardised the information to be provided to investors, such as in case of IBIPs, profit</w:t>
      </w:r>
      <w:r>
        <w:t xml:space="preserve"> </w:t>
      </w:r>
      <w:r>
        <w:t xml:space="preserve">participation products or structured products, the study noted a higher degree of completeness than</w:t>
      </w:r>
      <w:r>
        <w:t xml:space="preserve"> </w:t>
      </w:r>
      <w:r>
        <w:t xml:space="preserve">for those products that are not subject to PRIIPs, such as securities, traditional life insurance</w:t>
      </w:r>
      <w:r>
        <w:t xml:space="preserve"> </w:t>
      </w:r>
      <w:r>
        <w:t xml:space="preserve">products and pension funds. Hence from the perspective of completeness, PRIIPs and other</w:t>
      </w:r>
      <w:r>
        <w:t xml:space="preserve"> </w:t>
      </w:r>
      <w:r>
        <w:t xml:space="preserve">disclosure frameworks have contributed to improving information for retail investors. A list of</w:t>
      </w:r>
      <w:r>
        <w:t xml:space="preserve"> </w:t>
      </w:r>
      <w:r>
        <w:t xml:space="preserve">items that need to be included in KIDs (or KIIDs) has also contributed to this. Although</w:t>
      </w:r>
      <w:r>
        <w:t xml:space="preserve"> </w:t>
      </w:r>
      <w:r>
        <w:t xml:space="preserve">standardisation (using common reference points for comparison such as standardised risk</w:t>
      </w:r>
      <w:r>
        <w:t xml:space="preserve"> </w:t>
      </w:r>
      <w:r>
        <w:t xml:space="preserve">indicators) covers some items that improve understanding, it does not overcome the complexity of</w:t>
      </w:r>
      <w:r>
        <w:t xml:space="preserve"> </w:t>
      </w:r>
      <w:r>
        <w:t xml:space="preserve">the terminology nor that of costs. This complexity, even when presented in a standardised manner,</w:t>
      </w:r>
      <w:r>
        <w:t xml:space="preserve"> </w:t>
      </w:r>
      <w:r>
        <w:t xml:space="preserve">inhibits understanding. There is limited focus on situations in which the disclosure document is to</w:t>
      </w:r>
      <w:r>
        <w:t xml:space="preserve"> </w:t>
      </w:r>
      <w:r>
        <w:t xml:space="preserve">be used and which might help retail investors in their decisions.</w:t>
      </w:r>
    </w:p>
    <w:p>
      <w:pPr>
        <w:pStyle w:val="BodyText"/>
      </w:pPr>
      <w:r>
        <w:t xml:space="preserve">605 Page 32 of Advice of the ESA joint committee on PRIIPs.</w:t>
      </w:r>
      <w:r>
        <w:t xml:space="preserve"> </w:t>
      </w:r>
      <w:r>
        <w:t xml:space="preserve">606 Delegated Regulation (EU) 2017/565 Article 50.9, Article 29(1).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Readability and user-friendly presentation: In order improve understanding of investment</w:t>
      </w:r>
      <w:r>
        <w:t xml:space="preserve"> </w:t>
      </w:r>
      <w:r>
        <w:t xml:space="preserve">products, disclosure documents also need to present information in a user-friendly manner that is</w:t>
      </w:r>
      <w:r>
        <w:t xml:space="preserve"> </w:t>
      </w:r>
      <w:r>
        <w:t xml:space="preserve">engaging and captures their attention. However, only around half of the information documents</w:t>
      </w:r>
      <w:r>
        <w:t xml:space="preserve"> </w:t>
      </w:r>
      <w:r>
        <w:t xml:space="preserve">reviewed as part of the study contained nudges for reading, and only around half of the mystery</w:t>
      </w:r>
      <w:r>
        <w:t xml:space="preserve"> </w:t>
      </w:r>
      <w:r>
        <w:t xml:space="preserve">shoppers who received an information document were verbally encouraged to read it. The review</w:t>
      </w:r>
      <w:r>
        <w:t xml:space="preserve"> </w:t>
      </w:r>
      <w:r>
        <w:t xml:space="preserve">of information documents shows that they are rarely engaging, and that their layout is</w:t>
      </w:r>
      <w:r>
        <w:t xml:space="preserve"> </w:t>
      </w:r>
      <w:r>
        <w:t xml:space="preserve">frequently very dense and therefore not reader-friendly. Furthermore, presentation of the</w:t>
      </w:r>
      <w:r>
        <w:t xml:space="preserve"> </w:t>
      </w:r>
      <w:r>
        <w:t xml:space="preserve">contents of disclosure documents, notably the PRIIPs KIDs is static, presented in a single document</w:t>
      </w:r>
      <w:r>
        <w:t xml:space="preserve"> </w:t>
      </w:r>
      <w:r>
        <w:t xml:space="preserve">and does not allow layering of information or interactivity to enable users to engage with them</w:t>
      </w:r>
      <w:r>
        <w:t xml:space="preserve"> </w:t>
      </w:r>
      <w:r>
        <w:t xml:space="preserve">according to their needs. This may imply missed opportunities to present the document in more</w:t>
      </w:r>
      <w:r>
        <w:t xml:space="preserve"> </w:t>
      </w:r>
      <w:r>
        <w:t xml:space="preserve">user-friendly ways.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Clarity of information: According to the retail study, information in the documents is clearly</w:t>
      </w:r>
      <w:r>
        <w:t xml:space="preserve"> </w:t>
      </w:r>
      <w:r>
        <w:t xml:space="preserve">presented, accurately labelled and correctly structured. There were notable differences between</w:t>
      </w:r>
      <w:r>
        <w:t xml:space="preserve"> </w:t>
      </w:r>
      <w:r>
        <w:t xml:space="preserve">products, with information on UCITS funds and IBIPs, which corresponded to a majority of</w:t>
      </w:r>
      <w:r>
        <w:t xml:space="preserve"> </w:t>
      </w:r>
      <w:r>
        <w:t xml:space="preserve">Retail study: behavioural experiment on perception of simplified information documents by</w:t>
      </w:r>
      <w:r>
        <w:t xml:space="preserve"> </w:t>
      </w:r>
      <w:r>
        <w:t xml:space="preserve">consumers</w:t>
      </w:r>
      <w:r>
        <w:t xml:space="preserve"> </w:t>
      </w:r>
      <w:r>
        <w:t xml:space="preserve">During the behavioural experiment conducted as part of the retail study, retail investors were</w:t>
      </w:r>
      <w:r>
        <w:t xml:space="preserve"> </w:t>
      </w:r>
      <w:r>
        <w:t xml:space="preserve">exposed to a simplified one-page information document and asked to give feedback on the</w:t>
      </w:r>
      <w:r>
        <w:t xml:space="preserve"> </w:t>
      </w:r>
      <w:r>
        <w:t xml:space="preserve">documents reviewed on the basis of four criteria (ease of understanding; volume of numbers and</w:t>
      </w:r>
      <w:r>
        <w:t xml:space="preserve"> </w:t>
      </w:r>
      <w:r>
        <w:t xml:space="preserve">figures (proxy for complexity); overall layout and presentation (proxy for engagement); usefulness of</w:t>
      </w:r>
      <w:r>
        <w:t xml:space="preserve"> </w:t>
      </w:r>
      <w:r>
        <w:t xml:space="preserve">information). The simplified document that was assessed is much shorter than the documents that</w:t>
      </w:r>
      <w:r>
        <w:t xml:space="preserve"> </w:t>
      </w:r>
      <w:r>
        <w:t xml:space="preserve">are actually observed in the market, which are in practice much longer than one page.</w:t>
      </w:r>
    </w:p>
    <w:p>
      <w:pPr>
        <w:pStyle w:val="BodyText"/>
      </w:pPr>
      <w:r>
        <w:t xml:space="preserve">The ease of understanding of the documents shown was rated the least favourably of the four</w:t>
      </w:r>
      <w:r>
        <w:t xml:space="preserve"> </w:t>
      </w:r>
      <w:r>
        <w:t xml:space="preserve">criteria. On a ten-point scale whereby 1 is very bad and 10 is very good, the average score was</w:t>
      </w:r>
      <w:r>
        <w:t xml:space="preserve"> </w:t>
      </w:r>
      <w:r>
        <w:t xml:space="preserve">slightly above the mid-point – 6.1. Some differences in the rating of these mock-up documents by</w:t>
      </w:r>
      <w:r>
        <w:t xml:space="preserve"> </w:t>
      </w:r>
      <w:r>
        <w:t xml:space="preserve">subgroups were noted:</w:t>
      </w:r>
      <w:r>
        <w:br/>
      </w:r>
      <w:r>
        <w:t xml:space="preserve">1. people with savings, no investments but looking to invest rated the ease of understanding</w:t>
      </w:r>
      <w:r>
        <w:t xml:space="preserve"> </w:t>
      </w:r>
      <w:r>
        <w:t xml:space="preserve">most positively, even though it was still below 7 – average score 6.65; but</w:t>
      </w:r>
      <w:r>
        <w:br/>
      </w:r>
      <w:r>
        <w:t xml:space="preserve">2. people with savings, but not interested in investing rated the ease of understanding the worst –</w:t>
      </w:r>
      <w:r>
        <w:t xml:space="preserve"> </w:t>
      </w:r>
      <w:r>
        <w:t xml:space="preserve">average score 5.68 (i.e. 1 point below the segment of people searching to invest);</w:t>
      </w:r>
      <w:r>
        <w:br/>
      </w:r>
      <w:r>
        <w:t xml:space="preserve">3. people with high trust in banking rated the ease of understanding relatively high (7.59)</w:t>
      </w:r>
      <w:r>
        <w:t xml:space="preserve"> </w:t>
      </w:r>
      <w:r>
        <w:t xml:space="preserve">compared with those whose trust rating of banking is low (5.09);</w:t>
      </w:r>
      <w:r>
        <w:br/>
      </w:r>
      <w:r>
        <w:t xml:space="preserve">4. older age groups considered the documents to be less clear than younger age groups;</w:t>
      </w:r>
      <w:r>
        <w:br/>
      </w:r>
      <w:r>
        <w:t xml:space="preserve">5. risk-averse individuals rated the documents as more understandable than those seeking risk</w:t>
      </w:r>
      <w:r>
        <w:t xml:space="preserve"> </w:t>
      </w:r>
      <w:r>
        <w:t xml:space="preserve">exposure (6.4 versus 5.54);</w:t>
      </w:r>
      <w:r>
        <w:br/>
      </w:r>
      <w:r>
        <w:t xml:space="preserve">6. the differences according to level of education or financial literacy scores were much</w:t>
      </w:r>
      <w:r>
        <w:t xml:space="preserve"> </w:t>
      </w:r>
      <w:r>
        <w:t xml:space="preserve">narrower, with the trust and interest in investing variables recording the greatest differences.</w:t>
      </w:r>
    </w:p>
    <w:p>
      <w:pPr>
        <w:pStyle w:val="BodyText"/>
      </w:pPr>
      <w:r>
        <w:t xml:space="preserve">The complexity of the documents, as measured by the perception of respondents of the volume of</w:t>
      </w:r>
      <w:r>
        <w:t xml:space="preserve"> </w:t>
      </w:r>
      <w:r>
        <w:t xml:space="preserve">numbers and figures, was also rated as middling – 6.51 on a scale of 1 (very bad) to 10 (very good).</w:t>
      </w:r>
      <w:r>
        <w:t xml:space="preserve"> </w:t>
      </w:r>
      <w:r>
        <w:t xml:space="preserve">The documents were already simplified. With regard to differences among subgroups the following</w:t>
      </w:r>
      <w:r>
        <w:t xml:space="preserve"> </w:t>
      </w:r>
      <w:r>
        <w:t xml:space="preserve">were observed:</w:t>
      </w:r>
      <w:r>
        <w:t xml:space="preserve"> </w:t>
      </w:r>
      <w:r>
        <w:t xml:space="preserve">7. people seeking to invest considered the volume of numbers and figures more positively (6.9)</w:t>
      </w:r>
      <w:r>
        <w:t xml:space="preserve"> </w:t>
      </w:r>
      <w:r>
        <w:t xml:space="preserve">than those who were not interested in investing (6.14), while the other segments were in-</w:t>
      </w:r>
      <w:r>
        <w:t xml:space="preserve"> </w:t>
      </w:r>
      <w:r>
        <w:t xml:space="preserve">between;</w:t>
      </w:r>
      <w:r>
        <w:br/>
      </w:r>
      <w:r>
        <w:t xml:space="preserve">8. those with trust in banking considered complexity most positively (7.78 versus 5.74 for those</w:t>
      </w:r>
      <w:r>
        <w:t xml:space="preserve"> </w:t>
      </w:r>
      <w:r>
        <w:t xml:space="preserve">with low levels of trust).</w:t>
      </w:r>
    </w:p>
    <w:p>
      <w:pPr>
        <w:pStyle w:val="BodyText"/>
      </w:pPr>
      <w:r>
        <w:t xml:space="preserve">The layout and presentation of the documents were used as a proxy for the engaging character of</w:t>
      </w:r>
      <w:r>
        <w:t xml:space="preserve"> </w:t>
      </w:r>
      <w:r>
        <w:t xml:space="preserve">the documents. Engagement is a precondition for people to actually read the disclosure documents.</w:t>
      </w:r>
      <w:r>
        <w:t xml:space="preserve"> </w:t>
      </w:r>
      <w:r>
        <w:t xml:space="preserve">This in turn is a prerequisite of effectiveness. The score for the layout of the documents was also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products covered by KIIDs or KIDs, being generally clearer, and information on traditional life</w:t>
      </w:r>
      <w:r>
        <w:t xml:space="preserve"> </w:t>
      </w:r>
      <w:r>
        <w:t xml:space="preserve">insurance and pension funds, which are not subject to a PRIIPs KID, being significantly less clear.</w:t>
      </w:r>
      <w:r>
        <w:t xml:space="preserve"> </w:t>
      </w:r>
      <w:r>
        <w:t xml:space="preserve">It can be deduced that the specifications for the titles and content of different sections that must be</w:t>
      </w:r>
      <w:r>
        <w:t xml:space="preserve"> </w:t>
      </w:r>
      <w:r>
        <w:t xml:space="preserve">completed by the product manufacturer in KIID and KID templates have contributed to greater</w:t>
      </w:r>
      <w:r>
        <w:t xml:space="preserve"> </w:t>
      </w:r>
      <w:r>
        <w:t xml:space="preserve">clarity. Comparative to other elements of disclosure, the study concluded that information on costs</w:t>
      </w:r>
      <w:r>
        <w:t xml:space="preserve"> </w:t>
      </w:r>
      <w:r>
        <w:t xml:space="preserve">was complex and sometimes inconsistent, making comparison and use challenging for retail</w:t>
      </w:r>
      <w:r>
        <w:t xml:space="preserve"> </w:t>
      </w:r>
      <w:r>
        <w:t xml:space="preserve">investors. A specific issue was identified, notably in case of KIDs for Multi-Option Products</w:t>
      </w:r>
      <w:r>
        <w:t xml:space="preserve"> </w:t>
      </w:r>
      <w:r>
        <w:t xml:space="preserve">(“MOPs”), which consist of a wrapper (insurance contract) and an underlying investment, where</w:t>
      </w:r>
      <w:r>
        <w:t xml:space="preserve"> </w:t>
      </w:r>
      <w:r>
        <w:t xml:space="preserve">clients choose between multiple options (e.g. whether returns are linked to S&amp;P500 index, Stoxx</w:t>
      </w:r>
      <w:r>
        <w:t xml:space="preserve"> </w:t>
      </w:r>
      <w:r>
        <w:t xml:space="preserve">Europe 600 or several specific shares). The Advice of the ESA joint committee on PRIIPs confirms</w:t>
      </w:r>
      <w:r>
        <w:t xml:space="preserve"> </w:t>
      </w:r>
      <w:r>
        <w:t xml:space="preserve">that it is difficult for the investor to identify the total costs related to a particular investment option</w:t>
      </w:r>
      <w:r>
        <w:t xml:space="preserve"> </w:t>
      </w:r>
      <w:r>
        <w:t xml:space="preserve">and information on the underlying investment option typically does not include the total costs of</w:t>
      </w:r>
      <w:r>
        <w:t xml:space="preserve"> </w:t>
      </w:r>
      <w:r>
        <w:t xml:space="preserve">investing in that option. This hinders retail investors’ ability to understand costs related to these</w:t>
      </w:r>
      <w:r>
        <w:t xml:space="preserve"> </w:t>
      </w:r>
      <w:r>
        <w:t xml:space="preserve">products and hence reduces the effectiveness of PRIIPs KIDs for this market segment.</w:t>
      </w:r>
      <w:r>
        <w:br/>
      </w:r>
      <w:r>
        <w:t xml:space="preserve">Comparability of information: Even though according to the Retail investment study the</w:t>
      </w:r>
      <w:r>
        <w:t xml:space="preserve"> </w:t>
      </w:r>
      <w:r>
        <w:t xml:space="preserve">comparability of information documents was generally rated lower than the clarity of the</w:t>
      </w:r>
      <w:r>
        <w:t xml:space="preserve"> </w:t>
      </w:r>
      <w:r>
        <w:t xml:space="preserve">information provided, notably across product categories, it is evident that the application of the</w:t>
      </w:r>
      <w:r>
        <w:t xml:space="preserve"> </w:t>
      </w:r>
      <w:r>
        <w:t xml:space="preserve">regime around disclosures has improved comparability and understandability of products through</w:t>
      </w:r>
      <w:r>
        <w:t xml:space="preserve"> </w:t>
      </w:r>
      <w:r>
        <w:t xml:space="preserve">information documents. Comparability is relevant to the market, as the consumer survey conducted</w:t>
      </w:r>
      <w:r>
        <w:t xml:space="preserve"> </w:t>
      </w:r>
      <w:r>
        <w:t xml:space="preserve">as part of the retail investment study showed that 76% of those who hold at least one investment</w:t>
      </w:r>
      <w:r>
        <w:t xml:space="preserve"> </w:t>
      </w:r>
      <w:r>
        <w:t xml:space="preserve">product do make comparisons before making their choice: 40% compared products of the same</w:t>
      </w:r>
      <w:r>
        <w:t xml:space="preserve"> </w:t>
      </w:r>
      <w:r>
        <w:t xml:space="preserve">type, while another 36% compared different types of products. The type of information included</w:t>
      </w:r>
      <w:r>
        <w:t xml:space="preserve"> </w:t>
      </w:r>
      <w:r>
        <w:t xml:space="preserve">in the information documents (products description, risk, past and expected future performance,</w:t>
      </w:r>
      <w:r>
        <w:t xml:space="preserve"> </w:t>
      </w:r>
      <w:r>
        <w:t xml:space="preserve">costs, holding period) contribute to consumer understanding and are relevant in driving consumer</w:t>
      </w:r>
      <w:r>
        <w:t xml:space="preserve"> </w:t>
      </w:r>
      <w:r>
        <w:t xml:space="preserve">choices, as confirmed by the results of a questionnaire in the retail study. The transparency of</w:t>
      </w:r>
      <w:r>
        <w:t xml:space="preserve"> </w:t>
      </w:r>
      <w:r>
        <w:t xml:space="preserve">information provides evidence that can be used in the event of any litigation.</w:t>
      </w:r>
      <w:r>
        <w:br/>
      </w:r>
      <w:r>
        <w:t xml:space="preserve">Decision-making: The behavioural experiment conducted as part of the study, using already</w:t>
      </w:r>
      <w:r>
        <w:t xml:space="preserve"> </w:t>
      </w:r>
      <w:r>
        <w:t xml:space="preserve">simplified versions of the product information documents, demonstrated the limits of the</w:t>
      </w:r>
      <w:r>
        <w:t xml:space="preserve"> </w:t>
      </w:r>
      <w:r>
        <w:t xml:space="preserve">effectiveness of disclosure when it comes to supporting retail investors’ decision making.</w:t>
      </w:r>
      <w:r>
        <w:t xml:space="preserve"> </w:t>
      </w:r>
      <w:r>
        <w:t xml:space="preserve">Simplified information documents, for certain products such as UCITS and insurance products,</w:t>
      </w:r>
      <w:r>
        <w:t xml:space="preserve"> </w:t>
      </w:r>
      <w:r>
        <w:t xml:space="preserve">were effective in supporting optimal choice, similar to the status quo. Such documents were</w:t>
      </w:r>
      <w:r>
        <w:t xml:space="preserve"> </w:t>
      </w:r>
      <w:r>
        <w:t xml:space="preserve">however not as effective where more complex products were involved, and with which people were</w:t>
      </w:r>
      <w:r>
        <w:t xml:space="preserve"> </w:t>
      </w:r>
      <w:r>
        <w:t xml:space="preserve">not familiar. Financial literacy also plays a role in this regard.</w:t>
      </w:r>
      <w:r>
        <w:br/>
      </w:r>
      <w:r>
        <w:t xml:space="preserve">Overall, disclosure rules have led to improved and more comparable documents for retail investors.</w:t>
      </w:r>
      <w:r>
        <w:t xml:space="preserve"> </w:t>
      </w:r>
      <w:r>
        <w:t xml:space="preserve">However, weaknesses were identified with respect to accessibility of the documents during the</w:t>
      </w:r>
      <w:r>
        <w:t xml:space="preserve"> </w:t>
      </w:r>
      <w:r>
        <w:t xml:space="preserve">advice process and with their readability and lack of user-friendly presentation. The complexity of</w:t>
      </w:r>
      <w:r>
        <w:t xml:space="preserve"> </w:t>
      </w:r>
      <w:r>
        <w:t xml:space="preserve">the information, in particular relating to costs, inhibits understanding. Documents are also rarely</w:t>
      </w:r>
      <w:r>
        <w:t xml:space="preserve"> </w:t>
      </w:r>
      <w:r>
        <w:t xml:space="preserve">engaging, and their layout is frequently very dense and therefore not reader-friendly. While they</w:t>
      </w:r>
      <w:r>
        <w:t xml:space="preserve"> </w:t>
      </w:r>
      <w:r>
        <w:t xml:space="preserve">contain relevant information that can guide investor decisions, these weaknesses hinder, to a certain</w:t>
      </w:r>
      <w:r>
        <w:t xml:space="preserve"> </w:t>
      </w:r>
      <w:r>
        <w:t xml:space="preserve">extent, the actual use of such information by retail investors in their investment journey.</w:t>
      </w:r>
      <w:r>
        <w:br/>
      </w:r>
      <w:r>
        <w:t xml:space="preserve">With respect to marketing communications, the current rules under the MiFID and IDD</w:t>
      </w:r>
      <w:r>
        <w:t xml:space="preserve"> </w:t>
      </w:r>
      <w:r>
        <w:t xml:space="preserve">frameworks require inter alia that marketing communications are clearly identifiable as such and</w:t>
      </w:r>
      <w:r>
        <w:t xml:space="preserve"> </w:t>
      </w:r>
      <w:r>
        <w:t xml:space="preserve">that the information they contain is consistent with any information the distributor provides to</w:t>
      </w:r>
      <w:r>
        <w:t xml:space="preserve"> </w:t>
      </w:r>
      <w:r>
        <w:t xml:space="preserve">investors in the course of providing investment services. However, in terms of the effectiveness of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these rules, ESMA607 has indicated that there may be confusion in how the definition of marketing</w:t>
      </w:r>
      <w:r>
        <w:t xml:space="preserve"> </w:t>
      </w:r>
      <w:r>
        <w:t xml:space="preserve">communications is applied, and whether online advertising and firms’ private messages to clients</w:t>
      </w:r>
      <w:r>
        <w:t xml:space="preserve"> </w:t>
      </w:r>
      <w:r>
        <w:t xml:space="preserve">and potential clients on social media fall under this definition608, both when communicated directly</w:t>
      </w:r>
      <w:r>
        <w:t xml:space="preserve"> </w:t>
      </w:r>
      <w:r>
        <w:t xml:space="preserve">by the firm or through third parties’ social media (i.e. finfluencers who operate on behalf of</w:t>
      </w:r>
      <w:r>
        <w:t xml:space="preserve"> </w:t>
      </w:r>
      <w:r>
        <w:t xml:space="preserve">financial service providers). Marketing communications, particularly in the online environment,</w:t>
      </w:r>
      <w:r>
        <w:t xml:space="preserve"> </w:t>
      </w:r>
      <w:r>
        <w:t xml:space="preserve">may also tend to overemphasize the potential benefits of the product and hide information on costs</w:t>
      </w:r>
      <w:r>
        <w:t xml:space="preserve"> </w:t>
      </w:r>
      <w:r>
        <w:t xml:space="preserve">and risks.609</w:t>
      </w:r>
      <w:r>
        <w:br/>
      </w:r>
      <w:r>
        <w:t xml:space="preserve">The PRIIPs regulation requires marketing communications to avoid inconsistencies with</w:t>
      </w:r>
      <w:r>
        <w:t xml:space="preserve"> </w:t>
      </w:r>
      <w:r>
        <w:t xml:space="preserve">KIDs or prohibit them from reducing its significance. Limited information is available</w:t>
      </w:r>
      <w:r>
        <w:t xml:space="preserve"> </w:t>
      </w:r>
      <w:r>
        <w:t xml:space="preserve">from supervisors regarding the efficiency of this rule610. Nine NCAs do not supervise</w:t>
      </w:r>
      <w:r>
        <w:t xml:space="preserve"> </w:t>
      </w:r>
      <w:r>
        <w:t xml:space="preserve">marketing documents and six NCAs reported no material differences between PRIIPs</w:t>
      </w:r>
      <w:r>
        <w:t xml:space="preserve"> </w:t>
      </w:r>
      <w:r>
        <w:t xml:space="preserve">marketing materials and the KID. Meanwhile, two sources of evidence – responses to the</w:t>
      </w:r>
      <w:r>
        <w:t xml:space="preserve"> </w:t>
      </w:r>
      <w:r>
        <w:t xml:space="preserve">call for evidence and a mystery shopping exercise conducted by one NCA – indicated that</w:t>
      </w:r>
      <w:r>
        <w:t xml:space="preserve"> </w:t>
      </w:r>
      <w:r>
        <w:t xml:space="preserve">distributors tend to focus on marketing documents in the sales process, instead of the KIDs.</w:t>
      </w:r>
      <w:r>
        <w:t xml:space="preserve"> </w:t>
      </w:r>
      <w:r>
        <w:t xml:space="preserve">Efficiency</w:t>
      </w:r>
      <w:r>
        <w:t xml:space="preserve"> </w:t>
      </w:r>
      <w:r>
        <w:t xml:space="preserve">According to the study, the efficiency (cost-effectiveness) of requirements regarding disclosure</w:t>
      </w:r>
      <w:r>
        <w:t xml:space="preserve"> </w:t>
      </w:r>
      <w:r>
        <w:t xml:space="preserve">through information documents is high, also considering the overall attainment of the objective of</w:t>
      </w:r>
      <w:r>
        <w:t xml:space="preserve"> </w:t>
      </w:r>
      <w:r>
        <w:t xml:space="preserve">increasing retail investor protection that has been described above. The study estimated that total</w:t>
      </w:r>
      <w:r>
        <w:t xml:space="preserve"> </w:t>
      </w:r>
      <w:r>
        <w:t xml:space="preserve">ongoing costs for all three main product categories (investment funds, pension products and</w:t>
      </w:r>
      <w:r>
        <w:t xml:space="preserve"> </w:t>
      </w:r>
      <w:r>
        <w:t xml:space="preserve">insurance products) are approximately 570 million euro per year. When estimating the cost per</w:t>
      </w:r>
      <w:r>
        <w:t xml:space="preserve"> </w:t>
      </w:r>
      <w:r>
        <w:t xml:space="preserve">client, we calculate a unit cost of €3.86. The estimated cost represents approximately 0.0017% of</w:t>
      </w:r>
      <w:r>
        <w:t xml:space="preserve"> </w:t>
      </w:r>
      <w:r>
        <w:t xml:space="preserve">the net asset value. In addition, there are several lesser issues with regard to legal clarity, such as</w:t>
      </w:r>
      <w:r>
        <w:t xml:space="preserve"> </w:t>
      </w:r>
      <w:r>
        <w:t xml:space="preserve">whether PRIIPs applies to certain types of corporate bonds, which could be addressed to further</w:t>
      </w:r>
      <w:r>
        <w:t xml:space="preserve"> </w:t>
      </w:r>
      <w:r>
        <w:t xml:space="preserve">improve efficiency.</w:t>
      </w:r>
      <w:r>
        <w:br/>
      </w:r>
      <w:r>
        <w:t xml:space="preserve">Coherence</w:t>
      </w:r>
      <w:r>
        <w:t xml:space="preserve"> </w:t>
      </w:r>
      <w:r>
        <w:t xml:space="preserve">Overall, the requirements for format, readability, clarity, conciseness, language use and</w:t>
      </w:r>
      <w:r>
        <w:t xml:space="preserve"> </w:t>
      </w:r>
      <w:r>
        <w:t xml:space="preserve">comprehensive coverage are coherent across the different legislative texts. The key elements</w:t>
      </w:r>
      <w:r>
        <w:t xml:space="preserve"> </w:t>
      </w:r>
      <w:r>
        <w:t xml:space="preserve">relating to disclosures that have been identified in the retail study for the assessment of the</w:t>
      </w:r>
      <w:r>
        <w:t xml:space="preserve"> </w:t>
      </w:r>
      <w:r>
        <w:t xml:space="preserve">coherence of the framework are:</w:t>
      </w:r>
      <w:r>
        <w:t xml:space="preserve"> </w:t>
      </w:r>
      <w:r>
        <w:t xml:space="preserve">Means of information communication: All EU legislative texts include the option to</w:t>
      </w:r>
      <w:r>
        <w:t xml:space="preserve"> </w:t>
      </w:r>
      <w:r>
        <w:t xml:space="preserve">communicate the pre-contractual information through various means, i.e. on paper, on a durable</w:t>
      </w:r>
      <w:r>
        <w:t xml:space="preserve"> </w:t>
      </w:r>
      <w:r>
        <w:t xml:space="preserve">medium other than paper under certain conditions, and on a website under certain conditions. The</w:t>
      </w:r>
      <w:r>
        <w:t xml:space="preserve"> </w:t>
      </w:r>
      <w:r>
        <w:t xml:space="preserve">different requirements across the legislative framework created inconsistencies and</w:t>
      </w:r>
      <w:r>
        <w:t xml:space="preserve"> </w:t>
      </w:r>
      <w:r>
        <w:t xml:space="preserve">impracticalities, such as when one information document is provided to the retail investor in paper</w:t>
      </w:r>
      <w:r>
        <w:t xml:space="preserve"> </w:t>
      </w:r>
      <w:r>
        <w:t xml:space="preserve">format, while another is available only online. This provides evidence of the need to make changes</w:t>
      </w:r>
      <w:r>
        <w:t xml:space="preserve"> </w:t>
      </w:r>
      <w:r>
        <w:t xml:space="preserve">to the regulatory framework to increase coherence across the different legislative texts. It is also</w:t>
      </w:r>
      <w:r>
        <w:t xml:space="preserve"> </w:t>
      </w:r>
      <w:r>
        <w:t xml:space="preserve">linked to the increased need for digitalisation of financial services disclosures. The ESAs have also</w:t>
      </w:r>
    </w:p>
    <w:p>
      <w:pPr>
        <w:pStyle w:val="BodyText"/>
      </w:pPr>
      <w:r>
        <w:t xml:space="preserve">607 ESMA advice on retail investor protection, page 9.</w:t>
      </w:r>
      <w:r>
        <w:t xml:space="preserve"> </w:t>
      </w:r>
      <w:r>
        <w:t xml:space="preserve">608 ESMA advice on retail investor protection, page 9, point 21.</w:t>
      </w:r>
      <w:r>
        <w:t xml:space="preserve"> </w:t>
      </w:r>
      <w:r>
        <w:t xml:space="preserve">609 ESMA advice on retail investor protection, pages 10 and 14.</w:t>
      </w:r>
      <w:r>
        <w:t xml:space="preserve"> </w:t>
      </w:r>
      <w:r>
        <w:t xml:space="preserve">610 Advice of the ESA joint committee on PRIIPs.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concluded that digitalization trends are not adequately captured and that although the current</w:t>
      </w:r>
      <w:r>
        <w:t xml:space="preserve"> </w:t>
      </w:r>
      <w:r>
        <w:t xml:space="preserve">framework is “supposed to be technology-neutral, it was mainly designed without considering</w:t>
      </w:r>
      <w:r>
        <w:t xml:space="preserve"> </w:t>
      </w:r>
      <w:r>
        <w:t xml:space="preserve">digital distribution, and certainly before the “app-revolution611”. Likewise, the Retail investment</w:t>
      </w:r>
      <w:r>
        <w:t xml:space="preserve"> </w:t>
      </w:r>
      <w:r>
        <w:t xml:space="preserve">study also suggested the need for greater emphasis on the digital environment612. Disclosures that</w:t>
      </w:r>
      <w:r>
        <w:t xml:space="preserve"> </w:t>
      </w:r>
      <w:r>
        <w:t xml:space="preserve">would be digitally adapted would allow for minimisation of information overload (through layering</w:t>
      </w:r>
      <w:r>
        <w:t xml:space="preserve"> </w:t>
      </w:r>
      <w:r>
        <w:t xml:space="preserve">of information) and for greater accessibility in the growing digital distribution channels. But</w:t>
      </w:r>
      <w:r>
        <w:t xml:space="preserve"> </w:t>
      </w:r>
      <w:r>
        <w:t xml:space="preserve">disclosure rules currently differ in this aspect - while some more recent legal frameworks such as</w:t>
      </w:r>
      <w:r>
        <w:t xml:space="preserve"> </w:t>
      </w:r>
      <w:r>
        <w:t xml:space="preserve">the PEPP cater greater digital use of key information documents, PRIIPS has not been similarly</w:t>
      </w:r>
      <w:r>
        <w:t xml:space="preserve"> </w:t>
      </w:r>
      <w:r>
        <w:t xml:space="preserve">adjusted yet.</w:t>
      </w:r>
      <w:r>
        <w:br/>
      </w:r>
      <w:r>
        <w:t xml:space="preserve">The figure below (presented in the retail investment study) shows the relationship between the</w:t>
      </w:r>
      <w:r>
        <w:t xml:space="preserve"> </w:t>
      </w:r>
      <w:r>
        <w:t xml:space="preserve">volume of disclosure and retail investor understanding of the products.</w:t>
      </w:r>
      <w:r>
        <w:br/>
      </w:r>
      <w:r>
        <w:t xml:space="preserve">Figure 5: relationship between the volume of disclosure and retail investor understanding of</w:t>
      </w:r>
      <w:r>
        <w:t xml:space="preserve"> </w:t>
      </w:r>
      <w:r>
        <w:t xml:space="preserve">the products</w:t>
      </w:r>
    </w:p>
    <w:p>
      <w:pPr>
        <w:pStyle w:val="BodyText"/>
      </w:pPr>
      <w:r>
        <w:t xml:space="preserve">Informational requirements and methodology: the requirements regarding the introductory</w:t>
      </w:r>
      <w:r>
        <w:t xml:space="preserve"> </w:t>
      </w:r>
      <w:r>
        <w:t xml:space="preserve">section of pre-contractual disclosure documents are broadly coherent. Some overlapping</w:t>
      </w:r>
      <w:r>
        <w:t xml:space="preserve"> </w:t>
      </w:r>
      <w:r>
        <w:t xml:space="preserve">information requirements are present in EU legislation related to the sale of IBIPs (also underlined</w:t>
      </w:r>
      <w:r>
        <w:t xml:space="preserve"> </w:t>
      </w:r>
      <w:r>
        <w:t xml:space="preserve">by EIOPA). EIOPA made specific recommendations for addressing duplication (overlapping</w:t>
      </w:r>
      <w:r>
        <w:t xml:space="preserve"> </w:t>
      </w:r>
      <w:r>
        <w:t xml:space="preserve">information requirements) by targeted interventions in Solvency II, IDD and the DMFSD (Distance</w:t>
      </w:r>
      <w:r>
        <w:t xml:space="preserve"> </w:t>
      </w:r>
      <w:r>
        <w:t xml:space="preserve">Marketing for Financial Services Directive). With regard to the methodologies for calculating risks,</w:t>
      </w:r>
      <w:r>
        <w:t xml:space="preserve"> </w:t>
      </w:r>
      <w:r>
        <w:t xml:space="preserve">some concerns were expressed, during the interviews conducted as part of the study, regarding the</w:t>
      </w:r>
      <w:r>
        <w:t xml:space="preserve"> </w:t>
      </w:r>
      <w:r>
        <w:t xml:space="preserve">comparability of performance disclosure in the PRIIPs KID for its application in the insurance</w:t>
      </w:r>
      <w:r>
        <w:t xml:space="preserve"> </w:t>
      </w:r>
      <w:r>
        <w:t xml:space="preserve">sector. However, elements of PRIIPs KIDs related to presentation of cost and performance have</w:t>
      </w:r>
      <w:r>
        <w:t xml:space="preserve"> </w:t>
      </w:r>
      <w:r>
        <w:t xml:space="preserve">been recently amended through secondary legislation, applicable from January 2023, so it will take</w:t>
      </w:r>
      <w:r>
        <w:t xml:space="preserve"> </w:t>
      </w:r>
      <w:r>
        <w:t xml:space="preserve">several years before sufficient experience is accumulated to properly assess whether these changes</w:t>
      </w:r>
      <w:r>
        <w:t xml:space="preserve"> </w:t>
      </w:r>
      <w:r>
        <w:t xml:space="preserve">have been effective. Interviewees expressed concern that the KID requirements were developed for</w:t>
      </w:r>
      <w:r>
        <w:t xml:space="preserve"> </w:t>
      </w:r>
      <w:r>
        <w:t xml:space="preserve">investment funds and were ill-adapted to insurance products. Some interviewees mentioned certain</w:t>
      </w:r>
    </w:p>
    <w:p>
      <w:pPr>
        <w:pStyle w:val="BodyText"/>
      </w:pPr>
      <w:r>
        <w:t xml:space="preserve">611 Advice of the ESA joint committee on PRIIPs, page 43, para 3.5.1 and EIOPA advice on retail investor</w:t>
      </w:r>
      <w:r>
        <w:t xml:space="preserve"> </w:t>
      </w:r>
      <w:r>
        <w:t xml:space="preserve">protection, page 36.</w:t>
      </w:r>
      <w:r>
        <w:t xml:space="preserve"> </w:t>
      </w:r>
      <w:r>
        <w:t xml:space="preserve">612 Retail investment study, pages 15 and 106.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elements specific to insurance-based investment products (biometric risk coverage) that do not find</w:t>
      </w:r>
      <w:r>
        <w:t xml:space="preserve"> </w:t>
      </w:r>
      <w:r>
        <w:t xml:space="preserve">an appropriate placeholder in the KID.</w:t>
      </w:r>
      <w:r>
        <w:br/>
      </w:r>
      <w:r>
        <w:t xml:space="preserve">Comparability of costs: The study shows that the comparability of costs across products has not</w:t>
      </w:r>
      <w:r>
        <w:t xml:space="preserve"> </w:t>
      </w:r>
      <w:r>
        <w:t xml:space="preserve">(yet) been achieved and that retail investors face uncertainties. The differences relate mainly to</w:t>
      </w:r>
      <w:r>
        <w:t xml:space="preserve"> </w:t>
      </w:r>
      <w:r>
        <w:t xml:space="preserve">technical aspects, such as the reference period, methodologies, etc. and to reconciling the overall</w:t>
      </w:r>
      <w:r>
        <w:t xml:space="preserve"> </w:t>
      </w:r>
      <w:r>
        <w:t xml:space="preserve">costs with the breakdown of the costs. Another example (as a challenge to internal coherence of</w:t>
      </w:r>
      <w:r>
        <w:t xml:space="preserve"> </w:t>
      </w:r>
      <w:r>
        <w:t xml:space="preserve">the PRIIPs framework) are the difficulties for retail investors to compare total costs of MOPs,</w:t>
      </w:r>
      <w:r>
        <w:t xml:space="preserve"> </w:t>
      </w:r>
      <w:r>
        <w:t xml:space="preserve">which is described under effectiveness. Practical incoherence has also been mentioned in ESMA’s</w:t>
      </w:r>
      <w:r>
        <w:t xml:space="preserve"> </w:t>
      </w:r>
      <w:r>
        <w:t xml:space="preserve">Technical Advice. The incoherent practices in the application of the current framework largely</w:t>
      </w:r>
      <w:r>
        <w:t xml:space="preserve"> </w:t>
      </w:r>
      <w:r>
        <w:t xml:space="preserve">diminish the usefulness of disclosures on their investor journey.</w:t>
      </w:r>
    </w:p>
    <w:p>
      <w:pPr>
        <w:pStyle w:val="BodyText"/>
      </w:pPr>
      <w:r>
        <w:t xml:space="preserve">4.1.2: More specifically, have the rules on inducements and advice</w:t>
      </w:r>
      <w:r>
        <w:t xml:space="preserve"> </w:t>
      </w:r>
      <w:r>
        <w:t xml:space="preserve">been successful in reducing conflict of interest problems?</w:t>
      </w:r>
      <w:r>
        <w:t xml:space="preserve"> </w:t>
      </w:r>
      <w:r>
        <w:t xml:space="preserve">Effectiveness</w:t>
      </w:r>
      <w:r>
        <w:t xml:space="preserve"> </w:t>
      </w:r>
      <w:r>
        <w:t xml:space="preserve">Rules on inducements were introduced in order to tackle the problem of conflicts of interest at the</w:t>
      </w:r>
      <w:r>
        <w:t xml:space="preserve"> </w:t>
      </w:r>
      <w:r>
        <w:t xml:space="preserve">level of the intermediary, which are inherent in the “commissions-based” distribution model.</w:t>
      </w:r>
      <w:r>
        <w:t xml:space="preserve"> </w:t>
      </w:r>
      <w:r>
        <w:t xml:space="preserve">Financial intermediaries receive remuneration from persons other than retail investors for the</w:t>
      </w:r>
      <w:r>
        <w:t xml:space="preserve"> </w:t>
      </w:r>
      <w:r>
        <w:t xml:space="preserve">products they are recommending and selling to them. These conflicts of interest can be significant</w:t>
      </w:r>
      <w:r>
        <w:t xml:space="preserve"> </w:t>
      </w:r>
      <w:r>
        <w:t xml:space="preserve">since remuneration through inducements can represent an important portion of the incomes of</w:t>
      </w:r>
      <w:r>
        <w:t xml:space="preserve"> </w:t>
      </w:r>
      <w:r>
        <w:t xml:space="preserve">intermediaries.</w:t>
      </w:r>
      <w:r>
        <w:br/>
      </w:r>
      <w:r>
        <w:t xml:space="preserve">The key elements related to rules on inducements and advice that have been identified, inter alia</w:t>
      </w:r>
      <w:r>
        <w:t xml:space="preserve"> </w:t>
      </w:r>
      <w:r>
        <w:t xml:space="preserve">in the Retail investment study, for the assessment of the effectiveness of the framework are:</w:t>
      </w:r>
      <w:r>
        <w:t xml:space="preserve"> </w:t>
      </w:r>
      <w:r>
        <w:t xml:space="preserve"> the legal provisions regarding the disclosure of inducements are not being fully</w:t>
      </w:r>
      <w:r>
        <w:t xml:space="preserve"> </w:t>
      </w:r>
      <w:r>
        <w:t xml:space="preserve">implemented and reduce the usefulness for investors’ decision-making:</w:t>
      </w:r>
      <w:r>
        <w:br/>
      </w:r>
      <w:r>
        <w:t xml:space="preserve">o The information documents analysed rarely contain explicit information</w:t>
      </w:r>
      <w:r>
        <w:t xml:space="preserve"> </w:t>
      </w:r>
      <w:r>
        <w:t xml:space="preserve">about inducements613. In order to identify information about inducements,</w:t>
      </w:r>
      <w:r>
        <w:t xml:space="preserve"> </w:t>
      </w:r>
      <w:r>
        <w:t xml:space="preserve">it is necessary to search in other types of documents, and even there this</w:t>
      </w:r>
      <w:r>
        <w:t xml:space="preserve"> </w:t>
      </w:r>
      <w:r>
        <w:t xml:space="preserve">information is not provided in a clear and direct manner.</w:t>
      </w:r>
      <w:r>
        <w:t xml:space="preserve"> </w:t>
      </w:r>
      <w:r>
        <w:t xml:space="preserve">o Costs disclosed by product manufacturers do not specify the share of the</w:t>
      </w:r>
      <w:r>
        <w:t xml:space="preserve"> </w:t>
      </w:r>
      <w:r>
        <w:t xml:space="preserve">costs that are linked to the payment of inducement to distributors.</w:t>
      </w:r>
      <w:r>
        <w:t xml:space="preserve"> </w:t>
      </w:r>
      <w:r>
        <w:t xml:space="preserve">Therefore, when considering disclosure from product manufacturers, end-</w:t>
      </w:r>
      <w:r>
        <w:t xml:space="preserve"> </w:t>
      </w:r>
      <w:r>
        <w:t xml:space="preserve">investors are not in a position to quantify the extra cost linked to the fact</w:t>
      </w:r>
      <w:r>
        <w:t xml:space="preserve"> </w:t>
      </w:r>
      <w:r>
        <w:t xml:space="preserve">that the product they buy is subject to inducements.</w:t>
      </w:r>
      <w:r>
        <w:br/>
      </w:r>
      <w:r>
        <w:t xml:space="preserve">o As the amount of inducements is directly decided and paid by product</w:t>
      </w:r>
      <w:r>
        <w:t xml:space="preserve"> </w:t>
      </w:r>
      <w:r>
        <w:t xml:space="preserve">manufacturers, distributors are usually only in a position to disclose the</w:t>
      </w:r>
      <w:r>
        <w:t xml:space="preserve"> </w:t>
      </w:r>
      <w:r>
        <w:t xml:space="preserve">general conditions surrounding inducements to end-investors.</w:t>
      </w:r>
      <w:r>
        <w:t xml:space="preserve"> </w:t>
      </w:r>
      <w:r>
        <w:t xml:space="preserve">o Inducements are also frequently not disclosed during client conversations</w:t>
      </w:r>
      <w:r>
        <w:t xml:space="preserve"> </w:t>
      </w:r>
      <w:r>
        <w:t xml:space="preserve">as observed during the mystery shopping.</w:t>
      </w:r>
      <w:r>
        <w:br/>
      </w:r>
      <w:r>
        <w:t xml:space="preserve"> The rules on disclosure of inducements aimed at ensuring retail investors would</w:t>
      </w:r>
      <w:r>
        <w:t xml:space="preserve"> </w:t>
      </w:r>
      <w:r>
        <w:t xml:space="preserve">be made aware of the advisor’s potential gains from the sale of a given product and</w:t>
      </w:r>
    </w:p>
    <w:p>
      <w:pPr>
        <w:pStyle w:val="BodyText"/>
      </w:pPr>
      <w:r>
        <w:t xml:space="preserve">613 The references to inducements are often implicit. In most product information sheets only one line is</w:t>
      </w:r>
      <w:r>
        <w:t xml:space="preserve"> </w:t>
      </w:r>
      <w:r>
        <w:t xml:space="preserve">included in the costs disclosure along the lines of: “This also includes the costs of selling and marketing</w:t>
      </w:r>
      <w:r>
        <w:t xml:space="preserve"> </w:t>
      </w:r>
      <w:r>
        <w:t xml:space="preserve">the product” or “This includes the cost of distributing your product”.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thus contribute to better-informed choices. However, according to the survey</w:t>
      </w:r>
      <w:r>
        <w:t xml:space="preserve"> </w:t>
      </w:r>
      <w:r>
        <w:t xml:space="preserve">conducted as part of the study, most retail investors do not understand the concept</w:t>
      </w:r>
      <w:r>
        <w:t xml:space="preserve"> </w:t>
      </w:r>
      <w:r>
        <w:t xml:space="preserve">of inducements (only 36% of respondents chose the correct statement about the</w:t>
      </w:r>
      <w:r>
        <w:t xml:space="preserve"> </w:t>
      </w:r>
      <w:r>
        <w:t xml:space="preserve">meaning of inducements). Retail investors are also primarily concerned with the</w:t>
      </w:r>
      <w:r>
        <w:t xml:space="preserve"> </w:t>
      </w:r>
      <w:r>
        <w:t xml:space="preserve">overall product costs, and not the costs of selling the product (inducements) that</w:t>
      </w:r>
      <w:r>
        <w:t xml:space="preserve"> </w:t>
      </w:r>
      <w:r>
        <w:t xml:space="preserve">are being passed on to them. Such disclosures can still be important, as they can</w:t>
      </w:r>
      <w:r>
        <w:t xml:space="preserve"> </w:t>
      </w:r>
      <w:r>
        <w:t xml:space="preserve">increase competition between manufacturers and distributors and lead to lower</w:t>
      </w:r>
      <w:r>
        <w:t xml:space="preserve"> </w:t>
      </w:r>
      <w:r>
        <w:t xml:space="preserve">prices and allow retail investors to seek redress if they feel that the advice they</w:t>
      </w:r>
      <w:r>
        <w:t xml:space="preserve"> </w:t>
      </w:r>
      <w:r>
        <w:t xml:space="preserve">received was inappropriate. However, disclosure of inducements does not appear</w:t>
      </w:r>
      <w:r>
        <w:t xml:space="preserve"> </w:t>
      </w:r>
      <w:r>
        <w:t xml:space="preserve">to make substantial difference to a consumer’s informed choice as it does not</w:t>
      </w:r>
      <w:r>
        <w:t xml:space="preserve"> </w:t>
      </w:r>
      <w:r>
        <w:t xml:space="preserve">sufficiently address the inherent conflict of interest.</w:t>
      </w:r>
      <w:r>
        <w:t xml:space="preserve"> </w:t>
      </w:r>
      <w:r>
        <w:t xml:space="preserve"></w:t>
      </w:r>
      <w:r>
        <w:t xml:space="preserve"> </w:t>
      </w:r>
      <w:r>
        <w:t xml:space="preserve">In terms of the impact of the rules on consumer behaviour and choice, the</w:t>
      </w:r>
      <w:r>
        <w:t xml:space="preserve"> </w:t>
      </w:r>
      <w:r>
        <w:t xml:space="preserve">behavioural experiment, conducted as part of the Retail investment study, found</w:t>
      </w:r>
      <w:r>
        <w:t xml:space="preserve"> </w:t>
      </w:r>
      <w:r>
        <w:t xml:space="preserve">that:</w:t>
      </w:r>
      <w:r>
        <w:br/>
      </w:r>
      <w:r>
        <w:t xml:space="preserve">o The inclusion of a statement about inducements in financial advice is only</w:t>
      </w:r>
      <w:r>
        <w:t xml:space="preserve"> </w:t>
      </w:r>
      <w:r>
        <w:t xml:space="preserve">marginally likely to influence the consideration paid by retail investors to</w:t>
      </w:r>
      <w:r>
        <w:t xml:space="preserve"> </w:t>
      </w:r>
      <w:r>
        <w:t xml:space="preserve">Professional advice as part of the consumer journey</w:t>
      </w:r>
      <w:r>
        <w:br/>
      </w:r>
      <w:r>
        <w:t xml:space="preserve">As part of the retail study, a segmentation of consumers surveyed in 10 countries was performed,</w:t>
      </w:r>
      <w:r>
        <w:t xml:space="preserve"> </w:t>
      </w:r>
      <w:r>
        <w:t xml:space="preserve">according to a number of characteristics which are likely to make them more or less vulnerable</w:t>
      </w:r>
      <w:r>
        <w:t xml:space="preserve"> </w:t>
      </w:r>
      <w:r>
        <w:t xml:space="preserve">when faced with inadequate advice. Five consumer segments were identified, two of which relate to</w:t>
      </w:r>
      <w:r>
        <w:t xml:space="preserve"> </w:t>
      </w:r>
      <w:r>
        <w:t xml:space="preserve">consumers not able or disinterested in investing1 The other three segments of consumers who are</w:t>
      </w:r>
      <w:r>
        <w:t xml:space="preserve"> </w:t>
      </w:r>
      <w:r>
        <w:t xml:space="preserve">considering investing or have made investments are shown in the figure below.</w:t>
      </w:r>
    </w:p>
    <w:p>
      <w:pPr>
        <w:pStyle w:val="BodyText"/>
      </w:pPr>
      <w:r>
        <w:t xml:space="preserve">These segments show that the consumer needs and expectations vis-à-vis professional advisors</w:t>
      </w:r>
      <w:r>
        <w:t xml:space="preserve"> </w:t>
      </w:r>
      <w:r>
        <w:t xml:space="preserve">differ. Experienced and confident investors are much more likely to make their own decisions,</w:t>
      </w:r>
      <w:r>
        <w:t xml:space="preserve"> </w:t>
      </w:r>
      <w:r>
        <w:t xml:space="preserve">possibly using digital tools allowing comparison or robo-advisors. In contrast, vulnerable potential</w:t>
      </w:r>
      <w:r>
        <w:t xml:space="preserve"> </w:t>
      </w:r>
      <w:r>
        <w:t xml:space="preserve">investors are likely to seek and follow advice as they do not trust their own decision-making</w:t>
      </w:r>
      <w:r>
        <w:t xml:space="preserve"> </w:t>
      </w:r>
      <w:r>
        <w:t xml:space="preserve">capacity. This further reinforces the need to ensure that the quality of advice is adequate and can</w:t>
      </w:r>
      <w:r>
        <w:t xml:space="preserve"> </w:t>
      </w:r>
      <w:r>
        <w:t xml:space="preserve">help boost the trust of retail investor in the financial markets.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the products and their information documents. In the experiment, when</w:t>
      </w:r>
      <w:r>
        <w:t xml:space="preserve"> </w:t>
      </w:r>
      <w:r>
        <w:t xml:space="preserve">consumers received advice (good or bad) which included a product</w:t>
      </w:r>
      <w:r>
        <w:t xml:space="preserve"> </w:t>
      </w:r>
      <w:r>
        <w:t xml:space="preserve">recommendation and a warning about inducements, they were in fact</w:t>
      </w:r>
      <w:r>
        <w:t xml:space="preserve"> </w:t>
      </w:r>
      <w:r>
        <w:t xml:space="preserve">slightly less likely to go back and review the product information</w:t>
      </w:r>
      <w:r>
        <w:t xml:space="preserve"> </w:t>
      </w:r>
      <w:r>
        <w:t xml:space="preserve">documents than they were in the other scenarios tested. The mention of</w:t>
      </w:r>
      <w:r>
        <w:t xml:space="preserve"> </w:t>
      </w:r>
      <w:r>
        <w:t xml:space="preserve">inducements did not appear to make consumers more cautious about the</w:t>
      </w:r>
      <w:r>
        <w:t xml:space="preserve"> </w:t>
      </w:r>
      <w:r>
        <w:t xml:space="preserve">advice received.</w:t>
      </w:r>
      <w:r>
        <w:br/>
      </w:r>
      <w:r>
        <w:t xml:space="preserve">o People tend to follow the advice they receive, even when the advice is bad.</w:t>
      </w:r>
      <w:r>
        <w:t xml:space="preserve"> </w:t>
      </w:r>
      <w:r>
        <w:t xml:space="preserve">They do so despite the different types of warnings tested.</w:t>
      </w:r>
      <w:r>
        <w:br/>
      </w:r>
      <w:r>
        <w:t xml:space="preserve">o When comparing different forms of disclosure about inducements, it was</w:t>
      </w:r>
      <w:r>
        <w:t xml:space="preserve"> </w:t>
      </w:r>
      <w:r>
        <w:t xml:space="preserve">observed that the effects of the different forms on consumer choice are not</w:t>
      </w:r>
      <w:r>
        <w:t xml:space="preserve"> </w:t>
      </w:r>
      <w:r>
        <w:t xml:space="preserve">very significant.</w:t>
      </w:r>
      <w:r>
        <w:t xml:space="preserve"> </w:t>
      </w:r>
      <w:r>
        <w:t xml:space="preserve"> The introduction of MiFID II rules on advice does not appear to have triggered</w:t>
      </w:r>
      <w:r>
        <w:t xml:space="preserve"> </w:t>
      </w:r>
      <w:r>
        <w:t xml:space="preserve">a shift towards more independent advice nor increased the market share of</w:t>
      </w:r>
      <w:r>
        <w:t xml:space="preserve"> </w:t>
      </w:r>
      <w:r>
        <w:t xml:space="preserve">independent advice. Except in the Netherlands where independent advice has a</w:t>
      </w:r>
      <w:r>
        <w:t xml:space="preserve"> </w:t>
      </w:r>
      <w:r>
        <w:t xml:space="preserve">strong market share, in other countries the trend remains towards largely non-</w:t>
      </w:r>
      <w:r>
        <w:t xml:space="preserve"> </w:t>
      </w:r>
      <w:r>
        <w:t xml:space="preserve">independent advice. In other countries independent advice remains relatively</w:t>
      </w:r>
      <w:r>
        <w:t xml:space="preserve"> </w:t>
      </w:r>
      <w:r>
        <w:t xml:space="preserve">limited and tends to focus on private or high net worth individuals. Non-</w:t>
      </w:r>
      <w:r>
        <w:t xml:space="preserve"> </w:t>
      </w:r>
      <w:r>
        <w:t xml:space="preserve">independent advice remains the prevalent model for distributors of retail</w:t>
      </w:r>
      <w:r>
        <w:t xml:space="preserve"> </w:t>
      </w:r>
      <w:r>
        <w:t xml:space="preserve">investment products in the EU614 among banks, asset/fund managers and insurance</w:t>
      </w:r>
      <w:r>
        <w:t xml:space="preserve"> </w:t>
      </w:r>
      <w:r>
        <w:t xml:space="preserve">companies active in the EU and is more commonly used than independent advice</w:t>
      </w:r>
      <w:r>
        <w:t xml:space="preserve"> </w:t>
      </w:r>
      <w:r>
        <w:t xml:space="preserve">to distribute products. While in the US and the UK, there has been an organic</w:t>
      </w:r>
      <w:r>
        <w:t xml:space="preserve"> </w:t>
      </w:r>
      <w:r>
        <w:t xml:space="preserve">development and growth of disintermediated advice, in countries such as Germany,</w:t>
      </w:r>
      <w:r>
        <w:t xml:space="preserve"> </w:t>
      </w:r>
      <w:r>
        <w:t xml:space="preserve">Spain, Italy, the Netherlands, where their capacity to penetrate well-established</w:t>
      </w:r>
      <w:r>
        <w:t xml:space="preserve"> </w:t>
      </w:r>
      <w:r>
        <w:t xml:space="preserve">markets is lower there is only a small share of independent financial advisors</w:t>
      </w:r>
      <w:r>
        <w:t xml:space="preserve"> </w:t>
      </w:r>
      <w:r>
        <w:t xml:space="preserve">(IFAs).</w:t>
      </w:r>
      <w:r>
        <w:br/>
      </w:r>
      <w:r>
        <w:t xml:space="preserve"> Regarding the significance and volume of inducements, the Retail investment study</w:t>
      </w:r>
      <w:r>
        <w:t xml:space="preserve"> </w:t>
      </w:r>
      <w:r>
        <w:t xml:space="preserve">showed, on the basis of those documents that actually contained information on</w:t>
      </w:r>
      <w:r>
        <w:t xml:space="preserve"> </w:t>
      </w:r>
      <w:r>
        <w:t xml:space="preserve">inducements, that inducements have a significant value. On average, for the</w:t>
      </w:r>
      <w:r>
        <w:t xml:space="preserve"> </w:t>
      </w:r>
      <w:r>
        <w:t xml:space="preserve">products in the sample, inducements were equivalent to about 40% of the total</w:t>
      </w:r>
      <w:r>
        <w:t xml:space="preserve"> </w:t>
      </w:r>
      <w:r>
        <w:t xml:space="preserve">product costs charged to the retail investor. The application of inducements is</w:t>
      </w:r>
      <w:r>
        <w:t xml:space="preserve"> </w:t>
      </w:r>
      <w:r>
        <w:t xml:space="preserve">reflected in higher costs for retail investors. The cost of the inducements seems to</w:t>
      </w:r>
      <w:r>
        <w:t xml:space="preserve"> </w:t>
      </w:r>
      <w:r>
        <w:t xml:space="preserve">be passed almost entirely on to retail investors, with the products on which</w:t>
      </w:r>
      <w:r>
        <w:t xml:space="preserve"> </w:t>
      </w:r>
      <w:r>
        <w:t xml:space="preserve">inducements are paid being – on average - about 24-26% more expensive than those</w:t>
      </w:r>
      <w:r>
        <w:t xml:space="preserve"> </w:t>
      </w:r>
      <w:r>
        <w:t xml:space="preserve">investment products on which no inducements are paid615. A study conducted by</w:t>
      </w:r>
      <w:r>
        <w:t xml:space="preserve"> </w:t>
      </w:r>
      <w:r>
        <w:t xml:space="preserve">EFAMA616 showing that distributors receive around 38% of the costs paid by retail</w:t>
      </w:r>
      <w:r>
        <w:t xml:space="preserve"> </w:t>
      </w:r>
      <w:r>
        <w:t xml:space="preserve">investors through retrocessions (both for actively and passively managed funds),</w:t>
      </w:r>
      <w:r>
        <w:t xml:space="preserve"> </w:t>
      </w:r>
      <w:r>
        <w:t xml:space="preserve">would appear to confirm those figures. ESMA has also indicated in its 2019 Cost</w:t>
      </w:r>
      <w:r>
        <w:t xml:space="preserve"> </w:t>
      </w:r>
      <w:r>
        <w:t xml:space="preserve">and performance report617, that for UCITS funds, the total costs present a</w:t>
      </w:r>
      <w:r>
        <w:t xml:space="preserve"> </w:t>
      </w:r>
      <w:r>
        <w:t xml:space="preserve">significant drain on the fund performance, impacting retail investors to a much</w:t>
      </w:r>
      <w:r>
        <w:t xml:space="preserve"> </w:t>
      </w:r>
      <w:r>
        <w:t xml:space="preserve">higher extent than institutional investors (as retail clients on average pay twice as</w:t>
      </w:r>
    </w:p>
    <w:p>
      <w:pPr>
        <w:pStyle w:val="BodyText"/>
      </w:pPr>
      <w:r>
        <w:t xml:space="preserve">614 Retail investment study, page 232.</w:t>
      </w:r>
      <w:r>
        <w:t xml:space="preserve"> </w:t>
      </w:r>
      <w:r>
        <w:t xml:space="preserve">615 Retail investment study, page 263.</w:t>
      </w:r>
      <w:r>
        <w:t xml:space="preserve"> </w:t>
      </w:r>
      <w:r>
        <w:t xml:space="preserve">616 European Fund and Asset Management Association, EFAMA Market insight, September 2021.</w:t>
      </w:r>
      <w:r>
        <w:br/>
      </w:r>
      <w:r>
        <w:t xml:space="preserve">617 ESMA Cost and Performance Report 2019.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much as institutional clients), with costs on average accounting for 25% of gross</w:t>
      </w:r>
      <w:r>
        <w:t xml:space="preserve"> </w:t>
      </w:r>
      <w:r>
        <w:t xml:space="preserve">returns in the period from 2015 to 2017. It is clear that the current rules have not</w:t>
      </w:r>
      <w:r>
        <w:t xml:space="preserve"> </w:t>
      </w:r>
      <w:r>
        <w:t xml:space="preserve">(yet) resulted in a market where retail investors receive better value for money,</w:t>
      </w:r>
      <w:r>
        <w:t xml:space="preserve"> </w:t>
      </w:r>
      <w:r>
        <w:t xml:space="preserve">thanks to lower inducements.</w:t>
      </w:r>
      <w:r>
        <w:br/>
      </w:r>
      <w:r>
        <w:t xml:space="preserve"> As part of the Retail investment study, the rules on inducements and advice were</w:t>
      </w:r>
      <w:r>
        <w:t xml:space="preserve"> </w:t>
      </w:r>
      <w:r>
        <w:t xml:space="preserve">further assessed by reviewing whether advisors act in retail investor’s best interest</w:t>
      </w:r>
      <w:r>
        <w:t xml:space="preserve"> </w:t>
      </w:r>
      <w:r>
        <w:t xml:space="preserve">through a mystery shopping exercise. The exercise assessed the information</w:t>
      </w:r>
      <w:r>
        <w:t xml:space="preserve"> </w:t>
      </w:r>
      <w:r>
        <w:t xml:space="preserve">provided during conversations when informing or advising about a product(s),</w:t>
      </w:r>
      <w:r>
        <w:t xml:space="preserve"> </w:t>
      </w:r>
      <w:r>
        <w:t xml:space="preserve">including providing them with product recommendations that match their profile</w:t>
      </w:r>
      <w:r>
        <w:t xml:space="preserve"> </w:t>
      </w:r>
      <w:r>
        <w:t xml:space="preserve">and with the information they need so as to make the optimal decision about product</w:t>
      </w:r>
      <w:r>
        <w:t xml:space="preserve"> </w:t>
      </w:r>
      <w:r>
        <w:t xml:space="preserve">in which to invest. The exercise concluded that the most important product features</w:t>
      </w:r>
      <w:r>
        <w:t xml:space="preserve"> </w:t>
      </w:r>
      <w:r>
        <w:t xml:space="preserve">were not systematically covered when providing information during the advice</w:t>
      </w:r>
      <w:r>
        <w:t xml:space="preserve"> </w:t>
      </w:r>
      <w:r>
        <w:t xml:space="preserve">sessions (whether in the case of traditional channels or robo-advisors). The results</w:t>
      </w:r>
      <w:r>
        <w:t xml:space="preserve"> </w:t>
      </w:r>
      <w:r>
        <w:t xml:space="preserve">are summarised in the table below:</w:t>
      </w:r>
      <w:r>
        <w:br/>
      </w:r>
      <w:r>
        <w:t xml:space="preserve">Figure.6 - Summary overview of items covered by advisors during first conversations</w:t>
      </w:r>
      <w:r>
        <w:t xml:space="preserve"> </w:t>
      </w:r>
      <w:r>
        <w:t xml:space="preserve">about products and robo-advisors</w:t>
      </w:r>
    </w:p>
    <w:p>
      <w:pPr>
        <w:pStyle w:val="BodyText"/>
      </w:pPr>
      <w:r>
        <w:t xml:space="preserve">A similar study was carried out in 2018 by Deloitte on request of the European</w:t>
      </w:r>
      <w:r>
        <w:t xml:space="preserve"> </w:t>
      </w:r>
      <w:r>
        <w:t xml:space="preserve">Commission, which also featured a large mystery shopping data collection exercise.</w:t>
      </w:r>
      <w:r>
        <w:t xml:space="preserve"> </w:t>
      </w:r>
      <w:r>
        <w:t xml:space="preserve">The 2018 study analysed only the provision of information about risks and costs and</w:t>
      </w:r>
      <w:r>
        <w:t xml:space="preserve"> </w:t>
      </w:r>
      <w:r>
        <w:t xml:space="preserve">presented a more positive picture618 of the situation than the findings presented in the</w:t>
      </w:r>
    </w:p>
    <w:p>
      <w:pPr>
        <w:pStyle w:val="BodyText"/>
      </w:pPr>
      <w:r>
        <w:t xml:space="preserve">618 As part of the exercise performed in the Deloitte study, information about past experience with</w:t>
      </w:r>
      <w:r>
        <w:t xml:space="preserve"> </w:t>
      </w:r>
      <w:r>
        <w:t xml:space="preserve">investments was asked about in a much higher number of cases (between 77% and 100% of observations</w:t>
      </w:r>
      <w:r>
        <w:t xml:space="preserve"> </w:t>
      </w:r>
      <w:r>
        <w:t xml:space="preserve">reported being asked about this). However, some of the differences could be due to the mode of mystery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retail investment study. However, the 2018 Deloitte study also found notable gaps with</w:t>
      </w:r>
      <w:r>
        <w:t xml:space="preserve"> </w:t>
      </w:r>
      <w:r>
        <w:t xml:space="preserve">respect to costs and charges that were not discussed in a significant minority of cases</w:t>
      </w:r>
      <w:r>
        <w:t xml:space="preserve"> </w:t>
      </w:r>
      <w:r>
        <w:t xml:space="preserve">and, in some cases, risks were also not covered.</w:t>
      </w:r>
      <w:r>
        <w:t xml:space="preserve"> </w:t>
      </w:r>
      <w:r>
        <w:t xml:space="preserve"> With respect to insurance-based investment products, a report by EIOPA619 found</w:t>
      </w:r>
      <w:r>
        <w:t xml:space="preserve"> </w:t>
      </w:r>
      <w:r>
        <w:t xml:space="preserve">that monetary incentives from asset managers (managing the assets of unit-linked</w:t>
      </w:r>
      <w:r>
        <w:t xml:space="preserve"> </w:t>
      </w:r>
      <w:r>
        <w:t xml:space="preserve">insurance products) to insurance companies are widespread and significant in the</w:t>
      </w:r>
      <w:r>
        <w:t xml:space="preserve"> </w:t>
      </w:r>
      <w:r>
        <w:t xml:space="preserve">industry, totalling EUR 3.7 billion in 2015. According to EIOPA, monetary</w:t>
      </w:r>
      <w:r>
        <w:t xml:space="preserve"> </w:t>
      </w:r>
      <w:r>
        <w:t xml:space="preserve">incentives and remuneration received represented a median value of 0.56% of</w:t>
      </w:r>
      <w:r>
        <w:t xml:space="preserve"> </w:t>
      </w:r>
      <w:r>
        <w:t xml:space="preserve">assets under management (46% of fund management charges). A large majority of</w:t>
      </w:r>
      <w:r>
        <w:t xml:space="preserve"> </w:t>
      </w:r>
      <w:r>
        <w:t xml:space="preserve">the insurance undertakings did not disclose these monetary incentives and</w:t>
      </w:r>
      <w:r>
        <w:t xml:space="preserve"> </w:t>
      </w:r>
      <w:r>
        <w:t xml:space="preserve">remuneration to the policyholders, nor did they pass these incentives on to their</w:t>
      </w:r>
      <w:r>
        <w:t xml:space="preserve"> </w:t>
      </w:r>
      <w:r>
        <w:t xml:space="preserve">clients. According to EIOPA, these incentives may limit the choice for</w:t>
      </w:r>
      <w:r>
        <w:t xml:space="preserve"> </w:t>
      </w:r>
      <w:r>
        <w:t xml:space="preserve">policyholders and result in poor investment outcomes, in particular for products</w:t>
      </w:r>
      <w:r>
        <w:t xml:space="preserve"> </w:t>
      </w:r>
      <w:r>
        <w:t xml:space="preserve">with long investment horizons, as underlying investment vehicles may be chosen</w:t>
      </w:r>
      <w:r>
        <w:t xml:space="preserve"> </w:t>
      </w:r>
      <w:r>
        <w:t xml:space="preserve">on the basis of the highest level of monetary incentive and remuneration, rather</w:t>
      </w:r>
      <w:r>
        <w:t xml:space="preserve"> </w:t>
      </w:r>
      <w:r>
        <w:t xml:space="preserve">than relevance or competition.</w:t>
      </w:r>
      <w:r>
        <w:br/>
      </w:r>
      <w:r>
        <w:t xml:space="preserve"> In addition, consumer and financial user organisations, such as BEUC, Better</w:t>
      </w:r>
      <w:r>
        <w:t xml:space="preserve"> </w:t>
      </w:r>
      <w:r>
        <w:t xml:space="preserve">Finance and Finance Watch620, have complained that the existing safeguards are</w:t>
      </w:r>
      <w:r>
        <w:t xml:space="preserve"> </w:t>
      </w:r>
      <w:r>
        <w:t xml:space="preserve">not sufficient to prevent mis-selling, as financial incentives lead to the sale of</w:t>
      </w:r>
      <w:r>
        <w:t xml:space="preserve"> </w:t>
      </w:r>
      <w:r>
        <w:t xml:space="preserve">investment products and services to retail investors that are not suited to their needs</w:t>
      </w:r>
      <w:r>
        <w:t xml:space="preserve"> </w:t>
      </w:r>
      <w:r>
        <w:t xml:space="preserve">and/or which are too costly or underperforming, causing significant consumer</w:t>
      </w:r>
      <w:r>
        <w:t xml:space="preserve"> </w:t>
      </w:r>
      <w:r>
        <w:t xml:space="preserve">detriment.</w:t>
      </w:r>
      <w:r>
        <w:br/>
      </w:r>
      <w:r>
        <w:t xml:space="preserve"> Evidence suggests that in many jurisdictions certain simple and cheap investment</w:t>
      </w:r>
      <w:r>
        <w:t xml:space="preserve"> </w:t>
      </w:r>
      <w:r>
        <w:t xml:space="preserve">products occupy a limited market share and are seldom offered or recommended to</w:t>
      </w:r>
      <w:r>
        <w:t xml:space="preserve"> </w:t>
      </w:r>
      <w:r>
        <w:t xml:space="preserve">retail investors, compared to more expensive and complex products. Commissions</w:t>
      </w:r>
      <w:r>
        <w:t xml:space="preserve"> </w:t>
      </w:r>
      <w:r>
        <w:t xml:space="preserve">can be an important incentive to offer specific products (so-called “product bias”),</w:t>
      </w:r>
      <w:r>
        <w:t xml:space="preserve"> </w:t>
      </w:r>
      <w:r>
        <w:t xml:space="preserve">for example, where the fund commission can be ten times higher for an actively</w:t>
      </w:r>
      <w:r>
        <w:t xml:space="preserve"> </w:t>
      </w:r>
      <w:r>
        <w:t xml:space="preserve">managed fund as compared to an index fund, generating significant conflicts of</w:t>
      </w:r>
      <w:r>
        <w:t xml:space="preserve"> </w:t>
      </w:r>
      <w:r>
        <w:t xml:space="preserve">interest621. The Commission’s study on distribution systems of retail investment</w:t>
      </w:r>
      <w:r>
        <w:t xml:space="preserve"> </w:t>
      </w:r>
      <w:r>
        <w:t xml:space="preserve">products622 found that low-cost ETFs623 (which typically carry low costs) are</w:t>
      </w:r>
      <w:r>
        <w:t xml:space="preserve"> </w:t>
      </w:r>
      <w:r>
        <w:t xml:space="preserve">among the most commonly available products on websites in many Member States,</w:t>
      </w:r>
      <w:r>
        <w:t xml:space="preserve"> </w:t>
      </w:r>
      <w:r>
        <w:t xml:space="preserve">but in some Member States are almost completely absent from traditional</w:t>
      </w:r>
      <w:r>
        <w:t xml:space="preserve"> </w:t>
      </w:r>
      <w:r>
        <w:t xml:space="preserve">distributors’ online offering. Although marketed online, low-cost ETFs were</w:t>
      </w:r>
      <w:r>
        <w:t xml:space="preserve"> </w:t>
      </w:r>
      <w:r>
        <w:t xml:space="preserve">almost never proposed in traditional physical advice distribution channels. The</w:t>
      </w:r>
    </w:p>
    <w:p>
      <w:pPr>
        <w:pStyle w:val="BodyText"/>
      </w:pPr>
      <w:r>
        <w:t xml:space="preserve">shopping conversations which included exclusively face-to-face mystery shopping visits while for the retail</w:t>
      </w:r>
      <w:r>
        <w:t xml:space="preserve"> </w:t>
      </w:r>
      <w:r>
        <w:t xml:space="preserve">investment study a mixed model was used intended to reflect the fact that consumers are searching for</w:t>
      </w:r>
      <w:r>
        <w:t xml:space="preserve"> </w:t>
      </w:r>
      <w:r>
        <w:t xml:space="preserve">advice and information about products from home and are not necessarily making physical appointments</w:t>
      </w:r>
      <w:r>
        <w:t xml:space="preserve"> </w:t>
      </w:r>
      <w:r>
        <w:t xml:space="preserve">during the product “shopping around” phase.</w:t>
      </w:r>
      <w:r>
        <w:br/>
      </w:r>
      <w:r>
        <w:t xml:space="preserve">619 EIOPA, Report on Thematic review on monetary incentives and remuneration between providers of</w:t>
      </w:r>
      <w:r>
        <w:t xml:space="preserve"> </w:t>
      </w:r>
      <w:r>
        <w:t xml:space="preserve">asset management services and insurance undertakings, 26 April 2017.</w:t>
      </w:r>
      <w:r>
        <w:br/>
      </w:r>
      <w:r>
        <w:t xml:space="preserve">620 Better Finance Evidence paper on the effects of inducements, BEUC work on the price of bad advice,</w:t>
      </w:r>
      <w:r>
        <w:t xml:space="preserve"> </w:t>
      </w:r>
      <w:r>
        <w:t xml:space="preserve">Consumer organisations’ Open Letter on the Retail Financial Services Action Plan.</w:t>
      </w:r>
      <w:r>
        <w:t xml:space="preserve"> </w:t>
      </w:r>
      <w:r>
        <w:t xml:space="preserve">621 2022 Consumer Protection Report, Swedish Finansinspektionen (FI), page 16.</w:t>
      </w:r>
      <w:r>
        <w:t xml:space="preserve"> </w:t>
      </w:r>
      <w:r>
        <w:t xml:space="preserve">622 Study on distribution systems of retail investment products, page 33.</w:t>
      </w:r>
      <w:r>
        <w:t xml:space="preserve"> </w:t>
      </w:r>
      <w:r>
        <w:t xml:space="preserve">623 Exchange Traded Funds which often provide index tracking or other exposure to markets.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Retail investment study found that low-cost ETFs have gained market share in</w:t>
      </w:r>
      <w:r>
        <w:t xml:space="preserve"> </w:t>
      </w:r>
      <w:r>
        <w:t xml:space="preserve">certain Member States (e.g. Finland, the Netherlands and Poland), but remain</w:t>
      </w:r>
      <w:r>
        <w:t xml:space="preserve"> </w:t>
      </w:r>
      <w:r>
        <w:t xml:space="preserve">marginal in other countries such as France624, where comparatively more expensive</w:t>
      </w:r>
      <w:r>
        <w:t xml:space="preserve"> </w:t>
      </w:r>
      <w:r>
        <w:t xml:space="preserve">products, such as life insurances, were advised in the majority of cases625. While it</w:t>
      </w:r>
      <w:r>
        <w:t xml:space="preserve"> </w:t>
      </w:r>
      <w:r>
        <w:t xml:space="preserve">is clear that these more expensive products carry different features and benefits</w:t>
      </w:r>
      <w:r>
        <w:t xml:space="preserve"> </w:t>
      </w:r>
      <w:r>
        <w:t xml:space="preserve">which may be suitable for some groups of retail investors, desk research, based on</w:t>
      </w:r>
      <w:r>
        <w:t xml:space="preserve"> </w:t>
      </w:r>
      <w:r>
        <w:t xml:space="preserve">data provided by ESMA and EIOPA, provides an illustration as to how an investor</w:t>
      </w:r>
      <w:r>
        <w:t xml:space="preserve"> </w:t>
      </w:r>
      <w:r>
        <w:t xml:space="preserve">investing EUR 10,000 in a unit-linked insurance product in the period between</w:t>
      </w:r>
      <w:r>
        <w:t xml:space="preserve"> </w:t>
      </w:r>
      <w:r>
        <w:t xml:space="preserve">2014 and 2020 would have achieved a significantly lower outcome than by</w:t>
      </w:r>
      <w:r>
        <w:t xml:space="preserve"> </w:t>
      </w:r>
      <w:r>
        <w:t xml:space="preserve">investing in ETFs (EUR 2,200 versus EUR 7,600)626.</w:t>
      </w:r>
      <w:r>
        <w:t xml:space="preserve"> </w:t>
      </w:r>
      <w:r>
        <w:t xml:space="preserve"> The European Court of Auditors (ECA) concluded in its special report on</w:t>
      </w:r>
      <w:r>
        <w:t xml:space="preserve"> </w:t>
      </w:r>
      <w:r>
        <w:t xml:space="preserve">investment funds627 that European legislation in relation to (the distribution of)</w:t>
      </w:r>
      <w:r>
        <w:t xml:space="preserve"> </w:t>
      </w:r>
      <w:r>
        <w:t xml:space="preserve">investment funds had not delivered the expected gains for investors, such as lower</w:t>
      </w:r>
      <w:r>
        <w:t xml:space="preserve"> </w:t>
      </w:r>
      <w:r>
        <w:t xml:space="preserve">fees through competition and innovation, or access to more products. Costs</w:t>
      </w:r>
      <w:r>
        <w:t xml:space="preserve"> </w:t>
      </w:r>
      <w:r>
        <w:t xml:space="preserve">continued to be high and investors were still not sufficiently protected against,</w:t>
      </w:r>
      <w:r>
        <w:t xml:space="preserve"> </w:t>
      </w:r>
      <w:r>
        <w:t xml:space="preserve">among other things, biased advice from financial intermediaries incentivised by</w:t>
      </w:r>
      <w:r>
        <w:t xml:space="preserve"> </w:t>
      </w:r>
      <w:r>
        <w:t xml:space="preserve">inducements. The ECA recommended that the European Commission should better</w:t>
      </w:r>
      <w:r>
        <w:t xml:space="preserve"> </w:t>
      </w:r>
      <w:r>
        <w:t xml:space="preserve">protect retail investors, in particular through stricter rules on inducements.</w:t>
      </w:r>
      <w:r>
        <w:br/>
      </w:r>
      <w:r>
        <w:t xml:space="preserve">Overall, the rules on inducements and advice and their application have not been effective in</w:t>
      </w:r>
      <w:r>
        <w:t xml:space="preserve"> </w:t>
      </w:r>
      <w:r>
        <w:t xml:space="preserve">addressing issues of conflict of interest, resulting in more expensive products in the market, with</w:t>
      </w:r>
      <w:r>
        <w:t xml:space="preserve"> </w:t>
      </w:r>
      <w:r>
        <w:t xml:space="preserve">inducements representing a large percentage of the total costs. Evidence also shows that in many</w:t>
      </w:r>
      <w:r>
        <w:t xml:space="preserve"> </w:t>
      </w:r>
      <w:r>
        <w:t xml:space="preserve">cases, the advice given omits important information. Finally, the rules on disclosure of information</w:t>
      </w:r>
      <w:r>
        <w:t xml:space="preserve"> </w:t>
      </w:r>
      <w:r>
        <w:t xml:space="preserve">on inducements only have a marginal effect in helping retail investors in their investment decisions.</w:t>
      </w:r>
      <w:r>
        <w:br/>
      </w:r>
      <w:r>
        <w:t xml:space="preserve">Efficiency</w:t>
      </w:r>
      <w:r>
        <w:t xml:space="preserve"> </w:t>
      </w:r>
      <w:r>
        <w:t xml:space="preserve">Regarding the cost-effectiveness (efficiency) of rules governing advice, the following issues were</w:t>
      </w:r>
      <w:r>
        <w:t xml:space="preserve"> </w:t>
      </w:r>
      <w:r>
        <w:t xml:space="preserve">observed. According to the retail investment study, the relevant costs to the firms/distributors to</w:t>
      </w:r>
      <w:r>
        <w:t xml:space="preserve"> </w:t>
      </w:r>
      <w:r>
        <w:t xml:space="preserve">implement the regulatory requirements on advice and inducements are approximately €0.68 per</w:t>
      </w:r>
      <w:r>
        <w:t xml:space="preserve"> </w:t>
      </w:r>
      <w:r>
        <w:t xml:space="preserve">client and that they represent 0.0003% of the value of assets managed. The costs mainly relate to</w:t>
      </w:r>
      <w:r>
        <w:t xml:space="preserve"> </w:t>
      </w:r>
      <w:r>
        <w:t xml:space="preserve">the training of advisors, collecting regular statements from advisors, and ensuring that robo-</w:t>
      </w:r>
      <w:r>
        <w:t xml:space="preserve"> </w:t>
      </w:r>
      <w:r>
        <w:t xml:space="preserve">advisors are compliant with regulations.</w:t>
      </w:r>
      <w:r>
        <w:t xml:space="preserve"> </w:t>
      </w:r>
      <w:r>
        <w:t xml:space="preserve">The costs appear reasonable for the industry when set against the benefits for retail investors from</w:t>
      </w:r>
      <w:r>
        <w:t xml:space="preserve"> </w:t>
      </w:r>
      <w:r>
        <w:t xml:space="preserve">receiving personalised advice. However, the cost-effectiveness of the rules is reduced for the retail</w:t>
      </w:r>
      <w:r>
        <w:t xml:space="preserve"> </w:t>
      </w:r>
      <w:r>
        <w:t xml:space="preserve">investors, as in practice advice does not systematically cover all the essential product features, as</w:t>
      </w:r>
      <w:r>
        <w:t xml:space="preserve"> </w:t>
      </w:r>
      <w:r>
        <w:t xml:space="preserve">evidenced by the results of the mystery shopping exercise, and the cost of inducements is passed</w:t>
      </w:r>
    </w:p>
    <w:p>
      <w:pPr>
        <w:pStyle w:val="BodyText"/>
      </w:pPr>
      <w:r>
        <w:t xml:space="preserve">624 Retail investment study, page 69.</w:t>
      </w:r>
      <w:r>
        <w:t xml:space="preserve"> </w:t>
      </w:r>
      <w:r>
        <w:t xml:space="preserve">625 Study on distribution systems of retail investment products, page 22.</w:t>
      </w:r>
      <w:r>
        <w:t xml:space="preserve"> </w:t>
      </w:r>
      <w:r>
        <w:t xml:space="preserve">626Calculations were based on costs and performance data provided by ESMA and EIOPA. It is important</w:t>
      </w:r>
      <w:r>
        <w:t xml:space="preserve"> </w:t>
      </w:r>
      <w:r>
        <w:t xml:space="preserve">to note that data on unit-linked products may not be fully comparable with data on ETFs, because of</w:t>
      </w:r>
      <w:r>
        <w:t xml:space="preserve"> </w:t>
      </w:r>
      <w:r>
        <w:t xml:space="preserve">slight differences in methodology and sample size. However, it still provides a useful approximation of</w:t>
      </w:r>
      <w:r>
        <w:t xml:space="preserve"> </w:t>
      </w:r>
      <w:r>
        <w:t xml:space="preserve">how both investments would have developed over a 7-year period.</w:t>
      </w:r>
      <w:r>
        <w:t xml:space="preserve"> </w:t>
      </w:r>
      <w:r>
        <w:t xml:space="preserve">627 European Court of Auditors, Special report: Investment funds, EU actions have not yet created a true</w:t>
      </w:r>
      <w:r>
        <w:t xml:space="preserve"> </w:t>
      </w:r>
      <w:r>
        <w:t xml:space="preserve">single market benefiting investors, 2022, Special Report 04/2022: Single Market for investment funds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on to the client, resulting in higher product costs charged by the product manufacturer compared</w:t>
      </w:r>
      <w:r>
        <w:t xml:space="preserve"> </w:t>
      </w:r>
      <w:r>
        <w:t xml:space="preserve">to products sold without inducements. In other terms, inducements also lead to an inflation of costs</w:t>
      </w:r>
      <w:r>
        <w:t xml:space="preserve"> </w:t>
      </w:r>
      <w:r>
        <w:t xml:space="preserve">charged by product manufacturers.</w:t>
      </w:r>
      <w:r>
        <w:br/>
      </w:r>
      <w:r>
        <w:t xml:space="preserve">Coherence</w:t>
      </w:r>
      <w:r>
        <w:t xml:space="preserve"> </w:t>
      </w:r>
      <w:r>
        <w:t xml:space="preserve">Overall, with respect to coherence, the rules on conflicts of interest under IDD and MiFID II apply</w:t>
      </w:r>
      <w:r>
        <w:t xml:space="preserve"> </w:t>
      </w:r>
      <w:r>
        <w:t xml:space="preserve">a similar approach to prevent such conflicts and define organisational arrangements628. However,</w:t>
      </w:r>
      <w:r>
        <w:t xml:space="preserve"> </w:t>
      </w:r>
      <w:r>
        <w:t xml:space="preserve">some differences between the two legal frameworks exist, especially regarding the treatment of</w:t>
      </w:r>
      <w:r>
        <w:t xml:space="preserve"> </w:t>
      </w:r>
      <w:r>
        <w:t xml:space="preserve">inducements:</w:t>
      </w:r>
      <w:r>
        <w:t xml:space="preserve"> </w:t>
      </w:r>
      <w:r>
        <w:t xml:space="preserve"> With respect to definitions, a clear definition629 of “inducements” is present in IDD,</w:t>
      </w:r>
      <w:r>
        <w:t xml:space="preserve"> </w:t>
      </w:r>
      <w:r>
        <w:t xml:space="preserve">whereas MiFID II contains only a concept of “inducement”630. Nevertheless,</w:t>
      </w:r>
      <w:r>
        <w:t xml:space="preserve"> </w:t>
      </w:r>
      <w:r>
        <w:t xml:space="preserve">pursuant to IDD and MiFID II, inducements are understood in the same manner –</w:t>
      </w:r>
      <w:r>
        <w:t xml:space="preserve"> </w:t>
      </w:r>
      <w:r>
        <w:t xml:space="preserve">as any fee or commission, or any non-monetary benefit. The IDD inducements rules</w:t>
      </w:r>
      <w:r>
        <w:t xml:space="preserve"> </w:t>
      </w:r>
      <w:r>
        <w:t xml:space="preserve">apply only to insurance intermediaries and undertakings in relation to the</w:t>
      </w:r>
      <w:r>
        <w:t xml:space="preserve"> </w:t>
      </w:r>
      <w:r>
        <w:t xml:space="preserve">distribution of insurance-based investment products and not to other life insurance</w:t>
      </w:r>
      <w:r>
        <w:t xml:space="preserve"> </w:t>
      </w:r>
      <w:r>
        <w:t xml:space="preserve">products.</w:t>
      </w:r>
      <w:r>
        <w:t xml:space="preserve"> </w:t>
      </w:r>
      <w:r>
        <w:t xml:space="preserve"> The MiFID II regime is designed in principle to only allow inducements as an</w:t>
      </w:r>
      <w:r>
        <w:t xml:space="preserve"> </w:t>
      </w:r>
      <w:r>
        <w:t xml:space="preserve">exception: inducements are forbidden under portfolio management, under</w:t>
      </w:r>
      <w:r>
        <w:t xml:space="preserve"> </w:t>
      </w:r>
      <w:r>
        <w:t xml:space="preserve">independent advice, and when the payment of inducements cannot be justified by</w:t>
      </w:r>
      <w:r>
        <w:t xml:space="preserve"> </w:t>
      </w:r>
      <w:r>
        <w:t xml:space="preserve">an enhancement of the service provided to the client. In practice however, the</w:t>
      </w:r>
      <w:r>
        <w:t xml:space="preserve"> </w:t>
      </w:r>
      <w:r>
        <w:t xml:space="preserve">results of the retail investment study showed that inducements were identified in</w:t>
      </w:r>
      <w:r>
        <w:t xml:space="preserve"> </w:t>
      </w:r>
      <w:r>
        <w:t xml:space="preserve">approximately 40% of information documents for investment funds (falling under</w:t>
      </w:r>
      <w:r>
        <w:t xml:space="preserve"> </w:t>
      </w:r>
      <w:r>
        <w:t xml:space="preserve">MiFID II). The regime intended as an exception under MiFID II thus remains</w:t>
      </w:r>
      <w:r>
        <w:t xml:space="preserve"> </w:t>
      </w:r>
      <w:r>
        <w:t xml:space="preserve">relatively widespread in practice.</w:t>
      </w:r>
      <w:r>
        <w:br/>
      </w:r>
      <w:r>
        <w:t xml:space="preserve"> The test that requires that an enhancement of service is proven is both challenging</w:t>
      </w:r>
      <w:r>
        <w:t xml:space="preserve"> </w:t>
      </w:r>
      <w:r>
        <w:t xml:space="preserve">to demonstrate for firms and challenging to supervise for competent authorities.</w:t>
      </w:r>
      <w:r>
        <w:t xml:space="preserve"> </w:t>
      </w:r>
      <w:r>
        <w:t xml:space="preserve">This safeguard also appears to lead to different interpretations across Member</w:t>
      </w:r>
    </w:p>
    <w:p>
      <w:pPr>
        <w:pStyle w:val="BodyText"/>
      </w:pPr>
      <w:r>
        <w:t xml:space="preserve">628 Similar definition/concepts, presence of specific tests, conduct of business and conflict of interest</w:t>
      </w:r>
      <w:r>
        <w:t xml:space="preserve"> </w:t>
      </w:r>
      <w:r>
        <w:t xml:space="preserve">rules, disclosure requirements and clear information on inducements.</w:t>
      </w:r>
      <w:r>
        <w:t xml:space="preserve"> </w:t>
      </w:r>
      <w:r>
        <w:t xml:space="preserve">629 For the definition of “inducement” under IDD, please refer to Article 2(2) of Commission Delegated</w:t>
      </w:r>
      <w:r>
        <w:t xml:space="preserve"> </w:t>
      </w:r>
      <w:r>
        <w:t xml:space="preserve">Regulation (EU) 2017/2359 of 21 September 2017 supplementing Directive (EU) 2016/97 of the European</w:t>
      </w:r>
      <w:r>
        <w:t xml:space="preserve"> </w:t>
      </w:r>
      <w:r>
        <w:t xml:space="preserve">Parliament and of the Council with regard to information requirements and conduct of business rules</w:t>
      </w:r>
      <w:r>
        <w:t xml:space="preserve"> </w:t>
      </w:r>
      <w:r>
        <w:t xml:space="preserve">applicable to the distribution of insurance-based investment products (IBIPs Regulation); For the concept</w:t>
      </w:r>
      <w:r>
        <w:t xml:space="preserve"> </w:t>
      </w:r>
      <w:r>
        <w:t xml:space="preserve">of “inducements” under MiFID II, please refer to Article 24(9) of Directive 2014/65/EU of the European</w:t>
      </w:r>
      <w:r>
        <w:t xml:space="preserve"> </w:t>
      </w:r>
      <w:r>
        <w:t xml:space="preserve">Parliament and of the Council of 15 May 2014 on markets in financial instruments and amending Directive</w:t>
      </w:r>
      <w:r>
        <w:t xml:space="preserve"> </w:t>
      </w:r>
      <w:r>
        <w:t xml:space="preserve">2002/92/EC and Directive 2011/61/EU. In 2021, Article 24 of MiFID II was supplemented by Article 24(9a),</w:t>
      </w:r>
      <w:r>
        <w:t xml:space="preserve"> </w:t>
      </w:r>
      <w:r>
        <w:t xml:space="preserve">which was added by Directive (EU) 2021/338 of the European Parliament and of the Council of 16</w:t>
      </w:r>
      <w:r>
        <w:t xml:space="preserve"> </w:t>
      </w:r>
      <w:r>
        <w:t xml:space="preserve">February 2021 amending Directive 2014/65/EU as regards information requirements, product governance</w:t>
      </w:r>
      <w:r>
        <w:t xml:space="preserve"> </w:t>
      </w:r>
      <w:r>
        <w:t xml:space="preserve">and position limits, and Directives 2013/36/EU and (EU) 2019/878 as regards their application to</w:t>
      </w:r>
      <w:r>
        <w:t xml:space="preserve"> </w:t>
      </w:r>
      <w:r>
        <w:t xml:space="preserve">investment firms, to help the recovery from the COVID-19 crisis (OJ L 68, 26.2.2021, pages 14–28).</w:t>
      </w:r>
      <w:r>
        <w:br/>
      </w:r>
      <w:r>
        <w:t xml:space="preserve">630 The definition of inducements under IDD and the concept of inducements under MiFID II are</w:t>
      </w:r>
      <w:r>
        <w:t xml:space="preserve"> </w:t>
      </w:r>
      <w:r>
        <w:t xml:space="preserve">comparable, but not identical.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States and firms, despite convergence efforts by ESMA. A number of studies631</w:t>
      </w:r>
      <w:r>
        <w:t xml:space="preserve"> </w:t>
      </w:r>
      <w:r>
        <w:t xml:space="preserve">have also identified shortcomings in how these rules are applied.</w:t>
      </w:r>
      <w:r>
        <w:br/>
      </w:r>
      <w:r>
        <w:t xml:space="preserve"> As a result, the enforceability and the quality of checks surrounding this</w:t>
      </w:r>
      <w:r>
        <w:t xml:space="preserve"> </w:t>
      </w:r>
      <w:r>
        <w:t xml:space="preserve">requirement are not fully satisfactory and the usefulness of this safeguard is thus</w:t>
      </w:r>
      <w:r>
        <w:t xml:space="preserve"> </w:t>
      </w:r>
      <w:r>
        <w:t xml:space="preserve">called into question.</w:t>
      </w:r>
      <w:r>
        <w:br/>
      </w:r>
      <w:r>
        <w:t xml:space="preserve"> Under the IDD regime, inducements are allowed as long as they do not interfere</w:t>
      </w:r>
      <w:r>
        <w:t xml:space="preserve"> </w:t>
      </w:r>
      <w:r>
        <w:t xml:space="preserve">with the obligation to act honestly, fairly, and professionally, in accordance with</w:t>
      </w:r>
      <w:r>
        <w:t xml:space="preserve"> </w:t>
      </w:r>
      <w:r>
        <w:t xml:space="preserve">the client’s best interests and do not have a detrimental effect on the client. The</w:t>
      </w:r>
      <w:r>
        <w:t xml:space="preserve"> </w:t>
      </w:r>
      <w:r>
        <w:t xml:space="preserve">same difficulty as under MIFID exists with respect to the application of the non-</w:t>
      </w:r>
      <w:r>
        <w:t xml:space="preserve"> </w:t>
      </w:r>
      <w:r>
        <w:t xml:space="preserve">detrimental effects test.</w:t>
      </w:r>
      <w:r>
        <w:t xml:space="preserve"> </w:t>
      </w:r>
      <w:r>
        <w:t xml:space="preserve"> As IDD is a minimum harmonisation directive, Member States may impose stricter</w:t>
      </w:r>
      <w:r>
        <w:t xml:space="preserve"> </w:t>
      </w:r>
      <w:r>
        <w:t xml:space="preserve">requirements on inducements. The IDD’s conduct of business rules have been</w:t>
      </w:r>
      <w:r>
        <w:t xml:space="preserve"> </w:t>
      </w:r>
      <w:r>
        <w:t xml:space="preserve">implemented into national law in different ways, in contrast to MiFID II’s conduct</w:t>
      </w:r>
      <w:r>
        <w:t xml:space="preserve"> </w:t>
      </w:r>
      <w:r>
        <w:t xml:space="preserve">of business rules which are based on maximum harmonisation rules and thus there</w:t>
      </w:r>
      <w:r>
        <w:t xml:space="preserve"> </w:t>
      </w:r>
      <w:r>
        <w:t xml:space="preserve">are no such deviations.</w:t>
      </w:r>
      <w:r>
        <w:t xml:space="preserve"> </w:t>
      </w:r>
      <w:r>
        <w:t xml:space="preserve"> The two regimes impose different rules on the information that must be disclosed</w:t>
      </w:r>
      <w:r>
        <w:t xml:space="preserve"> </w:t>
      </w:r>
      <w:r>
        <w:t xml:space="preserve">to retail investors and the level of detail varies. The retail investment study revealed</w:t>
      </w:r>
      <w:r>
        <w:t xml:space="preserve"> </w:t>
      </w:r>
      <w:r>
        <w:t xml:space="preserve">that no information about inducements was contained in information documents for</w:t>
      </w:r>
      <w:r>
        <w:t xml:space="preserve"> </w:t>
      </w:r>
      <w:r>
        <w:t xml:space="preserve">the insurance and pension products. Such differences may hinder the usefulness of</w:t>
      </w:r>
      <w:r>
        <w:t xml:space="preserve"> </w:t>
      </w:r>
      <w:r>
        <w:t xml:space="preserve">disclosed information in the investor’s decision-making.</w:t>
      </w:r>
      <w:r>
        <w:br/>
      </w:r>
      <w:r>
        <w:t xml:space="preserve"> The MiFID II framework clearly defines retail and professional investors, while</w:t>
      </w:r>
      <w:r>
        <w:t xml:space="preserve"> </w:t>
      </w:r>
      <w:r>
        <w:t xml:space="preserve">IDD does not.</w:t>
      </w:r>
      <w:r>
        <w:br/>
      </w:r>
      <w:r>
        <w:t xml:space="preserve"> Both MiFID II and IDD allow Member States to impose additional requirements632</w:t>
      </w:r>
      <w:r>
        <w:t xml:space="preserve"> </w:t>
      </w:r>
      <w:r>
        <w:t xml:space="preserve">. As a consequence, there are differences between the legal frameworks at EU level</w:t>
      </w:r>
      <w:r>
        <w:t xml:space="preserve"> </w:t>
      </w:r>
      <w:r>
        <w:t xml:space="preserve">and those at national level (e.g. an inducement ban in the Netherlands, different</w:t>
      </w:r>
      <w:r>
        <w:t xml:space="preserve"> </w:t>
      </w:r>
      <w:r>
        <w:t xml:space="preserve">interpretations as regards the quality enhancement criteria, different additional</w:t>
      </w:r>
      <w:r>
        <w:t xml:space="preserve"> </w:t>
      </w:r>
      <w:r>
        <w:t xml:space="preserve">requirements under IDD in Member States).</w:t>
      </w:r>
      <w:r>
        <w:t xml:space="preserve"> </w:t>
      </w:r>
      <w:r>
        <w:t xml:space="preserve"> The possibility of circumvention of the rules633 arises as a consequence of sectoral</w:t>
      </w:r>
      <w:r>
        <w:t xml:space="preserve"> </w:t>
      </w:r>
      <w:r>
        <w:t xml:space="preserve">divergences with respect to scope of applicability634. Under the MiFID II, it is</w:t>
      </w:r>
    </w:p>
    <w:p>
      <w:pPr>
        <w:pStyle w:val="BodyText"/>
      </w:pPr>
      <w:r>
        <w:t xml:space="preserve">631 Danish Financial Supervisory Authority (2019), Thematic survey of quality improvement services for</w:t>
      </w:r>
      <w:r>
        <w:t xml:space="preserve"> </w:t>
      </w:r>
      <w:r>
        <w:t xml:space="preserve">investment clients: Temaundersøgelse af kvalitetsforbedrende services til investeringskunder</w:t>
      </w:r>
      <w:r>
        <w:t xml:space="preserve"> </w:t>
      </w:r>
      <w:r>
        <w:t xml:space="preserve">(finanstilsynet.dk) and Financial supervisory authority of Norway (2020) Temaundersøkelse om</w:t>
      </w:r>
      <w:r>
        <w:t xml:space="preserve"> </w:t>
      </w:r>
      <w:r>
        <w:t xml:space="preserve">etterlevelsen av reglene for returprovisjon (finanstilsynet.no) Danish Financial Supervisory Authority</w:t>
      </w:r>
      <w:r>
        <w:t xml:space="preserve"> </w:t>
      </w:r>
      <w:r>
        <w:t xml:space="preserve">(2019), Thematic survey of quality improvement services for investment clients: Temaundersøgelse af</w:t>
      </w:r>
      <w:r>
        <w:t xml:space="preserve"> </w:t>
      </w:r>
      <w:r>
        <w:t xml:space="preserve">kvalitetsforbedrende services til investeringskunder (finanstilsynet.dk) and Financial supervisory authority</w:t>
      </w:r>
      <w:r>
        <w:t xml:space="preserve"> </w:t>
      </w:r>
      <w:r>
        <w:t xml:space="preserve">of Norway (2020) Temaundersøkelse om etterlevelsen av reglene for returprovisjon (finanstilsynet.no)</w:t>
      </w:r>
      <w:r>
        <w:t xml:space="preserve"> </w:t>
      </w:r>
      <w:r>
        <w:t xml:space="preserve">632 Page 256 of the Retail investment study</w:t>
      </w:r>
      <w:r>
        <w:t xml:space="preserve"> </w:t>
      </w:r>
      <w:r>
        <w:t xml:space="preserve">633 For instance, in the “European Commission, ‘Open Hearing on Retail Investment Products’” (2008),</w:t>
      </w:r>
      <w:r>
        <w:t xml:space="preserve"> </w:t>
      </w:r>
      <w:r>
        <w:t xml:space="preserve">indicates cases that took place in the Netherlands of companies trying to circumvent the rules. Similar</w:t>
      </w:r>
      <w:r>
        <w:t xml:space="preserve"> </w:t>
      </w:r>
      <w:r>
        <w:t xml:space="preserve">cases are described in “European Commission, Impact Assessment Accompanying the Proposal for a</w:t>
      </w:r>
      <w:r>
        <w:t xml:space="preserve"> </w:t>
      </w:r>
      <w:r>
        <w:t xml:space="preserve">Regulation of the European Parliament and of the Council on key information documents for investment</w:t>
      </w:r>
      <w:r>
        <w:t xml:space="preserve"> </w:t>
      </w:r>
      <w:r>
        <w:t xml:space="preserve">products (SWD (2012)187, 3 July 2012).</w:t>
      </w:r>
      <w:r>
        <w:t xml:space="preserve"> </w:t>
      </w:r>
      <w:r>
        <w:t xml:space="preserve">634 The MiFID II inducement regime relates to investment firms in connection with the provision of an</w:t>
      </w:r>
      <w:r>
        <w:t xml:space="preserve"> </w:t>
      </w:r>
      <w:r>
        <w:t xml:space="preserve">investment service or an ancillary service. The IDD inducement regime relates to an insurance</w:t>
      </w:r>
      <w:r>
        <w:t xml:space="preserve"> </w:t>
      </w:r>
      <w:r>
        <w:t xml:space="preserve">intermediary or undertaking.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possible to combine an investment product with funds and an insurance element</w:t>
      </w:r>
      <w:r>
        <w:t xml:space="preserve"> </w:t>
      </w:r>
      <w:r>
        <w:t xml:space="preserve">(the so-called</w:t>
      </w:r>
      <w:r>
        <w:t xml:space="preserve"> </w:t>
      </w:r>
      <w:r>
        <w:t xml:space="preserve">“insurance wrapper”</w:t>
      </w:r>
      <w:r>
        <w:t xml:space="preserve">)635. An insurance product can only be</w:t>
      </w:r>
      <w:r>
        <w:t xml:space="preserve"> </w:t>
      </w:r>
      <w:r>
        <w:t xml:space="preserve">distributed by insurance intermediaries or undertakings. That raises the question as</w:t>
      </w:r>
      <w:r>
        <w:t xml:space="preserve"> </w:t>
      </w:r>
      <w:r>
        <w:t xml:space="preserve">to whether all disclosures to retail investors would be respected where UCITS and</w:t>
      </w:r>
      <w:r>
        <w:t xml:space="preserve"> </w:t>
      </w:r>
      <w:r>
        <w:t xml:space="preserve">AIFs have been included into an IBIP – hence following (only) the IDD regime. In</w:t>
      </w:r>
      <w:r>
        <w:t xml:space="preserve"> </w:t>
      </w:r>
      <w:r>
        <w:t xml:space="preserve">theory, the level of investor’s protection in such cases might be jeopardised,</w:t>
      </w:r>
      <w:r>
        <w:t xml:space="preserve"> </w:t>
      </w:r>
      <w:r>
        <w:t xml:space="preserve">because the strict MiFID II rules on inducements would not be followed (which</w:t>
      </w:r>
      <w:r>
        <w:t xml:space="preserve"> </w:t>
      </w:r>
      <w:r>
        <w:t xml:space="preserve">would include the payment of inducements). Banks, independent financial advisors</w:t>
      </w:r>
      <w:r>
        <w:t xml:space="preserve"> </w:t>
      </w:r>
      <w:r>
        <w:t xml:space="preserve">or asset managers selling IBIPs are registered as insurance intermediaries and</w:t>
      </w:r>
      <w:r>
        <w:t xml:space="preserve"> </w:t>
      </w:r>
      <w:r>
        <w:t xml:space="preserve">acting as such under the IDD rules.</w:t>
      </w:r>
      <w:r>
        <w:br/>
      </w:r>
      <w:r>
        <w:t xml:space="preserve"> Furthermore, stricter national rules could create an unlevel playing field for</w:t>
      </w:r>
      <w:r>
        <w:t xml:space="preserve"> </w:t>
      </w:r>
      <w:r>
        <w:t xml:space="preserve">financial service providers operating cross-border. On the other hand, it may also</w:t>
      </w:r>
      <w:r>
        <w:t xml:space="preserve"> </w:t>
      </w:r>
      <w:r>
        <w:t xml:space="preserve">expose retail investors in host Member States with stricter rules to different,</w:t>
      </w:r>
      <w:r>
        <w:t xml:space="preserve"> </w:t>
      </w:r>
      <w:r>
        <w:t xml:space="preserve">potentially weaker, levels of investor protection.</w:t>
      </w:r>
    </w:p>
    <w:p>
      <w:pPr>
        <w:pStyle w:val="BodyText"/>
      </w:pPr>
      <w:r>
        <w:t xml:space="preserve">4.1.3: More specifically, have the rules on suitability/appropriateness assessment been</w:t>
      </w:r>
      <w:r>
        <w:t xml:space="preserve"> </w:t>
      </w:r>
      <w:r>
        <w:t xml:space="preserve">successful in ensuring suitable product purchases?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According to the retail investment study, the main observations regarding the effectiveness of the</w:t>
      </w:r>
      <w:r>
        <w:t xml:space="preserve"> </w:t>
      </w:r>
      <w:r>
        <w:t xml:space="preserve">client profile suitability/appropriateness processes are:</w:t>
      </w:r>
      <w:r>
        <w:br/>
      </w:r>
      <w:r>
        <w:t xml:space="preserve"> Suitability assessments are applied and the majority of retail investors who received</w:t>
      </w:r>
      <w:r>
        <w:t xml:space="preserve"> </w:t>
      </w:r>
      <w:r>
        <w:t xml:space="preserve">advice about investment products recall being asked questions about their profile</w:t>
      </w:r>
      <w:r>
        <w:t xml:space="preserve"> </w:t>
      </w:r>
      <w:r>
        <w:t xml:space="preserve">receiving a suitability assessment report.</w:t>
      </w:r>
      <w:r>
        <w:br/>
      </w:r>
      <w:r>
        <w:t xml:space="preserve"> There are inconsistent practices in the market with regard to:</w:t>
      </w:r>
      <w:r>
        <w:t xml:space="preserve"> </w:t>
      </w:r>
      <w:r>
        <w:t xml:space="preserve">-</w:t>
      </w:r>
      <w:r>
        <w:t xml:space="preserve"> </w:t>
      </w:r>
      <w:r>
        <w:t xml:space="preserve">The timing of the screening process. The legal framework only states that the</w:t>
      </w:r>
      <w:r>
        <w:t xml:space="preserve"> </w:t>
      </w:r>
      <w:r>
        <w:t xml:space="preserve">suitability assessment needs to be done “when providing advice”, while advice</w:t>
      </w:r>
      <w:r>
        <w:t xml:space="preserve"> </w:t>
      </w:r>
      <w:r>
        <w:t xml:space="preserve">needs to be given “in good time before the provision of services”. There are no legal</w:t>
      </w:r>
      <w:r>
        <w:t xml:space="preserve"> </w:t>
      </w:r>
      <w:r>
        <w:t xml:space="preserve">provisions stipulating that the suitability assessment needs to take place before the</w:t>
      </w:r>
      <w:r>
        <w:t xml:space="preserve"> </w:t>
      </w:r>
      <w:r>
        <w:t xml:space="preserve">advice is given. The mystery shopping exercise, stakeholder interviews and</w:t>
      </w:r>
      <w:r>
        <w:t xml:space="preserve"> </w:t>
      </w:r>
      <w:r>
        <w:t xml:space="preserve">national studies show that there are clear instances where the suitability assessment</w:t>
      </w:r>
    </w:p>
    <w:p>
      <w:pPr>
        <w:pStyle w:val="BodyText"/>
      </w:pPr>
      <w:r>
        <w:t xml:space="preserve">635 The scored IBIPs/PPPs rarely disclose separately the KIID of the underlying investment funds (at least</w:t>
      </w:r>
      <w:r>
        <w:t xml:space="preserve"> </w:t>
      </w:r>
      <w:r>
        <w:t xml:space="preserve">on the online search). There is also no cost standardization between KIID and KID or inducements. But</w:t>
      </w:r>
      <w:r>
        <w:t xml:space="preserve"> </w:t>
      </w:r>
      <w:r>
        <w:t xml:space="preserve">from January 2023, also UCITS will have to prepare KID instead of KIIDs. An example concerns the unit</w:t>
      </w:r>
      <w:r>
        <w:t xml:space="preserve"> </w:t>
      </w:r>
      <w:r>
        <w:t xml:space="preserve">linked/hybrid IBIS with multiple options. The practices can range from 3-4 investment scenarios or</w:t>
      </w:r>
      <w:r>
        <w:t xml:space="preserve"> </w:t>
      </w:r>
      <w:r>
        <w:t xml:space="preserve">selection from 10-20 different funds, with different generation of personalized offers, KIDs and KIIDs</w:t>
      </w:r>
      <w:r>
        <w:t xml:space="preserve"> </w:t>
      </w:r>
      <w:r>
        <w:t xml:space="preserve">(common or individual). In particular, costs concerning MOPs may not be precise because sometimes</w:t>
      </w:r>
      <w:r>
        <w:t xml:space="preserve"> </w:t>
      </w:r>
      <w:r>
        <w:t xml:space="preserve">options are UCITS funds investment for which different disclosure requirements under UCITS are in place.</w:t>
      </w:r>
      <w:r>
        <w:t xml:space="preserve"> </w:t>
      </w:r>
      <w:r>
        <w:t xml:space="preserve">In many instances, there is a generic cost information disclosed as a range in the PRIIPs KID while option</w:t>
      </w:r>
      <w:r>
        <w:t xml:space="preserve"> </w:t>
      </w:r>
      <w:r>
        <w:t xml:space="preserve">level costs are disclosed pursuant UCITS. Even in preparing their own reports, EIOPA has undertaken data</w:t>
      </w:r>
      <w:r>
        <w:t xml:space="preserve"> </w:t>
      </w:r>
      <w:r>
        <w:t xml:space="preserve">quality checks, ‘conversions’ between UCITS disclosures - KIIDs and equivalent reduction in yields (RIYs)</w:t>
      </w:r>
      <w:r>
        <w:t xml:space="preserve"> </w:t>
      </w:r>
      <w:r>
        <w:t xml:space="preserve">from KID and the explicit data collection of ‘wrapper costs’ - costs that are not at the option level but are</w:t>
      </w:r>
      <w:r>
        <w:t xml:space="preserve"> </w:t>
      </w:r>
      <w:r>
        <w:t xml:space="preserve">ultimately paid by consumers because part of the insurance product as a whole. These costs, when the</w:t>
      </w:r>
      <w:r>
        <w:t xml:space="preserve"> </w:t>
      </w:r>
      <w:r>
        <w:t xml:space="preserve">information is disclosed as range in the generic KID may not always be easily identifiable. The main</w:t>
      </w:r>
      <w:r>
        <w:t xml:space="preserve"> </w:t>
      </w:r>
      <w:r>
        <w:t xml:space="preserve">objective should be cost standardization and disclosure under MiFID II and IDD for all cost items, and</w:t>
      </w:r>
      <w:r>
        <w:t xml:space="preserve"> </w:t>
      </w:r>
      <w:r>
        <w:t xml:space="preserve">especially inducements - a horizontal regime - for product comparability.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is carried out at the very last stage, shortly before the contract signature. In the</w:t>
      </w:r>
      <w:r>
        <w:t xml:space="preserve"> </w:t>
      </w:r>
      <w:r>
        <w:t xml:space="preserve">mystery shopping exercise, several clients were explicitly told that this would only</w:t>
      </w:r>
      <w:r>
        <w:t xml:space="preserve"> </w:t>
      </w:r>
      <w:r>
        <w:t xml:space="preserve">be done later, at a contractual stage. Such late performance of the suitability</w:t>
      </w:r>
      <w:r>
        <w:t xml:space="preserve"> </w:t>
      </w:r>
      <w:r>
        <w:t xml:space="preserve">assessment means that in these instances, the objective of using information about</w:t>
      </w:r>
      <w:r>
        <w:t xml:space="preserve"> </w:t>
      </w:r>
      <w:r>
        <w:t xml:space="preserve">the client to provide advice is not fulfilled.</w:t>
      </w:r>
      <w:r>
        <w:br/>
      </w:r>
      <w:r>
        <w:t xml:space="preserve">-</w:t>
      </w:r>
      <w:r>
        <w:t xml:space="preserve"> </w:t>
      </w:r>
      <w:r>
        <w:t xml:space="preserve">The depth of information covered before a product is recommended. An</w:t>
      </w:r>
      <w:r>
        <w:t xml:space="preserve"> </w:t>
      </w:r>
      <w:r>
        <w:t xml:space="preserve">important proportion of conversations that resulted in product suggestions covered</w:t>
      </w:r>
      <w:r>
        <w:t xml:space="preserve"> </w:t>
      </w:r>
      <w:r>
        <w:t xml:space="preserve">only minimal or hardly any information about clients (questions such as investor</w:t>
      </w:r>
      <w:r>
        <w:t xml:space="preserve"> </w:t>
      </w:r>
      <w:r>
        <w:t xml:space="preserve">knowledge, family status (linked to the client’s capacity to bear losses) or the</w:t>
      </w:r>
      <w:r>
        <w:t xml:space="preserve"> </w:t>
      </w:r>
      <w:r>
        <w:t xml:space="preserve">client’s wealth and assets, were in many cases not covered). The varied practices</w:t>
      </w:r>
      <w:r>
        <w:t xml:space="preserve"> </w:t>
      </w:r>
      <w:r>
        <w:t xml:space="preserve">are also confirmed by the reports from supervisory authorities. On the other hand,</w:t>
      </w:r>
      <w:r>
        <w:t xml:space="preserve"> </w:t>
      </w:r>
      <w:r>
        <w:t xml:space="preserve">robo-advisors use a range of questions that generally tend to cover all essential</w:t>
      </w:r>
      <w:r>
        <w:t xml:space="preserve"> </w:t>
      </w:r>
      <w:r>
        <w:t xml:space="preserve">areas.</w:t>
      </w:r>
      <w:r>
        <w:br/>
      </w:r>
      <w:r>
        <w:t xml:space="preserve">-</w:t>
      </w:r>
      <w:r>
        <w:t xml:space="preserve"> </w:t>
      </w:r>
      <w:r>
        <w:t xml:space="preserve">Whether and how the suitability assessment is actually linked to the provision</w:t>
      </w:r>
      <w:r>
        <w:t xml:space="preserve"> </w:t>
      </w:r>
      <w:r>
        <w:t xml:space="preserve">of advice and recommendation. Both good and bad practices co-exist and the</w:t>
      </w:r>
      <w:r>
        <w:t xml:space="preserve"> </w:t>
      </w:r>
      <w:r>
        <w:t xml:space="preserve">quality of the suitability assessment questioning does not as such guarantee good</w:t>
      </w:r>
      <w:r>
        <w:t xml:space="preserve"> </w:t>
      </w:r>
      <w:r>
        <w:t xml:space="preserve">advice. This is particularly evident in cases in which the advice is given before the</w:t>
      </w:r>
      <w:r>
        <w:t xml:space="preserve"> </w:t>
      </w:r>
      <w:r>
        <w:t xml:space="preserve">suitability assessment is done.</w:t>
      </w:r>
      <w:r>
        <w:br/>
      </w:r>
      <w:r>
        <w:t xml:space="preserve">The above areas of improvement indicate that the current framework for assessing product</w:t>
      </w:r>
      <w:r>
        <w:t xml:space="preserve"> </w:t>
      </w:r>
      <w:r>
        <w:t xml:space="preserve">suitability and appropriateness does not necessarily ensure that retail investors are recommended</w:t>
      </w:r>
      <w:r>
        <w:t xml:space="preserve"> </w:t>
      </w:r>
      <w:r>
        <w:t xml:space="preserve">financial products or services that are suitable for them and to assist the investors in making optimal</w:t>
      </w:r>
      <w:r>
        <w:t xml:space="preserve"> </w:t>
      </w:r>
      <w:r>
        <w:t xml:space="preserve">choices.</w:t>
      </w:r>
      <w:r>
        <w:br/>
      </w:r>
      <w:r>
        <w:t xml:space="preserve">Efficiency</w:t>
      </w:r>
      <w:r>
        <w:t xml:space="preserve"> </w:t>
      </w:r>
      <w:r>
        <w:t xml:space="preserve">Regarding efficiency, the time needed for a face-to-face screening procedure is the most significant</w:t>
      </w:r>
      <w:r>
        <w:t xml:space="preserve"> </w:t>
      </w:r>
      <w:r>
        <w:t xml:space="preserve">cost636 of the suitability assessment and process. The benefits that the suitability assessments would</w:t>
      </w:r>
      <w:r>
        <w:t xml:space="preserve"> </w:t>
      </w:r>
      <w:r>
        <w:t xml:space="preserve">bring to the retail investor, also considering the overall attainment of the objective of increasing</w:t>
      </w:r>
      <w:r>
        <w:t xml:space="preserve"> </w:t>
      </w:r>
      <w:r>
        <w:t xml:space="preserve">retail investor protection, indicate that overall, the framework is efficient. There are however some</w:t>
      </w:r>
      <w:r>
        <w:t xml:space="preserve"> </w:t>
      </w:r>
      <w:r>
        <w:t xml:space="preserve">issues, identified that hinder the cost-effectiveness of the suitability assessment and where the</w:t>
      </w:r>
      <w:r>
        <w:t xml:space="preserve"> </w:t>
      </w:r>
      <w:r>
        <w:t xml:space="preserve">current framework could be improved:</w:t>
      </w:r>
      <w:r>
        <w:t xml:space="preserve"> </w:t>
      </w:r>
      <w:r>
        <w:t xml:space="preserve"> The screening process alone is not sufficient to provide good quality advice (as</w:t>
      </w:r>
      <w:r>
        <w:t xml:space="preserve"> </w:t>
      </w:r>
      <w:r>
        <w:t xml:space="preserve">shown under effectiveness).</w:t>
      </w:r>
      <w:r>
        <w:t xml:space="preserve"> </w:t>
      </w:r>
      <w:r>
        <w:t xml:space="preserve"> If clients do extensive research and undergo assessments with different distributors</w:t>
      </w:r>
      <w:r>
        <w:t xml:space="preserve"> </w:t>
      </w:r>
      <w:r>
        <w:t xml:space="preserve">before choosing the right product, the costs per screening increase. This indicates</w:t>
      </w:r>
      <w:r>
        <w:t xml:space="preserve"> </w:t>
      </w:r>
      <w:r>
        <w:t xml:space="preserve">the possible need for standardisation and portability of elements of the suitability</w:t>
      </w:r>
      <w:r>
        <w:t xml:space="preserve"> </w:t>
      </w:r>
      <w:r>
        <w:t xml:space="preserve">assessments to help minimise the costs.</w:t>
      </w:r>
    </w:p>
    <w:p>
      <w:pPr>
        <w:pStyle w:val="BodyText"/>
      </w:pPr>
      <w:r>
        <w:t xml:space="preserve">636 According to the retail investment study, the estimated range of costs for screening processes is</w:t>
      </w:r>
      <w:r>
        <w:t xml:space="preserve"> </w:t>
      </w:r>
      <w:r>
        <w:t xml:space="preserve">between 0.0006% and 0.0015% of the net assets managed by the service provider, therefore between</w:t>
      </w:r>
      <w:r>
        <w:t xml:space="preserve"> </w:t>
      </w:r>
      <w:r>
        <w:t xml:space="preserve">EUR0.7 to EUR 5.4 per client. The maximum cost per screening is around EUR30 on average. In the</w:t>
      </w:r>
      <w:r>
        <w:t xml:space="preserve"> </w:t>
      </w:r>
      <w:r>
        <w:t xml:space="preserve">absence of data about the share of purchases made by robo-advisors and the share of execution-only</w:t>
      </w:r>
      <w:r>
        <w:t xml:space="preserve"> </w:t>
      </w:r>
      <w:r>
        <w:t xml:space="preserve">purchases, the retail investment study assumed that all screenings were carried out using an advisor</w:t>
      </w:r>
      <w:r>
        <w:t xml:space="preserve"> </w:t>
      </w:r>
      <w:r>
        <w:t xml:space="preserve">driven process and that the products sold were accompanied by advice and were not execution-only.</w:t>
      </w:r>
      <w:r>
        <w:t xml:space="preserve"> </w:t>
      </w:r>
      <w:r>
        <w:t xml:space="preserve">Thus, the actual costs per screening are likely to be lower.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On the other hand, the use of online processes and the growing trend towards cheaper and often</w:t>
      </w:r>
      <w:r>
        <w:t xml:space="preserve"> </w:t>
      </w:r>
      <w:r>
        <w:t xml:space="preserve">execution-only products can help reduce the cost of the suitability assessment.</w:t>
      </w:r>
      <w:r>
        <w:br/>
      </w:r>
      <w:r>
        <w:t xml:space="preserve">Coherence</w:t>
      </w:r>
      <w:r>
        <w:t xml:space="preserve"> </w:t>
      </w:r>
      <w:r>
        <w:t xml:space="preserve">According to the legal analysis performed as part of the retail investment study, the legal</w:t>
      </w:r>
      <w:r>
        <w:t xml:space="preserve"> </w:t>
      </w:r>
      <w:r>
        <w:t xml:space="preserve">requirements on suitability and appropriateness are coherent. The standards set out in IDD and</w:t>
      </w:r>
      <w:r>
        <w:t xml:space="preserve"> </w:t>
      </w:r>
      <w:r>
        <w:t xml:space="preserve">MiFID II on the application of the suitability and the appropriateness assessment are largely</w:t>
      </w:r>
      <w:r>
        <w:t xml:space="preserve"> </w:t>
      </w:r>
      <w:r>
        <w:t xml:space="preserve">identical. Although some minor potential inconsistencies and gaps have been identified through the</w:t>
      </w:r>
      <w:r>
        <w:t xml:space="preserve"> </w:t>
      </w:r>
      <w:r>
        <w:t xml:space="preserve">legal analysis of the EU requirements for the suitability and appropriateness assessment, these</w:t>
      </w:r>
      <w:r>
        <w:t xml:space="preserve"> </w:t>
      </w:r>
      <w:r>
        <w:t xml:space="preserve">mainly relate to reporting obligations (e.g., the suitability statement) and recording obligations, and</w:t>
      </w:r>
      <w:r>
        <w:t xml:space="preserve"> </w:t>
      </w:r>
      <w:r>
        <w:t xml:space="preserve">are therefore unlikely to have impacts on the financial decisions of retail investors.</w:t>
      </w:r>
      <w:r>
        <w:br/>
      </w:r>
      <w:r>
        <w:t xml:space="preserve">Additionally, regarding the coherence at national level, differences exist between the Member</w:t>
      </w:r>
      <w:r>
        <w:t xml:space="preserve"> </w:t>
      </w:r>
      <w:r>
        <w:t xml:space="preserve">States. IDD is a minimum harmonisation directive which implies that the Member States are given</w:t>
      </w:r>
      <w:r>
        <w:t xml:space="preserve"> </w:t>
      </w:r>
      <w:r>
        <w:t xml:space="preserve">some leeway to implement rules differently, whereas MiFID II aims at maximum harmonisation.</w:t>
      </w:r>
      <w:r>
        <w:t xml:space="preserve"> </w:t>
      </w:r>
      <w:r>
        <w:t xml:space="preserve">However, national-level interviews did not reveal major concerns.</w:t>
      </w:r>
      <w:r>
        <w:br/>
      </w:r>
      <w:r>
        <w:t xml:space="preserve">There are some differences between IDD and MiFID II regarding the treatment of non-</w:t>
      </w:r>
      <w:r>
        <w:t xml:space="preserve"> </w:t>
      </w:r>
      <w:r>
        <w:t xml:space="preserve">complex products. IDD allows Member States to derogate from the obligations on appropriateness</w:t>
      </w:r>
      <w:r>
        <w:t xml:space="preserve"> </w:t>
      </w:r>
      <w:r>
        <w:t xml:space="preserve">where no advice is given in relation to IBIPs, while under MiFID II, firms are allowed to provide</w:t>
      </w:r>
      <w:r>
        <w:t xml:space="preserve"> </w:t>
      </w:r>
      <w:r>
        <w:t xml:space="preserve">non-advised services with respect to non-complex investment products, without the need to conduct</w:t>
      </w:r>
      <w:r>
        <w:t xml:space="preserve"> </w:t>
      </w:r>
      <w:r>
        <w:t xml:space="preserve">an appropriateness assessment, provided a warning is given.</w:t>
      </w:r>
      <w:r>
        <w:br/>
      </w:r>
      <w:r>
        <w:t xml:space="preserve">The option given to Member States to make advice obligatory for certain types of insurance</w:t>
      </w:r>
      <w:r>
        <w:t xml:space="preserve"> </w:t>
      </w:r>
      <w:r>
        <w:t xml:space="preserve">products (under IDD Level 3 rules) could create potential inconsistencies between insurance</w:t>
      </w:r>
      <w:r>
        <w:t xml:space="preserve"> </w:t>
      </w:r>
      <w:r>
        <w:t xml:space="preserve">products across the EU.</w:t>
      </w:r>
    </w:p>
    <w:p>
      <w:pPr>
        <w:pStyle w:val="BodyText"/>
      </w:pPr>
      <w:r>
        <w:t xml:space="preserve">4.1.4. More specifically, have the rules on product oversight and</w:t>
      </w:r>
      <w:r>
        <w:t xml:space="preserve"> </w:t>
      </w:r>
      <w:r>
        <w:t xml:space="preserve">governance been successful in ensuring that products entering</w:t>
      </w:r>
      <w:r>
        <w:t xml:space="preserve"> </w:t>
      </w:r>
      <w:r>
        <w:t xml:space="preserve">target markets are suitable, i.e. aligned with needs of those target</w:t>
      </w:r>
      <w:r>
        <w:t xml:space="preserve"> </w:t>
      </w:r>
      <w:r>
        <w:t xml:space="preserve">markets?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current product oversight and governance rules have set the foundation to steer the markets</w:t>
      </w:r>
      <w:r>
        <w:t xml:space="preserve"> </w:t>
      </w:r>
      <w:r>
        <w:t xml:space="preserve">towards ensuring that the interests of customers are integral to the product design process and</w:t>
      </w:r>
      <w:r>
        <w:t xml:space="preserve"> </w:t>
      </w:r>
      <w:r>
        <w:t xml:space="preserve">throughout the lifecycle of a financial instrument/product, including distribution arrangements.</w:t>
      </w:r>
      <w:r>
        <w:t xml:space="preserve"> </w:t>
      </w:r>
      <w:r>
        <w:t xml:space="preserve">However, as evidenced by several sources, the rules under MIFID and IDD have not been effective</w:t>
      </w:r>
      <w:r>
        <w:t xml:space="preserve"> </w:t>
      </w:r>
      <w:r>
        <w:t xml:space="preserve">in ensuring this objective and offering value to the retail investor. With respect to effectiveness of</w:t>
      </w:r>
      <w:r>
        <w:t xml:space="preserve"> </w:t>
      </w:r>
      <w:r>
        <w:t xml:space="preserve">POG rules under UCITS directive, available evidence suggests that rules are generally quite</w:t>
      </w:r>
      <w:r>
        <w:t xml:space="preserve"> </w:t>
      </w:r>
      <w:r>
        <w:t xml:space="preserve">effective, although with some scope for further improvement.</w:t>
      </w:r>
      <w:r>
        <w:t xml:space="preserve"> </w:t>
      </w:r>
      <w:r>
        <w:t xml:space="preserve">EIOPA’s637 and ESMA’s638 annual cost and past performance reports indicate that some products639</w:t>
      </w:r>
      <w:r>
        <w:t xml:space="preserve"> </w:t>
      </w:r>
      <w:r>
        <w:t xml:space="preserve">offered to retail investors have in recent years offered very low if not negative returns,</w:t>
      </w:r>
    </w:p>
    <w:p>
      <w:pPr>
        <w:pStyle w:val="BodyText"/>
      </w:pPr>
      <w:r>
        <w:t xml:space="preserve">637 EIOPA Cost and past performance report 2022.</w:t>
      </w:r>
      <w:r>
        <w:t xml:space="preserve"> </w:t>
      </w:r>
      <w:r>
        <w:t xml:space="preserve">638 ESMA Performance and Costs of EU Retail Investment Products 2022.</w:t>
      </w:r>
      <w:r>
        <w:t xml:space="preserve"> </w:t>
      </w:r>
      <w:r>
        <w:t xml:space="preserve">639 e.g. certain structured investment products or insurance-based investment products.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disproportionate to the risk that is taken by the investor, calling into question their value to the</w:t>
      </w:r>
      <w:r>
        <w:t xml:space="preserve"> </w:t>
      </w:r>
      <w:r>
        <w:t xml:space="preserve">retail investors640. In addition, such products are often overly complex and include costs641 that</w:t>
      </w:r>
      <w:r>
        <w:t xml:space="preserve"> </w:t>
      </w:r>
      <w:r>
        <w:t xml:space="preserve">limit the potential returns and diminish the investment outcome for retail clients642.</w:t>
      </w:r>
      <w:r>
        <w:br/>
      </w:r>
      <w:r>
        <w:t xml:space="preserve">The figure below shows the weighted average net return of a sample of unit-linked products by</w:t>
      </w:r>
      <w:r>
        <w:t xml:space="preserve"> </w:t>
      </w:r>
      <w:r>
        <w:t xml:space="preserve">Member State commercialised cross-border over the period 2020-2016643 and the weighted net</w:t>
      </w:r>
      <w:r>
        <w:t xml:space="preserve"> </w:t>
      </w:r>
      <w:r>
        <w:t xml:space="preserve">return in 2020. These net returns do not take into account the effects of inflation during the same</w:t>
      </w:r>
      <w:r>
        <w:t xml:space="preserve"> </w:t>
      </w:r>
      <w:r>
        <w:t xml:space="preserve">period.</w:t>
      </w:r>
      <w:r>
        <w:t xml:space="preserve"> </w:t>
      </w:r>
      <w:r>
        <w:t xml:space="preserve">Figure.7 - weighted average net return of a sample of unit-linked products by Member State</w:t>
      </w:r>
      <w:r>
        <w:t xml:space="preserve"> </w:t>
      </w:r>
      <w:r>
        <w:t xml:space="preserve">commercialised cross-border</w:t>
      </w:r>
    </w:p>
    <w:p>
      <w:pPr>
        <w:pStyle w:val="BodyText"/>
      </w:pPr>
      <w:r>
        <w:t xml:space="preserve">In November 2021 EIOPA issued a supervisory statement on IDD644 in light of concerns about the</w:t>
      </w:r>
      <w:r>
        <w:t xml:space="preserve"> </w:t>
      </w:r>
      <w:r>
        <w:t xml:space="preserve">significant impact that costs can have on returns of insurance-based investment products, in</w:t>
      </w:r>
      <w:r>
        <w:t xml:space="preserve"> </w:t>
      </w:r>
      <w:r>
        <w:t xml:space="preserve">particular in respect of unit-linked products which may not be designed in a customer-centric</w:t>
      </w:r>
      <w:r>
        <w:t xml:space="preserve"> </w:t>
      </w:r>
      <w:r>
        <w:t xml:space="preserve">manner. Competent authorities have been reporting a number of issues, such as: high complexity,</w:t>
      </w:r>
      <w:r>
        <w:t xml:space="preserve"> </w:t>
      </w:r>
      <w:r>
        <w:t xml:space="preserve">mis-selling, mismatches between actual returns and customers’ expectations. The outcome of the</w:t>
      </w:r>
      <w:r>
        <w:t xml:space="preserve"> </w:t>
      </w:r>
      <w:r>
        <w:t xml:space="preserve">Common Supervisory Action (CSA) on product governance requirements under MiFID II645,</w:t>
      </w:r>
      <w:r>
        <w:t xml:space="preserve"> </w:t>
      </w:r>
      <w:r>
        <w:t xml:space="preserve">coordinated by ESMA in January 2021, indicated that:</w:t>
      </w:r>
    </w:p>
    <w:p>
      <w:pPr>
        <w:pStyle w:val="BodyText"/>
      </w:pPr>
      <w:r>
        <w:t xml:space="preserve">640 See page 38 EIOPA’s 2022 cost and performance report (“Products corresponding to lower risk classes</w:t>
      </w:r>
      <w:r>
        <w:t xml:space="preserve"> </w:t>
      </w:r>
      <w:r>
        <w:t xml:space="preserve">had particularly low net returns, at times negative, questioning the value for money offered by these</w:t>
      </w:r>
      <w:r>
        <w:t xml:space="preserve"> </w:t>
      </w:r>
      <w:r>
        <w:t xml:space="preserve">products.”) or page 37 of ESMA’s Performance and Costs of EU Retail Investment Products 2022 (“once</w:t>
      </w:r>
      <w:r>
        <w:t xml:space="preserve"> </w:t>
      </w:r>
      <w:r>
        <w:t xml:space="preserve">costs were taken into account, the simulated returns for a number of SRP’s were below zero”).</w:t>
      </w:r>
      <w:r>
        <w:br/>
      </w:r>
      <w:r>
        <w:t xml:space="preserve">641 Products offered to retail investors frequently incorporate high levels of fees and commissions. In</w:t>
      </w:r>
      <w:r>
        <w:t xml:space="preserve"> </w:t>
      </w:r>
      <w:r>
        <w:t xml:space="preserve">2021, retail clients were charged on average around 40% more than institutional investors across asset</w:t>
      </w:r>
      <w:r>
        <w:t xml:space="preserve"> </w:t>
      </w:r>
      <w:r>
        <w:t xml:space="preserve">classes.</w:t>
      </w:r>
      <w:r>
        <w:br/>
      </w:r>
      <w:r>
        <w:t xml:space="preserve">642 The ESMA report on performance and costs indicates “In terms of simulated returns and costs, the</w:t>
      </w:r>
      <w:r>
        <w:t xml:space="preserve"> </w:t>
      </w:r>
      <w:r>
        <w:t xml:space="preserve">patterns that were identified in last year’s report largely persist. The key findings are as follows: Once</w:t>
      </w:r>
      <w:r>
        <w:t xml:space="preserve"> </w:t>
      </w:r>
      <w:r>
        <w:t xml:space="preserve">costs were taken into account, the simulated returns for a number of SRPs were below zero. This illustrates</w:t>
      </w:r>
      <w:r>
        <w:t xml:space="preserve"> </w:t>
      </w:r>
      <w:r>
        <w:t xml:space="preserve">the benefit of mandating, as done in the PRIIPs KID Delegated Regulation, that performance scenario</w:t>
      </w:r>
      <w:r>
        <w:t xml:space="preserve"> </w:t>
      </w:r>
      <w:r>
        <w:t xml:space="preserve">information provided to investors in the KID be made available net of costs. … There appears to be little</w:t>
      </w:r>
      <w:r>
        <w:t xml:space="preserve"> </w:t>
      </w:r>
      <w:r>
        <w:t xml:space="preserve">correlation between total costs and the underlying asset type, and total costs do not appear to be lower</w:t>
      </w:r>
      <w:r>
        <w:t xml:space="preserve"> </w:t>
      </w:r>
      <w:r>
        <w:t xml:space="preserve">for products that are more popular with retail investors (i.e. economies of scale do not appear to</w:t>
      </w:r>
      <w:r>
        <w:t xml:space="preserve"> </w:t>
      </w:r>
      <w:r>
        <w:t xml:space="preserve">materialise in the market for SRPs).”</w:t>
      </w:r>
      <w:r>
        <w:br/>
      </w:r>
      <w:r>
        <w:t xml:space="preserve">643 Source EIOPA’s cost and performance report 2022.</w:t>
      </w:r>
      <w:r>
        <w:t xml:space="preserve"> </w:t>
      </w:r>
      <w:r>
        <w:t xml:space="preserve">644 Supervisory Statement on “Assessment of value for money of unit-linked insurance products under</w:t>
      </w:r>
      <w:r>
        <w:t xml:space="preserve"> </w:t>
      </w:r>
      <w:r>
        <w:t xml:space="preserve">product oversight and governance”.</w:t>
      </w:r>
      <w:r>
        <w:t xml:space="preserve"> </w:t>
      </w:r>
      <w:r>
        <w:t xml:space="preserve">645 ESMA 2021 CSA on MiFID II product governance requirements.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 Even though firms generally define a target market for the products they</w:t>
      </w:r>
      <w:r>
        <w:t xml:space="preserve"> </w:t>
      </w:r>
      <w:r>
        <w:t xml:space="preserve">manufacture and/or distribute and do so by following the target market categories</w:t>
      </w:r>
      <w:r>
        <w:t xml:space="preserve"> </w:t>
      </w:r>
      <w:r>
        <w:t xml:space="preserve">defined in the ESMA guidelines, such definition is approached as a formalistic</w:t>
      </w:r>
      <w:r>
        <w:t xml:space="preserve"> </w:t>
      </w:r>
      <w:r>
        <w:t xml:space="preserve">exercise, is not sufficiently granular and the terms used are not clearly defined. In</w:t>
      </w:r>
      <w:r>
        <w:t xml:space="preserve"> </w:t>
      </w:r>
      <w:r>
        <w:t xml:space="preserve">addition, the definition of a target market does not always lead to the firms</w:t>
      </w:r>
      <w:r>
        <w:t xml:space="preserve"> </w:t>
      </w:r>
      <w:r>
        <w:t xml:space="preserve">developing a compatible distribution strategy.</w:t>
      </w:r>
      <w:r>
        <w:t xml:space="preserve"> </w:t>
      </w:r>
      <w:r>
        <w:t xml:space="preserve"> Under Article 9(10) of the MiFID II Delegated Directive, firms are required to</w:t>
      </w:r>
      <w:r>
        <w:t xml:space="preserve"> </w:t>
      </w:r>
      <w:r>
        <w:t xml:space="preserve">perform a scenario analysis to assess the risks of poor outcomes for end clients. The</w:t>
      </w:r>
      <w:r>
        <w:t xml:space="preserve"> </w:t>
      </w:r>
      <w:r>
        <w:t xml:space="preserve">CSA showed that the analysis is inconsistently performed among firms and it is not</w:t>
      </w:r>
      <w:r>
        <w:t xml:space="preserve"> </w:t>
      </w:r>
      <w:r>
        <w:t xml:space="preserve">always clear how these scenarios are actually used for the identification of the target</w:t>
      </w:r>
      <w:r>
        <w:t xml:space="preserve"> </w:t>
      </w:r>
      <w:r>
        <w:t xml:space="preserve">market.</w:t>
      </w:r>
      <w:r>
        <w:t xml:space="preserve"> </w:t>
      </w:r>
      <w:r>
        <w:t xml:space="preserve"> Product manufacturers’ procedures insufficiently describe how a product’s cost</w:t>
      </w:r>
      <w:r>
        <w:t xml:space="preserve"> </w:t>
      </w:r>
      <w:r>
        <w:t xml:space="preserve">structure646 is evaluated to ensure compatibility with the product’s target market and</w:t>
      </w:r>
      <w:r>
        <w:t xml:space="preserve"> </w:t>
      </w:r>
      <w:r>
        <w:t xml:space="preserve">the application of the product governance requirements does not guarantee that the</w:t>
      </w:r>
      <w:r>
        <w:t xml:space="preserve"> </w:t>
      </w:r>
      <w:r>
        <w:t xml:space="preserve">products that enter the market deliver value to retail investors. The product reviews</w:t>
      </w:r>
      <w:r>
        <w:t xml:space="preserve"> </w:t>
      </w:r>
      <w:r>
        <w:t xml:space="preserve">are not performed with an adequate scope nor frequently enough to verify if the</w:t>
      </w:r>
      <w:r>
        <w:t xml:space="preserve"> </w:t>
      </w:r>
      <w:r>
        <w:t xml:space="preserve">financial instrument remains consistent with the needs, characteristics and</w:t>
      </w:r>
      <w:r>
        <w:t xml:space="preserve"> </w:t>
      </w:r>
      <w:r>
        <w:t xml:space="preserve">objectives of the target market.</w:t>
      </w:r>
      <w:r>
        <w:t xml:space="preserve"> </w:t>
      </w:r>
      <w:r>
        <w:t xml:space="preserve"> On the exchange of information between manufacturers and distributors, the</w:t>
      </w:r>
      <w:r>
        <w:t xml:space="preserve"> </w:t>
      </w:r>
      <w:r>
        <w:t xml:space="preserve">CSA on MIFID rules revealed that a significant number of firms do not provide</w:t>
      </w:r>
      <w:r>
        <w:t xml:space="preserve"> </w:t>
      </w:r>
      <w:r>
        <w:t xml:space="preserve">reports proactively to the product manufacturers, but only upon request.</w:t>
      </w:r>
      <w:r>
        <w:t xml:space="preserve"> </w:t>
      </w:r>
      <w:r>
        <w:t xml:space="preserve">One notable area of products which may be prone to a higher incidence of poor value for money</w:t>
      </w:r>
      <w:r>
        <w:t xml:space="preserve"> </w:t>
      </w:r>
      <w:r>
        <w:t xml:space="preserve">are structured products (SRPs), which particularly stood out. In its ESMA’s Annual Statistical</w:t>
      </w:r>
      <w:r>
        <w:t xml:space="preserve"> </w:t>
      </w:r>
      <w:r>
        <w:t xml:space="preserve">Report 2022 on Performance and Costs of EU Retail Investment Products647, ESMA highlighted</w:t>
      </w:r>
      <w:r>
        <w:t xml:space="preserve"> </w:t>
      </w:r>
      <w:r>
        <w:t xml:space="preserve">the two key types of costs as those that are embedded in the product when it is issued, and costs</w:t>
      </w:r>
      <w:r>
        <w:t xml:space="preserve"> </w:t>
      </w:r>
      <w:r>
        <w:t xml:space="preserve">involved in distributing the product, such as sales commissions. In its analysis ESMA focused on</w:t>
      </w:r>
      <w:r>
        <w:t xml:space="preserve"> </w:t>
      </w:r>
      <w:r>
        <w:t xml:space="preserve">the former. ESMA indicated that different types of SRPs are offered to retail investors in the EU,</w:t>
      </w:r>
      <w:r>
        <w:t xml:space="preserve"> </w:t>
      </w:r>
      <w:r>
        <w:t xml:space="preserve">many with complex pay-off structures. ESMA’s main conclusions are that:</w:t>
      </w:r>
      <w:r>
        <w:t xml:space="preserve"> </w:t>
      </w:r>
      <w:r>
        <w:t xml:space="preserve"> the total costs do not depend on issuance size or underlying type;</w:t>
      </w:r>
      <w:r>
        <w:t xml:space="preserve"> </w:t>
      </w:r>
      <w:r>
        <w:t xml:space="preserve"> there does not appear to be any clear correlation between total costs and the</w:t>
      </w:r>
      <w:r>
        <w:t xml:space="preserve"> </w:t>
      </w:r>
      <w:r>
        <w:t xml:space="preserve">Summary Risk Indicators, or between total costs and the recommended holding</w:t>
      </w:r>
      <w:r>
        <w:t xml:space="preserve"> </w:t>
      </w:r>
      <w:r>
        <w:t xml:space="preserve">period for each product - in other words, it is not the case that riskier, or longer-</w:t>
      </w:r>
      <w:r>
        <w:t xml:space="preserve"> </w:t>
      </w:r>
      <w:r>
        <w:t xml:space="preserve">maturity SRPs have higher costs than their less risky or lower-maturity</w:t>
      </w:r>
      <w:r>
        <w:t xml:space="preserve"> </w:t>
      </w:r>
      <w:r>
        <w:t xml:space="preserve">counterparts;</w:t>
      </w:r>
      <w:r>
        <w:t xml:space="preserve"> </w:t>
      </w:r>
      <w:r>
        <w:t xml:space="preserve"> there is no negative correlation between sales volume and costs (i.e. economies of</w:t>
      </w:r>
      <w:r>
        <w:t xml:space="preserve"> </w:t>
      </w:r>
      <w:r>
        <w:t xml:space="preserve">scale do not appear to materialise in the market for SRPs);</w:t>
      </w:r>
      <w:r>
        <w:t xml:space="preserve"> </w:t>
      </w:r>
      <w:r>
        <w:t xml:space="preserve"> the existence of a plurality of reference assets does not seem to lead to higher costs</w:t>
      </w:r>
      <w:r>
        <w:t xml:space="preserve"> </w:t>
      </w:r>
      <w:r>
        <w:t xml:space="preserve">per se (SRPs backed by single equities tend to have higher costs than SRPs backed</w:t>
      </w:r>
      <w:r>
        <w:t xml:space="preserve"> </w:t>
      </w:r>
      <w:r>
        <w:t xml:space="preserve">by other underlying assets, including baskets of assets and indices).</w:t>
      </w:r>
      <w:r>
        <w:t xml:space="preserve"> </w:t>
      </w:r>
      <w:r>
        <w:t xml:space="preserve"> under the moderate performance scenario, approximately one in ten SRPs would</w:t>
      </w:r>
      <w:r>
        <w:t xml:space="preserve"> </w:t>
      </w:r>
      <w:r>
        <w:t xml:space="preserve">offer negative returns, despite this being the second-best scenario out of four. This</w:t>
      </w:r>
    </w:p>
    <w:p>
      <w:pPr>
        <w:pStyle w:val="BodyText"/>
      </w:pPr>
      <w:r>
        <w:t xml:space="preserve">646 As required under Article 9(12) of the MiFID II Delegated Directive.</w:t>
      </w:r>
      <w:r>
        <w:t xml:space="preserve"> </w:t>
      </w:r>
      <w:r>
        <w:t xml:space="preserve">647 SRPs are investments whose return is linked to the performance of one or more reference indices.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share increases to one quarter of SRPs when looking at the returns after one year,</w:t>
      </w:r>
      <w:r>
        <w:t xml:space="preserve"> </w:t>
      </w:r>
      <w:r>
        <w:t xml:space="preserve">rather than at a product’s maturity.</w:t>
      </w:r>
      <w:r>
        <w:br/>
      </w:r>
      <w:r>
        <w:t xml:space="preserve">In light of negative results of this exercise, ESMA suggested that it is rather the ‘structured’ nature</w:t>
      </w:r>
      <w:r>
        <w:t xml:space="preserve"> </w:t>
      </w:r>
      <w:r>
        <w:t xml:space="preserve">of SRPs’ payoff (the most challenging part for investors to assess) that drives costs.</w:t>
      </w:r>
      <w:r>
        <w:br/>
      </w:r>
      <w:r>
        <w:t xml:space="preserve">This evidence shows that in case of some products, higher costs are embedded irrespective of</w:t>
      </w:r>
      <w:r>
        <w:t xml:space="preserve"> </w:t>
      </w:r>
      <w:r>
        <w:t xml:space="preserve">features which could constitute better product quality but rather relate to complex costs structure.</w:t>
      </w:r>
      <w:r>
        <w:t xml:space="preserve"> </w:t>
      </w:r>
      <w:r>
        <w:t xml:space="preserve">This should not be the case, as complexity of cost structure is justified only when it aims to better</w:t>
      </w:r>
      <w:r>
        <w:t xml:space="preserve"> </w:t>
      </w:r>
      <w:r>
        <w:t xml:space="preserve">align costs to the quality of the product and the returns it generates.</w:t>
      </w:r>
      <w:r>
        <w:t xml:space="preserve"> </w:t>
      </w:r>
      <w:r>
        <w:t xml:space="preserve">As a result, the current MiFID and IDD rules, despite the efforts of ESMA and EIOPA in this area</w:t>
      </w:r>
      <w:r>
        <w:t xml:space="preserve"> </w:t>
      </w:r>
      <w:r>
        <w:t xml:space="preserve">to address the product manufacturing process and rules governing the distribution of retail</w:t>
      </w:r>
      <w:r>
        <w:t xml:space="preserve"> </w:t>
      </w:r>
      <w:r>
        <w:t xml:space="preserve">investment products, do not fully tackle the issue of cost-efficiency of products and are not</w:t>
      </w:r>
      <w:r>
        <w:t xml:space="preserve"> </w:t>
      </w:r>
      <w:r>
        <w:t xml:space="preserve">sufficiently effective to ensure that retail investors are offered products that are cost efficient.</w:t>
      </w:r>
      <w:r>
        <w:br/>
      </w:r>
      <w:r>
        <w:t xml:space="preserve">The Common Supervisory Action coordinated by ESMA in January 2021648 concluded that the</w:t>
      </w:r>
      <w:r>
        <w:t xml:space="preserve"> </w:t>
      </w:r>
      <w:r>
        <w:t xml:space="preserve">supervised entities’ compliance with the UCITS framework, and in particular the rules detailed in</w:t>
      </w:r>
      <w:r>
        <w:t xml:space="preserve"> </w:t>
      </w:r>
      <w:r>
        <w:t xml:space="preserve">their supervisory briefing, is satisfactory. For example, ESMA has reached the conclusion that</w:t>
      </w:r>
      <w:r>
        <w:t xml:space="preserve"> </w:t>
      </w:r>
      <w:r>
        <w:t xml:space="preserve">“Very few NCAs reported of regulatory breaches which were already addressed by imposing</w:t>
      </w:r>
      <w:r>
        <w:t xml:space="preserve"> </w:t>
      </w:r>
      <w:r>
        <w:t xml:space="preserve">administrative measures”. In particular, while larger asset managers were found to have good</w:t>
      </w:r>
      <w:r>
        <w:t xml:space="preserve"> </w:t>
      </w:r>
      <w:r>
        <w:t xml:space="preserve">structures in place, small UCITS management companies have less structured pricing processes in</w:t>
      </w:r>
      <w:r>
        <w:t xml:space="preserve"> </w:t>
      </w:r>
      <w:r>
        <w:t xml:space="preserve">place. Subsequent to the CSA, NCAs have engaged in remedial action in cases where deficiencies</w:t>
      </w:r>
      <w:r>
        <w:t xml:space="preserve"> </w:t>
      </w:r>
      <w:r>
        <w:t xml:space="preserve">were identified, in order to obtain the correction of identified deficiencies. Some NCAs have</w:t>
      </w:r>
      <w:r>
        <w:t xml:space="preserve"> </w:t>
      </w:r>
      <w:r>
        <w:t xml:space="preserve">extended the scope of follow-up actions to all UCITS management companies649.</w:t>
      </w:r>
      <w:r>
        <w:t xml:space="preserve"> </w:t>
      </w:r>
      <w:r>
        <w:t xml:space="preserve">Beyond these positive results, ESMA identified room for improvement to achieve greater</w:t>
      </w:r>
      <w:r>
        <w:t xml:space="preserve"> </w:t>
      </w:r>
      <w:r>
        <w:t xml:space="preserve">convergence between Member States and is also working on an opinion to further improve the</w:t>
      </w:r>
      <w:r>
        <w:t xml:space="preserve"> </w:t>
      </w:r>
      <w:r>
        <w:t xml:space="preserve">regulatory framework, where necessary. In particular, ESMA’s report mentioned the benefit of</w:t>
      </w:r>
      <w:r>
        <w:t xml:space="preserve"> </w:t>
      </w:r>
      <w:r>
        <w:t xml:space="preserve">having a clearer definition of the notion of “undue cost” in the Level 1/Level 2. However, NCAs</w:t>
      </w:r>
      <w:r>
        <w:t xml:space="preserve"> </w:t>
      </w:r>
      <w:r>
        <w:t xml:space="preserve">“reported that the supervisory briefing on the supervision of costs provided useful indications on</w:t>
      </w:r>
      <w:r>
        <w:t xml:space="preserve"> </w:t>
      </w:r>
      <w:r>
        <w:t xml:space="preserve">the cases where a cost should be considered as due/undue and the categories of costs identified by</w:t>
      </w:r>
      <w:r>
        <w:t xml:space="preserve"> </w:t>
      </w:r>
      <w:r>
        <w:t xml:space="preserve">fund managers largely corresponded to the macro categories included in the supervisory briefing.</w:t>
      </w:r>
      <w:r>
        <w:t xml:space="preserve"> </w:t>
      </w:r>
      <w:r>
        <w:t xml:space="preserve">“Further assessment by ESMA highlights the key role of supervision in achieving the objectives of</w:t>
      </w:r>
      <w:r>
        <w:t xml:space="preserve"> </w:t>
      </w:r>
      <w:r>
        <w:t xml:space="preserve">POG rules, notably reduction of costs. ESMA’s annual statistical report on the costs and</w:t>
      </w:r>
      <w:r>
        <w:t xml:space="preserve"> </w:t>
      </w:r>
      <w:r>
        <w:t xml:space="preserve">performance of retail investment products reports a moderate but broad-based change in costs</w:t>
      </w:r>
      <w:r>
        <w:t xml:space="preserve"> </w:t>
      </w:r>
      <w:r>
        <w:t xml:space="preserve">across investment horizons and reporting periods. For equity, total costs went from 2% at the ten-</w:t>
      </w:r>
      <w:r>
        <w:t xml:space="preserve"> </w:t>
      </w:r>
      <w:r>
        <w:t xml:space="preserve">year investment horizon for the reporting period ending with 2017 to 1.6% at the one-year horizon</w:t>
      </w:r>
      <w:r>
        <w:t xml:space="preserve"> </w:t>
      </w:r>
      <w:r>
        <w:t xml:space="preserve">in the analysis ending in 2019. While more factors contribute to this effect, it is likely that increased</w:t>
      </w:r>
      <w:r>
        <w:t xml:space="preserve"> </w:t>
      </w:r>
      <w:r>
        <w:t xml:space="preserve">supervision has played a role650.</w:t>
      </w:r>
    </w:p>
    <w:p>
      <w:pPr>
        <w:pStyle w:val="BodyText"/>
      </w:pPr>
      <w:r>
        <w:t xml:space="preserve">648 See ESMA’s Final report on the 2021 CSA on costs and fees.</w:t>
      </w:r>
      <w:r>
        <w:t xml:space="preserve"> </w:t>
      </w:r>
      <w:r>
        <w:t xml:space="preserve">649 For instance, the CSSF has asked all management companies to conduct, by Q1/2023, a comprehensive</w:t>
      </w:r>
      <w:r>
        <w:t xml:space="preserve"> </w:t>
      </w:r>
      <w:r>
        <w:t xml:space="preserve">assessment with regard to the compliance of their policy, approach and arrangements related to costs, in</w:t>
      </w:r>
      <w:r>
        <w:t xml:space="preserve"> </w:t>
      </w:r>
      <w:r>
        <w:t xml:space="preserve">relation to the observations of ESMA and of the CSSF and to take, if applicable, the necessary corrective</w:t>
      </w:r>
      <w:r>
        <w:t xml:space="preserve"> </w:t>
      </w:r>
      <w:r>
        <w:t xml:space="preserve">measures (CSSF report on the CSA)</w:t>
      </w:r>
      <w:r>
        <w:t xml:space="preserve"> </w:t>
      </w:r>
      <w:r>
        <w:t xml:space="preserve">650 There has been an increased focus on costs of investment products notably since 2018.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Nevertheless, there is an important limitation to what POG rules under the UCITS framework can</w:t>
      </w:r>
      <w:r>
        <w:t xml:space="preserve"> </w:t>
      </w:r>
      <w:r>
        <w:t xml:space="preserve">achieve, as the majority of the costs charged to investors do not go to the UCITS management</w:t>
      </w:r>
      <w:r>
        <w:t xml:space="preserve"> </w:t>
      </w:r>
      <w:r>
        <w:t xml:space="preserve">companies, and thus these companies do not have control over them. Indeed, according to a study</w:t>
      </w:r>
      <w:r>
        <w:t xml:space="preserve"> </w:t>
      </w:r>
      <w:r>
        <w:t xml:space="preserve">by EFAMA, “fund managers only retain 41% of the total cost paid by retail investors.”651 Most</w:t>
      </w:r>
      <w:r>
        <w:t xml:space="preserve"> </w:t>
      </w:r>
      <w:r>
        <w:t xml:space="preserve">commonly, distribution and advice costs make up between 30% and 60% of the total cost charged</w:t>
      </w:r>
      <w:r>
        <w:t xml:space="preserve"> </w:t>
      </w:r>
      <w:r>
        <w:t xml:space="preserve">to the UCITS. Costs are also higher for cross-border funds than for domestic funds, mainly due to</w:t>
      </w:r>
      <w:r>
        <w:t xml:space="preserve"> </w:t>
      </w:r>
      <w:r>
        <w:t xml:space="preserve">distribution costs on a cross border basis (translation, etc.)652. This conclusion is also consistent</w:t>
      </w:r>
      <w:r>
        <w:t xml:space="preserve"> </w:t>
      </w:r>
      <w:r>
        <w:t xml:space="preserve">with ESMA’s report on costs and performance653. ESMA also spots that costs are higher for cross-</w:t>
      </w:r>
      <w:r>
        <w:t xml:space="preserve"> </w:t>
      </w:r>
      <w:r>
        <w:t xml:space="preserve">border funds than for domestic funds, mainly due to distribution costs on a cross border basis</w:t>
      </w:r>
      <w:r>
        <w:t xml:space="preserve"> </w:t>
      </w:r>
      <w:r>
        <w:t xml:space="preserve">(translation, etc.)654. While it is possible that POG rules under UCITS have contributed to the</w:t>
      </w:r>
      <w:r>
        <w:t xml:space="preserve"> </w:t>
      </w:r>
      <w:r>
        <w:t xml:space="preserve">overall decline in costs that has been evidenced by ESMA655, this limits the impact that these rules</w:t>
      </w:r>
      <w:r>
        <w:t xml:space="preserve"> </w:t>
      </w:r>
      <w:r>
        <w:t xml:space="preserve">can have on the overall costs paid by retail investors.</w:t>
      </w:r>
      <w:r>
        <w:br/>
      </w:r>
      <w:r>
        <w:t xml:space="preserve">Efficiency</w:t>
      </w:r>
      <w:r>
        <w:t xml:space="preserve"> </w:t>
      </w:r>
      <w:r>
        <w:t xml:space="preserve">The costs related to compliance with product oversight and governance rules are mainly associated</w:t>
      </w:r>
      <w:r>
        <w:t xml:space="preserve"> </w:t>
      </w:r>
      <w:r>
        <w:t xml:space="preserve">with the work performed by the firms to define business models ensuring that products meet the</w:t>
      </w:r>
      <w:r>
        <w:t xml:space="preserve"> </w:t>
      </w:r>
      <w:r>
        <w:t xml:space="preserve">needs of identified target markets and mitigate consumer detriment, e.g. costs for setting up controls</w:t>
      </w:r>
      <w:r>
        <w:t xml:space="preserve"> </w:t>
      </w:r>
      <w:r>
        <w:t xml:space="preserve">and systems that allow for identification of the target market, product testing, defining a distribution</w:t>
      </w:r>
      <w:r>
        <w:t xml:space="preserve"> </w:t>
      </w:r>
      <w:r>
        <w:t xml:space="preserve">strategy and product review.</w:t>
      </w:r>
      <w:r>
        <w:br/>
      </w:r>
      <w:r>
        <w:t xml:space="preserve">Anecdotal evidence on the costs of implementation, based on the report on the Guidelines on</w:t>
      </w:r>
      <w:r>
        <w:t xml:space="preserve"> </w:t>
      </w:r>
      <w:r>
        <w:t xml:space="preserve">product governance656, shows that many respondents identified several one-off and ongoing costs657</w:t>
      </w:r>
      <w:r>
        <w:t xml:space="preserve"> </w:t>
      </w:r>
      <w:r>
        <w:t xml:space="preserve">as relevant, but did not provide a quantification. In some cases, respondents noted that costs and</w:t>
      </w:r>
      <w:r>
        <w:t xml:space="preserve"> </w:t>
      </w:r>
      <w:r>
        <w:t xml:space="preserve">resources needed for the implementation of the new framework would be fully compensated by the</w:t>
      </w:r>
      <w:r>
        <w:t xml:space="preserve"> </w:t>
      </w:r>
      <w:r>
        <w:t xml:space="preserve">benefits connected to it. The compliance costs associated with the rules therefore seem reasonable</w:t>
      </w:r>
      <w:r>
        <w:t xml:space="preserve"> </w:t>
      </w:r>
      <w:r>
        <w:t xml:space="preserve">in light of the importance of safeguarding the interests of customers in the product design process</w:t>
      </w:r>
      <w:r>
        <w:t xml:space="preserve"> </w:t>
      </w:r>
      <w:r>
        <w:t xml:space="preserve">and throughout the lifecycle of a financial instrument/product. However, the cost-effectiveness of</w:t>
      </w:r>
      <w:r>
        <w:t xml:space="preserve"> </w:t>
      </w:r>
      <w:r>
        <w:t xml:space="preserve">the rules is significantly reduced in practice for retail investors, as the application of the</w:t>
      </w:r>
      <w:r>
        <w:t xml:space="preserve"> </w:t>
      </w:r>
      <w:r>
        <w:t xml:space="preserve">requirements does not guarantee that the products that enter the market deliver value to retail</w:t>
      </w:r>
      <w:r>
        <w:t xml:space="preserve"> </w:t>
      </w:r>
      <w:r>
        <w:t xml:space="preserve">investors, as shown under the effectiveness assessment of the rules.</w:t>
      </w:r>
    </w:p>
    <w:p>
      <w:pPr>
        <w:pStyle w:val="BodyText"/>
      </w:pPr>
      <w:r>
        <w:t xml:space="preserve">651 EFAMA Market insight, September 2021. Indeed, the breakdown of the cost of ownership attributable</w:t>
      </w:r>
      <w:r>
        <w:t xml:space="preserve"> </w:t>
      </w:r>
      <w:r>
        <w:t xml:space="preserve">to the different service providers along the value chain, on average, 41% of the fees charged by UCITS</w:t>
      </w:r>
      <w:r>
        <w:t xml:space="preserve"> </w:t>
      </w:r>
      <w:r>
        <w:t xml:space="preserve">cover the expenses incurred by fund management companies in the area of product development and</w:t>
      </w:r>
      <w:r>
        <w:t xml:space="preserve"> </w:t>
      </w:r>
      <w:r>
        <w:t xml:space="preserve">investment management. This means that part of these costs is used to pay providers, for example data</w:t>
      </w:r>
      <w:r>
        <w:t xml:space="preserve"> </w:t>
      </w:r>
      <w:r>
        <w:t xml:space="preserve">and research providers. A slightly lower proportion of the cost of ownership (38%) is paid to distributors</w:t>
      </w:r>
      <w:r>
        <w:t xml:space="preserve"> </w:t>
      </w:r>
      <w:r>
        <w:t xml:space="preserve">in compensation for the provision of advice and for acting as the intermediary for retail investors. The</w:t>
      </w:r>
      <w:r>
        <w:t xml:space="preserve"> </w:t>
      </w:r>
      <w:r>
        <w:t xml:space="preserve">remaining 21% covers administration services, depositary, tax and other expenses</w:t>
      </w:r>
      <w:r>
        <w:t xml:space="preserve"> </w:t>
      </w:r>
      <w:r>
        <w:t xml:space="preserve">652 ESMA Annual Statistical Report 2022 on “Performance and Costs of EU Retail Investment Products”.</w:t>
      </w:r>
      <w:r>
        <w:t xml:space="preserve"> </w:t>
      </w:r>
      <w:r>
        <w:t xml:space="preserve">653 Ibid. For instance, it is well documented that the TER (yearly total expense ratio) over 5 years in the NL</w:t>
      </w:r>
      <w:r>
        <w:t xml:space="preserve"> </w:t>
      </w:r>
      <w:r>
        <w:t xml:space="preserve">where inducements are banned is 0,63% compared to an average of 1,6% for the other countries.</w:t>
      </w:r>
      <w:r>
        <w:t xml:space="preserve"> </w:t>
      </w:r>
      <w:r>
        <w:t xml:space="preserve">654 Ibid.</w:t>
      </w:r>
      <w:r>
        <w:t xml:space="preserve"> </w:t>
      </w:r>
      <w:r>
        <w:t xml:space="preserve">655 Ibid. There has been a widespread secular decline in costs of UCITS funds which adds up to a non-</w:t>
      </w:r>
      <w:r>
        <w:t xml:space="preserve"> </w:t>
      </w:r>
      <w:r>
        <w:t xml:space="preserve">trivial reduction in cost levels over time. By the end of 2021, investors could on average expect to pay 9%</w:t>
      </w:r>
      <w:r>
        <w:t xml:space="preserve"> </w:t>
      </w:r>
      <w:r>
        <w:t xml:space="preserve">less in terms of ongoing costs for equity UCITS than four years ago.</w:t>
      </w:r>
      <w:r>
        <w:br/>
      </w:r>
      <w:r>
        <w:t xml:space="preserve">656 Page 29, Report on the Guidelines on product governance.</w:t>
      </w:r>
      <w:r>
        <w:t xml:space="preserve"> </w:t>
      </w:r>
      <w:r>
        <w:t xml:space="preserve">657 Ibid, Point 64.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Meanwhile, while the UCITS legal obligations also carry a cost, the consultations organised by the</w:t>
      </w:r>
      <w:r>
        <w:t xml:space="preserve"> </w:t>
      </w:r>
      <w:r>
        <w:t xml:space="preserve">ESAs and the Commission on RIS and in the context of the AIFMD review (which partially</w:t>
      </w:r>
      <w:r>
        <w:t xml:space="preserve"> </w:t>
      </w:r>
      <w:r>
        <w:t xml:space="preserve">captured also UCITS in its scope) did not identify any significant issues with the level of costs in</w:t>
      </w:r>
      <w:r>
        <w:t xml:space="preserve"> </w:t>
      </w:r>
      <w:r>
        <w:t xml:space="preserve">stakeholders’ answers with regard to UCITS and AIFMD frameworks. Overall, the whole</w:t>
      </w:r>
      <w:r>
        <w:t xml:space="preserve"> </w:t>
      </w:r>
      <w:r>
        <w:t xml:space="preserve">ecosystem built on UCITS is considered to work well and the IT systems, resources and procedures</w:t>
      </w:r>
      <w:r>
        <w:t xml:space="preserve"> </w:t>
      </w:r>
      <w:r>
        <w:t xml:space="preserve">involved have over the years became part of business as usual. Combined with the broad</w:t>
      </w:r>
      <w:r>
        <w:t xml:space="preserve"> </w:t>
      </w:r>
      <w:r>
        <w:t xml:space="preserve">effectiveness of UCITS framework (discussed under effectiveness), product oversight and</w:t>
      </w:r>
      <w:r>
        <w:t xml:space="preserve"> </w:t>
      </w:r>
      <w:r>
        <w:t xml:space="preserve">governance rules under the UCITS framework can be considered as broadly cost-effective.</w:t>
      </w:r>
      <w:r>
        <w:t xml:space="preserve"> </w:t>
      </w:r>
      <w:r>
        <w:t xml:space="preserve">Coherence</w:t>
      </w:r>
      <w:r>
        <w:t xml:space="preserve"> </w:t>
      </w:r>
      <w:r>
        <w:t xml:space="preserve">The legal requirements on product governance are coherent. The standards are similar across</w:t>
      </w:r>
      <w:r>
        <w:t xml:space="preserve"> </w:t>
      </w:r>
      <w:r>
        <w:t xml:space="preserve">MIFID and IDD, but they are applied with different levels of granularity as regards the specific</w:t>
      </w:r>
      <w:r>
        <w:t xml:space="preserve"> </w:t>
      </w:r>
      <w:r>
        <w:t xml:space="preserve">obligations to be fulfilled for each of these requirements. Explicit obligations to assess the risk and</w:t>
      </w:r>
      <w:r>
        <w:t xml:space="preserve"> </w:t>
      </w:r>
      <w:r>
        <w:t xml:space="preserve">reward profile and cost and performance of financial instruments exist under MIFID at the</w:t>
      </w:r>
      <w:r>
        <w:t xml:space="preserve"> </w:t>
      </w:r>
      <w:r>
        <w:t xml:space="preserve">manufacturing stage. However, such requirements are not specified under IDD, where the rules</w:t>
      </w:r>
      <w:r>
        <w:t xml:space="preserve"> </w:t>
      </w:r>
      <w:r>
        <w:t xml:space="preserve">remain more general and provide an obligation to assess whether the insurance product over its</w:t>
      </w:r>
      <w:r>
        <w:t xml:space="preserve"> </w:t>
      </w:r>
      <w:r>
        <w:t xml:space="preserve">lifetime meets the identified needs, objectives and characteristics of the target market658. Based on</w:t>
      </w:r>
      <w:r>
        <w:t xml:space="preserve"> </w:t>
      </w:r>
      <w:r>
        <w:t xml:space="preserve">the analysis performed, the evidence shows that the differences in the specific obligations under</w:t>
      </w:r>
      <w:r>
        <w:t xml:space="preserve"> </w:t>
      </w:r>
      <w:r>
        <w:t xml:space="preserve">the two legal frameworks do not suggest problems arising from the coherence of the rules. Product</w:t>
      </w:r>
      <w:r>
        <w:t xml:space="preserve"> </w:t>
      </w:r>
      <w:r>
        <w:t xml:space="preserve">oversight and governance rules under UCITS can be considered coherent with MIFID rules. They</w:t>
      </w:r>
      <w:r>
        <w:t xml:space="preserve"> </w:t>
      </w:r>
      <w:r>
        <w:t xml:space="preserve">are complementary to the principle-based POG rules under MiFID, which are applicable to most</w:t>
      </w:r>
      <w:r>
        <w:t xml:space="preserve"> </w:t>
      </w:r>
      <w:r>
        <w:t xml:space="preserve">cases of UCITS funds distribution. The only situation where MiFID rules would not apply is the</w:t>
      </w:r>
      <w:r>
        <w:t xml:space="preserve"> </w:t>
      </w:r>
      <w:r>
        <w:t xml:space="preserve">scenario of direct distribution by fund managers (almost negligible), without MIFID</w:t>
      </w:r>
      <w:r>
        <w:t xml:space="preserve"> </w:t>
      </w:r>
      <w:r>
        <w:t xml:space="preserve">intermediation. Some amendments to UCITS and AIFM directives have already been included in</w:t>
      </w:r>
      <w:r>
        <w:t xml:space="preserve"> </w:t>
      </w:r>
      <w:r>
        <w:t xml:space="preserve">the AIFMD review currently under negotiation to ensure that the same MIFID product governance</w:t>
      </w:r>
      <w:r>
        <w:t xml:space="preserve"> </w:t>
      </w:r>
      <w:r>
        <w:t xml:space="preserve">rules would apply when investment funds are distributed directly by asset managers providing</w:t>
      </w:r>
      <w:r>
        <w:t xml:space="preserve"> </w:t>
      </w:r>
      <w:r>
        <w:t xml:space="preserve">investment services. This should hence close such regulatory gap. The more detailed POG rules</w:t>
      </w:r>
      <w:r>
        <w:t xml:space="preserve"> </w:t>
      </w:r>
      <w:r>
        <w:t xml:space="preserve">applicable to UCITS manufacturers (described above) are applied in addition to MIFID product</w:t>
      </w:r>
      <w:r>
        <w:t xml:space="preserve"> </w:t>
      </w:r>
      <w:r>
        <w:t xml:space="preserve">governance rules and there have been no signs of misalignment.</w:t>
      </w:r>
      <w:r>
        <w:br/>
      </w:r>
      <w:r>
        <w:t xml:space="preserve">4.2 How did the EU interventions make a difference?</w:t>
      </w:r>
      <w:r>
        <w:br/>
      </w:r>
      <w:r>
        <w:t xml:space="preserve">In general, the EU intervention in the area of retail investments (across sectors) has contributed to</w:t>
      </w:r>
      <w:r>
        <w:t xml:space="preserve"> </w:t>
      </w:r>
      <w:r>
        <w:t xml:space="preserve">ensuring investor protection across the EU and a harmonised internal market. Even though a</w:t>
      </w:r>
      <w:r>
        <w:t xml:space="preserve"> </w:t>
      </w:r>
      <w:r>
        <w:t xml:space="preserve">completely integrated internal market for retail investments is still not in place, the steps taken have</w:t>
      </w:r>
      <w:r>
        <w:t xml:space="preserve"> </w:t>
      </w:r>
      <w:r>
        <w:t xml:space="preserve">created common standards and facilitated competition across the EU.</w:t>
      </w:r>
      <w:r>
        <w:br/>
      </w:r>
      <w:r>
        <w:t xml:space="preserve">According to the retail investment study, in the area of product disclosures, the EU added value</w:t>
      </w:r>
      <w:r>
        <w:t xml:space="preserve"> </w:t>
      </w:r>
      <w:r>
        <w:t xml:space="preserve">stems primarily from the standardisation of key information documents across all EU</w:t>
      </w:r>
      <w:r>
        <w:t xml:space="preserve"> </w:t>
      </w:r>
      <w:r>
        <w:t xml:space="preserve">countries. Those key information documents adopt the same content categories across the legal</w:t>
      </w:r>
      <w:r>
        <w:t xml:space="preserve"> </w:t>
      </w:r>
      <w:r>
        <w:t xml:space="preserve">requirements. Harmonisation of the risk indicator, as well as other content categories, makes</w:t>
      </w:r>
      <w:r>
        <w:t xml:space="preserve"> </w:t>
      </w:r>
      <w:r>
        <w:t xml:space="preserve">products more comparable across borders, which could not be achieved through action at the level</w:t>
      </w:r>
      <w:r>
        <w:t xml:space="preserve"> </w:t>
      </w:r>
      <w:r>
        <w:t xml:space="preserve">of individual Member States. This creates transparency on the market and enhances consumer</w:t>
      </w:r>
    </w:p>
    <w:p>
      <w:pPr>
        <w:pStyle w:val="BodyText"/>
      </w:pPr>
      <w:r>
        <w:t xml:space="preserve">658 Article 6 of the IDD Delegated Regulation (EU) 2017/2358 on product oversight and governance</w:t>
      </w:r>
      <w:r>
        <w:t xml:space="preserve"> </w:t>
      </w:r>
      <w:r>
        <w:t xml:space="preserve">requirements for insurance undertakings and insurance distributors.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protection through detailed and clear disclosure. Extension of PRIIPs to UCITS funds is expected</w:t>
      </w:r>
      <w:r>
        <w:t xml:space="preserve"> </w:t>
      </w:r>
      <w:r>
        <w:t xml:space="preserve">to further enhance this EU value added.</w:t>
      </w:r>
      <w:r>
        <w:br/>
      </w:r>
      <w:r>
        <w:t xml:space="preserve">In the absence of an EU legal framework, it is likely that countries would have adopted</w:t>
      </w:r>
      <w:r>
        <w:t xml:space="preserve"> </w:t>
      </w:r>
      <w:r>
        <w:t xml:space="preserve">diverging disclosure requirements (as also demonstrated by the situation before the introduction</w:t>
      </w:r>
      <w:r>
        <w:t xml:space="preserve"> </w:t>
      </w:r>
      <w:r>
        <w:t xml:space="preserve">of PRIIPs KID and UCITS KIID). The fragmentation of disclosure requirements would lead to</w:t>
      </w:r>
      <w:r>
        <w:t xml:space="preserve"> </w:t>
      </w:r>
      <w:r>
        <w:t xml:space="preserve">differences in the level of consumer protection. It would also imply that manufacturers and</w:t>
      </w:r>
      <w:r>
        <w:t xml:space="preserve"> </w:t>
      </w:r>
      <w:r>
        <w:t xml:space="preserve">distributors operating in multiple countries would have to comply with different sets of rules, which</w:t>
      </w:r>
      <w:r>
        <w:t xml:space="preserve"> </w:t>
      </w:r>
      <w:r>
        <w:t xml:space="preserve">would increase the costs of producing and updating disclosure documentation.</w:t>
      </w:r>
      <w:r>
        <w:br/>
      </w:r>
      <w:r>
        <w:t xml:space="preserve">With respect to advice and inducements, the EU added value can mainly be found in the</w:t>
      </w:r>
      <w:r>
        <w:t xml:space="preserve"> </w:t>
      </w:r>
      <w:r>
        <w:t xml:space="preserve">harmonised set of ground rules for the (i) management of conflicts of interest; (ii) stipulations on</w:t>
      </w:r>
      <w:r>
        <w:t xml:space="preserve"> </w:t>
      </w:r>
      <w:r>
        <w:t xml:space="preserve">which products can be sold through execution-only services and which products have to be</w:t>
      </w:r>
      <w:r>
        <w:t xml:space="preserve"> </w:t>
      </w:r>
      <w:r>
        <w:t xml:space="preserve">accompanied by advice; (iii) rules on when inducements are permitted and when banned, and</w:t>
      </w:r>
      <w:r>
        <w:t xml:space="preserve"> </w:t>
      </w:r>
      <w:r>
        <w:t xml:space="preserve">associated tests; (iv) requirement for the disclosure of the independent or non-independent status</w:t>
      </w:r>
      <w:r>
        <w:t xml:space="preserve"> </w:t>
      </w:r>
      <w:r>
        <w:t xml:space="preserve">of the advice and disclosure of inducements.</w:t>
      </w:r>
      <w:r>
        <w:br/>
      </w:r>
      <w:r>
        <w:t xml:space="preserve">If legal provisions at EU level were not in place, national legislation and connected guidance would</w:t>
      </w:r>
      <w:r>
        <w:t xml:space="preserve"> </w:t>
      </w:r>
      <w:r>
        <w:t xml:space="preserve">likely diverge more than is currently the case. Member States choosing to place more emphasis on</w:t>
      </w:r>
      <w:r>
        <w:t xml:space="preserve"> </w:t>
      </w:r>
      <w:r>
        <w:t xml:space="preserve">retail consumer protection would implement stricter rules, while others with a stronger focus on</w:t>
      </w:r>
      <w:r>
        <w:t xml:space="preserve"> </w:t>
      </w:r>
      <w:r>
        <w:t xml:space="preserve">sectoral competitiveness would relax the rules. Regulatory divergence would be unlikely to affect</w:t>
      </w:r>
      <w:r>
        <w:t xml:space="preserve"> </w:t>
      </w:r>
      <w:r>
        <w:t xml:space="preserve">basic principles – such as the duty of care and the obligation to detect and manage conflicts of</w:t>
      </w:r>
      <w:r>
        <w:t xml:space="preserve"> </w:t>
      </w:r>
      <w:r>
        <w:t xml:space="preserve">interest –although the detailed provisions could vary in substantial ways.</w:t>
      </w:r>
      <w:r>
        <w:br/>
      </w:r>
      <w:r>
        <w:t xml:space="preserve">In the absence of a European legal framework, rules would not converge solely through the actions</w:t>
      </w:r>
      <w:r>
        <w:t xml:space="preserve"> </w:t>
      </w:r>
      <w:r>
        <w:t xml:space="preserve">of EU Member States. Should national approaches diverge further, leading to different scope of</w:t>
      </w:r>
      <w:r>
        <w:t xml:space="preserve"> </w:t>
      </w:r>
      <w:r>
        <w:t xml:space="preserve">advice subject to the law, fair competition on the Single Market for retail financial products</w:t>
      </w:r>
      <w:r>
        <w:t xml:space="preserve"> </w:t>
      </w:r>
      <w:r>
        <w:t xml:space="preserve">could be harmed.</w:t>
      </w:r>
      <w:r>
        <w:br/>
      </w:r>
      <w:r>
        <w:t xml:space="preserve">Concerning the impacts on businesses, legal fragmentation would lead, on the one hand to higher</w:t>
      </w:r>
      <w:r>
        <w:t xml:space="preserve"> </w:t>
      </w:r>
      <w:r>
        <w:t xml:space="preserve">transaction costs for businesses conducting cross-border operations and likely non-compliance in</w:t>
      </w:r>
      <w:r>
        <w:t xml:space="preserve"> </w:t>
      </w:r>
      <w:r>
        <w:t xml:space="preserve">some cases with the associated legal risk. On the other hand, more lenient legal requirements in</w:t>
      </w:r>
      <w:r>
        <w:t xml:space="preserve"> </w:t>
      </w:r>
      <w:r>
        <w:t xml:space="preserve">certain Member States could hamper free and fair competition in the Internal Market.</w:t>
      </w:r>
      <w:r>
        <w:br/>
      </w:r>
      <w:r>
        <w:t xml:space="preserve">In the area of suitability assessments, the difference made by the EU intervention is mostly visible</w:t>
      </w:r>
      <w:r>
        <w:t xml:space="preserve"> </w:t>
      </w:r>
      <w:r>
        <w:t xml:space="preserve">in the harmonisation of obligations for investor profile screening and recommending suitable</w:t>
      </w:r>
      <w:r>
        <w:t xml:space="preserve"> </w:t>
      </w:r>
      <w:r>
        <w:t xml:space="preserve">products. In the absence of EU legislation, national approaches would diverge and consumer</w:t>
      </w:r>
      <w:r>
        <w:t xml:space="preserve"> </w:t>
      </w:r>
      <w:r>
        <w:t xml:space="preserve">protection across the EU would not be achieved at the same level, leading to a weaker functioning</w:t>
      </w:r>
      <w:r>
        <w:t xml:space="preserve"> </w:t>
      </w:r>
      <w:r>
        <w:t xml:space="preserve">of the internal market (notably the cross-border provision of financial services involving</w:t>
      </w:r>
      <w:r>
        <w:t xml:space="preserve"> </w:t>
      </w:r>
      <w:r>
        <w:t xml:space="preserve">investment advice). This would also harm fair competition within the EU.</w:t>
      </w:r>
      <w:r>
        <w:br/>
      </w:r>
      <w:r>
        <w:t xml:space="preserve">Lastly, in the absence of a European legal framework, product oversight and governance rules</w:t>
      </w:r>
      <w:r>
        <w:t xml:space="preserve"> </w:t>
      </w:r>
      <w:r>
        <w:t xml:space="preserve">would not converge solely through the actions of individual Member States. Common European</w:t>
      </w:r>
      <w:r>
        <w:t xml:space="preserve"> </w:t>
      </w:r>
      <w:r>
        <w:t xml:space="preserve">rules and the role of ESMA and EIOPA in providing guidance on product oversight and governance</w:t>
      </w:r>
      <w:r>
        <w:t xml:space="preserve"> </w:t>
      </w:r>
      <w:r>
        <w:t xml:space="preserve">facilitate competition in the European market, allow companies to operate cross-border and ensure</w:t>
      </w:r>
      <w:r>
        <w:t xml:space="preserve"> </w:t>
      </w:r>
      <w:r>
        <w:t xml:space="preserve">a retail investor protection of the same level across the EU.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4.3 Is the intervention still relevant?</w:t>
      </w:r>
      <w:r>
        <w:t xml:space="preserve"> </w:t>
      </w:r>
      <w:r>
        <w:t xml:space="preserve">The retail investment framework and its objectives remain important and correspond to the current</w:t>
      </w:r>
      <w:r>
        <w:t xml:space="preserve"> </w:t>
      </w:r>
      <w:r>
        <w:t xml:space="preserve">needs within the EU. The established framework and the changes it introduced are to a significant</w:t>
      </w:r>
      <w:r>
        <w:t xml:space="preserve"> </w:t>
      </w:r>
      <w:r>
        <w:t xml:space="preserve">extent relevant for retail investors to promote consumer protection.</w:t>
      </w:r>
      <w:r>
        <w:br/>
      </w:r>
      <w:r>
        <w:t xml:space="preserve">The priorities of the European Union related to the European Green Deal and sustainability, as well</w:t>
      </w:r>
      <w:r>
        <w:t xml:space="preserve"> </w:t>
      </w:r>
      <w:r>
        <w:t xml:space="preserve">as achieving a Europe fit for the digital age, confirm the need to review the rules on disclosures,</w:t>
      </w:r>
      <w:r>
        <w:t xml:space="preserve"> </w:t>
      </w:r>
      <w:r>
        <w:t xml:space="preserve">inducements and suitability assessments to ensure they remain relevant in view of these priorities</w:t>
      </w:r>
      <w:r>
        <w:t xml:space="preserve"> </w:t>
      </w:r>
      <w:r>
        <w:t xml:space="preserve">and of market developments (inter alia increasing digitalisation of financial services, inclusion of</w:t>
      </w:r>
      <w:r>
        <w:t xml:space="preserve"> </w:t>
      </w:r>
      <w:r>
        <w:t xml:space="preserve">sustainability preferences in the suitability assessment or sustainability-relevant information in key</w:t>
      </w:r>
      <w:r>
        <w:t xml:space="preserve"> </w:t>
      </w:r>
      <w:r>
        <w:t xml:space="preserve">disclosure documents).</w:t>
      </w:r>
      <w:r>
        <w:t xml:space="preserve"> </w:t>
      </w:r>
      <w:r>
        <w:t xml:space="preserve">In addition, the evaluation of the application of the rules under the current framework in the areas</w:t>
      </w:r>
      <w:r>
        <w:t xml:space="preserve"> </w:t>
      </w:r>
      <w:r>
        <w:t xml:space="preserve">of disclosures, inducements, suitability assessments product governance has identified some points</w:t>
      </w:r>
      <w:r>
        <w:t xml:space="preserve"> </w:t>
      </w:r>
      <w:r>
        <w:t xml:space="preserve">where the relevance of the current framework can be improved.</w:t>
      </w:r>
      <w:r>
        <w:br/>
      </w:r>
      <w:r>
        <w:t xml:space="preserve">Disclosures</w:t>
      </w:r>
      <w:r>
        <w:br/>
      </w:r>
      <w:r>
        <w:t xml:space="preserve">The objectives of the rules on disclosures under the current legal framework remain appropriate.</w:t>
      </w:r>
      <w:r>
        <w:t xml:space="preserve"> </w:t>
      </w:r>
      <w:r>
        <w:t xml:space="preserve">However, as evidenced under effectiveness and coherence, the retail investment study also</w:t>
      </w:r>
      <w:r>
        <w:t xml:space="preserve"> </w:t>
      </w:r>
      <w:r>
        <w:t xml:space="preserve">suggested the need to put greater emphasis on the digital environment659 with regard to disclosure</w:t>
      </w:r>
      <w:r>
        <w:t xml:space="preserve"> </w:t>
      </w:r>
      <w:r>
        <w:t xml:space="preserve">requirements. The ESAs have also concluded that digitalization trends are not adequately captured,</w:t>
      </w:r>
      <w:r>
        <w:t xml:space="preserve"> </w:t>
      </w:r>
      <w:r>
        <w:t xml:space="preserve">and although the current framework is “supposed to be technology-neutral, it was mainly designed</w:t>
      </w:r>
      <w:r>
        <w:t xml:space="preserve"> </w:t>
      </w:r>
      <w:r>
        <w:t xml:space="preserve">without considering digital distribution, and certainly before the “app-revolution660”.</w:t>
      </w:r>
      <w:r>
        <w:br/>
      </w:r>
      <w:r>
        <w:t xml:space="preserve">In addition, the current disclosure framework does not sufficiently take into consideration new</w:t>
      </w:r>
      <w:r>
        <w:t xml:space="preserve"> </w:t>
      </w:r>
      <w:r>
        <w:t xml:space="preserve">market developments, such as the growing sustainability preferences of retail investors. In recent</w:t>
      </w:r>
      <w:r>
        <w:t xml:space="preserve"> </w:t>
      </w:r>
      <w:r>
        <w:t xml:space="preserve">years, there was a significant increase in the market for sustainable investments. Between 2015 and</w:t>
      </w:r>
      <w:r>
        <w:t xml:space="preserve"> </w:t>
      </w:r>
      <w:r>
        <w:t xml:space="preserve">2020, assets invested in sustainability-focused funds have grown by 173% (37% on a year-on-year</w:t>
      </w:r>
      <w:r>
        <w:t xml:space="preserve"> </w:t>
      </w:r>
      <w:r>
        <w:t xml:space="preserve">basis)661. This strong market growth is largely driven by growing preferences for more sustainable</w:t>
      </w:r>
      <w:r>
        <w:t xml:space="preserve"> </w:t>
      </w:r>
      <w:r>
        <w:t xml:space="preserve">investment products. However, preferences for such products and for more sustainability-related</w:t>
      </w:r>
      <w:r>
        <w:t xml:space="preserve"> </w:t>
      </w:r>
      <w:r>
        <w:t xml:space="preserve">information662 is currently not well reflected in key information documents for retail investors, in</w:t>
      </w:r>
    </w:p>
    <w:p>
      <w:pPr>
        <w:pStyle w:val="BodyText"/>
      </w:pPr>
      <w:r>
        <w:t xml:space="preserve">659 Retail investment study, pages 15 and 106.</w:t>
      </w:r>
      <w:r>
        <w:t xml:space="preserve"> </w:t>
      </w:r>
      <w:r>
        <w:t xml:space="preserve">660 Advice of the ESA joint committee on PRIIPs, page 43, para 3.5.1 and EIOPA advice on retail investor</w:t>
      </w:r>
      <w:r>
        <w:t xml:space="preserve"> </w:t>
      </w:r>
      <w:r>
        <w:t xml:space="preserve">protection, page 36.</w:t>
      </w:r>
      <w:r>
        <w:t xml:space="preserve"> </w:t>
      </w:r>
      <w:r>
        <w:t xml:space="preserve">661 Source: European Financial Stability and Integration Review 2021. The definition of sustainable</w:t>
      </w:r>
      <w:r>
        <w:t xml:space="preserve"> </w:t>
      </w:r>
      <w:r>
        <w:t xml:space="preserve">investment fund sustainable funds used here is based on sustainability criteria set out by Morningstar.</w:t>
      </w:r>
      <w:r>
        <w:t xml:space="preserve"> </w:t>
      </w:r>
      <w:r>
        <w:t xml:space="preserve">This definition includes funds that according to their prospectus: (i) state they use ESG criteria as a key</w:t>
      </w:r>
      <w:r>
        <w:t xml:space="preserve"> </w:t>
      </w:r>
      <w:r>
        <w:t xml:space="preserve">part of their security selection process; and/or (ii) indicate they pursue a sustainability-related theme</w:t>
      </w:r>
      <w:r>
        <w:t xml:space="preserve"> </w:t>
      </w:r>
      <w:r>
        <w:t xml:space="preserve">and/or (iii) seek measurable positive impact alongside financial return. This definition excludes funds that</w:t>
      </w:r>
      <w:r>
        <w:t xml:space="preserve"> </w:t>
      </w:r>
      <w:r>
        <w:t xml:space="preserve">employ only limited exclusionary screens, funds that state they consider ESG factors but do so in a non-</w:t>
      </w:r>
      <w:r>
        <w:t xml:space="preserve"> </w:t>
      </w:r>
      <w:r>
        <w:t xml:space="preserve">definitive way as well as certain types of funds (money market funds, feeder funds, funds of funds).</w:t>
      </w:r>
      <w:r>
        <w:br/>
      </w:r>
      <w:r>
        <w:t xml:space="preserve">662 Indicated notably in the public consultation on renewed sustainable finance strategy. More about this</w:t>
      </w:r>
      <w:r>
        <w:t xml:space="preserve"> </w:t>
      </w:r>
      <w:r>
        <w:t xml:space="preserve">consultation and responses received can be accessed here.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particular in the KIDs prepared under the PRIIIPs legal framework (and UCITS KIIDs they will</w:t>
      </w:r>
      <w:r>
        <w:t xml:space="preserve"> </w:t>
      </w:r>
      <w:r>
        <w:t xml:space="preserve">replace).</w:t>
      </w:r>
      <w:r>
        <w:br/>
      </w:r>
      <w:r>
        <w:t xml:space="preserve">While existing legal provisions allow for inclusion of some information of environmental and</w:t>
      </w:r>
      <w:r>
        <w:t xml:space="preserve"> </w:t>
      </w:r>
      <w:r>
        <w:t xml:space="preserve">social profile of investment products, they do not appear to be provided consistently and in a</w:t>
      </w:r>
      <w:r>
        <w:t xml:space="preserve"> </w:t>
      </w:r>
      <w:r>
        <w:t xml:space="preserve">standardised manner. This could be considered a regulatory gap and potentially as a consequence</w:t>
      </w:r>
      <w:r>
        <w:t xml:space="preserve"> </w:t>
      </w:r>
      <w:r>
        <w:t xml:space="preserve">of original objectives of PRIIPs not having fully anticipated this change in consumer preferences,</w:t>
      </w:r>
      <w:r>
        <w:t xml:space="preserve"> </w:t>
      </w:r>
      <w:r>
        <w:t xml:space="preserve">that has been growing since 2015663. PRIIPS KIDs so far make little use of new information that is</w:t>
      </w:r>
      <w:r>
        <w:t xml:space="preserve"> </w:t>
      </w:r>
      <w:r>
        <w:t xml:space="preserve">collected by financial product manufacturers and presented on their websites under the Sustainable</w:t>
      </w:r>
      <w:r>
        <w:t xml:space="preserve"> </w:t>
      </w:r>
      <w:r>
        <w:t xml:space="preserve">Finance Disclosure Regulation (SFDR) and other sustainability-related disclosures. Some funds</w:t>
      </w:r>
      <w:r>
        <w:t xml:space="preserve"> </w:t>
      </w:r>
      <w:r>
        <w:t xml:space="preserve">have referred to SFDR fund categories (“Article 8 and 9 funds”), but such information is not</w:t>
      </w:r>
      <w:r>
        <w:t xml:space="preserve"> </w:t>
      </w:r>
      <w:r>
        <w:t xml:space="preserve">particularly useful and could be misleading, as it was not intended as a fund label. In this regard,</w:t>
      </w:r>
      <w:r>
        <w:t xml:space="preserve"> </w:t>
      </w:r>
      <w:r>
        <w:t xml:space="preserve">relevance of disclosure documents could be improved.</w:t>
      </w:r>
      <w:r>
        <w:t xml:space="preserve"> </w:t>
      </w:r>
      <w:r>
        <w:t xml:space="preserve">With respect to the rules on marketing and communications, in order to remain relevant, they</w:t>
      </w:r>
      <w:r>
        <w:t xml:space="preserve"> </w:t>
      </w:r>
      <w:r>
        <w:t xml:space="preserve">need to be adapted to the increasing digitalisation of the industry and able to adapt to new trends.</w:t>
      </w:r>
      <w:r>
        <w:t xml:space="preserve"> </w:t>
      </w:r>
      <w:r>
        <w:t xml:space="preserve">A majority of respondents in the public consultation considered there was a need for further EU</w:t>
      </w:r>
      <w:r>
        <w:t xml:space="preserve"> </w:t>
      </w:r>
      <w:r>
        <w:t xml:space="preserve">coordination/harmonisation of national rules on online advertising and marketing of investment</w:t>
      </w:r>
      <w:r>
        <w:t xml:space="preserve"> </w:t>
      </w:r>
      <w:r>
        <w:t xml:space="preserve">products664. As stated in ESMA’s advice665, there may be confusion in the application of the</w:t>
      </w:r>
      <w:r>
        <w:t xml:space="preserve"> </w:t>
      </w:r>
      <w:r>
        <w:t xml:space="preserve">definition of marketing communications as to whether online advertising and firms’ private</w:t>
      </w:r>
      <w:r>
        <w:t xml:space="preserve"> </w:t>
      </w:r>
      <w:r>
        <w:t xml:space="preserve">messages to clients and potential clients on social media fall under this definition, both when</w:t>
      </w:r>
      <w:r>
        <w:t xml:space="preserve"> </w:t>
      </w:r>
      <w:r>
        <w:t xml:space="preserve">communicated directly by the firm or through third parties social media (i.e. ‘finfluencers’ who</w:t>
      </w:r>
      <w:r>
        <w:t xml:space="preserve"> </w:t>
      </w:r>
      <w:r>
        <w:t xml:space="preserve">operate on behalf of financial service providers). Marketing communications, particularly in the</w:t>
      </w:r>
      <w:r>
        <w:t xml:space="preserve"> </w:t>
      </w:r>
      <w:r>
        <w:t xml:space="preserve">online environment, may also tend to overemphasize the potential benefits of the product and hide</w:t>
      </w:r>
      <w:r>
        <w:t xml:space="preserve"> </w:t>
      </w:r>
      <w:r>
        <w:t xml:space="preserve">information on costs and risks666.</w:t>
      </w:r>
      <w:r>
        <w:br/>
      </w:r>
      <w:r>
        <w:t xml:space="preserve">The existing powers of NCAs to tackle aggressive online marketing practices may not allow</w:t>
      </w:r>
      <w:r>
        <w:t xml:space="preserve"> </w:t>
      </w:r>
      <w:r>
        <w:t xml:space="preserve">sufficiently timely intervention667, nor the possibility for NCAs and ESMA to impose the use of</w:t>
      </w:r>
      <w:r>
        <w:t xml:space="preserve"> </w:t>
      </w:r>
      <w:r>
        <w:t xml:space="preserve">risk warnings for specific risky financial instruments which may be subject to (aggressive) online</w:t>
      </w:r>
      <w:r>
        <w:t xml:space="preserve"> </w:t>
      </w:r>
      <w:r>
        <w:t xml:space="preserve">marketing and advertising campaigns668.</w:t>
      </w:r>
      <w:r>
        <w:br/>
      </w:r>
      <w:r>
        <w:t xml:space="preserve">Inducements and advice</w:t>
      </w:r>
      <w:r>
        <w:t xml:space="preserve"> </w:t>
      </w:r>
      <w:r>
        <w:t xml:space="preserve">The objective of the rules on inducements and advice under the current legal framework remains</w:t>
      </w:r>
      <w:r>
        <w:t xml:space="preserve"> </w:t>
      </w:r>
      <w:r>
        <w:t xml:space="preserve">relevant to the current needs in the EU. The current rules have set out the framework to ensure</w:t>
      </w:r>
      <w:r>
        <w:t xml:space="preserve"> </w:t>
      </w:r>
      <w:r>
        <w:t xml:space="preserve">advice given and investment services provided to retail investors are in their best interest. However,</w:t>
      </w:r>
      <w:r>
        <w:t xml:space="preserve"> </w:t>
      </w:r>
      <w:r>
        <w:t xml:space="preserve">the current framework does not yet fully address the informational asymmetry and the fact that</w:t>
      </w:r>
      <w:r>
        <w:t xml:space="preserve"> </w:t>
      </w:r>
      <w:r>
        <w:t xml:space="preserve">advice and other services are driven by the financial interests of advisors or other market players.</w:t>
      </w:r>
      <w:r>
        <w:br/>
      </w:r>
      <w:r>
        <w:t xml:space="preserve">Suitability</w:t>
      </w:r>
    </w:p>
    <w:p>
      <w:pPr>
        <w:pStyle w:val="BodyText"/>
      </w:pPr>
      <w:r>
        <w:t xml:space="preserve">663 As witnessed notably in the especially large shift towards ESG investment funds, described in European</w:t>
      </w:r>
      <w:r>
        <w:t xml:space="preserve"> </w:t>
      </w:r>
      <w:r>
        <w:t xml:space="preserve">Financial Stability and Integration Review 2021.</w:t>
      </w:r>
      <w:r>
        <w:br/>
      </w:r>
      <w:r>
        <w:t xml:space="preserve">664 See 2021 Public consultation, Q3.6.</w:t>
      </w:r>
      <w:r>
        <w:t xml:space="preserve"> </w:t>
      </w:r>
      <w:r>
        <w:t xml:space="preserve">665 ESMA advice on retail investor protection, page 9, point 21.</w:t>
      </w:r>
      <w:r>
        <w:t xml:space="preserve"> </w:t>
      </w:r>
      <w:r>
        <w:t xml:space="preserve">666 Idem, pages 10 and 14.</w:t>
      </w:r>
      <w:r>
        <w:br/>
      </w:r>
      <w:r>
        <w:t xml:space="preserve">667 Idem, page 12.</w:t>
      </w:r>
      <w:r>
        <w:t xml:space="preserve"> </w:t>
      </w:r>
      <w:r>
        <w:t xml:space="preserve">668 Idem, page 37.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The design of the framework regarding the requirement that the advisor needs to know the client</w:t>
      </w:r>
      <w:r>
        <w:t xml:space="preserve"> </w:t>
      </w:r>
      <w:r>
        <w:t xml:space="preserve">when providing investment advice by conducting the suitability assessment remains relevant for</w:t>
      </w:r>
      <w:r>
        <w:t xml:space="preserve"> </w:t>
      </w:r>
      <w:r>
        <w:t xml:space="preserve">achieving the objective of consumer protection in financial markets.</w:t>
      </w:r>
      <w:r>
        <w:br/>
      </w:r>
      <w:r>
        <w:t xml:space="preserve">However, as shown under effectiveness, the application of the rules under the current framework</w:t>
      </w:r>
      <w:r>
        <w:t xml:space="preserve"> </w:t>
      </w:r>
      <w:r>
        <w:t xml:space="preserve">has some limitations with regard to the usefulness of the suitability assessment in ensuring optimal</w:t>
      </w:r>
      <w:r>
        <w:t xml:space="preserve"> </w:t>
      </w:r>
      <w:r>
        <w:t xml:space="preserve">choice of investments: improvements in the consistent use of practices can be considered with</w:t>
      </w:r>
      <w:r>
        <w:t xml:space="preserve"> </w:t>
      </w:r>
      <w:r>
        <w:t xml:space="preserve">respect to on the timeliness and depth of the assessment. For the framework to remain relevant, it</w:t>
      </w:r>
      <w:r>
        <w:t xml:space="preserve"> </w:t>
      </w:r>
      <w:r>
        <w:t xml:space="preserve">should also allow for further development and adaptability to allow for cost efficiencies in the</w:t>
      </w:r>
      <w:r>
        <w:t xml:space="preserve"> </w:t>
      </w:r>
      <w:r>
        <w:t xml:space="preserve">digital environment, only made possible if the use of the rules in the industry is consistent and</w:t>
      </w:r>
      <w:r>
        <w:t xml:space="preserve"> </w:t>
      </w:r>
      <w:r>
        <w:t xml:space="preserve">potentially more standardised.</w:t>
      </w:r>
      <w:r>
        <w:br/>
      </w:r>
      <w:r>
        <w:t xml:space="preserve">Product Governance</w:t>
      </w:r>
      <w:r>
        <w:t xml:space="preserve"> </w:t>
      </w:r>
      <w:r>
        <w:t xml:space="preserve">The objective of the rules on product oversight and governance under the current legal</w:t>
      </w:r>
      <w:r>
        <w:t xml:space="preserve"> </w:t>
      </w:r>
      <w:r>
        <w:t xml:space="preserve">framework remains relevant to the current needs in the EU. The current rules set out the basis to</w:t>
      </w:r>
      <w:r>
        <w:t xml:space="preserve"> </w:t>
      </w:r>
      <w:r>
        <w:t xml:space="preserve">ensure at manufacturing stage that the products are designed to meet the needs of an identified</w:t>
      </w:r>
      <w:r>
        <w:t xml:space="preserve"> </w:t>
      </w:r>
      <w:r>
        <w:t xml:space="preserve">target market of end-clients, are distributed to the identified target market and remain up-to-date</w:t>
      </w:r>
      <w:r>
        <w:t xml:space="preserve"> </w:t>
      </w:r>
      <w:r>
        <w:t xml:space="preserve">and relevant to meet the needs of that market. Current rules apply also to the distribution stage,</w:t>
      </w:r>
      <w:r>
        <w:t xml:space="preserve"> </w:t>
      </w:r>
      <w:r>
        <w:t xml:space="preserve">requiring that distributor understands the features of the financial instruments recommended and</w:t>
      </w:r>
      <w:r>
        <w:t xml:space="preserve"> </w:t>
      </w:r>
      <w:r>
        <w:t xml:space="preserve">establishes and reviews effective arrangements to identify the category of clients to whom products</w:t>
      </w:r>
      <w:r>
        <w:t xml:space="preserve"> </w:t>
      </w:r>
      <w:r>
        <w:t xml:space="preserve">and services are to be provided.</w:t>
      </w:r>
      <w:r>
        <w:t xml:space="preserve"> </w:t>
      </w:r>
      <w:r>
        <w:t xml:space="preserve">In the current economic environment, this becomes even more relevant, as high inflation, together</w:t>
      </w:r>
      <w:r>
        <w:t xml:space="preserve"> </w:t>
      </w:r>
      <w:r>
        <w:t xml:space="preserve">with costs of products and investment services may completely undermine return expectations for</w:t>
      </w:r>
      <w:r>
        <w:t xml:space="preserve"> </w:t>
      </w:r>
      <w:r>
        <w:t xml:space="preserve">retail investors in the coming years, potentially discouraging them from investing at all. As a result,</w:t>
      </w:r>
      <w:r>
        <w:t xml:space="preserve"> </w:t>
      </w:r>
      <w:r>
        <w:t xml:space="preserve">for the framework to remain relevant, improvements are needed to be in line with the specific issues</w:t>
      </w:r>
      <w:r>
        <w:t xml:space="preserve"> </w:t>
      </w:r>
      <w:r>
        <w:t xml:space="preserve">identified in the previous sections.</w:t>
      </w:r>
    </w:p>
    <w:p>
      <w:pPr>
        <w:pStyle w:val="Compact"/>
        <w:numPr>
          <w:ilvl w:val="0"/>
          <w:numId w:val="1054"/>
        </w:numPr>
      </w:pPr>
      <w:r>
        <w:t xml:space="preserve">WHAT ARE THE CONCLUSIONS AND LESSONS LEARNED?</w:t>
      </w:r>
    </w:p>
    <w:p>
      <w:pPr>
        <w:pStyle w:val="FirstParagraph"/>
      </w:pPr>
      <w:r>
        <w:t xml:space="preserve">5.1 Conclusions and lessons learned</w:t>
      </w:r>
      <w:r>
        <w:t xml:space="preserve"> </w:t>
      </w:r>
      <w:r>
        <w:t xml:space="preserve">The different sector specific legislative instruments covered in this evaluation aim at providing a</w:t>
      </w:r>
      <w:r>
        <w:t xml:space="preserve"> </w:t>
      </w:r>
      <w:r>
        <w:t xml:space="preserve">protection to retail investors when buying investment products and services, taking into account</w:t>
      </w:r>
      <w:r>
        <w:t xml:space="preserve"> </w:t>
      </w:r>
      <w:r>
        <w:t xml:space="preserve">their best interest and allowing for their informed and fair participation in the financial markets.</w:t>
      </w:r>
      <w:r>
        <w:t xml:space="preserve"> </w:t>
      </w:r>
      <w:r>
        <w:t xml:space="preserve">Overall, with regard to effectiveness, this has been achieved to a certain extent as compared to the</w:t>
      </w:r>
      <w:r>
        <w:t xml:space="preserve"> </w:t>
      </w:r>
      <w:r>
        <w:t xml:space="preserve">previous regimes, however there are still areas where the objectives have not been sufficiently</w:t>
      </w:r>
      <w:r>
        <w:t xml:space="preserve"> </w:t>
      </w:r>
      <w:r>
        <w:t xml:space="preserve">fulfilled. The results of the evaluation show that further action is needed. In respect of the</w:t>
      </w:r>
      <w:r>
        <w:t xml:space="preserve"> </w:t>
      </w:r>
      <w:r>
        <w:t xml:space="preserve">efficiency, the evaluation indicates that the costs borne by the industry for the implementation of</w:t>
      </w:r>
      <w:r>
        <w:t xml:space="preserve"> </w:t>
      </w:r>
      <w:r>
        <w:t xml:space="preserve">the rules on investor protection are reasonable when compared to the benefits for retail investors</w:t>
      </w:r>
      <w:r>
        <w:t xml:space="preserve"> </w:t>
      </w:r>
      <w:r>
        <w:t xml:space="preserve">around transparency of information and advice given. In terms of coherence, the rules on</w:t>
      </w:r>
      <w:r>
        <w:t xml:space="preserve"> </w:t>
      </w:r>
      <w:r>
        <w:t xml:space="preserve">disclosures, inducements, suitability assessments and product governance are generally aligned</w:t>
      </w:r>
      <w:r>
        <w:t xml:space="preserve"> </w:t>
      </w:r>
      <w:r>
        <w:t xml:space="preserve">across the different legal instruments and set out the same principles for investor protection. There</w:t>
      </w:r>
      <w:r>
        <w:t xml:space="preserve"> </w:t>
      </w:r>
      <w:r>
        <w:t xml:space="preserve">are however elements that indicate a lack of coherence of the current framework. With regard to</w:t>
      </w:r>
      <w:r>
        <w:t xml:space="preserve"> </w:t>
      </w:r>
      <w:r>
        <w:t xml:space="preserve">EU added value, the current investment protection framework has provided a basis for consumer</w:t>
      </w:r>
      <w:r>
        <w:t xml:space="preserve"> </w:t>
      </w:r>
      <w:r>
        <w:t xml:space="preserve">protection in the investment financial services across the EU. In the absence of an EU legal</w:t>
      </w:r>
      <w:r>
        <w:t xml:space="preserve"> </w:t>
      </w:r>
      <w:r>
        <w:t xml:space="preserve">framework, it is likely that countries would have adopted diverging requirements in the areas of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disclosures, inducements, suitability assessments and product governance, which would pose</w:t>
      </w:r>
      <w:r>
        <w:t xml:space="preserve"> </w:t>
      </w:r>
      <w:r>
        <w:t xml:space="preserve">additional barriers to cross-border distribution of investment products. The legal framework that</w:t>
      </w:r>
      <w:r>
        <w:t xml:space="preserve"> </w:t>
      </w:r>
      <w:r>
        <w:t xml:space="preserve">covers investor protection rules remains broadly relevant for the current needs of EU, with the</w:t>
      </w:r>
      <w:r>
        <w:t xml:space="preserve"> </w:t>
      </w:r>
      <w:r>
        <w:t xml:space="preserve">need to protect the interests of investors that are becoming ever more relevant as use of digital</w:t>
      </w:r>
      <w:r>
        <w:t xml:space="preserve"> </w:t>
      </w:r>
      <w:r>
        <w:t xml:space="preserve">marketing grows and in light of rising inflation. There are, however, areas where the relevance</w:t>
      </w:r>
      <w:r>
        <w:t xml:space="preserve"> </w:t>
      </w:r>
      <w:r>
        <w:t xml:space="preserve">could be increased, in particular considering the need for greater emphasis on the digital</w:t>
      </w:r>
      <w:r>
        <w:t xml:space="preserve"> </w:t>
      </w:r>
      <w:r>
        <w:t xml:space="preserve">environment and sustainability, that have not been fully captured in the original objectives of this</w:t>
      </w:r>
      <w:r>
        <w:t xml:space="preserve"> </w:t>
      </w:r>
      <w:r>
        <w:t xml:space="preserve">legal framework.</w:t>
      </w:r>
      <w:r>
        <w:br/>
      </w:r>
      <w:r>
        <w:t xml:space="preserve">In relation to disclosures, the framework has been broadly effective, notably in providing</w:t>
      </w:r>
      <w:r>
        <w:t xml:space="preserve"> </w:t>
      </w:r>
      <w:r>
        <w:t xml:space="preserve">information to retail investors that is comparable and useful for their decision-making.</w:t>
      </w:r>
      <w:r>
        <w:t xml:space="preserve"> </w:t>
      </w:r>
      <w:r>
        <w:t xml:space="preserve">Nevertheless, some issues were identified with regard to readability and user-friendliness of</w:t>
      </w:r>
      <w:r>
        <w:t xml:space="preserve"> </w:t>
      </w:r>
      <w:r>
        <w:t xml:space="preserve">presentation of information documents and the timing with which they are made available in the</w:t>
      </w:r>
      <w:r>
        <w:t xml:space="preserve"> </w:t>
      </w:r>
      <w:r>
        <w:t xml:space="preserve">distribution process. Information on costs is also not always clear. With respect to ex-post</w:t>
      </w:r>
      <w:r>
        <w:t xml:space="preserve"> </w:t>
      </w:r>
      <w:r>
        <w:t xml:space="preserve">information (especially on costs and performance), a significant group of investors does not receive</w:t>
      </w:r>
      <w:r>
        <w:t xml:space="preserve"> </w:t>
      </w:r>
      <w:r>
        <w:t xml:space="preserve">documentation in an easily accessible and comprehensible way, which limits their possibilities to</w:t>
      </w:r>
      <w:r>
        <w:t xml:space="preserve"> </w:t>
      </w:r>
      <w:r>
        <w:t xml:space="preserve">effectively monitor the developments of their investment, including performance and costs paid.</w:t>
      </w:r>
      <w:r>
        <w:br/>
      </w:r>
      <w:r>
        <w:t xml:space="preserve">The effectiveness of rules on marketing and communication is compromised by the confusion in</w:t>
      </w:r>
      <w:r>
        <w:t xml:space="preserve"> </w:t>
      </w:r>
      <w:r>
        <w:t xml:space="preserve">the way the definition of marketing communications is applied, especially in the context of digital</w:t>
      </w:r>
      <w:r>
        <w:t xml:space="preserve"> </w:t>
      </w:r>
      <w:r>
        <w:t xml:space="preserve">media and online advertising and social media, and the fact that key information may not always</w:t>
      </w:r>
      <w:r>
        <w:t xml:space="preserve"> </w:t>
      </w:r>
      <w:r>
        <w:t xml:space="preserve">be presented in a balanced way. However, the retail investment study’s behavioural experiment</w:t>
      </w:r>
      <w:r>
        <w:t xml:space="preserve"> </w:t>
      </w:r>
      <w:r>
        <w:t xml:space="preserve">which looked at disclosures shows that there is an inherent difficulty for retail investors to make</w:t>
      </w:r>
      <w:r>
        <w:t xml:space="preserve"> </w:t>
      </w:r>
      <w:r>
        <w:t xml:space="preserve">the optimal choice in respect of which product is best for them. Despite improvements on</w:t>
      </w:r>
      <w:r>
        <w:t xml:space="preserve"> </w:t>
      </w:r>
      <w:r>
        <w:t xml:space="preserve">information disclosures, additional measures should therefore be taken in other areas relating to</w:t>
      </w:r>
      <w:r>
        <w:t xml:space="preserve"> </w:t>
      </w:r>
      <w:r>
        <w:t xml:space="preserve">retail investor protection (e.g. the quality of advice to investors).</w:t>
      </w:r>
      <w:r>
        <w:t xml:space="preserve"> </w:t>
      </w:r>
      <w:r>
        <w:t xml:space="preserve">In terms of coherence, in the area of disclosures, the requirements governing format, readability,</w:t>
      </w:r>
      <w:r>
        <w:t xml:space="preserve"> </w:t>
      </w:r>
      <w:r>
        <w:t xml:space="preserve">clarity, conciseness, language use and comprehensive coverage are coherent between the different</w:t>
      </w:r>
      <w:r>
        <w:t xml:space="preserve"> </w:t>
      </w:r>
      <w:r>
        <w:t xml:space="preserve">pieces of legislation. Some issues were nevertheless identified, such as different level of adaptation</w:t>
      </w:r>
      <w:r>
        <w:t xml:space="preserve"> </w:t>
      </w:r>
      <w:r>
        <w:t xml:space="preserve">to digital or inconsistent application of the requirement to provide disclosure information in ‘good</w:t>
      </w:r>
      <w:r>
        <w:t xml:space="preserve"> </w:t>
      </w:r>
      <w:r>
        <w:t xml:space="preserve">time’ in the market. In addition, for the insurance industry there are some overlapping information</w:t>
      </w:r>
      <w:r>
        <w:t xml:space="preserve"> </w:t>
      </w:r>
      <w:r>
        <w:t xml:space="preserve">requirements present in EU legislation related to the sale of IBIPs.</w:t>
      </w:r>
      <w:r>
        <w:br/>
      </w:r>
      <w:r>
        <w:t xml:space="preserve">The relevance of the current rules on disclosures could be improved, in particular considering the</w:t>
      </w:r>
      <w:r>
        <w:t xml:space="preserve"> </w:t>
      </w:r>
      <w:r>
        <w:t xml:space="preserve">need to place greater emphasis on the digital environment and sustainability. The relevance of the</w:t>
      </w:r>
      <w:r>
        <w:t xml:space="preserve"> </w:t>
      </w:r>
      <w:r>
        <w:t xml:space="preserve">rules on marketing and communications could also be improved to better address the challenges</w:t>
      </w:r>
      <w:r>
        <w:t xml:space="preserve"> </w:t>
      </w:r>
      <w:r>
        <w:t xml:space="preserve">that are the result of increased digitalisation of financial services, including the dissemination of</w:t>
      </w:r>
      <w:r>
        <w:t xml:space="preserve"> </w:t>
      </w:r>
      <w:r>
        <w:t xml:space="preserve">marketing communications through digital channels (e.g. social media).</w:t>
      </w:r>
      <w:r>
        <w:br/>
      </w:r>
      <w:r>
        <w:t xml:space="preserve">Regarding inducements, the current framework has not been sufficiently effective, notably in the</w:t>
      </w:r>
      <w:r>
        <w:t xml:space="preserve"> </w:t>
      </w:r>
      <w:r>
        <w:t xml:space="preserve">following areas:</w:t>
      </w:r>
      <w:r>
        <w:t xml:space="preserve"> </w:t>
      </w:r>
      <w:r>
        <w:t xml:space="preserve"> the requirements on disclosure of inducements are in practice not fully</w:t>
      </w:r>
      <w:r>
        <w:t xml:space="preserve"> </w:t>
      </w:r>
      <w:r>
        <w:t xml:space="preserve">implemented. Information documents rarely contain explicit information on</w:t>
      </w:r>
      <w:r>
        <w:t xml:space="preserve"> </w:t>
      </w:r>
      <w:r>
        <w:t xml:space="preserve">inducements and inducements are frequently not disclosed during client</w:t>
      </w:r>
      <w:r>
        <w:t xml:space="preserve"> </w:t>
      </w:r>
      <w:r>
        <w:t xml:space="preserve">conversations.</w:t>
      </w:r>
      <w:r>
        <w:br/>
      </w:r>
      <w:r>
        <w:t xml:space="preserve"> most retail investors do not understand the concept of inducements and are</w:t>
      </w:r>
      <w:r>
        <w:t xml:space="preserve"> </w:t>
      </w:r>
      <w:r>
        <w:t xml:space="preserve">primarily concerned with the overall product costs, and not the costs of selling the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product (inducements) that are being passed on to them. Disclosure of inducements</w:t>
      </w:r>
      <w:r>
        <w:t xml:space="preserve"> </w:t>
      </w:r>
      <w:r>
        <w:t xml:space="preserve">does not appear to substantially impact a consumer’s informed choice.</w:t>
      </w:r>
      <w:r>
        <w:br/>
      </w:r>
      <w:r>
        <w:t xml:space="preserve"> the existence of inducements is reflected in higher costs for retail investors.</w:t>
      </w:r>
      <w:r>
        <w:br/>
      </w:r>
      <w:r>
        <w:t xml:space="preserve"> evidence concludes that the most important product features, such as costs and</w:t>
      </w:r>
      <w:r>
        <w:t xml:space="preserve"> </w:t>
      </w:r>
      <w:r>
        <w:t xml:space="preserve">charges, are not systematically covered by advisors when providing information</w:t>
      </w:r>
      <w:r>
        <w:t xml:space="preserve"> </w:t>
      </w:r>
      <w:r>
        <w:t xml:space="preserve">during advice sessions.</w:t>
      </w:r>
      <w:r>
        <w:t xml:space="preserve"> </w:t>
      </w:r>
      <w:r>
        <w:t xml:space="preserve"> the MiFID II rules (specifying conditions for inducements including the quality</w:t>
      </w:r>
      <w:r>
        <w:t xml:space="preserve"> </w:t>
      </w:r>
      <w:r>
        <w:t xml:space="preserve">enhancement test) have not triggered a shift towards more independent advice or</w:t>
      </w:r>
      <w:r>
        <w:t xml:space="preserve"> </w:t>
      </w:r>
      <w:r>
        <w:t xml:space="preserve">increased the market share of independent advice. Non-independent advice remains</w:t>
      </w:r>
      <w:r>
        <w:t xml:space="preserve"> </w:t>
      </w:r>
      <w:r>
        <w:t xml:space="preserve">the prevalent model for most distributors of retail investment products in the EU669.</w:t>
      </w:r>
      <w:r>
        <w:t xml:space="preserve"> </w:t>
      </w:r>
      <w:r>
        <w:t xml:space="preserve"> the existence of inducements may lead to product bias, thus restricting the offer of</w:t>
      </w:r>
      <w:r>
        <w:t xml:space="preserve"> </w:t>
      </w:r>
      <w:r>
        <w:t xml:space="preserve">certain simple and cheap investment products to investors. Existing safeguards are</w:t>
      </w:r>
      <w:r>
        <w:t xml:space="preserve"> </w:t>
      </w:r>
      <w:r>
        <w:t xml:space="preserve">not sufficient to ensure that investors are provided with unbiased advice and offered</w:t>
      </w:r>
      <w:r>
        <w:t xml:space="preserve"> </w:t>
      </w:r>
      <w:r>
        <w:t xml:space="preserve">products which best suit their interests and needs and/or which are not too costly or</w:t>
      </w:r>
      <w:r>
        <w:t xml:space="preserve"> </w:t>
      </w:r>
      <w:r>
        <w:t xml:space="preserve">underperforming.</w:t>
      </w:r>
    </w:p>
    <w:p>
      <w:pPr>
        <w:pStyle w:val="BodyText"/>
      </w:pPr>
      <w:r>
        <w:t xml:space="preserve">Even though IDD and MiFID II are largely coherent in their aim to prevent conflicts of</w:t>
      </w:r>
      <w:r>
        <w:t xml:space="preserve"> </w:t>
      </w:r>
      <w:r>
        <w:t xml:space="preserve">interest and define organisational arrangements, there are still differences between the two</w:t>
      </w:r>
      <w:r>
        <w:t xml:space="preserve"> </w:t>
      </w:r>
      <w:r>
        <w:t xml:space="preserve">regimes. Under MiFID II, inducements are designed to be the exception, while under IDD</w:t>
      </w:r>
      <w:r>
        <w:t xml:space="preserve"> </w:t>
      </w:r>
      <w:r>
        <w:t xml:space="preserve">inducements are in principle allowed. However, in practice, in the way the rules are</w:t>
      </w:r>
      <w:r>
        <w:t xml:space="preserve"> </w:t>
      </w:r>
      <w:r>
        <w:t xml:space="preserve">applied, inducements are widespread under both regimes. The different safeguards to</w:t>
      </w:r>
      <w:r>
        <w:t xml:space="preserve"> </w:t>
      </w:r>
      <w:r>
        <w:t xml:space="preserve">ensure that inducements ‘enhance the quality of service’ (under MiFID) or ‘are not</w:t>
      </w:r>
      <w:r>
        <w:t xml:space="preserve"> </w:t>
      </w:r>
      <w:r>
        <w:t xml:space="preserve">detrimental for the service’ (under IDD), have proven to be challenging for firms to</w:t>
      </w:r>
      <w:r>
        <w:t xml:space="preserve"> </w:t>
      </w:r>
      <w:r>
        <w:t xml:space="preserve">demonstrate and for competent authorities to supervise. In the area of MiFID, this</w:t>
      </w:r>
      <w:r>
        <w:t xml:space="preserve"> </w:t>
      </w:r>
      <w:r>
        <w:t xml:space="preserve">safeguard also leads to different interpretations across Member States and firms, despite</w:t>
      </w:r>
      <w:r>
        <w:t xml:space="preserve"> </w:t>
      </w:r>
      <w:r>
        <w:t xml:space="preserve">convergence efforts by ESMA.</w:t>
      </w:r>
      <w:r>
        <w:br/>
      </w:r>
      <w:r>
        <w:t xml:space="preserve">In the area of suitability assessments, the main issues affecting the effectiveness of the rules relate</w:t>
      </w:r>
      <w:r>
        <w:t xml:space="preserve"> </w:t>
      </w:r>
      <w:r>
        <w:t xml:space="preserve">to the depth and timing of the screening process, which is in some cases performed at the very last</w:t>
      </w:r>
      <w:r>
        <w:t xml:space="preserve"> </w:t>
      </w:r>
      <w:r>
        <w:t xml:space="preserve">stage, thereby defeating the objective of using the information of the assessments as a basis for the</w:t>
      </w:r>
      <w:r>
        <w:t xml:space="preserve"> </w:t>
      </w:r>
      <w:r>
        <w:t xml:space="preserve">provided advice. There are also different practices regarding the depth of information covered:</w:t>
      </w:r>
      <w:r>
        <w:t xml:space="preserve"> </w:t>
      </w:r>
      <w:r>
        <w:t xml:space="preserve">some advisors cover only minimal or hardly any information about clients, impacting the quality</w:t>
      </w:r>
      <w:r>
        <w:t xml:space="preserve"> </w:t>
      </w:r>
      <w:r>
        <w:t xml:space="preserve">of the assessment and weakening the link to actual advice and recommendations given. With</w:t>
      </w:r>
      <w:r>
        <w:t xml:space="preserve"> </w:t>
      </w:r>
      <w:r>
        <w:t xml:space="preserve">regards to the cost-effectiveness of the assessments, even though overall for the industry the</w:t>
      </w:r>
      <w:r>
        <w:t xml:space="preserve"> </w:t>
      </w:r>
      <w:r>
        <w:t xml:space="preserve">measure is cost-effective there are potential areas of further cost efficiencies, as the costs are</w:t>
      </w:r>
      <w:r>
        <w:t xml:space="preserve"> </w:t>
      </w:r>
      <w:r>
        <w:t xml:space="preserve">increased when clients do extensive research and undergo assessments with different distributors</w:t>
      </w:r>
      <w:r>
        <w:t xml:space="preserve"> </w:t>
      </w:r>
      <w:r>
        <w:t xml:space="preserve">and there is room for cost efficiencies through standardisation and portability of elements of the</w:t>
      </w:r>
      <w:r>
        <w:t xml:space="preserve"> </w:t>
      </w:r>
      <w:r>
        <w:t xml:space="preserve">suitability assessments.</w:t>
      </w:r>
      <w:r>
        <w:br/>
      </w:r>
      <w:r>
        <w:t xml:space="preserve">With respect to coherence, there are minor differences between IDD and MiFID II mainly related</w:t>
      </w:r>
      <w:r>
        <w:t xml:space="preserve"> </w:t>
      </w:r>
      <w:r>
        <w:t xml:space="preserve">to reporting obligations, and the application of the frameworks in the Member States670, although</w:t>
      </w:r>
      <w:r>
        <w:t xml:space="preserve"> </w:t>
      </w:r>
      <w:r>
        <w:t xml:space="preserve">they do not adversely impact the implementation of the framework. Finally, the usefulness and</w:t>
      </w:r>
    </w:p>
    <w:p>
      <w:pPr>
        <w:pStyle w:val="BodyText"/>
      </w:pPr>
      <w:r>
        <w:t xml:space="preserve">669 Retail investment study, page 232.</w:t>
      </w:r>
      <w:r>
        <w:t xml:space="preserve"> </w:t>
      </w:r>
      <w:r>
        <w:t xml:space="preserve">670 Resulting from the fact that MiFID II aims at maximum harmonisation while IDD (as a minimum</w:t>
      </w:r>
      <w:r>
        <w:t xml:space="preserve"> </w:t>
      </w:r>
      <w:r>
        <w:t xml:space="preserve">harmonisation directive) allows Member States to be more flexible.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relevance of the suitability assessment is compromised by inconsistent practices and lack of</w:t>
      </w:r>
      <w:r>
        <w:t xml:space="preserve"> </w:t>
      </w:r>
      <w:r>
        <w:t xml:space="preserve">adaptability to the digital environment.</w:t>
      </w:r>
      <w:r>
        <w:br/>
      </w:r>
      <w:r>
        <w:t xml:space="preserve">The product oversight and governance rules under MIFID and IDD, which impose requirements</w:t>
      </w:r>
      <w:r>
        <w:t xml:space="preserve"> </w:t>
      </w:r>
      <w:r>
        <w:t xml:space="preserve">on the definition of the target market, scenario analysis, product review and exchange of</w:t>
      </w:r>
      <w:r>
        <w:t xml:space="preserve"> </w:t>
      </w:r>
      <w:r>
        <w:t xml:space="preserve">information between manufacturers and distributors, are often insufficiently and inconsistently</w:t>
      </w:r>
      <w:r>
        <w:t xml:space="preserve"> </w:t>
      </w:r>
      <w:r>
        <w:t xml:space="preserve">applied. In practice, they are a formalistic exercise and fail to ensure that the products that enter the</w:t>
      </w:r>
      <w:r>
        <w:t xml:space="preserve"> </w:t>
      </w:r>
      <w:r>
        <w:t xml:space="preserve">market deliver value to retail investors. Their role in protecting retail investors is hindered by the</w:t>
      </w:r>
      <w:r>
        <w:t xml:space="preserve"> </w:t>
      </w:r>
      <w:r>
        <w:t xml:space="preserve">ineffective application of the framework leading to the following consequences:</w:t>
      </w:r>
      <w:r>
        <w:br/>
      </w:r>
      <w:r>
        <w:t xml:space="preserve"> Some products671 offered to retail investors have in recent years offered very low</w:t>
      </w:r>
      <w:r>
        <w:t xml:space="preserve"> </w:t>
      </w:r>
      <w:r>
        <w:t xml:space="preserve">if not negative real returns disproportionate to the risk that is taken by the investor.</w:t>
      </w:r>
      <w:r>
        <w:t xml:space="preserve"> </w:t>
      </w:r>
      <w:r>
        <w:t xml:space="preserve">Such products are also often overly complex and include costs that limit the</w:t>
      </w:r>
      <w:r>
        <w:t xml:space="preserve"> </w:t>
      </w:r>
      <w:r>
        <w:t xml:space="preserve">potential returns and diminish the investment outcome for retail clients.</w:t>
      </w:r>
      <w:r>
        <w:br/>
      </w:r>
      <w:r>
        <w:t xml:space="preserve"> With respect to structured retail products and the costs of products embedded in</w:t>
      </w:r>
      <w:r>
        <w:t xml:space="preserve"> </w:t>
      </w:r>
      <w:r>
        <w:t xml:space="preserve">their issuance, these costs do not appear to depend on issuance size or underlying</w:t>
      </w:r>
      <w:r>
        <w:t xml:space="preserve"> </w:t>
      </w:r>
      <w:r>
        <w:t xml:space="preserve">type, nor to the risk of the products, while the existence of a plurality of reference</w:t>
      </w:r>
      <w:r>
        <w:t xml:space="preserve"> </w:t>
      </w:r>
      <w:r>
        <w:t xml:space="preserve">assets does not seem to lead to higher costs per se and economies of scale do not</w:t>
      </w:r>
      <w:r>
        <w:t xml:space="preserve"> </w:t>
      </w:r>
      <w:r>
        <w:t xml:space="preserve">appear to materialise in the market for SRPs. There is no correlation between the</w:t>
      </w:r>
      <w:r>
        <w:t xml:space="preserve"> </w:t>
      </w:r>
      <w:r>
        <w:t xml:space="preserve">costs and embedded features that would constitute a justification for better product</w:t>
      </w:r>
      <w:r>
        <w:t xml:space="preserve"> </w:t>
      </w:r>
      <w:r>
        <w:t xml:space="preserve">quality, rather the evidence points to unjustified complex costs structures.</w:t>
      </w:r>
      <w:r>
        <w:br/>
      </w:r>
      <w:r>
        <w:t xml:space="preserve">The above issues reduce significantly the cost-effectiveness of the product governance rules for</w:t>
      </w:r>
      <w:r>
        <w:t xml:space="preserve"> </w:t>
      </w:r>
      <w:r>
        <w:t xml:space="preserve">retail investors, as they do not sufficiently prohibit products that deliver little or no value from</w:t>
      </w:r>
      <w:r>
        <w:t xml:space="preserve"> </w:t>
      </w:r>
      <w:r>
        <w:t xml:space="preserve">entering the market.</w:t>
      </w:r>
      <w:r>
        <w:br/>
      </w:r>
      <w:r>
        <w:t xml:space="preserve">The economic developments and the shift from low interest rates and inflation to a high inflation,</w:t>
      </w:r>
      <w:r>
        <w:t xml:space="preserve"> </w:t>
      </w:r>
      <w:r>
        <w:t xml:space="preserve">high interest rate environment underlines the urgent necessity for a framework where the products</w:t>
      </w:r>
      <w:r>
        <w:t xml:space="preserve"> </w:t>
      </w:r>
      <w:r>
        <w:t xml:space="preserve">oversight and governance rules remain relevant and are able to ensure that retail investors are</w:t>
      </w:r>
      <w:r>
        <w:t xml:space="preserve"> </w:t>
      </w:r>
      <w:r>
        <w:t xml:space="preserve">adequately protected and are only offered products that deliver them value for money.</w:t>
      </w:r>
      <w:r>
        <w:br/>
      </w:r>
      <w:r>
        <w:t xml:space="preserve">With respect to the additional product oversight and governance rules under the UCITS framework,</w:t>
      </w:r>
      <w:r>
        <w:t xml:space="preserve"> </w:t>
      </w:r>
      <w:r>
        <w:t xml:space="preserve">available evidence suggests that rules are generally effective, efficient and coherent, although there</w:t>
      </w:r>
      <w:r>
        <w:t xml:space="preserve"> </w:t>
      </w:r>
      <w:r>
        <w:t xml:space="preserve">is scope for further improvement, such as insufficient clarity of the notion of “undue costs”.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The above conclusions from this targeted evaluation and the lessons learned in terms of the main</w:t>
      </w:r>
      <w:r>
        <w:t xml:space="preserve"> </w:t>
      </w:r>
      <w:r>
        <w:t xml:space="preserve">areas for improvement serve as the basis on which the Commission will aim to provide policy</w:t>
      </w:r>
      <w:r>
        <w:t xml:space="preserve"> </w:t>
      </w:r>
      <w:r>
        <w:t xml:space="preserve">conclusions or follow-up action. These need to be understood within the general conclusion that</w:t>
      </w:r>
      <w:r>
        <w:t xml:space="preserve"> </w:t>
      </w:r>
      <w:r>
        <w:t xml:space="preserve">even though the framework has been broadly acknowledged by most stakeholders as fit for purpose,</w:t>
      </w:r>
      <w:r>
        <w:t xml:space="preserve"> </w:t>
      </w:r>
      <w:r>
        <w:t xml:space="preserve">there are important elements, especially in the area of inducements and advice, that have not</w:t>
      </w:r>
      <w:r>
        <w:t xml:space="preserve"> </w:t>
      </w:r>
      <w:r>
        <w:t xml:space="preserve">sufficiently contributed to the achievement of the intended objectives of the investor protection</w:t>
      </w:r>
      <w:r>
        <w:t xml:space="preserve"> </w:t>
      </w:r>
      <w:r>
        <w:t xml:space="preserve">framework.</w:t>
      </w:r>
      <w:r>
        <w:br/>
      </w:r>
      <w:r>
        <w:t xml:space="preserve">In terms of the information disclosed to the retail investor, overall, the requirements are relevant,</w:t>
      </w:r>
      <w:r>
        <w:t xml:space="preserve"> </w:t>
      </w:r>
      <w:r>
        <w:t xml:space="preserve">however there are some targeted areas of improvement; information can still be complex (in</w:t>
      </w:r>
    </w:p>
    <w:p>
      <w:pPr>
        <w:pStyle w:val="BodyText"/>
      </w:pPr>
      <w:r>
        <w:t xml:space="preserve">671 e.g. certain structured investment products or insurance-based investment products.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particular relating to costs) or not sufficiently useful or relevant to guide their ability to make</w:t>
      </w:r>
      <w:r>
        <w:t xml:space="preserve"> </w:t>
      </w:r>
      <w:r>
        <w:t xml:space="preserve">informed decisions. The rules are not sufficiently adapted to digital channels and disclosures do</w:t>
      </w:r>
      <w:r>
        <w:t xml:space="preserve"> </w:t>
      </w:r>
      <w:r>
        <w:t xml:space="preserve">not sufficiently respond to growing sustainability preferences of consumers. Marketing and</w:t>
      </w:r>
      <w:r>
        <w:t xml:space="preserve"> </w:t>
      </w:r>
      <w:r>
        <w:t xml:space="preserve">communication rules could be improved to better protect investors from the increasing risks linked</w:t>
      </w:r>
      <w:r>
        <w:t xml:space="preserve"> </w:t>
      </w:r>
      <w:r>
        <w:t xml:space="preserve">to oversimplified or misleading guidance from digital channels and marketing practices.</w:t>
      </w:r>
      <w:r>
        <w:br/>
      </w:r>
      <w:r>
        <w:t xml:space="preserve">With respect to inducements and advice, the existing safeguards have not sufficiently to limited the</w:t>
      </w:r>
      <w:r>
        <w:t xml:space="preserve"> </w:t>
      </w:r>
      <w:r>
        <w:t xml:space="preserve">product bias and ensured that investors are provided unbiased advice and offered products which</w:t>
      </w:r>
      <w:r>
        <w:t xml:space="preserve"> </w:t>
      </w:r>
      <w:r>
        <w:t xml:space="preserve">may better suit their interests and needs. In addition, understanding the concept of inducements is</w:t>
      </w:r>
      <w:r>
        <w:t xml:space="preserve"> </w:t>
      </w:r>
      <w:r>
        <w:t xml:space="preserve">challenging for retail investors and disclosure of their existence does not appear to make a</w:t>
      </w:r>
      <w:r>
        <w:t xml:space="preserve"> </w:t>
      </w:r>
      <w:r>
        <w:t xml:space="preserve">substantial contribution to a consumer’s informed choice nor does it sufficiently address conflicts</w:t>
      </w:r>
      <w:r>
        <w:t xml:space="preserve"> </w:t>
      </w:r>
      <w:r>
        <w:t xml:space="preserve">of interest.</w:t>
      </w:r>
      <w:r>
        <w:t xml:space="preserve"> </w:t>
      </w:r>
      <w:r>
        <w:t xml:space="preserve">With respect to the current rules on product oversight and governance, while they have set</w:t>
      </w:r>
      <w:r>
        <w:t xml:space="preserve"> </w:t>
      </w:r>
      <w:r>
        <w:t xml:space="preserve">up a framework to promote the offer of products that are tested and address the needs of a</w:t>
      </w:r>
      <w:r>
        <w:t xml:space="preserve"> </w:t>
      </w:r>
      <w:r>
        <w:t xml:space="preserve">target market, the rules do not sufficiently ensure high quality of all the products offered</w:t>
      </w:r>
      <w:r>
        <w:t xml:space="preserve"> </w:t>
      </w:r>
      <w:r>
        <w:t xml:space="preserve">to retail investors: some retail investment products incorporate unjustifiably high levels of</w:t>
      </w:r>
      <w:r>
        <w:t xml:space="preserve"> </w:t>
      </w:r>
      <w:r>
        <w:t xml:space="preserve">costs and/or do not offer value to retail investors.</w:t>
      </w:r>
    </w:p>
    <w:p>
      <w:pPr>
        <w:pStyle w:val="BodyText"/>
      </w:pPr>
      <w:r>
        <w:t xml:space="preserve">Finally, the suitability and appropriateness assessment regime, even though generally</w:t>
      </w:r>
      <w:r>
        <w:t xml:space="preserve"> </w:t>
      </w:r>
      <w:r>
        <w:t xml:space="preserve">effective and efficient in ensuring that the needs of the clients are considered in the</w:t>
      </w:r>
      <w:r>
        <w:t xml:space="preserve"> </w:t>
      </w:r>
      <w:r>
        <w:t xml:space="preserve">screening process, can be further improved in certain respects. Evidence has shown that</w:t>
      </w:r>
      <w:r>
        <w:t xml:space="preserve"> </w:t>
      </w:r>
      <w:r>
        <w:t xml:space="preserve">the timing and depth of the assessments is not applied optimally in practice to ensure</w:t>
      </w:r>
      <w:r>
        <w:t xml:space="preserve"> </w:t>
      </w:r>
      <w:r>
        <w:t xml:space="preserve">intermediaries have sufficient knowledge about their clients that would allow them to only</w:t>
      </w:r>
      <w:r>
        <w:t xml:space="preserve"> </w:t>
      </w:r>
      <w:r>
        <w:t xml:space="preserve">recommend suitable products. Improvements could be made in suitability assessment so as</w:t>
      </w:r>
      <w:r>
        <w:t xml:space="preserve"> </w:t>
      </w:r>
      <w:r>
        <w:t xml:space="preserve">to remove inconsistent practices and adapt it to the digital environment.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ANNEX 12: SME TEST</w:t>
      </w:r>
      <w:r>
        <w:br/>
      </w:r>
      <w:r>
        <w:t xml:space="preserve">Step 1) Are SMEs likely to be affected?</w:t>
      </w:r>
      <w:r>
        <w:t xml:space="preserve"> </w:t>
      </w:r>
      <w:r>
        <w:t xml:space="preserve">Although the Retail investment initiative does not specifically target SMEs, its scope will include SMEs</w:t>
      </w:r>
      <w:r>
        <w:t xml:space="preserve"> </w:t>
      </w:r>
      <w:r>
        <w:t xml:space="preserve">and the measures will have some direct and mostly indirect impacts on them. SMEs will be affected in</w:t>
      </w:r>
      <w:r>
        <w:t xml:space="preserve"> </w:t>
      </w:r>
      <w:r>
        <w:t xml:space="preserve">their various roles.</w:t>
      </w:r>
      <w:r>
        <w:t xml:space="preserve"> </w:t>
      </w:r>
      <w:r>
        <w:t xml:space="preserve">-</w:t>
      </w:r>
      <w:r>
        <w:t xml:space="preserve"> </w:t>
      </w:r>
      <w:r>
        <w:t xml:space="preserve">SMEs as investors will benefit in the same way as any other retail investors, among</w:t>
      </w:r>
      <w:r>
        <w:t xml:space="preserve"> </w:t>
      </w:r>
      <w:r>
        <w:t xml:space="preserve">others, from the improved disclosures, from the better choice of products offering value</w:t>
      </w:r>
      <w:r>
        <w:t xml:space="preserve"> </w:t>
      </w:r>
      <w:r>
        <w:t xml:space="preserve">for their money and from unbiased advice following the removal of conflicts of interest</w:t>
      </w:r>
      <w:r>
        <w:t xml:space="preserve"> </w:t>
      </w:r>
      <w:r>
        <w:t xml:space="preserve">of advisors. We do not have exact information on their number, however, extrapolations</w:t>
      </w:r>
      <w:r>
        <w:t xml:space="preserve"> </w:t>
      </w:r>
      <w:r>
        <w:t xml:space="preserve">suggest that the number of SMEs concerned should be at most 1 million firms672.</w:t>
      </w:r>
      <w:r>
        <w:br/>
      </w:r>
      <w:r>
        <w:t xml:space="preserve">-</w:t>
      </w:r>
      <w:r>
        <w:t xml:space="preserve"> </w:t>
      </w:r>
      <w:r>
        <w:t xml:space="preserve">SMEs will also be affected as providers of financial services, in particular the ban on</w:t>
      </w:r>
      <w:r>
        <w:t xml:space="preserve"> </w:t>
      </w:r>
      <w:r>
        <w:t xml:space="preserve">inducement will oblige SME advisors to change their business models to fee-based</w:t>
      </w:r>
      <w:r>
        <w:t xml:space="preserve"> </w:t>
      </w:r>
      <w:r>
        <w:t xml:space="preserve">systems. Although the precise number of SME financial services providers is not</w:t>
      </w:r>
      <w:r>
        <w:t xml:space="preserve"> </w:t>
      </w:r>
      <w:r>
        <w:t xml:space="preserve">available, official statistics suggest that about 617,000 firms in the financial sector had</w:t>
      </w:r>
      <w:r>
        <w:t xml:space="preserve"> </w:t>
      </w:r>
      <w:r>
        <w:t xml:space="preserve">less than 10 employees in the EU-27 in 2020, representing 97% of all financial firms673.</w:t>
      </w:r>
      <w:r>
        <w:t xml:space="preserve"> </w:t>
      </w:r>
      <w:r>
        <w:t xml:space="preserve">There is no statistical information how many of them serve retail customers and services</w:t>
      </w:r>
      <w:r>
        <w:t xml:space="preserve"> </w:t>
      </w:r>
      <w:r>
        <w:t xml:space="preserve">related to investment. To give an indication, of the 815,000 licensed insurance</w:t>
      </w:r>
      <w:r>
        <w:t xml:space="preserve"> </w:t>
      </w:r>
      <w:r>
        <w:t xml:space="preserve">intermediaries in the EU, about 467,000 are physical one-person businesses (see annex</w:t>
      </w:r>
      <w:r>
        <w:t xml:space="preserve"> </w:t>
      </w:r>
      <w:r>
        <w:t xml:space="preserve">7).</w:t>
      </w:r>
      <w:r>
        <w:br/>
      </w:r>
      <w:r>
        <w:t xml:space="preserve">-</w:t>
      </w:r>
      <w:r>
        <w:t xml:space="preserve"> </w:t>
      </w:r>
      <w:r>
        <w:t xml:space="preserve">Listed SMEs as users of funds will also be affected by the initiative. Retail investor</w:t>
      </w:r>
      <w:r>
        <w:t xml:space="preserve"> </w:t>
      </w:r>
      <w:r>
        <w:t xml:space="preserve">participation in capital markets is expected as an indirect positive impact of the</w:t>
      </w:r>
      <w:r>
        <w:t xml:space="preserve"> </w:t>
      </w:r>
      <w:r>
        <w:t xml:space="preserve">measures, which will offer better opportunities also for listed SMEs. There are about</w:t>
      </w:r>
      <w:r>
        <w:t xml:space="preserve"> </w:t>
      </w:r>
      <w:r>
        <w:t xml:space="preserve">2800 listed SMEs according to ORBIS data. Data from exchanges revealed that 1464</w:t>
      </w:r>
      <w:r>
        <w:t xml:space="preserve"> </w:t>
      </w:r>
      <w:r>
        <w:t xml:space="preserve">out of 4371 companies on regulated markets were SMEs in 2021, i.e. 33%. Another</w:t>
      </w:r>
      <w:r>
        <w:t xml:space="preserve"> </w:t>
      </w:r>
      <w:r>
        <w:t xml:space="preserve">1740 firms are listed on SME growth markets, though not all of them would still be</w:t>
      </w:r>
      <w:r>
        <w:t xml:space="preserve"> </w:t>
      </w:r>
      <w:r>
        <w:t xml:space="preserve">SMEs.</w:t>
      </w:r>
      <w:r>
        <w:br/>
      </w:r>
      <w:r>
        <w:t xml:space="preserve">Step 2) Consultation of stakeholders</w:t>
      </w:r>
      <w:r>
        <w:t xml:space="preserve"> </w:t>
      </w:r>
      <w:r>
        <w:t xml:space="preserve">During the public consultation procedure all stakeholders, including SMEs, were consulted and were</w:t>
      </w:r>
      <w:r>
        <w:t xml:space="preserve"> </w:t>
      </w:r>
      <w:r>
        <w:t xml:space="preserve">given the opportunity to contribute with their views to the development of the policy initiative.</w:t>
      </w:r>
      <w:r>
        <w:br/>
      </w:r>
      <w:r>
        <w:t xml:space="preserve">The result of all consultation activities is summarised in the synopsis report (annex 2). Stakeholder</w:t>
      </w:r>
      <w:r>
        <w:t xml:space="preserve"> </w:t>
      </w:r>
      <w:r>
        <w:t xml:space="preserve">outreach activities also included discussions with consumer organisations as well as representatives</w:t>
      </w:r>
      <w:r>
        <w:t xml:space="preserve"> </w:t>
      </w:r>
      <w:r>
        <w:t xml:space="preserve">from the banking, insurance, financial intermediaries and investment management industries. The</w:t>
      </w:r>
      <w:r>
        <w:t xml:space="preserve"> </w:t>
      </w:r>
      <w:r>
        <w:t xml:space="preserve">public consultation in particular received input from SMEs, namely medium (50 to 249 employees),</w:t>
      </w:r>
      <w:r>
        <w:t xml:space="preserve"> </w:t>
      </w:r>
      <w:r>
        <w:t xml:space="preserve">small (10 to 49 employees) and micro (1 to 9 employees) companies active in the aforementioned</w:t>
      </w:r>
      <w:r>
        <w:t xml:space="preserve"> </w:t>
      </w:r>
      <w:r>
        <w:t xml:space="preserve">sectors. Notably, among them there were also a few micro and small advisory firms and representatives.</w:t>
      </w:r>
      <w:r>
        <w:t xml:space="preserve"> </w:t>
      </w:r>
      <w:r>
        <w:t xml:space="preserve">Other consulted stakeholders, moreover, involved BIPAR, the European federation, which</w:t>
      </w:r>
      <w:r>
        <w:t xml:space="preserve"> </w:t>
      </w:r>
      <w:r>
        <w:t xml:space="preserve">groups national associations representing insurance as well as financial intermediaries, ranging from</w:t>
      </w:r>
      <w:r>
        <w:t xml:space="preserve"> </w:t>
      </w:r>
      <w:r>
        <w:t xml:space="preserve">multinational companies to SMEs and micro-enterprises. The SME-specific input received mainly</w:t>
      </w:r>
    </w:p>
    <w:p>
      <w:pPr>
        <w:pStyle w:val="BodyText"/>
      </w:pPr>
      <w:r>
        <w:t xml:space="preserve">672 An extrapolation using German data, based on the number of security accounts held by NFCs, relative to</w:t>
      </w:r>
      <w:r>
        <w:t xml:space="preserve"> </w:t>
      </w:r>
      <w:r>
        <w:t xml:space="preserve">the number of NFCs being 4%, as 99.5% of NFCs are SMEs, this is extrapolated to EU NFCs.</w:t>
      </w:r>
      <w:r>
        <w:t xml:space="preserve"> </w:t>
      </w:r>
      <w:r>
        <w:t xml:space="preserve">673 The number of firms come from Eurostat, Business demography by size class [BD_9BD_SZ_CL_R2].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focused on the need to ensure proportionality if additional regulatory burden is imposed on smaller</w:t>
      </w:r>
      <w:r>
        <w:t xml:space="preserve"> </w:t>
      </w:r>
      <w:r>
        <w:t xml:space="preserve">businesses, particularly in the insurance sector, which has a higher proportion of SMEs with respect to</w:t>
      </w:r>
      <w:r>
        <w:t xml:space="preserve"> </w:t>
      </w:r>
      <w:r>
        <w:t xml:space="preserve">other financial sectors.</w:t>
      </w:r>
    </w:p>
    <w:p>
      <w:pPr>
        <w:pStyle w:val="BodyText"/>
      </w:pPr>
      <w:r>
        <w:t xml:space="preserve">Step 3) Assessment of impact on SMEs</w:t>
      </w:r>
      <w:r>
        <w:t xml:space="preserve"> </w:t>
      </w:r>
      <w:r>
        <w:t xml:space="preserve">The impacts on SMEs can be threefold: SMEs as users of capital markets, SMEs as investors, and SMEs</w:t>
      </w:r>
      <w:r>
        <w:t xml:space="preserve"> </w:t>
      </w:r>
      <w:r>
        <w:t xml:space="preserve">as providers of retail investment services and products.</w:t>
      </w:r>
      <w:r>
        <w:br/>
      </w:r>
      <w:r>
        <w:t xml:space="preserve">SMEs as users of capital markets are expected to benefit from the measures. Given that the ban on</w:t>
      </w:r>
      <w:r>
        <w:t xml:space="preserve"> </w:t>
      </w:r>
      <w:r>
        <w:t xml:space="preserve">inducements can indirectly lead to increased retail participation, SMEs listed on the capital markets</w:t>
      </w:r>
      <w:r>
        <w:t xml:space="preserve"> </w:t>
      </w:r>
      <w:r>
        <w:t xml:space="preserve">could profit from a more diverse and deeper investor base over the longer-term (i.e. by being selected</w:t>
      </w:r>
      <w:r>
        <w:t xml:space="preserve"> </w:t>
      </w:r>
      <w:r>
        <w:t xml:space="preserve">in the assets of small, mid or micro-cap company investment funds).</w:t>
      </w:r>
      <w:r>
        <w:br/>
      </w:r>
      <w:r>
        <w:t xml:space="preserve">SMEs as investors will directly benefit from the ban on inducements, including from lower costs of</w:t>
      </w:r>
      <w:r>
        <w:t xml:space="preserve"> </w:t>
      </w:r>
      <w:r>
        <w:t xml:space="preserve">retail investment products. In addition to the removal of conflicts of interest in the advice process, they</w:t>
      </w:r>
      <w:r>
        <w:t xml:space="preserve"> </w:t>
      </w:r>
      <w:r>
        <w:t xml:space="preserve">will also get a better choice of products that offer them value for their money, in the same way as other</w:t>
      </w:r>
      <w:r>
        <w:t xml:space="preserve"> </w:t>
      </w:r>
      <w:r>
        <w:t xml:space="preserve">retail investors. They will also benefit from improved disclosures, in the form of more targeted and</w:t>
      </w:r>
      <w:r>
        <w:t xml:space="preserve"> </w:t>
      </w:r>
      <w:r>
        <w:t xml:space="preserve">more engaging information aimed at facilitating their decision-making, and by better protection against</w:t>
      </w:r>
      <w:r>
        <w:t xml:space="preserve"> </w:t>
      </w:r>
      <w:r>
        <w:t xml:space="preserve">exposure to misleading marketing. Like other retail investors, SMEs will benefit from the impact of</w:t>
      </w:r>
      <w:r>
        <w:t xml:space="preserve"> </w:t>
      </w:r>
      <w:r>
        <w:t xml:space="preserve">Value for Money on the transparency and return of financial products if they intend to invest their</w:t>
      </w:r>
      <w:r>
        <w:t xml:space="preserve"> </w:t>
      </w:r>
      <w:r>
        <w:t xml:space="preserve">financial surpluses in financial assets. The flanking measures will have a positive impact on retail</w:t>
      </w:r>
      <w:r>
        <w:t xml:space="preserve"> </w:t>
      </w:r>
      <w:r>
        <w:t xml:space="preserve">investors, including SMEs, by further improving their protection (e.g. thanks to stronger supervisory</w:t>
      </w:r>
      <w:r>
        <w:t xml:space="preserve"> </w:t>
      </w:r>
      <w:r>
        <w:t xml:space="preserve">enforcement measures) and by empowering them to take better informed investment decisions (e.g. </w:t>
      </w:r>
      <w:r>
        <w:t xml:space="preserve"> </w:t>
      </w:r>
      <w:r>
        <w:t xml:space="preserve">thanks to improving their financial literacy levels).</w:t>
      </w:r>
      <w:r>
        <w:br/>
      </w:r>
      <w:r>
        <w:t xml:space="preserve">SMEs, which are providers and distributors of retail financial services (such as smaller advisors), will</w:t>
      </w:r>
      <w:r>
        <w:t xml:space="preserve"> </w:t>
      </w:r>
      <w:r>
        <w:t xml:space="preserve">face, as other market participants, adjustment costs to the transition from a commission-based to a fee-</w:t>
      </w:r>
      <w:r>
        <w:t xml:space="preserve"> </w:t>
      </w:r>
      <w:r>
        <w:t xml:space="preserve">based model. As they will no longer receive commissions from product manufacturers but receive fees</w:t>
      </w:r>
      <w:r>
        <w:t xml:space="preserve"> </w:t>
      </w:r>
      <w:r>
        <w:t xml:space="preserve">from retail investors, they will need to demonstrate the added value of their service to retail investors</w:t>
      </w:r>
      <w:r>
        <w:t xml:space="preserve"> </w:t>
      </w:r>
      <w:r>
        <w:t xml:space="preserve">including through assessments against value for money benchmarks. In the same way as for other</w:t>
      </w:r>
      <w:r>
        <w:t xml:space="preserve"> </w:t>
      </w:r>
      <w:r>
        <w:t xml:space="preserve">market participants, it is difficult to predict the market dynamics for SME financial intermediaries. On</w:t>
      </w:r>
      <w:r>
        <w:t xml:space="preserve"> </w:t>
      </w:r>
      <w:r>
        <w:t xml:space="preserve">the one hand, those smaller businesses, which will not be capable or do not want to take the opportunity</w:t>
      </w:r>
      <w:r>
        <w:t xml:space="preserve"> </w:t>
      </w:r>
      <w:r>
        <w:t xml:space="preserve">offered by the need for a structural transition from an inducement-based to a fee-based system, may exit</w:t>
      </w:r>
      <w:r>
        <w:t xml:space="preserve"> </w:t>
      </w:r>
      <w:r>
        <w:t xml:space="preserve">the market. This might further contribute to the ongoing trend of consolidation in the advice segment</w:t>
      </w:r>
      <w:r>
        <w:t xml:space="preserve"> </w:t>
      </w:r>
      <w:r>
        <w:t xml:space="preserve">as a result of digitalisation of financial services. On the other hand, however, smaller distributors who</w:t>
      </w:r>
      <w:r>
        <w:t xml:space="preserve"> </w:t>
      </w:r>
      <w:r>
        <w:t xml:space="preserve">would like to take advantage from the removal of the barrier that currently exists to their ability to</w:t>
      </w:r>
      <w:r>
        <w:t xml:space="preserve"> </w:t>
      </w:r>
      <w:r>
        <w:t xml:space="preserve">provide independent advice will benefit from a better opportunity to grow their business. This is also</w:t>
      </w:r>
      <w:r>
        <w:t xml:space="preserve"> </w:t>
      </w:r>
      <w:r>
        <w:t xml:space="preserve">shown by the growth of independent advice in the Netherlands (see annex 7). In addition, with the</w:t>
      </w:r>
      <w:r>
        <w:t xml:space="preserve"> </w:t>
      </w:r>
      <w:r>
        <w:t xml:space="preserve">removal of the inducements, the relative bargaining power of distributors against product manufacturers</w:t>
      </w:r>
      <w:r>
        <w:t xml:space="preserve"> </w:t>
      </w:r>
      <w:r>
        <w:t xml:space="preserve">will also increase.</w:t>
      </w:r>
      <w:r>
        <w:br/>
      </w:r>
      <w:r>
        <w:t xml:space="preserve">If Member States outsource their financial education efforts to private parties, SMEs active in financial</w:t>
      </w:r>
      <w:r>
        <w:t xml:space="preserve"> </w:t>
      </w:r>
      <w:r>
        <w:t xml:space="preserve">education could benefit from additional revenues. In a similar vein, the qualification of financial</w:t>
      </w:r>
      <w:r>
        <w:t xml:space="preserve"> </w:t>
      </w:r>
      <w:r>
        <w:t xml:space="preserve">advisors could create additional demand for SMEs that provide qualification and training programmes.</w:t>
      </w:r>
      <w:r>
        <w:t xml:space="preserve"> </w:t>
      </w:r>
      <w:r>
        <w:t xml:space="preserve">Financial firms may have to count on a slight increase in their pay for qualified staff. While the investor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categorisation would allow more SMEs to qualify as professional investors at request, this effect is</w:t>
      </w:r>
      <w:r>
        <w:t xml:space="preserve"> </w:t>
      </w:r>
      <w:r>
        <w:t xml:space="preserve">likely to be extremely small.</w:t>
      </w:r>
      <w:r>
        <w:t xml:space="preserve"> </w:t>
      </w:r>
      <w:r>
        <w:t xml:space="preserve">Step 4) Minimising negative impacts on SMEs</w:t>
      </w:r>
      <w:r>
        <w:t xml:space="preserve"> </w:t>
      </w:r>
      <w:r>
        <w:t xml:space="preserve">The preferred package of options will include a transitional period for the introduction of the ban on</w:t>
      </w:r>
      <w:r>
        <w:t xml:space="preserve"> </w:t>
      </w:r>
      <w:r>
        <w:t xml:space="preserve">inducements. It is necessary to ensure that distributors and manufacturers have time to adjust their</w:t>
      </w:r>
      <w:r>
        <w:t xml:space="preserve"> </w:t>
      </w:r>
      <w:r>
        <w:t xml:space="preserve">business models from a commission-based to a fee-based model, which applies to all sizes of firms,</w:t>
      </w:r>
      <w:r>
        <w:t xml:space="preserve"> </w:t>
      </w:r>
      <w:r>
        <w:t xml:space="preserve">including SMEs. Examples of the steps to be taken are adjustments to the current fee schedule and</w:t>
      </w:r>
      <w:r>
        <w:t xml:space="preserve"> </w:t>
      </w:r>
      <w:r>
        <w:t xml:space="preserve">billing systems, informing clients of the new structures, creating new share classes without inducements</w:t>
      </w:r>
      <w:r>
        <w:t xml:space="preserve"> </w:t>
      </w:r>
      <w:r>
        <w:t xml:space="preserve">in the case of investment funds and upgrading IT systems where necessary. It can also be envisaged</w:t>
      </w:r>
      <w:r>
        <w:t xml:space="preserve"> </w:t>
      </w:r>
      <w:r>
        <w:t xml:space="preserve">that the contribution of financial SMEs to the Value for Money benchmarks will be phased in after a</w:t>
      </w:r>
      <w:r>
        <w:t xml:space="preserve"> </w:t>
      </w:r>
      <w:r>
        <w:t xml:space="preserve">sufficient transition time.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ANNEX 13: 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Advised services</w:t>
      </w:r>
      <w:r>
        <w:br/>
      </w:r>
      <w:r>
        <w:t xml:space="preserve">When an intermediary offers or advises a client to perform a certain</w:t>
      </w:r>
      <w:r>
        <w:t xml:space="preserve"> </w:t>
      </w:r>
      <w:r>
        <w:t xml:space="preserve">investment service (e.g. investment advice), or otherwise when the</w:t>
      </w:r>
      <w:r>
        <w:t xml:space="preserve"> </w:t>
      </w:r>
      <w:r>
        <w:t xml:space="preserve">client does not expressly solicit the service.</w:t>
      </w:r>
      <w:r>
        <w:br/>
      </w:r>
      <w:r>
        <w:t xml:space="preserve">AIFs</w:t>
      </w:r>
      <w:r>
        <w:t xml:space="preserve"> </w:t>
      </w:r>
      <w:r>
        <w:t xml:space="preserve">Alternative Investment Funds regulated by Directive 2011/61/EU on</w:t>
      </w:r>
      <w:r>
        <w:t xml:space="preserve"> </w:t>
      </w:r>
      <w:r>
        <w:t xml:space="preserve">Alternative Investment Fund Managers</w:t>
      </w:r>
      <w:r>
        <w:br/>
      </w:r>
      <w:r>
        <w:t xml:space="preserve">Best execution</w:t>
      </w:r>
      <w:r>
        <w:br/>
      </w:r>
      <w:r>
        <w:t xml:space="preserve">Brokers are obliged (Art. 27 MiFID II) to endeavour to “execute orders</w:t>
      </w:r>
      <w:r>
        <w:t xml:space="preserve"> </w:t>
      </w:r>
      <w:r>
        <w:t xml:space="preserve">on terms most favourable to the client” and “obtain the best possible</w:t>
      </w:r>
      <w:r>
        <w:t xml:space="preserve"> </w:t>
      </w:r>
      <w:r>
        <w:t xml:space="preserve">result”.</w:t>
      </w:r>
      <w:r>
        <w:br/>
      </w:r>
      <w:r>
        <w:t xml:space="preserve">Biometric risk</w:t>
      </w:r>
      <w:r>
        <w:t xml:space="preserve"> </w:t>
      </w:r>
      <w:r>
        <w:t xml:space="preserve">All liability risks related to the person’s living conditions, including</w:t>
      </w:r>
      <w:r>
        <w:t xml:space="preserve"> </w:t>
      </w:r>
      <w:r>
        <w:t xml:space="preserve">health, longevity, disability, death, etc.</w:t>
      </w:r>
      <w:r>
        <w:t xml:space="preserve"> </w:t>
      </w:r>
      <w:r>
        <w:t xml:space="preserve">CBDF</w:t>
      </w:r>
      <w:r>
        <w:br/>
      </w:r>
      <w:r>
        <w:t xml:space="preserve">Directive (EU) 2019/1160 and Regulation (EU) 2019/1156 on the</w:t>
      </w:r>
      <w:r>
        <w:t xml:space="preserve"> </w:t>
      </w:r>
      <w:r>
        <w:t xml:space="preserve">cross-border distribution of collective investment undertakings</w:t>
      </w:r>
      <w:r>
        <w:br/>
      </w:r>
      <w:r>
        <w:t xml:space="preserve">Client</w:t>
      </w:r>
      <w:r>
        <w:br/>
      </w:r>
      <w:r>
        <w:t xml:space="preserve">Any natural or legal person to whom an investment or insurance firm</w:t>
      </w:r>
      <w:r>
        <w:t xml:space="preserve"> </w:t>
      </w:r>
      <w:r>
        <w:t xml:space="preserve">provides investment or ancillary services. See ‘Retail client’.</w:t>
      </w:r>
      <w:r>
        <w:br/>
      </w:r>
      <w:r>
        <w:t xml:space="preserve">Closed architecture</w:t>
      </w:r>
      <w:r>
        <w:t xml:space="preserve"> </w:t>
      </w:r>
      <w:r>
        <w:t xml:space="preserve">Signifies that a financial institution confines its offering to retail</w:t>
      </w:r>
      <w:r>
        <w:t xml:space="preserve"> </w:t>
      </w:r>
      <w:r>
        <w:t xml:space="preserve">investors to in-house financial products (also called captive products).</w:t>
      </w:r>
      <w:r>
        <w:t xml:space="preserve"> </w:t>
      </w:r>
      <w:r>
        <w:t xml:space="preserve">See opposite, ‘open architecture.’</w:t>
      </w:r>
      <w:r>
        <w:t xml:space="preserve"> </w:t>
      </w:r>
      <w:r>
        <w:t xml:space="preserve">CMU</w:t>
      </w:r>
      <w:r>
        <w:br/>
      </w:r>
      <w:r>
        <w:t xml:space="preserve">Capital Markets Union</w:t>
      </w:r>
      <w:r>
        <w:br/>
      </w:r>
      <w:r>
        <w:t xml:space="preserve">Commission-based model</w:t>
      </w:r>
      <w:r>
        <w:br/>
      </w:r>
      <w:r>
        <w:t xml:space="preserve">Synonymous to ‘inducement-based model’. In the commission-based</w:t>
      </w:r>
      <w:r>
        <w:t xml:space="preserve"> </w:t>
      </w:r>
      <w:r>
        <w:t xml:space="preserve">model, distributors and brokers are paid through commissions by</w:t>
      </w:r>
      <w:r>
        <w:t xml:space="preserve"> </w:t>
      </w:r>
      <w:r>
        <w:t xml:space="preserve">product manufacturers or other services providers, which are</w:t>
      </w:r>
      <w:r>
        <w:t xml:space="preserve"> </w:t>
      </w:r>
      <w:r>
        <w:t xml:space="preserve">embedded in the price of the product through annual costs. See</w:t>
      </w:r>
      <w:r>
        <w:t xml:space="preserve"> </w:t>
      </w:r>
      <w:r>
        <w:t xml:space="preserve">‘inducements’.</w:t>
      </w:r>
      <w:r>
        <w:br/>
      </w:r>
      <w:r>
        <w:t xml:space="preserve">Distributor</w:t>
      </w:r>
      <w:r>
        <w:t xml:space="preserve"> </w:t>
      </w:r>
      <w:r>
        <w:t xml:space="preserve">Any investment firm that decides the range of financial instruments or</w:t>
      </w:r>
      <w:r>
        <w:t xml:space="preserve"> </w:t>
      </w:r>
      <w:r>
        <w:t xml:space="preserve">products it intends to offer or recommend to clients, whether they are issued</w:t>
      </w:r>
      <w:r>
        <w:t xml:space="preserve"> </w:t>
      </w:r>
      <w:r>
        <w:t xml:space="preserve">or manufactured by itself or other entities (subject or not to MIFID II)674.</w:t>
      </w:r>
      <w:r>
        <w:t xml:space="preserve"> </w:t>
      </w:r>
      <w:r>
        <w:t xml:space="preserve">DMFSD</w:t>
      </w:r>
      <w:r>
        <w:t xml:space="preserve"> </w:t>
      </w:r>
      <w:r>
        <w:t xml:space="preserve">Directive 2002/65/EC on Distance Marketing of Financial Services</w:t>
      </w:r>
      <w:r>
        <w:t xml:space="preserve"> </w:t>
      </w:r>
      <w:r>
        <w:t xml:space="preserve">EIOPA</w:t>
      </w:r>
      <w:r>
        <w:br/>
      </w:r>
      <w:r>
        <w:t xml:space="preserve">European Insurance and Occupational Pensions Authority</w:t>
      </w:r>
      <w:r>
        <w:br/>
      </w:r>
      <w:r>
        <w:t xml:space="preserve">ESAs</w:t>
      </w:r>
      <w:r>
        <w:br/>
      </w:r>
      <w:r>
        <w:t xml:space="preserve">European Supervisory Authorities</w:t>
      </w:r>
      <w:r>
        <w:br/>
      </w:r>
      <w:r>
        <w:t xml:space="preserve">ESMA</w:t>
      </w:r>
      <w:r>
        <w:br/>
      </w:r>
      <w:r>
        <w:t xml:space="preserve">European Securities and Markets Authority</w:t>
      </w:r>
      <w:r>
        <w:br/>
      </w:r>
      <w:r>
        <w:t xml:space="preserve">ETF</w:t>
      </w:r>
      <w:r>
        <w:t xml:space="preserve"> </w:t>
      </w:r>
      <w:r>
        <w:t xml:space="preserve">Exchange-Traded Funds</w:t>
      </w:r>
    </w:p>
    <w:p>
      <w:pPr>
        <w:pStyle w:val="BodyText"/>
      </w:pPr>
      <w:r>
        <w:t xml:space="preserve">674 For the term distributor in the context of insurance see term ‘Insurance distributor’.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Execution-only services</w:t>
      </w:r>
      <w:r>
        <w:br/>
      </w:r>
      <w:r>
        <w:t xml:space="preserve">When a client expressly instructs a financial intermediary to provide a</w:t>
      </w:r>
      <w:r>
        <w:t xml:space="preserve"> </w:t>
      </w:r>
      <w:r>
        <w:t xml:space="preserve">service (e.g. to execute a trading order) without being proposed or</w:t>
      </w:r>
      <w:r>
        <w:t xml:space="preserve"> </w:t>
      </w:r>
      <w:r>
        <w:t xml:space="preserve">advised beforehand by the intermediary.</w:t>
      </w:r>
      <w:r>
        <w:br/>
      </w:r>
      <w:r>
        <w:t xml:space="preserve">Fee-based model</w:t>
      </w:r>
      <w:r>
        <w:br/>
      </w:r>
      <w:r>
        <w:t xml:space="preserve">In a fee-based model, the distributor (advisor) is remunerated directly</w:t>
      </w:r>
      <w:r>
        <w:t xml:space="preserve"> </w:t>
      </w:r>
      <w:r>
        <w:t xml:space="preserve">by the client through a fee, generally upfront (see also ‘commission-</w:t>
      </w:r>
      <w:r>
        <w:t xml:space="preserve"> </w:t>
      </w:r>
      <w:r>
        <w:t xml:space="preserve">based model’, and ‘inducements’).</w:t>
      </w:r>
      <w:r>
        <w:br/>
      </w:r>
      <w:r>
        <w:t xml:space="preserve">Financial instrument</w:t>
      </w:r>
      <w:r>
        <w:br/>
      </w:r>
      <w:r>
        <w:t xml:space="preserve">Include a range of instruments that are typically tradeable among</w:t>
      </w:r>
      <w:r>
        <w:t xml:space="preserve"> </w:t>
      </w:r>
      <w:r>
        <w:t xml:space="preserve">market participants and with the purpose of yielding investment return,</w:t>
      </w:r>
      <w:r>
        <w:t xml:space="preserve"> </w:t>
      </w:r>
      <w:r>
        <w:t xml:space="preserve">including notably equity (shares), bonds, derivatives, funds (UCITs</w:t>
      </w:r>
      <w:r>
        <w:t xml:space="preserve"> </w:t>
      </w:r>
      <w:r>
        <w:t xml:space="preserve">and exchange traded funds (ETFs)).</w:t>
      </w:r>
      <w:r>
        <w:br/>
      </w:r>
      <w:r>
        <w:t xml:space="preserve">Legal definition: Article 4(1)(15) (MiFID II)</w:t>
      </w:r>
      <w:r>
        <w:br/>
      </w:r>
      <w:r>
        <w:t xml:space="preserve">Insurance</w:t>
      </w:r>
      <w:r>
        <w:t xml:space="preserve"> </w:t>
      </w:r>
      <w:r>
        <w:t xml:space="preserve">Based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 (IBIP)</w:t>
      </w:r>
      <w:r>
        <w:br/>
      </w:r>
      <w:r>
        <w:t xml:space="preserve">Is an investment product consisting of an insurance contract (wrapper)</w:t>
      </w:r>
      <w:r>
        <w:t xml:space="preserve"> </w:t>
      </w:r>
      <w:r>
        <w:t xml:space="preserve">that sets out certain parameters for expected investment performance</w:t>
      </w:r>
      <w:r>
        <w:t xml:space="preserve"> </w:t>
      </w:r>
      <w:r>
        <w:t xml:space="preserve">depending on the performance of the underlying financial assets</w:t>
      </w:r>
      <w:r>
        <w:t xml:space="preserve"> </w:t>
      </w:r>
      <w:r>
        <w:t xml:space="preserve">(typically UCITs) contained in the wrapper. The contract can (but does</w:t>
      </w:r>
      <w:r>
        <w:t xml:space="preserve"> </w:t>
      </w:r>
      <w:r>
        <w:t xml:space="preserve">not have to) cover biometric risk or provide various guarantees (e.g. </w:t>
      </w:r>
      <w:r>
        <w:t xml:space="preserve"> </w:t>
      </w:r>
      <w:r>
        <w:t xml:space="preserve">return of invested capital). IBIPs can be divided into unit linked, profit</w:t>
      </w:r>
      <w:r>
        <w:t xml:space="preserve"> </w:t>
      </w:r>
      <w:r>
        <w:t xml:space="preserve">participation and hybrid products. See also ‘Financial instrument’ and</w:t>
      </w:r>
      <w:r>
        <w:t xml:space="preserve"> </w:t>
      </w:r>
      <w:r>
        <w:t xml:space="preserve">‘Investment product’.</w:t>
      </w:r>
      <w:r>
        <w:t xml:space="preserve"> </w:t>
      </w:r>
      <w:r>
        <w:t xml:space="preserve">Legal definition: ‘[A]n insurance product which offers a maturity or</w:t>
      </w:r>
      <w:r>
        <w:t xml:space="preserve"> </w:t>
      </w:r>
      <w:r>
        <w:t xml:space="preserve">surrender value and where that maturity or surrender value is wholly</w:t>
      </w:r>
      <w:r>
        <w:t xml:space="preserve"> </w:t>
      </w:r>
      <w:r>
        <w:t xml:space="preserve">or partially exposed, directly or indirectly, to market fluctuations.’</w:t>
      </w:r>
      <w:r>
        <w:t xml:space="preserve"> </w:t>
      </w:r>
      <w:r>
        <w:t xml:space="preserve">(PRIIPs)</w:t>
      </w:r>
      <w:r>
        <w:br/>
      </w:r>
      <w:r>
        <w:t xml:space="preserve">IDD</w:t>
      </w:r>
      <w:r>
        <w:br/>
      </w:r>
      <w:r>
        <w:t xml:space="preserve">Directive 2016/97/EU on insurance distribution</w:t>
      </w:r>
      <w:r>
        <w:br/>
      </w:r>
      <w:r>
        <w:t xml:space="preserve">Independent advice</w:t>
      </w:r>
      <w:r>
        <w:br/>
      </w:r>
      <w:r>
        <w:t xml:space="preserve">Investment advice qualifies as independent when the advisor is paid</w:t>
      </w:r>
      <w:r>
        <w:t xml:space="preserve"> </w:t>
      </w:r>
      <w:r>
        <w:t xml:space="preserve">only by the client, or another person on behalf of the client. In other</w:t>
      </w:r>
      <w:r>
        <w:t xml:space="preserve"> </w:t>
      </w:r>
      <w:r>
        <w:t xml:space="preserve">words, when the advisor does not receive remunerations from third</w:t>
      </w:r>
      <w:r>
        <w:t xml:space="preserve"> </w:t>
      </w:r>
      <w:r>
        <w:t xml:space="preserve">parties for the service provided to the client.</w:t>
      </w:r>
      <w:r>
        <w:br/>
      </w:r>
      <w:r>
        <w:t xml:space="preserve">Inducements</w:t>
      </w:r>
      <w:r>
        <w:br/>
      </w:r>
      <w:r>
        <w:t xml:space="preserve">Commissions (monetary or non-monetary, with the exception of minor</w:t>
      </w:r>
      <w:r>
        <w:t xml:space="preserve"> </w:t>
      </w:r>
      <w:r>
        <w:t xml:space="preserve">non-monetary benefits) paid by third parties, not on behalf of the</w:t>
      </w:r>
      <w:r>
        <w:t xml:space="preserve"> </w:t>
      </w:r>
      <w:r>
        <w:t xml:space="preserve">client, to the intermediary for providing a certain service to the client</w:t>
      </w:r>
      <w:r>
        <w:t xml:space="preserve"> </w:t>
      </w:r>
      <w:r>
        <w:t xml:space="preserve">(e.g. recommending a certain product). See also ‘commission-based</w:t>
      </w:r>
      <w:r>
        <w:t xml:space="preserve"> </w:t>
      </w:r>
      <w:r>
        <w:t xml:space="preserve">model’</w:t>
      </w:r>
      <w:r>
        <w:t xml:space="preserve"> </w:t>
      </w:r>
      <w:r>
        <w:t xml:space="preserve">Insurance distribution</w:t>
      </w:r>
      <w:r>
        <w:br/>
      </w:r>
      <w:r>
        <w:t xml:space="preserve">The activity of distribution of insurance products and, in particular for</w:t>
      </w:r>
      <w:r>
        <w:t xml:space="preserve"> </w:t>
      </w:r>
      <w:r>
        <w:t xml:space="preserve">the purposes of this impact assessment, insurance-based investment</w:t>
      </w:r>
      <w:r>
        <w:t xml:space="preserve"> </w:t>
      </w:r>
      <w:r>
        <w:t xml:space="preserve">products (IBIPs).</w:t>
      </w:r>
      <w:r>
        <w:br/>
      </w:r>
      <w:r>
        <w:t xml:space="preserve">Legal definition: ‘The activities of advising on, proposing, or carrying</w:t>
      </w:r>
      <w:r>
        <w:t xml:space="preserve"> </w:t>
      </w:r>
      <w:r>
        <w:t xml:space="preserve">out other work preparatory to the conclusion of contracts of insurance,</w:t>
      </w:r>
      <w:r>
        <w:t xml:space="preserve"> </w:t>
      </w:r>
      <w:r>
        <w:t xml:space="preserve">of concluding such contracts, or of assisting in the administration and</w:t>
      </w:r>
      <w:r>
        <w:t xml:space="preserve"> </w:t>
      </w:r>
      <w:r>
        <w:t xml:space="preserve">performance of such contracts, in particular in the event of a claim,</w:t>
      </w:r>
      <w:r>
        <w:t xml:space="preserve"> </w:t>
      </w:r>
      <w:r>
        <w:t xml:space="preserve">including the provision of information concerning one or more</w:t>
      </w:r>
      <w:r>
        <w:t xml:space="preserve"> </w:t>
      </w:r>
      <w:r>
        <w:t xml:space="preserve">insurance contracts in accordance with criteria selected by customers</w:t>
      </w:r>
      <w:r>
        <w:t xml:space="preserve"> </w:t>
      </w:r>
      <w:r>
        <w:t xml:space="preserve">through a website or other media and the compilation of an insurance</w:t>
      </w:r>
      <w:r>
        <w:t xml:space="preserve"> </w:t>
      </w:r>
      <w:r>
        <w:t xml:space="preserve">product ranking list, including price and product comparison, or a</w:t>
      </w:r>
      <w:r>
        <w:t xml:space="preserve"> </w:t>
      </w:r>
      <w:r>
        <w:t xml:space="preserve">discount on the price of an insurance contract, when the customer is</w:t>
      </w:r>
      <w:r>
        <w:t xml:space="preserve"> </w:t>
      </w:r>
      <w:r>
        <w:t xml:space="preserve">able to directly or indirectly conclude an insurance contract using a</w:t>
      </w:r>
      <w:r>
        <w:t xml:space="preserve"> </w:t>
      </w:r>
      <w:r>
        <w:t xml:space="preserve">website or other media.’ (IDD)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Insurance</w:t>
      </w:r>
      <w:r>
        <w:t xml:space="preserve"> </w:t>
      </w:r>
      <w:r>
        <w:t xml:space="preserve">intermediary/distributor</w:t>
      </w:r>
      <w:r>
        <w:t xml:space="preserve"> </w:t>
      </w:r>
      <w:r>
        <w:t xml:space="preserve">Any person or firm that distributes insurance products and for the</w:t>
      </w:r>
      <w:r>
        <w:t xml:space="preserve"> </w:t>
      </w:r>
      <w:r>
        <w:t xml:space="preserve">purposes of this impact assessment in particular IBIPs.</w:t>
      </w:r>
      <w:r>
        <w:br/>
      </w:r>
      <w:r>
        <w:t xml:space="preserve">Legal definition: ‘Any natural or legal person, other than an insurance</w:t>
      </w:r>
      <w:r>
        <w:t xml:space="preserve"> </w:t>
      </w:r>
      <w:r>
        <w:t xml:space="preserve">or reinsurance undertaking or their employees and other than an</w:t>
      </w:r>
      <w:r>
        <w:t xml:space="preserve"> </w:t>
      </w:r>
      <w:r>
        <w:t xml:space="preserve">ancillary insurance intermediary, who, for remuneration, takes up or</w:t>
      </w:r>
      <w:r>
        <w:t xml:space="preserve"> </w:t>
      </w:r>
      <w:r>
        <w:t xml:space="preserve">pursues the activity of insurance distribution.’ (IDD)</w:t>
      </w:r>
      <w:r>
        <w:t xml:space="preserve"> </w:t>
      </w:r>
      <w:r>
        <w:t xml:space="preserve">Insurance undertaking</w:t>
      </w:r>
      <w:r>
        <w:br/>
      </w:r>
      <w:r>
        <w:t xml:space="preserve">Insurance companies that underwrite and cover risks in return for a</w:t>
      </w:r>
      <w:r>
        <w:t xml:space="preserve"> </w:t>
      </w:r>
      <w:r>
        <w:t xml:space="preserve">premium (a fee paid by the client). Insurance can be divided into life</w:t>
      </w:r>
      <w:r>
        <w:t xml:space="preserve"> </w:t>
      </w:r>
      <w:r>
        <w:t xml:space="preserve">insurance (including IBIPs) and non-life insurance.</w:t>
      </w:r>
      <w:r>
        <w:br/>
      </w:r>
      <w:r>
        <w:t xml:space="preserve">Legal definition: ‘[A] direct life or non-life insurance undertaking</w:t>
      </w:r>
      <w:r>
        <w:t xml:space="preserve"> </w:t>
      </w:r>
      <w:r>
        <w:t xml:space="preserve">which has received authorisation in accordance with Article 14</w:t>
      </w:r>
      <w:r>
        <w:t xml:space="preserve"> </w:t>
      </w:r>
      <w:r>
        <w:t xml:space="preserve">[Solvency II].’ (Solvency II / IDD)</w:t>
      </w:r>
      <w:r>
        <w:br/>
      </w:r>
      <w:r>
        <w:t xml:space="preserve">Investment product</w:t>
      </w:r>
      <w:r>
        <w:t xml:space="preserve"> </w:t>
      </w:r>
      <w:r>
        <w:t xml:space="preserve">For the purposes of this impact assessment, all products offered to</w:t>
      </w:r>
      <w:r>
        <w:t xml:space="preserve"> </w:t>
      </w:r>
      <w:r>
        <w:t xml:space="preserve">retail investors with the purpose of achieving fully or primarily an</w:t>
      </w:r>
      <w:r>
        <w:t xml:space="preserve"> </w:t>
      </w:r>
      <w:r>
        <w:t xml:space="preserve">investment return, whether financial instruments or investment-based</w:t>
      </w:r>
      <w:r>
        <w:t xml:space="preserve"> </w:t>
      </w:r>
      <w:r>
        <w:t xml:space="preserve">insurance products (IBIPs).</w:t>
      </w:r>
      <w:r>
        <w:br/>
      </w:r>
      <w:r>
        <w:t xml:space="preserve">Investment advice</w:t>
      </w:r>
      <w:r>
        <w:br/>
      </w:r>
      <w:r>
        <w:t xml:space="preserve">For the purpose of this impact assessment, the provision of personal</w:t>
      </w:r>
      <w:r>
        <w:t xml:space="preserve"> </w:t>
      </w:r>
      <w:r>
        <w:t xml:space="preserve">recommendations to a retail client, either upon its request or at the</w:t>
      </w:r>
      <w:r>
        <w:t xml:space="preserve"> </w:t>
      </w:r>
      <w:r>
        <w:t xml:space="preserve">initiative of the financial provider, in respect investment products.</w:t>
      </w:r>
      <w:r>
        <w:br/>
      </w:r>
      <w:r>
        <w:t xml:space="preserve">Legal definition: ‘[T]he provision of personal recommendations to a</w:t>
      </w:r>
      <w:r>
        <w:t xml:space="preserve"> </w:t>
      </w:r>
      <w:r>
        <w:t xml:space="preserve">client, either upon its request or at the initiative of the investment firm,</w:t>
      </w:r>
      <w:r>
        <w:t xml:space="preserve"> </w:t>
      </w:r>
      <w:r>
        <w:t xml:space="preserve">in respect of one or more transactions relating to financial instruments’</w:t>
      </w:r>
      <w:r>
        <w:t xml:space="preserve"> </w:t>
      </w:r>
      <w:r>
        <w:t xml:space="preserve">(MiFID II)</w:t>
      </w:r>
      <w:r>
        <w:t xml:space="preserve"> </w:t>
      </w:r>
      <w:r>
        <w:t xml:space="preserve">Investment firm</w:t>
      </w:r>
      <w:r>
        <w:br/>
      </w:r>
      <w:r>
        <w:t xml:space="preserve">Firms that provide investment services to investors. Banks operate as</w:t>
      </w:r>
      <w:r>
        <w:t xml:space="preserve"> </w:t>
      </w:r>
      <w:r>
        <w:t xml:space="preserve">such when providing such services.</w:t>
      </w:r>
      <w:r>
        <w:br/>
      </w:r>
      <w:r>
        <w:t xml:space="preserve">Legal definition: ‘[A]ny legal person whose regular occupation or</w:t>
      </w:r>
      <w:r>
        <w:t xml:space="preserve"> </w:t>
      </w:r>
      <w:r>
        <w:t xml:space="preserve">business is the provision of one or more investment services to third</w:t>
      </w:r>
      <w:r>
        <w:t xml:space="preserve"> </w:t>
      </w:r>
      <w:r>
        <w:t xml:space="preserve">parties and/or the performance of one or more investment activities on</w:t>
      </w:r>
      <w:r>
        <w:t xml:space="preserve"> </w:t>
      </w:r>
      <w:r>
        <w:t xml:space="preserve">a professional basis.’ (MiFID II)</w:t>
      </w:r>
      <w:r>
        <w:br/>
      </w:r>
      <w:r>
        <w:t xml:space="preserve">Investment service/activity/</w:t>
      </w:r>
      <w:r>
        <w:br/>
      </w:r>
      <w:r>
        <w:t xml:space="preserve">For the purposes of this impact assessment, the main investment and</w:t>
      </w:r>
      <w:r>
        <w:t xml:space="preserve"> </w:t>
      </w:r>
      <w:r>
        <w:t xml:space="preserve">ancillary services that are referred to are portfolio management,</w:t>
      </w:r>
      <w:r>
        <w:t xml:space="preserve"> </w:t>
      </w:r>
      <w:r>
        <w:t xml:space="preserve">advice, and execution of orders– only.</w:t>
      </w:r>
      <w:r>
        <w:br/>
      </w:r>
      <w:r>
        <w:t xml:space="preserve">Legal definition: ‘[Any of] (1) Reception and transmission of orders</w:t>
      </w:r>
      <w:r>
        <w:t xml:space="preserve"> </w:t>
      </w:r>
      <w:r>
        <w:t xml:space="preserve">in relation to one or more financial instruments; (2) Execution of</w:t>
      </w:r>
      <w:r>
        <w:t xml:space="preserve"> </w:t>
      </w:r>
      <w:r>
        <w:t xml:space="preserve">orders on behalf of clients; (3) Dealing on own account; (4) Portfolio</w:t>
      </w:r>
      <w:r>
        <w:t xml:space="preserve"> </w:t>
      </w:r>
      <w:r>
        <w:t xml:space="preserve">management; (5) Investment advice; (6) Underwriting of financial</w:t>
      </w:r>
      <w:r>
        <w:t xml:space="preserve"> </w:t>
      </w:r>
      <w:r>
        <w:t xml:space="preserve">instruments and/or placing of financial instruments on a firm</w:t>
      </w:r>
      <w:r>
        <w:t xml:space="preserve"> </w:t>
      </w:r>
      <w:r>
        <w:t xml:space="preserve">commitment basis; (7) Placing of financial instruments without a firm</w:t>
      </w:r>
      <w:r>
        <w:t xml:space="preserve"> </w:t>
      </w:r>
      <w:r>
        <w:t xml:space="preserve">commitment basis; (8) Operation of an MTF; (9) Operation of an</w:t>
      </w:r>
      <w:r>
        <w:t xml:space="preserve"> </w:t>
      </w:r>
      <w:r>
        <w:t xml:space="preserve">OTF.’ (MiFID II)</w:t>
      </w:r>
      <w:r>
        <w:t xml:space="preserve"> </w:t>
      </w:r>
      <w:r>
        <w:t xml:space="preserve">Life insurance</w:t>
      </w:r>
      <w:r>
        <w:br/>
      </w:r>
      <w:r>
        <w:t xml:space="preserve">An insurance contract where the benefit is paid out to the beneficiaries</w:t>
      </w:r>
      <w:r>
        <w:t xml:space="preserve"> </w:t>
      </w:r>
      <w:r>
        <w:t xml:space="preserve">when the insured person dies or in respect of incapacity due to injury,</w:t>
      </w:r>
      <w:r>
        <w:t xml:space="preserve"> </w:t>
      </w:r>
      <w:r>
        <w:t xml:space="preserve">sickness or disability</w:t>
      </w:r>
      <w:r>
        <w:t xml:space="preserve"> </w:t>
      </w:r>
      <w:r>
        <w:t xml:space="preserve">Manufacturer</w:t>
      </w:r>
      <w:r>
        <w:t xml:space="preserve"> </w:t>
      </w:r>
      <w:r>
        <w:t xml:space="preserve">An insurance undertaking, or intermediary which manufacture any</w:t>
      </w:r>
      <w:r>
        <w:t xml:space="preserve"> </w:t>
      </w:r>
      <w:r>
        <w:t xml:space="preserve">insurance product for sale to customers.</w:t>
      </w:r>
      <w:r>
        <w:t xml:space="preserve"> </w:t>
      </w:r>
      <w:r>
        <w:t xml:space="preserve">An investment firm which manufactures (i.e. creates, develops, issues</w:t>
      </w:r>
      <w:r>
        <w:t xml:space="preserve"> </w:t>
      </w:r>
      <w:r>
        <w:t xml:space="preserve">and/or designs) financial instruments for sale to clients.</w:t>
      </w:r>
      <w:r>
        <w:t xml:space="preserve"> </w:t>
      </w:r>
      <w:r>
        <w:t xml:space="preserve">Or any entity that manufactures PRIIPs or makes changes to them.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MiFID</w:t>
      </w:r>
      <w:r>
        <w:br/>
      </w:r>
      <w:r>
        <w:t xml:space="preserve">Directive 2014/65/EU on markets in financial instruments</w:t>
      </w:r>
      <w:r>
        <w:br/>
      </w:r>
      <w:r>
        <w:t xml:space="preserve">NCAs</w:t>
      </w:r>
      <w:r>
        <w:br/>
      </w:r>
      <w:r>
        <w:t xml:space="preserve">National Competent Authorities</w:t>
      </w:r>
      <w:r>
        <w:br/>
      </w:r>
      <w:r>
        <w:t xml:space="preserve">Open architecture</w:t>
      </w:r>
      <w:r>
        <w:t xml:space="preserve"> </w:t>
      </w:r>
      <w:r>
        <w:t xml:space="preserve">A financial institution’s ability to offer clients both proprietary (or</w:t>
      </w:r>
      <w:r>
        <w:t xml:space="preserve"> </w:t>
      </w:r>
      <w:r>
        <w:t xml:space="preserve">captive) and external products and services (see opposite, ‘closed</w:t>
      </w:r>
      <w:r>
        <w:t xml:space="preserve"> </w:t>
      </w:r>
      <w:r>
        <w:t xml:space="preserve">architecture’)</w:t>
      </w:r>
      <w:r>
        <w:t xml:space="preserve"> </w:t>
      </w:r>
      <w:r>
        <w:t xml:space="preserve">Payment for order flow (PFOF)</w:t>
      </w:r>
      <w:r>
        <w:t xml:space="preserve"> </w:t>
      </w:r>
      <w:r>
        <w:t xml:space="preserve">Remunerations (inducements) paid by operators of order execution</w:t>
      </w:r>
      <w:r>
        <w:t xml:space="preserve"> </w:t>
      </w:r>
      <w:r>
        <w:t xml:space="preserve">venues (e.g. market makers) to a broker for directing transaction orders</w:t>
      </w:r>
      <w:r>
        <w:t xml:space="preserve"> </w:t>
      </w:r>
      <w:r>
        <w:t xml:space="preserve">to the execution values.</w:t>
      </w:r>
      <w:r>
        <w:t xml:space="preserve"> </w:t>
      </w:r>
      <w:r>
        <w:t xml:space="preserve">PEPP KID</w:t>
      </w:r>
      <w:r>
        <w:br/>
      </w:r>
      <w:r>
        <w:t xml:space="preserve">PEPP Key information document</w:t>
      </w:r>
      <w:r>
        <w:br/>
      </w:r>
      <w:r>
        <w:t xml:space="preserve">PEPP</w:t>
      </w:r>
      <w:r>
        <w:br/>
      </w:r>
      <w:r>
        <w:t xml:space="preserve">Regulation (EU) 2019/1238 on a pan-European Personal Pension</w:t>
      </w:r>
      <w:r>
        <w:t xml:space="preserve"> </w:t>
      </w:r>
      <w:r>
        <w:t xml:space="preserve">Product</w:t>
      </w:r>
      <w:r>
        <w:br/>
      </w:r>
      <w:r>
        <w:t xml:space="preserve">Portfolio management</w:t>
      </w:r>
      <w:r>
        <w:br/>
      </w:r>
      <w:r>
        <w:t xml:space="preserve">Often also referred to as ‘private banking’ where the financial</w:t>
      </w:r>
      <w:r>
        <w:t xml:space="preserve"> </w:t>
      </w:r>
      <w:r>
        <w:t xml:space="preserve">intermediary manages the investment portfolio on behalf of the client</w:t>
      </w:r>
      <w:r>
        <w:t xml:space="preserve"> </w:t>
      </w:r>
      <w:r>
        <w:t xml:space="preserve">on the basis of a general mandate setting out the investment objectives</w:t>
      </w:r>
      <w:r>
        <w:t xml:space="preserve"> </w:t>
      </w:r>
      <w:r>
        <w:t xml:space="preserve">and other parameters.</w:t>
      </w:r>
      <w:r>
        <w:br/>
      </w:r>
      <w:r>
        <w:t xml:space="preserve">Legal definition: ‘[M]anaging portfolios in accordance with mandates</w:t>
      </w:r>
      <w:r>
        <w:t xml:space="preserve"> </w:t>
      </w:r>
      <w:r>
        <w:t xml:space="preserve">given by clients on a discretionary client-by-client basis where such</w:t>
      </w:r>
      <w:r>
        <w:t xml:space="preserve"> </w:t>
      </w:r>
      <w:r>
        <w:t xml:space="preserve">portfolios include one or more financial instrument.’ (MiFID II)</w:t>
      </w:r>
      <w:r>
        <w:br/>
      </w:r>
      <w:r>
        <w:t xml:space="preserve">PRIIPs KID</w:t>
      </w:r>
      <w:r>
        <w:br/>
      </w:r>
      <w:r>
        <w:t xml:space="preserve">PRIIPs Key information document</w:t>
      </w:r>
      <w:r>
        <w:br/>
      </w:r>
      <w:r>
        <w:t xml:space="preserve">PRIIPs</w:t>
      </w:r>
      <w:r>
        <w:br/>
      </w:r>
      <w:r>
        <w:t xml:space="preserve">Regulation (EU) No 1286/2014 on key information documents for</w:t>
      </w:r>
      <w:r>
        <w:t xml:space="preserve"> </w:t>
      </w:r>
      <w:r>
        <w:t xml:space="preserve">packaged retail and insurance-based investment products</w:t>
      </w:r>
      <w:r>
        <w:br/>
      </w:r>
      <w:r>
        <w:t xml:space="preserve">Professional client</w:t>
      </w:r>
      <w:r>
        <w:br/>
      </w:r>
      <w:r>
        <w:t xml:space="preserve">Refers to clients that invest in a professional capacity such as</w:t>
      </w:r>
      <w:r>
        <w:t xml:space="preserve"> </w:t>
      </w:r>
      <w:r>
        <w:t xml:space="preserve">institutional investors, something legally defined by reference to the</w:t>
      </w:r>
      <w:r>
        <w:t xml:space="preserve"> </w:t>
      </w:r>
      <w:r>
        <w:t xml:space="preserve">type, scope and purpose of the investment activity.</w:t>
      </w:r>
      <w:r>
        <w:br/>
      </w:r>
      <w:r>
        <w:t xml:space="preserve">Legal definition: Article 4(1)(10) (MiFID II)</w:t>
      </w:r>
      <w:r>
        <w:t xml:space="preserve"> </w:t>
      </w:r>
      <w:r>
        <w:t xml:space="preserve">Robo-advice/or</w:t>
      </w:r>
      <w:r>
        <w:t xml:space="preserve"> </w:t>
      </w:r>
      <w:r>
        <w:t xml:space="preserve">Robo-advisors, at times also referred to as (semi) automated portfolio</w:t>
      </w:r>
      <w:r>
        <w:t xml:space="preserve"> </w:t>
      </w:r>
      <w:r>
        <w:t xml:space="preserve">management, are digital platforms that provide automated, algorithm-</w:t>
      </w:r>
      <w:r>
        <w:t xml:space="preserve"> </w:t>
      </w:r>
      <w:r>
        <w:t xml:space="preserve">driven financial planning services with little to no human supervision.</w:t>
      </w:r>
      <w:r>
        <w:t xml:space="preserve"> </w:t>
      </w:r>
      <w:r>
        <w:t xml:space="preserve">A typical robo-advisor asks questions about your financial situation</w:t>
      </w:r>
      <w:r>
        <w:t xml:space="preserve"> </w:t>
      </w:r>
      <w:r>
        <w:t xml:space="preserve">and future goals through an online survey; it then uses the data to offer</w:t>
      </w:r>
      <w:r>
        <w:t xml:space="preserve"> </w:t>
      </w:r>
      <w:r>
        <w:t xml:space="preserve">advice or portfolio management and automatically invest for you.</w:t>
      </w:r>
      <w:r>
        <w:t xml:space="preserve"> </w:t>
      </w:r>
      <w:r>
        <w:t xml:space="preserve">Legally such services fall in the same authorisation and supervision as</w:t>
      </w:r>
      <w:r>
        <w:t xml:space="preserve"> </w:t>
      </w:r>
      <w:r>
        <w:t xml:space="preserve">traditional physical advice or portfolio management.</w:t>
      </w:r>
      <w:r>
        <w:br/>
      </w:r>
      <w:r>
        <w:t xml:space="preserve">Remuneration</w:t>
      </w:r>
      <w:r>
        <w:br/>
      </w:r>
      <w:r>
        <w:t xml:space="preserve">Any commission, fee, charge or other payment, including an economic</w:t>
      </w:r>
      <w:r>
        <w:t xml:space="preserve"> </w:t>
      </w:r>
      <w:r>
        <w:t xml:space="preserve">benefit of any kind or any other financial or non-financial advantage</w:t>
      </w:r>
      <w:r>
        <w:t xml:space="preserve"> </w:t>
      </w:r>
      <w:r>
        <w:t xml:space="preserve">or incentive offered or given in respect of insurance distribution</w:t>
      </w:r>
      <w:r>
        <w:t xml:space="preserve"> </w:t>
      </w:r>
      <w:r>
        <w:t xml:space="preserve">activities</w:t>
      </w:r>
      <w:r>
        <w:br/>
      </w:r>
      <w:r>
        <w:t xml:space="preserve">Retail client</w:t>
      </w:r>
      <w:r>
        <w:br/>
      </w:r>
      <w:r>
        <w:t xml:space="preserve">Refers to all investors who do not invest in a professional capacity.</w:t>
      </w:r>
      <w:r>
        <w:br/>
      </w:r>
      <w:r>
        <w:t xml:space="preserve">Legal definition: ‘[A] client who is not a professional client.’ (MiFID</w:t>
      </w:r>
      <w:r>
        <w:t xml:space="preserve"> </w:t>
      </w:r>
      <w:r>
        <w:t xml:space="preserve">II)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Self-directed investment</w:t>
      </w:r>
      <w:r>
        <w:t xml:space="preserve"> </w:t>
      </w:r>
      <w:r>
        <w:t xml:space="preserve">Self-directed or do-it-yourself investing is where individual retail</w:t>
      </w:r>
      <w:r>
        <w:t xml:space="preserve"> </w:t>
      </w:r>
      <w:r>
        <w:t xml:space="preserve">investors build and manage their own investment and only use</w:t>
      </w:r>
      <w:r>
        <w:t xml:space="preserve"> </w:t>
      </w:r>
      <w:r>
        <w:t xml:space="preserve">intermediaries for the execution of transactions (contrary to</w:t>
      </w:r>
      <w:r>
        <w:t xml:space="preserve"> </w:t>
      </w:r>
      <w:r>
        <w:t xml:space="preserve">investments built and managed on the basis of advice or portfolio</w:t>
      </w:r>
      <w:r>
        <w:t xml:space="preserve"> </w:t>
      </w:r>
      <w:r>
        <w:t xml:space="preserve">management).</w:t>
      </w:r>
      <w:r>
        <w:br/>
      </w:r>
      <w:r>
        <w:t xml:space="preserve">Solvency II</w:t>
      </w:r>
      <w:r>
        <w:br/>
      </w:r>
      <w:r>
        <w:t xml:space="preserve">Directive 2009/138/EC on the taking-up and pursuit of the business of</w:t>
      </w:r>
      <w:r>
        <w:t xml:space="preserve"> </w:t>
      </w:r>
      <w:r>
        <w:t xml:space="preserve">Insurance and Reinsurance</w:t>
      </w:r>
      <w:r>
        <w:br/>
      </w:r>
      <w:r>
        <w:t xml:space="preserve">SRPs/structured products</w:t>
      </w:r>
      <w:r>
        <w:t xml:space="preserve"> </w:t>
      </w:r>
      <w:r>
        <w:t xml:space="preserve">Structured products are investments whose return is linked to the</w:t>
      </w:r>
      <w:r>
        <w:t xml:space="preserve"> </w:t>
      </w:r>
      <w:r>
        <w:t xml:space="preserve">performance of one or more reference indices, prices or rates</w:t>
      </w:r>
      <w:r>
        <w:t xml:space="preserve"> </w:t>
      </w:r>
      <w:r>
        <w:t xml:space="preserve">(reference values). Such reference values may include stock indices,</w:t>
      </w:r>
      <w:r>
        <w:t xml:space="preserve"> </w:t>
      </w:r>
      <w:r>
        <w:t xml:space="preserve">the prices of individual equities or other assets, and interest rates. The</w:t>
      </w:r>
      <w:r>
        <w:t xml:space="preserve"> </w:t>
      </w:r>
      <w:r>
        <w:t xml:space="preserve">return of a structured product is determined by a prespecified formula,</w:t>
      </w:r>
      <w:r>
        <w:t xml:space="preserve"> </w:t>
      </w:r>
      <w:r>
        <w:t xml:space="preserve">which sets out how the product performs in different scenarios defined</w:t>
      </w:r>
      <w:r>
        <w:t xml:space="preserve"> </w:t>
      </w:r>
      <w:r>
        <w:t xml:space="preserve">with respect to the reference value(s).</w:t>
      </w:r>
      <w:r>
        <w:t xml:space="preserve"> </w:t>
      </w:r>
      <w:r>
        <w:t xml:space="preserve">Trailing inducements</w:t>
      </w:r>
      <w:r>
        <w:br/>
      </w:r>
      <w:r>
        <w:t xml:space="preserve">These are remunerations (commissions, kickbacks, rebates, etc.) paid</w:t>
      </w:r>
      <w:r>
        <w:t xml:space="preserve"> </w:t>
      </w:r>
      <w:r>
        <w:t xml:space="preserve">continuously and as long as the retail client holds the security or</w:t>
      </w:r>
      <w:r>
        <w:t xml:space="preserve"> </w:t>
      </w:r>
      <w:r>
        <w:t xml:space="preserve">investment.</w:t>
      </w:r>
      <w:r>
        <w:br/>
      </w:r>
      <w:r>
        <w:t xml:space="preserve">UCITS</w:t>
      </w:r>
      <w:r>
        <w:br/>
      </w:r>
      <w:r>
        <w:t xml:space="preserve">Directive 2009/65/EC on the coordination of laws, regulations and</w:t>
      </w:r>
      <w:r>
        <w:t xml:space="preserve"> </w:t>
      </w:r>
      <w:r>
        <w:t xml:space="preserve">administrative provisions relating to undertakings for collective</w:t>
      </w:r>
      <w:r>
        <w:t xml:space="preserve"> </w:t>
      </w:r>
      <w:r>
        <w:t xml:space="preserve">investment in transferable securities (UCITS)</w:t>
      </w:r>
      <w:r>
        <w:br/>
      </w:r>
      <w:r>
        <w:t xml:space="preserve">UCITS funds</w:t>
      </w:r>
      <w:r>
        <w:t xml:space="preserve"> </w:t>
      </w:r>
      <w:r>
        <w:t xml:space="preserve">Units in funds regulated by UCITS Directive</w:t>
      </w:r>
      <w:r>
        <w:t xml:space="preserve"> </w:t>
      </w:r>
      <w:r>
        <w:t xml:space="preserve">VfM</w:t>
      </w:r>
      <w:r>
        <w:t xml:space="preserve"> </w:t>
      </w:r>
      <w:r>
        <w:t xml:space="preserve">Value for Money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ANNEX 14: VALUE FOR MONEY - BENEFITS AND COSTS</w:t>
      </w:r>
      <w:r>
        <w:br/>
      </w:r>
      <w:r>
        <w:t xml:space="preserve">The policy measure labelled “Value for Money” envisages the introduction of a cost and performance</w:t>
      </w:r>
      <w:r>
        <w:t xml:space="preserve"> </w:t>
      </w:r>
      <w:r>
        <w:t xml:space="preserve">benchmark to help determine that the offer of financial instruments for investment or insurance-based</w:t>
      </w:r>
      <w:r>
        <w:t xml:space="preserve"> </w:t>
      </w:r>
      <w:r>
        <w:t xml:space="preserve">investment products provides value to the market. An obligation to assess value for money of financial</w:t>
      </w:r>
      <w:r>
        <w:t xml:space="preserve"> </w:t>
      </w:r>
      <w:r>
        <w:t xml:space="preserve">instruments against specific criteria and benchmarks would force inferior providers to adjust, either by</w:t>
      </w:r>
      <w:r>
        <w:t xml:space="preserve"> </w:t>
      </w:r>
      <w:r>
        <w:t xml:space="preserve">reducing costs, offering higher returns or exiting the market. This would lift average returns that retail</w:t>
      </w:r>
      <w:r>
        <w:t xml:space="preserve"> </w:t>
      </w:r>
      <w:r>
        <w:t xml:space="preserve">investors can earn and reduce their likelihood of encountering frustrating investment experiences.</w:t>
      </w:r>
      <w:r>
        <w:br/>
      </w:r>
      <w:r>
        <w:t xml:space="preserve">To complement the assessment of impacts of this measure, this annex aims to undertake a quantitative</w:t>
      </w:r>
      <w:r>
        <w:t xml:space="preserve"> </w:t>
      </w:r>
      <w:r>
        <w:t xml:space="preserve">assessment of the benefits and costs of the measures. This assessment can provide only a first</w:t>
      </w:r>
      <w:r>
        <w:t xml:space="preserve"> </w:t>
      </w:r>
      <w:r>
        <w:t xml:space="preserve">orientation, since both benefits and costs will ultimately depend on a number of factors, including how</w:t>
      </w:r>
      <w:r>
        <w:t xml:space="preserve"> </w:t>
      </w:r>
      <w:r>
        <w:t xml:space="preserve">granular benchmarks will be (which supervisors will determine in a further step that includes further</w:t>
      </w:r>
      <w:r>
        <w:t xml:space="preserve"> </w:t>
      </w:r>
      <w:r>
        <w:t xml:space="preserve">analysis and consultation with stakeholders) and the extent to which the rules will be adhered to and</w:t>
      </w:r>
      <w:r>
        <w:t xml:space="preserve"> </w:t>
      </w:r>
      <w:r>
        <w:t xml:space="preserve">enforced. There are also certain limitations with respect to the availability of quantitative data, in</w:t>
      </w:r>
      <w:r>
        <w:t xml:space="preserve"> </w:t>
      </w:r>
      <w:r>
        <w:t xml:space="preserve">particular the lack of information on the dispersion of costs across the numerous providers active on</w:t>
      </w:r>
      <w:r>
        <w:t xml:space="preserve"> </w:t>
      </w:r>
      <w:r>
        <w:t xml:space="preserve">EU retail investment markets and the centralisation of data reporting to supervisors within financial</w:t>
      </w:r>
      <w:r>
        <w:t xml:space="preserve"> </w:t>
      </w:r>
      <w:r>
        <w:t xml:space="preserve">firms (i.e. firms are likely to decide on how to organise internally their data compilation and reporting</w:t>
      </w:r>
      <w:r>
        <w:t xml:space="preserve"> </w:t>
      </w:r>
      <w:r>
        <w:t xml:space="preserve">depending on how granular the requirements are, with impacts on their compliance costs).</w:t>
      </w:r>
      <w:r>
        <w:br/>
      </w:r>
      <w:r>
        <w:t xml:space="preserve">1. Estimating the benefits</w:t>
      </w:r>
      <w:r>
        <w:t xml:space="preserve"> </w:t>
      </w:r>
      <w:r>
        <w:t xml:space="preserve">To measure the benefits, it is assumed that the net returns on investments in funds and insurance</w:t>
      </w:r>
      <w:r>
        <w:t xml:space="preserve"> </w:t>
      </w:r>
      <w:r>
        <w:t xml:space="preserve">products that underperformed will improve and converge closer to the EU average. An alternative</w:t>
      </w:r>
      <w:r>
        <w:t xml:space="preserve"> </w:t>
      </w:r>
      <w:r>
        <w:t xml:space="preserve">assumption would be that they converge to the best performers, which would however introduce a risk</w:t>
      </w:r>
      <w:r>
        <w:t xml:space="preserve"> </w:t>
      </w:r>
      <w:r>
        <w:t xml:space="preserve">that the implied target level depends on outliers and specifically favourable framework conditions that</w:t>
      </w:r>
      <w:r>
        <w:t xml:space="preserve"> </w:t>
      </w:r>
      <w:r>
        <w:t xml:space="preserve">cannot be replicated in other Member States or markets. Since there is no basis to determine how fast</w:t>
      </w:r>
      <w:r>
        <w:t xml:space="preserve"> </w:t>
      </w:r>
      <w:r>
        <w:t xml:space="preserve">any such convergence could occur, the calculations below focus on the benefits that accrue once</w:t>
      </w:r>
      <w:r>
        <w:t xml:space="preserve"> </w:t>
      </w:r>
      <w:r>
        <w:t xml:space="preserve">convergence has been achieved. Since full convergence of returns of financial products towards the EU</w:t>
      </w:r>
      <w:r>
        <w:t xml:space="preserve"> </w:t>
      </w:r>
      <w:r>
        <w:t xml:space="preserve">average is unlikely to occur, the calculations assume that only a share of the gap to the EU average will</w:t>
      </w:r>
      <w:r>
        <w:t xml:space="preserve"> </w:t>
      </w:r>
      <w:r>
        <w:t xml:space="preserve">be closed. Calculations are made for scenarios that assume that 10%, 20% or 50% of the gap is closed.</w:t>
      </w:r>
      <w:r>
        <w:t xml:space="preserve"> </w:t>
      </w:r>
      <w:r>
        <w:t xml:space="preserve">This would mean broadly that the 5%, 10% or 25% of the most common investment products would no</w:t>
      </w:r>
      <w:r>
        <w:t xml:space="preserve"> </w:t>
      </w:r>
      <w:r>
        <w:t xml:space="preserve">longer be offered to retail investors and replaced with products that yield the average net return. It</w:t>
      </w:r>
      <w:r>
        <w:t xml:space="preserve"> </w:t>
      </w:r>
      <w:r>
        <w:t xml:space="preserve">implicitly takes into account that some manufacturers and distributors of financial products continue to</w:t>
      </w:r>
      <w:r>
        <w:t xml:space="preserve"> </w:t>
      </w:r>
      <w:r>
        <w:t xml:space="preserve">offer products that underperform in terms of monetary yields, but have other compensating features.</w:t>
      </w:r>
      <w:r>
        <w:t xml:space="preserve"> </w:t>
      </w:r>
      <w:r>
        <w:t xml:space="preserve">Whether the trajectory to convergence will be towards the EU average or the top performers, whether</w:t>
      </w:r>
      <w:r>
        <w:t xml:space="preserve"> </w:t>
      </w:r>
      <w:r>
        <w:t xml:space="preserve">it will stop at the proportions specified above, as assumed in the calculations below, or go further, would</w:t>
      </w:r>
      <w:r>
        <w:t xml:space="preserve"> </w:t>
      </w:r>
      <w:r>
        <w:t xml:space="preserve">ultimately depend on various factors. Chief among them are the design of the benchmarks, their use by</w:t>
      </w:r>
      <w:r>
        <w:t xml:space="preserve"> </w:t>
      </w:r>
      <w:r>
        <w:t xml:space="preserve">firms and supervisors, the increase in competitive pressure they generate and how suppliers react to</w:t>
      </w:r>
      <w:r>
        <w:t xml:space="preserve"> </w:t>
      </w:r>
      <w:r>
        <w:t xml:space="preserve">more intense competition. There is no historical precedent that can provide guidance on this.</w:t>
      </w:r>
      <w:r>
        <w:t xml:space="preserve"> </w:t>
      </w:r>
      <w:r>
        <w:t xml:space="preserve">It is also assumed that the convergence process neither leads to a change in the benchmark (i.e. that</w:t>
      </w:r>
      <w:r>
        <w:t xml:space="preserve"> </w:t>
      </w:r>
      <w:r>
        <w:t xml:space="preserve">market exit of underperformers increases the average returns used for the calculation of the benchmark),</w:t>
      </w:r>
      <w:r>
        <w:t xml:space="preserve"> </w:t>
      </w:r>
      <w:r>
        <w:t xml:space="preserve">nor that the supply of products declines. This second assumption is made on the basis that operators</w:t>
      </w:r>
      <w:r>
        <w:t xml:space="preserve"> </w:t>
      </w:r>
      <w:r>
        <w:t xml:space="preserve">that offer products above the Value-for-Money benchmark may expand their offer (it may also be</w:t>
      </w:r>
      <w:r>
        <w:t xml:space="preserve"> </w:t>
      </w:r>
      <w:r>
        <w:t xml:space="preserve">assumed that providers that offer underperforming products would prefer to adjust their product offer</w:t>
      </w:r>
      <w:r>
        <w:t xml:space="preserve"> </w:t>
      </w:r>
      <w:r>
        <w:t xml:space="preserve">rather than exit the market altogether, hence not reducing the number of products on offer). Given the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limited impact of production constraints in financial services and the possibility to offer products across</w:t>
      </w:r>
      <w:r>
        <w:t xml:space="preserve"> </w:t>
      </w:r>
      <w:r>
        <w:t xml:space="preserve">borders, this assumption may not be unrealistic. The calculations also do not make assumptions on</w:t>
      </w:r>
      <w:r>
        <w:t xml:space="preserve"> </w:t>
      </w:r>
      <w:r>
        <w:t xml:space="preserve">whether higher Value for Money would attract additional retail investors, keeping the amount of</w:t>
      </w:r>
      <w:r>
        <w:t xml:space="preserve"> </w:t>
      </w:r>
      <w:r>
        <w:t xml:space="preserve">investments constant at the current level.</w:t>
      </w:r>
      <w:r>
        <w:br/>
      </w:r>
      <w:r>
        <w:t xml:space="preserve">A correct calculation would rely on the benchmarks that the Value-for-Money initiative aims to create.</w:t>
      </w:r>
      <w:r>
        <w:t xml:space="preserve"> </w:t>
      </w:r>
      <w:r>
        <w:t xml:space="preserve">In the absence of such benchmarks, the calculations use data on funds and insurance investments</w:t>
      </w:r>
      <w:r>
        <w:t xml:space="preserve"> </w:t>
      </w:r>
      <w:r>
        <w:t xml:space="preserve">reported by ESMA and EIOPA respectively in their cost and performance reports. For investment funds,</w:t>
      </w:r>
      <w:r>
        <w:t xml:space="preserve"> </w:t>
      </w:r>
      <w:r>
        <w:t xml:space="preserve">the starting point was the net performance indicators for the EU aggregate for equity, bonds and mixed</w:t>
      </w:r>
      <w:r>
        <w:t xml:space="preserve"> </w:t>
      </w:r>
      <w:r>
        <w:t xml:space="preserve">UCITS, weighted by their share in total outstanding assets.675 Since EIOPA does not publish an EU</w:t>
      </w:r>
      <w:r>
        <w:t xml:space="preserve"> </w:t>
      </w:r>
      <w:r>
        <w:t xml:space="preserve">aggregate, the Member State data was weighted with the share of their households’ holdings of</w:t>
      </w:r>
      <w:r>
        <w:t xml:space="preserve"> </w:t>
      </w:r>
      <w:r>
        <w:t xml:space="preserve">investment funds in the EU-27 aggregate. The purpose of the supervisory reports is to compile statistics</w:t>
      </w:r>
      <w:r>
        <w:t xml:space="preserve"> </w:t>
      </w:r>
      <w:r>
        <w:t xml:space="preserve">for comparable asset classes in various Member States. In the absence of suitable data regarding within-</w:t>
      </w:r>
      <w:r>
        <w:t xml:space="preserve"> </w:t>
      </w:r>
      <w:r>
        <w:t xml:space="preserve">country differences, the present calculations were made at the Member State level, assuming that cross-</w:t>
      </w:r>
      <w:r>
        <w:t xml:space="preserve"> </w:t>
      </w:r>
      <w:r>
        <w:t xml:space="preserve">country differences are a good substitute for the within-country differences that the Value-for-Money</w:t>
      </w:r>
      <w:r>
        <w:t xml:space="preserve"> </w:t>
      </w:r>
      <w:r>
        <w:t xml:space="preserve">benchmarks would ultimately address.</w:t>
      </w:r>
      <w:r>
        <w:t xml:space="preserve"> </w:t>
      </w:r>
      <w:r>
        <w:t xml:space="preserve">The available statistics cover 13 and 24 Member States for different types of UCITS and unit-linked</w:t>
      </w:r>
      <w:r>
        <w:t xml:space="preserve"> </w:t>
      </w:r>
      <w:r>
        <w:t xml:space="preserve">insurance products, respectively. Data are in both cases from 2021. Both ESMA and EIOPA present</w:t>
      </w:r>
      <w:r>
        <w:t xml:space="preserve"> </w:t>
      </w:r>
      <w:r>
        <w:t xml:space="preserve">the detailed methodology behind the calculations in annexes to their reports and caution about the</w:t>
      </w:r>
      <w:r>
        <w:t xml:space="preserve"> </w:t>
      </w:r>
      <w:r>
        <w:t xml:space="preserve">comparability of results across Member States. These underlying methodological differences could not</w:t>
      </w:r>
      <w:r>
        <w:t xml:space="preserve"> </w:t>
      </w:r>
      <w:r>
        <w:t xml:space="preserve">be considered when calculating a convergence scenario.</w:t>
      </w:r>
      <w:r>
        <w:br/>
      </w:r>
      <w:r>
        <w:t xml:space="preserve">Despite the methodological caveat, the advantage of the ESMA data is that it provides the best possible</w:t>
      </w:r>
      <w:r>
        <w:t xml:space="preserve"> </w:t>
      </w:r>
      <w:r>
        <w:t xml:space="preserve">comparison of returns on funds currently possible. The report covers data for different products. The</w:t>
      </w:r>
      <w:r>
        <w:t xml:space="preserve"> </w:t>
      </w:r>
      <w:r>
        <w:t xml:space="preserve">net returns used for the calculations are those on bond UCITS, equity UCITS and mixed UCITS, being</w:t>
      </w:r>
      <w:r>
        <w:t xml:space="preserve"> </w:t>
      </w:r>
      <w:r>
        <w:t xml:space="preserve">the most popular asset classes for retail investors, with a holding period of 5 years. UCITS represent</w:t>
      </w:r>
      <w:r>
        <w:t xml:space="preserve"> </w:t>
      </w:r>
      <w:r>
        <w:t xml:space="preserve">85% of the EU market and it is implicitly assumed that the convergence scenario would occur similarly</w:t>
      </w:r>
      <w:r>
        <w:t xml:space="preserve"> </w:t>
      </w:r>
      <w:r>
        <w:t xml:space="preserve">for the 15% other fund products. The relative share of these three asset classes was derived from the</w:t>
      </w:r>
      <w:r>
        <w:t xml:space="preserve"> </w:t>
      </w:r>
      <w:r>
        <w:t xml:space="preserve">total assets of these types of investment funds in the euro area in 2021, as reported in the ECB Statistical</w:t>
      </w:r>
      <w:r>
        <w:t xml:space="preserve"> </w:t>
      </w:r>
      <w:r>
        <w:t xml:space="preserve">data warehouse. They show a market share of 41% for equity UCITS and 29.5% for both bond and</w:t>
      </w:r>
      <w:r>
        <w:t xml:space="preserve"> </w:t>
      </w:r>
      <w:r>
        <w:t xml:space="preserve">mixed UCITS.</w:t>
      </w:r>
      <w:r>
        <w:br/>
      </w:r>
      <w:r>
        <w:t xml:space="preserve">Neither ESMA nor EIOPA data show how much retail investors invested in these products. Information</w:t>
      </w:r>
      <w:r>
        <w:t xml:space="preserve"> </w:t>
      </w:r>
      <w:r>
        <w:t xml:space="preserve">on households’ aggregate holdings of funds and insurance products is however available from</w:t>
      </w:r>
      <w:r>
        <w:t xml:space="preserve"> </w:t>
      </w:r>
      <w:r>
        <w:t xml:space="preserve">Eurostat’s national accounts. The non-financial sectoral accounts report the investment income of</w:t>
      </w:r>
      <w:r>
        <w:t xml:space="preserve"> </w:t>
      </w:r>
      <w:r>
        <w:t xml:space="preserve">households from collective investment products, i.e. funds, and from insurance policies for 25 Member</w:t>
      </w:r>
      <w:r>
        <w:t xml:space="preserve"> </w:t>
      </w:r>
      <w:r>
        <w:t xml:space="preserve">States676. Insurance products cover life-insurance and annuities, which is a broader aggregate than the</w:t>
      </w:r>
      <w:r>
        <w:t xml:space="preserve"> </w:t>
      </w:r>
      <w:r>
        <w:t xml:space="preserve">insurance-based investment products targeted by “Value for Money”. EIOPA data on gross premiums</w:t>
      </w:r>
      <w:r>
        <w:t xml:space="preserve"> </w:t>
      </w:r>
      <w:r>
        <w:t xml:space="preserve">is used to calculate the share of unit -linked products, which differ across Member States.677 This</w:t>
      </w:r>
      <w:r>
        <w:t xml:space="preserve"> </w:t>
      </w:r>
      <w:r>
        <w:t xml:space="preserve">approach excludes the share of investment products that cover profit participations, which seems</w:t>
      </w:r>
    </w:p>
    <w:p>
      <w:pPr>
        <w:pStyle w:val="BodyText"/>
      </w:pPr>
      <w:r>
        <w:t xml:space="preserve">675 Using data from the ECB statistics. This assumes that retail investors and institutional investors hold the</w:t>
      </w:r>
      <w:r>
        <w:t xml:space="preserve"> </w:t>
      </w:r>
      <w:r>
        <w:t xml:space="preserve">same proportion of these three types of UCITS.</w:t>
      </w:r>
      <w:r>
        <w:t xml:space="preserve"> </w:t>
      </w:r>
      <w:r>
        <w:t xml:space="preserve">676 The statistical label for this property income are D.443 for investment funds, and D.441 for insurance</w:t>
      </w:r>
      <w:r>
        <w:t xml:space="preserve"> </w:t>
      </w:r>
      <w:r>
        <w:t xml:space="preserve">policies.</w:t>
      </w:r>
      <w:r>
        <w:t xml:space="preserve"> </w:t>
      </w:r>
      <w:r>
        <w:t xml:space="preserve">677 In 2020, the life insurance Gross Written Premium (GWP) was 670.6 bn €, of which 206.1 bn € represent</w:t>
      </w:r>
      <w:r>
        <w:t xml:space="preserve"> </w:t>
      </w:r>
      <w:r>
        <w:t xml:space="preserve">unit-linked type of IBIPs.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justifiable as the return on these products is dependent on future economic developments. ESMA’s</w:t>
      </w:r>
      <w:r>
        <w:t xml:space="preserve"> </w:t>
      </w:r>
      <w:r>
        <w:t xml:space="preserve">country-specific performance data of investment funds is limited to UCITS investing in bonds, equity</w:t>
      </w:r>
      <w:r>
        <w:t xml:space="preserve"> </w:t>
      </w:r>
      <w:r>
        <w:t xml:space="preserve">or mixed. Retail investors hold investment funds in products for which there is as yet no performance</w:t>
      </w:r>
      <w:r>
        <w:t xml:space="preserve"> </w:t>
      </w:r>
      <w:r>
        <w:t xml:space="preserve">data that could be used for cross-country comparisons, for example AIFs, ETFs or real estate UCITs.678</w:t>
      </w:r>
      <w:r>
        <w:t xml:space="preserve"> </w:t>
      </w:r>
      <w:r>
        <w:t xml:space="preserve">The implicit assumption behind the use of supervisory data is that all households would accomplish the</w:t>
      </w:r>
      <w:r>
        <w:t xml:space="preserve"> </w:t>
      </w:r>
      <w:r>
        <w:t xml:space="preserve">yields that were calculated for benchmark products in the asset class. In reality, their actual portfolio</w:t>
      </w:r>
      <w:r>
        <w:t xml:space="preserve"> </w:t>
      </w:r>
      <w:r>
        <w:t xml:space="preserve">may be more biased towards products with a lower return than calculated for the benchmark products.</w:t>
      </w:r>
      <w:r>
        <w:br/>
      </w:r>
      <w:r>
        <w:t xml:space="preserve">In practical terms, the first step was to calculate the difference between each Member States’ net return</w:t>
      </w:r>
      <w:r>
        <w:t xml:space="preserve"> </w:t>
      </w:r>
      <w:r>
        <w:t xml:space="preserve">of investment funds and insurance products and the EU average. Second, if the return on these</w:t>
      </w:r>
      <w:r>
        <w:t xml:space="preserve"> </w:t>
      </w:r>
      <w:r>
        <w:t xml:space="preserve">investments was lower for a Member State than for the average of available EU Member States, the</w:t>
      </w:r>
      <w:r>
        <w:t xml:space="preserve"> </w:t>
      </w:r>
      <w:r>
        <w:t xml:space="preserve">difference was taken as the extra return to households that convergence to the EU average could</w:t>
      </w:r>
      <w:r>
        <w:t xml:space="preserve"> </w:t>
      </w:r>
      <w:r>
        <w:t xml:space="preserve">generate. Third, to express the assumed increase in the yield in monetary terms, the yield difference</w:t>
      </w:r>
      <w:r>
        <w:t xml:space="preserve"> </w:t>
      </w:r>
      <w:r>
        <w:t xml:space="preserve">was multiplied with households’ holdings of investment funds (F.511) and life insurance and annuities</w:t>
      </w:r>
      <w:r>
        <w:t xml:space="preserve"> </w:t>
      </w:r>
      <w:r>
        <w:t xml:space="preserve">(F.62) in 2021679. The insurance position was multiplied with the share of the gross written premium of</w:t>
      </w:r>
      <w:r>
        <w:t xml:space="preserve"> </w:t>
      </w:r>
      <w:r>
        <w:t xml:space="preserve">unit linked and index linked insurance products in life insurance premiums.680</w:t>
      </w:r>
      <w:r>
        <w:t xml:space="preserve"> </w:t>
      </w:r>
      <w:r>
        <w:t xml:space="preserve">It is not possible to distinguish, on the basis of the aggregate data, to what extent lower returns in some</w:t>
      </w:r>
      <w:r>
        <w:t xml:space="preserve"> </w:t>
      </w:r>
      <w:r>
        <w:t xml:space="preserve">Member States are due to either fees charged by distributors or those charged by manufacturers.</w:t>
      </w:r>
      <w:r>
        <w:t xml:space="preserve"> </w:t>
      </w:r>
      <w:r>
        <w:t xml:space="preserve">Analysis by ESMA about distribution channels in 2020 showed that the breakdown of costs for</w:t>
      </w:r>
      <w:r>
        <w:t xml:space="preserve"> </w:t>
      </w:r>
      <w:r>
        <w:t xml:space="preserve">manufacturers and distributors is heterogenous across products, providers and Member States. ESMA</w:t>
      </w:r>
      <w:r>
        <w:t xml:space="preserve"> </w:t>
      </w:r>
      <w:r>
        <w:t xml:space="preserve">reported that distribution costs are more than 50 % of costs in several Member States and that they</w:t>
      </w:r>
      <w:r>
        <w:t xml:space="preserve"> </w:t>
      </w:r>
      <w:r>
        <w:t xml:space="preserve">ranged between 50% and 80% for UCITS. EIOPA also highlighted the heterogeneity of distribution</w:t>
      </w:r>
      <w:r>
        <w:t xml:space="preserve"> </w:t>
      </w:r>
      <w:r>
        <w:t xml:space="preserve">costs in its latest report, documenting that the majority of observations are clustered in the range of 10-</w:t>
      </w:r>
      <w:r>
        <w:t xml:space="preserve"> </w:t>
      </w:r>
      <w:r>
        <w:t xml:space="preserve">30% of total costs in the case of unit linked products681. It therefore seems a reasonable assumption that</w:t>
      </w:r>
      <w:r>
        <w:t xml:space="preserve"> </w:t>
      </w:r>
      <w:r>
        <w:t xml:space="preserve">convergence will cover fewer financial products if benchmarking applies only to manufacturers. The</w:t>
      </w:r>
      <w:r>
        <w:t xml:space="preserve"> </w:t>
      </w:r>
      <w:r>
        <w:t xml:space="preserve">share of distribution costs above can be used as an indication that, with the more limited option 2, at</w:t>
      </w:r>
      <w:r>
        <w:t xml:space="preserve"> </w:t>
      </w:r>
      <w:r>
        <w:t xml:space="preserve">best half of the convergence for investment funds and at best 90% convergence for insurance products</w:t>
      </w:r>
      <w:r>
        <w:t xml:space="preserve"> </w:t>
      </w:r>
      <w:r>
        <w:t xml:space="preserve">can be accomplished, with both ratios relative to the broader option 3.</w:t>
      </w:r>
      <w:r>
        <w:br/>
      </w:r>
      <w:r>
        <w:t xml:space="preserve">Table A8.1 Increase in households’ income in billion EUR in scenarios of yields close 10%, 20% or</w:t>
      </w:r>
      <w:r>
        <w:t xml:space="preserve"> </w:t>
      </w:r>
      <w:r>
        <w:t xml:space="preserve">50% of the gap to the average of available Member States in those Member States where they were</w:t>
      </w:r>
      <w:r>
        <w:t xml:space="preserve"> </w:t>
      </w:r>
      <w:r>
        <w:t xml:space="preserve">below average in 2021+</w:t>
      </w:r>
    </w:p>
    <w:p>
      <w:pPr>
        <w:pStyle w:val="BodyText"/>
      </w:pPr>
      <w:r>
        <w:t xml:space="preserve">investment funds</w:t>
      </w:r>
      <w:r>
        <w:t xml:space="preserve"> </w:t>
      </w:r>
      <w:r>
        <w:t xml:space="preserve">(UCITS)</w:t>
      </w:r>
      <w:r>
        <w:t xml:space="preserve"> </w:t>
      </w:r>
      <w:r>
        <w:t xml:space="preserve">insurance-based investment products</w:t>
      </w:r>
      <w:r>
        <w:t xml:space="preserve"> </w:t>
      </w:r>
      <w:r>
        <w:t xml:space="preserve">(IBIPs)</w:t>
      </w:r>
      <w:r>
        <w:t xml:space="preserve"> </w:t>
      </w:r>
      <w:r>
        <w:t xml:space="preserve">total</w:t>
      </w:r>
      <w:r>
        <w:t xml:space="preserve"> </w:t>
      </w:r>
      <w:r>
        <w:t xml:space="preserve">EU benchmark in %</w:t>
      </w:r>
      <w:r>
        <w:t xml:space="preserve"> </w:t>
      </w:r>
      <w:r>
        <w:t xml:space="preserve">5.6</w:t>
      </w:r>
      <w:r>
        <w:t xml:space="preserve"> </w:t>
      </w:r>
      <w:r>
        <w:t xml:space="preserve">3.2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10% scenario</w:t>
      </w:r>
      <w:r>
        <w:t xml:space="preserve"> </w:t>
      </w:r>
      <w:r>
        <w:t xml:space="preserve">1.4</w:t>
      </w:r>
      <w:r>
        <w:t xml:space="preserve"> </w:t>
      </w:r>
      <w:r>
        <w:t xml:space="preserve">1.5</w:t>
      </w:r>
      <w:r>
        <w:t xml:space="preserve"> </w:t>
      </w:r>
      <w:r>
        <w:t xml:space="preserve">2.9</w:t>
      </w:r>
      <w:r>
        <w:t xml:space="preserve"> </w:t>
      </w:r>
      <w:r>
        <w:t xml:space="preserve">20% scenario</w:t>
      </w:r>
      <w:r>
        <w:t xml:space="preserve"> </w:t>
      </w:r>
      <w:r>
        <w:t xml:space="preserve">2.8</w:t>
      </w:r>
      <w:r>
        <w:t xml:space="preserve"> </w:t>
      </w:r>
      <w:r>
        <w:t xml:space="preserve">3.0</w:t>
      </w:r>
      <w:r>
        <w:t xml:space="preserve"> </w:t>
      </w:r>
      <w:r>
        <w:t xml:space="preserve">5.8</w:t>
      </w:r>
      <w:r>
        <w:t xml:space="preserve"> </w:t>
      </w:r>
      <w:r>
        <w:t xml:space="preserve">50% scenario</w:t>
      </w:r>
      <w:r>
        <w:t xml:space="preserve"> </w:t>
      </w:r>
      <w:r>
        <w:t xml:space="preserve">6.9</w:t>
      </w:r>
      <w:r>
        <w:t xml:space="preserve"> </w:t>
      </w:r>
      <w:r>
        <w:t xml:space="preserve">7.6</w:t>
      </w:r>
      <w:r>
        <w:t xml:space="preserve"> </w:t>
      </w:r>
      <w:r>
        <w:t xml:space="preserve">14.5</w:t>
      </w:r>
      <w:r>
        <w:t xml:space="preserve"> </w:t>
      </w:r>
      <w:r>
        <w:t xml:space="preserve">Option 3</w:t>
      </w:r>
      <w:r>
        <w:t xml:space="preserve"> </w:t>
      </w:r>
      <w:r>
        <w:t xml:space="preserve">10% scenario</w:t>
      </w:r>
      <w:r>
        <w:t xml:space="preserve"> </w:t>
      </w:r>
      <w:r>
        <w:t xml:space="preserve">2.8</w:t>
      </w:r>
      <w:r>
        <w:t xml:space="preserve"> </w:t>
      </w:r>
      <w:r>
        <w:t xml:space="preserve">1.7</w:t>
      </w:r>
      <w:r>
        <w:t xml:space="preserve"> </w:t>
      </w:r>
      <w:r>
        <w:t xml:space="preserve">4.4</w:t>
      </w:r>
      <w:r>
        <w:t xml:space="preserve"> </w:t>
      </w:r>
      <w:r>
        <w:t xml:space="preserve">20% scenario</w:t>
      </w:r>
      <w:r>
        <w:t xml:space="preserve"> </w:t>
      </w:r>
      <w:r>
        <w:t xml:space="preserve">5.5</w:t>
      </w:r>
      <w:r>
        <w:t xml:space="preserve"> </w:t>
      </w:r>
      <w:r>
        <w:t xml:space="preserve">3.4</w:t>
      </w:r>
      <w:r>
        <w:t xml:space="preserve"> </w:t>
      </w:r>
      <w:r>
        <w:t xml:space="preserve">8.9</w:t>
      </w:r>
      <w:r>
        <w:t xml:space="preserve"> </w:t>
      </w:r>
      <w:r>
        <w:t xml:space="preserve">50% scenario</w:t>
      </w:r>
      <w:r>
        <w:t xml:space="preserve"> </w:t>
      </w:r>
      <w:r>
        <w:t xml:space="preserve">13.8</w:t>
      </w:r>
      <w:r>
        <w:t xml:space="preserve"> </w:t>
      </w:r>
      <w:r>
        <w:t xml:space="preserve">8.4</w:t>
      </w:r>
      <w:r>
        <w:t xml:space="preserve"> </w:t>
      </w:r>
      <w:r>
        <w:t xml:space="preserve">22.2</w:t>
      </w:r>
    </w:p>
    <w:p>
      <w:pPr>
        <w:pStyle w:val="BodyText"/>
      </w:pPr>
      <w:r>
        <w:t xml:space="preserve">678 ESMA reports in its cost and performance report that the products used in this annex, i.e. equity UCITS,</w:t>
      </w:r>
      <w:r>
        <w:t xml:space="preserve"> </w:t>
      </w:r>
      <w:r>
        <w:t xml:space="preserve">bond UCITS and mixed UCITS, account for more than 90% of the retail market.</w:t>
      </w:r>
      <w:r>
        <w:t xml:space="preserve"> </w:t>
      </w:r>
      <w:r>
        <w:t xml:space="preserve">679 Sector S.14, i.e. households without NPISH.</w:t>
      </w:r>
      <w:r>
        <w:t xml:space="preserve"> </w:t>
      </w:r>
      <w:r>
        <w:t xml:space="preserve">680 Table 6 of EIOPA’s European insurance overview 2022 with data for end-2021.</w:t>
      </w:r>
      <w:r>
        <w:t xml:space="preserve"> </w:t>
      </w:r>
      <w:r>
        <w:t xml:space="preserve">681 See EIOPA, ‘Cost and past performance report 2022’, figure 24.</w:t>
      </w:r>
    </w:p>
    <w:p>
      <w:pPr>
        <w:pStyle w:val="BodyText"/>
      </w:pPr>
      <w:r>
        <w:t xml:space="preserve">322</w:t>
      </w:r>
    </w:p>
    <w:p>
      <w:pPr>
        <w:pStyle w:val="Compact"/>
        <w:numPr>
          <w:ilvl w:val="0"/>
          <w:numId w:val="1055"/>
        </w:numPr>
      </w:pPr>
      <w:r>
        <w:t xml:space="preserve">for a 5 year holding period, derived via households’ holdings of investment funds in 2021 respectively of life</w:t>
      </w:r>
      <w:r>
        <w:t xml:space="preserve"> </w:t>
      </w:r>
      <w:r>
        <w:t xml:space="preserve">insurance and annuities in 2021 corrected for the share of unit linked products in life insurers’ gross written</w:t>
      </w:r>
      <w:r>
        <w:t xml:space="preserve"> </w:t>
      </w:r>
      <w:r>
        <w:t xml:space="preserve">premium in 2021.</w:t>
      </w:r>
      <w:r>
        <w:t xml:space="preserve"> </w:t>
      </w:r>
      <w:r>
        <w:t xml:space="preserve">The calculations suggest that convergence to the EU average of the net returns of investment funds held</w:t>
      </w:r>
      <w:r>
        <w:t xml:space="preserve"> </w:t>
      </w:r>
      <w:r>
        <w:t xml:space="preserve">by households in those Member States where they were below the EU average in 2021 could generate</w:t>
      </w:r>
      <w:r>
        <w:t xml:space="preserve"> </w:t>
      </w:r>
      <w:r>
        <w:t xml:space="preserve">between 3 and almost EUR 14 billion additional investment income to households per annum,</w:t>
      </w:r>
      <w:r>
        <w:t xml:space="preserve"> </w:t>
      </w:r>
      <w:r>
        <w:t xml:space="preserve">depending on how strong the convergence pressure is, i.e. closing 10 to 50% of the gap to the EU</w:t>
      </w:r>
      <w:r>
        <w:t xml:space="preserve"> </w:t>
      </w:r>
      <w:r>
        <w:t xml:space="preserve">average. The same approach applied on insurance products suggests that households could earn between</w:t>
      </w:r>
      <w:r>
        <w:t xml:space="preserve"> </w:t>
      </w:r>
      <w:r>
        <w:t xml:space="preserve">1.7 and more than EUR 8 billion more in investment income per annum from a similar convergence of</w:t>
      </w:r>
      <w:r>
        <w:t xml:space="preserve"> </w:t>
      </w:r>
      <w:r>
        <w:t xml:space="preserve">net returns to the EU average. It is not possible to make statements about the strength of the</w:t>
      </w:r>
      <w:r>
        <w:t xml:space="preserve"> </w:t>
      </w:r>
      <w:r>
        <w:t xml:space="preserve">convergence, nor to predict how long it would take. If markets are competitive and well-integrated,</w:t>
      </w:r>
      <w:r>
        <w:t xml:space="preserve"> </w:t>
      </w:r>
      <w:r>
        <w:t xml:space="preserve">however, the convergence could be even stronger and not stop at half of the difference. The other</w:t>
      </w:r>
      <w:r>
        <w:t xml:space="preserve"> </w:t>
      </w:r>
      <w:r>
        <w:t xml:space="preserve">measures discussed in this impact assessment, especially those that improve transparency and address</w:t>
      </w:r>
      <w:r>
        <w:t xml:space="preserve"> </w:t>
      </w:r>
      <w:r>
        <w:t xml:space="preserve">conflicts of interest, are likely to increase convergence pressure on weak performers. The estimate</w:t>
      </w:r>
      <w:r>
        <w:t xml:space="preserve"> </w:t>
      </w:r>
      <w:r>
        <w:t xml:space="preserve">presented here therefore includes sizeable parts of the benefits of other policy measures.</w:t>
      </w:r>
    </w:p>
    <w:p>
      <w:pPr>
        <w:pStyle w:val="Compact"/>
        <w:numPr>
          <w:ilvl w:val="0"/>
          <w:numId w:val="1056"/>
        </w:numPr>
      </w:pPr>
      <w:r>
        <w:t xml:space="preserve">Estimating the costs</w:t>
      </w:r>
      <w:r>
        <w:t xml:space="preserve"> </w:t>
      </w:r>
      <w:r>
        <w:t xml:space="preserve">The IA proposes broad structures for the reporting of VfM data to supervisors and will leave the details</w:t>
      </w:r>
      <w:r>
        <w:t xml:space="preserve"> </w:t>
      </w:r>
      <w:r>
        <w:t xml:space="preserve">on how VfM will be made operational to further analysis by the ESAs. Therefore, any estimate can only</w:t>
      </w:r>
      <w:r>
        <w:t xml:space="preserve"> </w:t>
      </w:r>
      <w:r>
        <w:t xml:space="preserve">produce broad orientations. Well-run financial firms should already have the data they need to</w:t>
      </w:r>
      <w:r>
        <w:t xml:space="preserve"> </w:t>
      </w:r>
      <w:r>
        <w:t xml:space="preserve">demonstrate their compliance with the new rules readily available. They are required to produce such</w:t>
      </w:r>
      <w:r>
        <w:t xml:space="preserve"> </w:t>
      </w:r>
      <w:r>
        <w:t xml:space="preserve">numbers either for their own calculation of the profitability of the products they offer and/or for the</w:t>
      </w:r>
      <w:r>
        <w:t xml:space="preserve"> </w:t>
      </w:r>
      <w:r>
        <w:t xml:space="preserve">production of the Key Information Documents required by PRIIPS.</w:t>
      </w:r>
      <w:r>
        <w:br/>
      </w:r>
      <w:r>
        <w:t xml:space="preserve">For a micro approach, one would need to be able to quantify the time required to validate the data for</w:t>
      </w:r>
      <w:r>
        <w:t xml:space="preserve"> </w:t>
      </w:r>
      <w:r>
        <w:t xml:space="preserve">submission to authorities and their actual transmission, the labour costs of the persons involved, IT costs</w:t>
      </w:r>
      <w:r>
        <w:t xml:space="preserve"> </w:t>
      </w:r>
      <w:r>
        <w:t xml:space="preserve">to automate the submission and the number of financial products covered. Such information will only</w:t>
      </w:r>
      <w:r>
        <w:t xml:space="preserve"> </w:t>
      </w:r>
      <w:r>
        <w:t xml:space="preserve">be known once the reporting obligation is in place. Experience with the 2019 compliance cost study</w:t>
      </w:r>
      <w:r>
        <w:t xml:space="preserve"> </w:t>
      </w:r>
      <w:r>
        <w:t xml:space="preserve">shows that, even ex post, it is not straightforward for many firms to provide quantification of their</w:t>
      </w:r>
      <w:r>
        <w:t xml:space="preserve"> </w:t>
      </w:r>
      <w:r>
        <w:t xml:space="preserve">reporting costs.682. In the absence of reliable estimates of each of these components, the following text</w:t>
      </w:r>
      <w:r>
        <w:t xml:space="preserve"> </w:t>
      </w:r>
      <w:r>
        <w:t xml:space="preserve">suggests a macro approach that translates the indication of the average cost of supervisory reporting</w:t>
      </w:r>
      <w:r>
        <w:t xml:space="preserve"> </w:t>
      </w:r>
      <w:r>
        <w:t xml:space="preserve">from the 2019 compliance cost study into economy-wide estimates for banks, asset managers and</w:t>
      </w:r>
      <w:r>
        <w:t xml:space="preserve"> </w:t>
      </w:r>
      <w:r>
        <w:t xml:space="preserve">insurance. This study asked financial firms to report their costs of compliance with different pieces of</w:t>
      </w:r>
      <w:r>
        <w:t xml:space="preserve"> </w:t>
      </w:r>
      <w:r>
        <w:t xml:space="preserve">financial legislation, broken down by type of financial institution and type of cost. Although the</w:t>
      </w:r>
      <w:r>
        <w:t xml:space="preserve"> </w:t>
      </w:r>
      <w:r>
        <w:t xml:space="preserve">reporting firms represented a mere 0.5% of the population of financial firms, they accounted for 10 to</w:t>
      </w:r>
      <w:r>
        <w:t xml:space="preserve"> </w:t>
      </w:r>
      <w:r>
        <w:t xml:space="preserve">15% of market activity measured by total assets or expenditures in the various market segments, which</w:t>
      </w:r>
      <w:r>
        <w:t xml:space="preserve"> </w:t>
      </w:r>
      <w:r>
        <w:t xml:space="preserve">indicates that large firms were overrepresented in the panel.</w:t>
      </w:r>
      <w:r>
        <w:br/>
      </w:r>
      <w:r>
        <w:t xml:space="preserve">Compliance costs with PRIIPS were found to be relatively small compared to other financial legislation</w:t>
      </w:r>
      <w:r>
        <w:t xml:space="preserve"> </w:t>
      </w:r>
      <w:r>
        <w:t xml:space="preserve">and the study documents that the lion’s share of compliance costs are one-off, such as for training,</w:t>
      </w:r>
      <w:r>
        <w:t xml:space="preserve"> </w:t>
      </w:r>
      <w:r>
        <w:t xml:space="preserve">consultancy fees, legal advice, adjusting IT development and infrastructure. They amount to up to 0.2%</w:t>
      </w:r>
      <w:r>
        <w:t xml:space="preserve"> </w:t>
      </w:r>
      <w:r>
        <w:t xml:space="preserve">of the reporting firms’ operating expenses. Ongoing costs are small relative to both one-off costs and</w:t>
      </w:r>
      <w:r>
        <w:t xml:space="preserve"> </w:t>
      </w:r>
      <w:r>
        <w:t xml:space="preserve">operating expenditures.</w:t>
      </w:r>
    </w:p>
    <w:p>
      <w:pPr>
        <w:pStyle w:val="FirstParagraph"/>
      </w:pPr>
      <w:r>
        <w:t xml:space="preserve">682 ICF/CEPS, ‘Study on the cost of compliance for the financial sector’, Final Report, July 2019,</w:t>
      </w:r>
      <w:r>
        <w:t xml:space="preserve"> </w:t>
      </w:r>
      <w:r>
        <w:t xml:space="preserve">https://op.europa.eu/en/publication-detail/-/publication/4b62e682-4e0f-11ea-aece-01aa75ed71a1/language-</w:t>
      </w:r>
      <w:r>
        <w:t xml:space="preserve"> </w:t>
      </w:r>
      <w:r>
        <w:t xml:space="preserve">en.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Table A8.2: Average compliance costs per firm for compliance with PRIIPS683</w:t>
      </w:r>
      <w:r>
        <w:t xml:space="preserve"> </w:t>
      </w:r>
      <w:r>
        <w:t xml:space="preserve">banks</w:t>
      </w:r>
      <w:r>
        <w:t xml:space="preserve"> </w:t>
      </w:r>
      <w:r>
        <w:t xml:space="preserve">investment</w:t>
      </w:r>
      <w:r>
        <w:t xml:space="preserve"> </w:t>
      </w:r>
      <w:r>
        <w:t xml:space="preserve">banks</w:t>
      </w:r>
      <w:r>
        <w:t xml:space="preserve"> </w:t>
      </w:r>
      <w:r>
        <w:t xml:space="preserve">asset managers</w:t>
      </w:r>
      <w:r>
        <w:t xml:space="preserve"> </w:t>
      </w:r>
      <w:r>
        <w:t xml:space="preserve">insurers</w:t>
      </w:r>
      <w:r>
        <w:t xml:space="preserve"> </w:t>
      </w:r>
      <w:r>
        <w:t xml:space="preserve">One-off costs</w:t>
      </w:r>
      <w:r>
        <w:t xml:space="preserve"> </w:t>
      </w:r>
      <w:r>
        <w:t xml:space="preserve">average in 1000 EUR</w:t>
      </w:r>
      <w:r>
        <w:t xml:space="preserve"> </w:t>
      </w:r>
      <w:r>
        <w:t xml:space="preserve">2473</w:t>
      </w:r>
      <w:r>
        <w:t xml:space="preserve"> </w:t>
      </w:r>
      <w:r>
        <w:t xml:space="preserve">4794</w:t>
      </w:r>
      <w:r>
        <w:t xml:space="preserve"> </w:t>
      </w:r>
      <w:r>
        <w:t xml:space="preserve">1145</w:t>
      </w:r>
      <w:r>
        <w:t xml:space="preserve"> </w:t>
      </w:r>
      <w:r>
        <w:t xml:space="preserve">1473</w:t>
      </w:r>
      <w:r>
        <w:t xml:space="preserve"> </w:t>
      </w:r>
      <w:r>
        <w:t xml:space="preserve">% of operating costs</w:t>
      </w:r>
      <w:r>
        <w:t xml:space="preserve"> </w:t>
      </w:r>
      <w:r>
        <w:t xml:space="preserve">0.12</w:t>
      </w:r>
      <w:r>
        <w:t xml:space="preserve"> </w:t>
      </w:r>
      <w:r>
        <w:t xml:space="preserve">0.05</w:t>
      </w:r>
      <w:r>
        <w:t xml:space="preserve"> </w:t>
      </w:r>
      <w:r>
        <w:t xml:space="preserve">0.18</w:t>
      </w:r>
      <w:r>
        <w:t xml:space="preserve"> </w:t>
      </w:r>
      <w:r>
        <w:t xml:space="preserve">0.15</w:t>
      </w:r>
      <w:r>
        <w:t xml:space="preserve"> </w:t>
      </w:r>
      <w:r>
        <w:t xml:space="preserve">Median in 1000 EUR</w:t>
      </w:r>
      <w:r>
        <w:t xml:space="preserve"> </w:t>
      </w:r>
      <w:r>
        <w:t xml:space="preserve">115</w:t>
      </w:r>
      <w:r>
        <w:t xml:space="preserve"> </w:t>
      </w:r>
      <w:r>
        <w:t xml:space="preserve">1508</w:t>
      </w:r>
      <w:r>
        <w:t xml:space="preserve"> </w:t>
      </w:r>
      <w:r>
        <w:t xml:space="preserve">115</w:t>
      </w:r>
      <w:r>
        <w:t xml:space="preserve"> </w:t>
      </w:r>
      <w:r>
        <w:t xml:space="preserve">1508</w:t>
      </w:r>
      <w:r>
        <w:t xml:space="preserve"> </w:t>
      </w:r>
      <w:r>
        <w:t xml:space="preserve">% of operating costs</w:t>
      </w:r>
      <w:r>
        <w:t xml:space="preserve"> </w:t>
      </w:r>
      <w:r>
        <w:t xml:space="preserve">0.05</w:t>
      </w:r>
      <w:r>
        <w:t xml:space="preserve"> </w:t>
      </w:r>
      <w:r>
        <w:t xml:space="preserve">0.18</w:t>
      </w:r>
      <w:r>
        <w:t xml:space="preserve"> </w:t>
      </w:r>
      <w:r>
        <w:t xml:space="preserve">0.05</w:t>
      </w:r>
      <w:r>
        <w:t xml:space="preserve"> </w:t>
      </w:r>
      <w:r>
        <w:t xml:space="preserve">0.18</w:t>
      </w:r>
      <w:r>
        <w:t xml:space="preserve"> </w:t>
      </w:r>
      <w:r>
        <w:t xml:space="preserve">Ongoing costs</w:t>
      </w:r>
      <w:r>
        <w:t xml:space="preserve"> </w:t>
      </w:r>
      <w:r>
        <w:t xml:space="preserve">average in1000 EUR</w:t>
      </w:r>
      <w:r>
        <w:t xml:space="preserve"> </w:t>
      </w:r>
      <w:r>
        <w:t xml:space="preserve">158</w:t>
      </w:r>
      <w:r>
        <w:t xml:space="preserve"> </w:t>
      </w:r>
      <w:r>
        <w:t xml:space="preserve">471</w:t>
      </w:r>
      <w:r>
        <w:t xml:space="preserve"> </w:t>
      </w:r>
      <w:r>
        <w:t xml:space="preserve">123</w:t>
      </w:r>
      <w:r>
        <w:t xml:space="preserve"> </w:t>
      </w:r>
      <w:r>
        <w:t xml:space="preserve">71</w:t>
      </w:r>
      <w:r>
        <w:t xml:space="preserve"> </w:t>
      </w:r>
      <w:r>
        <w:t xml:space="preserve">% of operating costs</w:t>
      </w:r>
      <w:r>
        <w:t xml:space="preserve"> </w:t>
      </w:r>
      <w:r>
        <w:t xml:space="preserve">0.03</w:t>
      </w:r>
      <w:r>
        <w:t xml:space="preserve"> </w:t>
      </w:r>
      <w:r>
        <w:t xml:space="preserve">0.01</w:t>
      </w:r>
      <w:r>
        <w:t xml:space="preserve"> </w:t>
      </w:r>
      <w:r>
        <w:t xml:space="preserve">0.14</w:t>
      </w:r>
      <w:r>
        <w:t xml:space="preserve"> </w:t>
      </w:r>
      <w:r>
        <w:t xml:space="preserve">0.02</w:t>
      </w:r>
      <w:r>
        <w:t xml:space="preserve"> </w:t>
      </w:r>
      <w:r>
        <w:t xml:space="preserve">Median in 1000 EUR</w:t>
      </w:r>
      <w:r>
        <w:t xml:space="preserve"> </w:t>
      </w:r>
      <w:r>
        <w:t xml:space="preserve">10</w:t>
      </w:r>
      <w:r>
        <w:t xml:space="preserve"> </w:t>
      </w:r>
      <w:r>
        <w:t xml:space="preserve">99</w:t>
      </w:r>
      <w:r>
        <w:t xml:space="preserve"> </w:t>
      </w:r>
      <w:r>
        <w:t xml:space="preserve">10</w:t>
      </w:r>
      <w:r>
        <w:t xml:space="preserve"> </w:t>
      </w:r>
      <w:r>
        <w:t xml:space="preserve">99</w:t>
      </w:r>
      <w:r>
        <w:t xml:space="preserve"> </w:t>
      </w:r>
      <w:r>
        <w:t xml:space="preserve">% of operating costs</w:t>
      </w:r>
      <w:r>
        <w:t xml:space="preserve"> </w:t>
      </w:r>
      <w:r>
        <w:t xml:space="preserve">0.02</w:t>
      </w:r>
      <w:r>
        <w:t xml:space="preserve"> </w:t>
      </w:r>
      <w:r>
        <w:t xml:space="preserve">0.10%</w:t>
      </w:r>
      <w:r>
        <w:t xml:space="preserve"> </w:t>
      </w:r>
      <w:r>
        <w:t xml:space="preserve">0.02</w:t>
      </w:r>
      <w:r>
        <w:t xml:space="preserve"> </w:t>
      </w:r>
      <w:r>
        <w:t xml:space="preserve">0.1</w:t>
      </w:r>
      <w:r>
        <w:t xml:space="preserve"> </w:t>
      </w:r>
      <w:r>
        <w:t xml:space="preserve">Source: ICF/CEPS, ‘Study on the costs of compliance for the financial sector’, Final Report for the</w:t>
      </w:r>
      <w:r>
        <w:t xml:space="preserve"> </w:t>
      </w:r>
      <w:r>
        <w:t xml:space="preserve">European Commission, DG FISMA, July 2019.</w:t>
      </w:r>
    </w:p>
    <w:p>
      <w:pPr>
        <w:pStyle w:val="BodyText"/>
      </w:pPr>
      <w:r>
        <w:t xml:space="preserve">The compliance cost study furthermore detailed that supervisory reporting costs amount to a mere 3%</w:t>
      </w:r>
      <w:r>
        <w:t xml:space="preserve"> </w:t>
      </w:r>
      <w:r>
        <w:t xml:space="preserve">of the costs of compliance with PRIIPS.684 Translating these reporting costs for PRIIPs into compliance</w:t>
      </w:r>
      <w:r>
        <w:t xml:space="preserve"> </w:t>
      </w:r>
      <w:r>
        <w:t xml:space="preserve">costs for VfM is however not straightforward. One-off costs should be smaller than those in the</w:t>
      </w:r>
      <w:r>
        <w:t xml:space="preserve"> </w:t>
      </w:r>
      <w:r>
        <w:t xml:space="preserve">compliance cost study because firms do not have to create a new reporting infrastructure, but can build</w:t>
      </w:r>
      <w:r>
        <w:t xml:space="preserve"> </w:t>
      </w:r>
      <w:r>
        <w:t xml:space="preserve">on already existing structures. Moreover, the reporting obligations for UCITS and AIF managers</w:t>
      </w:r>
      <w:r>
        <w:t xml:space="preserve"> </w:t>
      </w:r>
      <w:r>
        <w:t xml:space="preserve">proposed under the AIFMD review already cover part of the data that would be required to produce</w:t>
      </w:r>
      <w:r>
        <w:t xml:space="preserve"> </w:t>
      </w:r>
      <w:r>
        <w:t xml:space="preserve">VfM benchmarks685. More granular data reporting should thus be implementable through existing</w:t>
      </w:r>
      <w:r>
        <w:t xml:space="preserve"> </w:t>
      </w:r>
      <w:r>
        <w:t xml:space="preserve">reporting systems with only minor administrative costs to add the new data fields. At a later stage, there</w:t>
      </w:r>
      <w:r>
        <w:t xml:space="preserve"> </w:t>
      </w:r>
      <w:r>
        <w:t xml:space="preserve">may be some costs associated with more granularity, but the additional burden should be still minor. It</w:t>
      </w:r>
      <w:r>
        <w:t xml:space="preserve"> </w:t>
      </w:r>
      <w:r>
        <w:t xml:space="preserve">will be for supervisors to weigh the benefits of more granular data for the effectiveness of VfM</w:t>
      </w:r>
      <w:r>
        <w:t xml:space="preserve"> </w:t>
      </w:r>
      <w:r>
        <w:t xml:space="preserve">benchmarks against the costs of higher reporting burden to the industry.</w:t>
      </w:r>
      <w:r>
        <w:t xml:space="preserve"> </w:t>
      </w:r>
      <w:r>
        <w:t xml:space="preserve">Since central parameters for an estimate of compliance costs are unknown and depend on the</w:t>
      </w:r>
      <w:r>
        <w:t xml:space="preserve"> </w:t>
      </w:r>
      <w:r>
        <w:t xml:space="preserve">specification of reporting, there can only be a rough illustration that uses different assumptions.</w:t>
      </w:r>
      <w:r>
        <w:t xml:space="preserve"> </w:t>
      </w:r>
      <w:r>
        <w:t xml:space="preserve">Scenario analysis suggests that supervisory reporting costs, which are the key component targeted</w:t>
      </w:r>
      <w:r>
        <w:t xml:space="preserve"> </w:t>
      </w:r>
      <w:r>
        <w:t xml:space="preserve">by VfM and at the same time amount to 3% of PRIIPS compliance costs, could be at around EUR</w:t>
      </w:r>
      <w:r>
        <w:t xml:space="preserve"> </w:t>
      </w:r>
      <w:r>
        <w:t xml:space="preserve">60 million or in a range EUR 13 to 252 million for one-off costs. Ongoing costs could be in a range</w:t>
      </w:r>
      <w:r>
        <w:t xml:space="preserve"> </w:t>
      </w:r>
      <w:r>
        <w:t xml:space="preserve">of EUR 2.3 to 22.6 million per annum.686 These estimates do not take into account the synergies</w:t>
      </w:r>
    </w:p>
    <w:p>
      <w:pPr>
        <w:pStyle w:val="BodyText"/>
      </w:pPr>
      <w:r>
        <w:t xml:space="preserve">683 Table 186, 18, 190 and 192 of the compliance cost study: ICF/CEPS, ‘Study on the cost of compliance for the</w:t>
      </w:r>
      <w:r>
        <w:t xml:space="preserve"> </w:t>
      </w:r>
      <w:r>
        <w:t xml:space="preserve">financial sector’, Final Report, July 2019, https://op.europa.eu/en/publication-detail/-/publication/4b62e682-</w:t>
      </w:r>
      <w:r>
        <w:t xml:space="preserve"> </w:t>
      </w:r>
      <w:r>
        <w:t xml:space="preserve">4e0f-11ea-aece-01aa75ed71a1/language-en .</w:t>
      </w:r>
      <w:r>
        <w:t xml:space="preserve"> </w:t>
      </w:r>
      <w:r>
        <w:t xml:space="preserve">684 Figure 56 of the compliance cost study.</w:t>
      </w:r>
      <w:r>
        <w:t xml:space="preserve"> </w:t>
      </w:r>
      <w:r>
        <w:t xml:space="preserve">685 Proposal for a directive of the European Parliament and of the Council amending Directives 2011/61/EU</w:t>
      </w:r>
      <w:r>
        <w:t xml:space="preserve"> </w:t>
      </w:r>
      <w:r>
        <w:t xml:space="preserve">and 2009/65/EC as regards delegation arrangements, liquidity risk management, supervisory reporting,</w:t>
      </w:r>
      <w:r>
        <w:t xml:space="preserve"> </w:t>
      </w:r>
      <w:r>
        <w:t xml:space="preserve">provision of depositary and custody services and loan origination by alternative investment funds,</w:t>
      </w:r>
      <w:r>
        <w:t xml:space="preserve"> </w:t>
      </w:r>
      <w:r>
        <w:t xml:space="preserve">COM/2021/721 final</w:t>
      </w:r>
      <w:r>
        <w:br/>
      </w:r>
      <w:r>
        <w:t xml:space="preserve">686 The bottom range uses the average of % of operating costs multiplied by aggregate costs in the financial</w:t>
      </w:r>
      <w:r>
        <w:t xml:space="preserve"> </w:t>
      </w:r>
      <w:r>
        <w:t xml:space="preserve">industry, the latter the median absolute costs multiplied by the number of firms.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between the supervisory reporting introduced with the AIFMD review and VfM reporting. The</w:t>
      </w:r>
      <w:r>
        <w:t xml:space="preserve"> </w:t>
      </w:r>
      <w:r>
        <w:t xml:space="preserve">broadness of the range illustrates the uncertainty the estimates are subject to.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4">
    <w:abstractNumId w:val="991"/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1"/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1"/>
  </w:num>
  <w:num w:numId="105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2">
    <w:abstractNumId w:val="991"/>
  </w:num>
  <w:num w:numId="105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5">
    <w:abstractNumId w:val="991"/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2026-07-31T16:48:05Z</dcterms:created>
  <dcterms:modified xsi:type="dcterms:W3CDTF">2026-07-31T16:48:05Z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