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5.9.2023</w:t>
      </w:r>
      <w:r>
        <w:br/>
      </w:r>
      <w:r>
        <w:t xml:space="preserve">SWD(2023) 293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on European cross-border associations</w:t>
      </w:r>
      <w:r>
        <w:t xml:space="preserve"> </w:t>
      </w:r>
      <w:r>
        <w:t xml:space="preserve">{COM(2023) 516 final} - {SEC(2023) 306 final} - {SWD(2023) 292 final} -</w:t>
      </w:r>
      <w:r>
        <w:t xml:space="preserve"> </w:t>
      </w:r>
      <w:r>
        <w:t xml:space="preserve">{SWD(2023) 294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………………………………………………………………………………………..6</w:t>
      </w:r>
      <w:r>
        <w:t xml:space="preserve"> </w:t>
      </w:r>
      <w:r>
        <w:t xml:space="preserve">1.1 Scope of the initiative</w:t>
      </w:r>
      <w:r>
        <w:t xml:space="preserve"> </w:t>
      </w:r>
      <w:r>
        <w:t xml:space="preserve">8</w:t>
      </w:r>
      <w:r>
        <w:t xml:space="preserve"> </w:t>
      </w:r>
      <w:r>
        <w:t xml:space="preserve">1.2 Political context</w:t>
      </w:r>
      <w:r>
        <w:t xml:space="preserve"> </w:t>
      </w:r>
      <w:r>
        <w:t xml:space="preserve">9</w:t>
      </w:r>
      <w:r>
        <w:t xml:space="preserve"> </w:t>
      </w:r>
      <w:r>
        <w:t xml:space="preserve">1.3 Legal context</w:t>
      </w:r>
      <w:r>
        <w:t xml:space="preserve"> </w:t>
      </w:r>
      <w:r>
        <w:t xml:space="preserve">12</w:t>
      </w:r>
      <w:r>
        <w:t xml:space="preserve"> </w:t>
      </w:r>
      <w:r>
        <w:t xml:space="preserve">1.4 Market Context</w:t>
      </w:r>
      <w:r>
        <w:t xml:space="preserve"> </w:t>
      </w:r>
      <w:r>
        <w:t xml:space="preserve">14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…………………………………………………………………………..17</w:t>
      </w:r>
      <w:r>
        <w:t xml:space="preserve"> </w:t>
      </w:r>
      <w:r>
        <w:t xml:space="preserve">2.1 Preliminary remarks</w:t>
      </w:r>
      <w:r>
        <w:t xml:space="preserve"> </w:t>
      </w:r>
      <w:r>
        <w:t xml:space="preserve">17</w:t>
      </w:r>
      <w:r>
        <w:t xml:space="preserve"> </w:t>
      </w:r>
      <w:r>
        <w:t xml:space="preserve">2.2 What is the problem?</w:t>
      </w:r>
      <w:r>
        <w:t xml:space="preserve"> </w:t>
      </w:r>
      <w:r>
        <w:t xml:space="preserve">19</w:t>
      </w:r>
      <w:r>
        <w:t xml:space="preserve"> </w:t>
      </w:r>
      <w:r>
        <w:t xml:space="preserve">2.3 What are the problem drivers?</w:t>
      </w:r>
      <w:r>
        <w:t xml:space="preserve"> </w:t>
      </w:r>
      <w:r>
        <w:t xml:space="preserve">26</w:t>
      </w:r>
      <w:r>
        <w:t xml:space="preserve"> </w:t>
      </w:r>
      <w:r>
        <w:t xml:space="preserve">2.3.1 Driver 1: Key cross-border aspects for associations are either unregulated or regulated</w:t>
      </w:r>
      <w:r>
        <w:t xml:space="preserve"> </w:t>
      </w:r>
      <w:r>
        <w:t xml:space="preserve">in varying ways in each EU Member State</w:t>
      </w:r>
      <w:r>
        <w:t xml:space="preserve"> </w:t>
      </w:r>
      <w:r>
        <w:t xml:space="preserve">26</w:t>
      </w:r>
      <w:r>
        <w:t xml:space="preserve"> </w:t>
      </w:r>
      <w:r>
        <w:t xml:space="preserve">2.3.2 Driver 2: Lack of mutual recognition of legal personality of an association when</w:t>
      </w:r>
      <w:r>
        <w:t xml:space="preserve"> </w:t>
      </w:r>
      <w:r>
        <w:t xml:space="preserve">operating cross-border</w:t>
      </w:r>
      <w:r>
        <w:t xml:space="preserve"> </w:t>
      </w:r>
      <w:r>
        <w:t xml:space="preserve">28</w:t>
      </w:r>
      <w:r>
        <w:t xml:space="preserve"> </w:t>
      </w:r>
      <w:r>
        <w:t xml:space="preserve">2.3.3. Driver 3: Excessive administrative practices and processes when operating cross-</w:t>
      </w:r>
      <w:r>
        <w:t xml:space="preserve"> </w:t>
      </w:r>
      <w:r>
        <w:t xml:space="preserve">border</w:t>
      </w:r>
      <w:r>
        <w:t xml:space="preserve"> </w:t>
      </w:r>
      <w:r>
        <w:t xml:space="preserve">30</w:t>
      </w:r>
      <w:r>
        <w:t xml:space="preserve"> </w:t>
      </w:r>
      <w:r>
        <w:t xml:space="preserve">2.4 How likely is the problem to persist?</w:t>
      </w:r>
      <w:r>
        <w:t xml:space="preserve"> </w:t>
      </w:r>
      <w:r>
        <w:t xml:space="preserve">31propo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………………………………………………………………….33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33</w:t>
      </w:r>
      <w:r>
        <w:t xml:space="preserve"> </w:t>
      </w:r>
      <w:r>
        <w:t xml:space="preserve">3.2 Subsidiarity: Necessity of EU action</w:t>
      </w:r>
      <w:r>
        <w:t xml:space="preserve"> </w:t>
      </w:r>
      <w:r>
        <w:t xml:space="preserve">34</w:t>
      </w:r>
      <w:r>
        <w:t xml:space="preserve"> </w:t>
      </w:r>
      <w:r>
        <w:t xml:space="preserve">3.3 Subsidiarity: Added value of EU action</w:t>
      </w:r>
      <w:r>
        <w:t xml:space="preserve"> </w:t>
      </w:r>
      <w:r>
        <w:t xml:space="preserve">34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………………………………………….35</w:t>
      </w:r>
      <w:r>
        <w:t xml:space="preserve"> </w:t>
      </w:r>
      <w:r>
        <w:t xml:space="preserve">4.1 General objectives</w:t>
      </w:r>
      <w:r>
        <w:t xml:space="preserve"> </w:t>
      </w:r>
      <w:r>
        <w:t xml:space="preserve">35</w:t>
      </w:r>
      <w:r>
        <w:t xml:space="preserve"> </w:t>
      </w:r>
      <w:r>
        <w:t xml:space="preserve">4.2 Specific objectives</w:t>
      </w:r>
      <w:r>
        <w:t xml:space="preserve"> </w:t>
      </w:r>
      <w:r>
        <w:t xml:space="preserve">36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………………………………..36</w:t>
      </w:r>
      <w:r>
        <w:t xml:space="preserve"> </w:t>
      </w:r>
      <w:r>
        <w:t xml:space="preserve">5.1 What is the baseline from which options are assessed?</w:t>
      </w:r>
      <w:r>
        <w:t xml:space="preserve"> </w:t>
      </w:r>
      <w:r>
        <w:t xml:space="preserve">36</w:t>
      </w:r>
      <w:r>
        <w:t xml:space="preserve"> </w:t>
      </w:r>
      <w:r>
        <w:t xml:space="preserve">5.1.1 Socio-economic context</w:t>
      </w:r>
      <w:r>
        <w:t xml:space="preserve"> </w:t>
      </w:r>
      <w:r>
        <w:t xml:space="preserve">37</w:t>
      </w:r>
      <w:r>
        <w:t xml:space="preserve"> </w:t>
      </w:r>
      <w:r>
        <w:t xml:space="preserve">5.1.2 Costs of operating cross border (baseline)</w:t>
      </w:r>
      <w:r>
        <w:t xml:space="preserve"> </w:t>
      </w:r>
      <w:r>
        <w:t xml:space="preserve">38</w:t>
      </w:r>
      <w:r>
        <w:t xml:space="preserve"> </w:t>
      </w:r>
      <w:r>
        <w:t xml:space="preserve">5.1.3 EU level action</w:t>
      </w:r>
      <w:r>
        <w:t xml:space="preserve"> </w:t>
      </w:r>
      <w:r>
        <w:t xml:space="preserve">41</w:t>
      </w:r>
      <w:r>
        <w:t xml:space="preserve"> </w:t>
      </w:r>
      <w:r>
        <w:t xml:space="preserve">5.1.4 International level</w:t>
      </w:r>
      <w:r>
        <w:t xml:space="preserve"> </w:t>
      </w:r>
      <w:r>
        <w:t xml:space="preserve">42</w:t>
      </w:r>
      <w:r>
        <w:t xml:space="preserve"> </w:t>
      </w:r>
      <w:r>
        <w:t xml:space="preserve">5.2 Description of the policy options</w:t>
      </w:r>
      <w:r>
        <w:t xml:space="preserve"> </w:t>
      </w:r>
      <w:r>
        <w:t xml:space="preserve">42</w:t>
      </w:r>
      <w:r>
        <w:t xml:space="preserve"> </w:t>
      </w:r>
      <w:r>
        <w:t xml:space="preserve">5.2.1 Option 1: Establish an EU-level legal form of association</w:t>
      </w:r>
      <w:r>
        <w:t xml:space="preserve"> </w:t>
      </w:r>
      <w:r>
        <w:t xml:space="preserve">43</w:t>
      </w:r>
      <w:r>
        <w:t xml:space="preserve"> </w:t>
      </w:r>
      <w:r>
        <w:t xml:space="preserve">5.2.2 Option 2: Harmonise common minimum standards for cross-border activities of</w:t>
      </w:r>
      <w:r>
        <w:t xml:space="preserve"> </w:t>
      </w:r>
      <w:r>
        <w:t xml:space="preserve">associations</w:t>
      </w:r>
      <w:r>
        <w:t xml:space="preserve"> </w:t>
      </w:r>
      <w:r>
        <w:t xml:space="preserve">46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5.2.3 Option 3: Create at Member State level an additional legal form of association</w:t>
      </w:r>
      <w:r>
        <w:t xml:space="preserve"> </w:t>
      </w:r>
      <w:r>
        <w:t xml:space="preserve">designed for cross-border purposes (“the cross-border association”) and recognised by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5.3 Options discarded at an early stage</w:t>
      </w:r>
      <w:r>
        <w:t xml:space="preserve"> </w:t>
      </w:r>
      <w:r>
        <w:t xml:space="preserve">49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………………………50</w:t>
      </w:r>
      <w:r>
        <w:t xml:space="preserve"> </w:t>
      </w:r>
      <w:r>
        <w:t xml:space="preserve">6.1 PO1a and PO1b: Establish an EU-level legal form of association: ‘the European</w:t>
      </w:r>
      <w:r>
        <w:t xml:space="preserve"> </w:t>
      </w:r>
      <w:r>
        <w:t xml:space="preserve">Association’ (PO1a)” or ‘The European cross-border Association’ (PO1b)</w:t>
      </w:r>
      <w:r>
        <w:t xml:space="preserve"> </w:t>
      </w:r>
      <w:r>
        <w:t xml:space="preserve">59</w:t>
      </w:r>
      <w:r>
        <w:t xml:space="preserve"> </w:t>
      </w:r>
      <w:r>
        <w:t xml:space="preserve">6.1.1 Economic impacts on associations</w:t>
      </w:r>
      <w:r>
        <w:t xml:space="preserve"> </w:t>
      </w:r>
      <w:r>
        <w:t xml:space="preserve">60</w:t>
      </w:r>
      <w:r>
        <w:t xml:space="preserve"> </w:t>
      </w:r>
      <w:r>
        <w:t xml:space="preserve">6.1.2 Indirect economic effects</w:t>
      </w:r>
      <w:r>
        <w:t xml:space="preserve"> </w:t>
      </w:r>
      <w:r>
        <w:t xml:space="preserve">61</w:t>
      </w:r>
      <w:r>
        <w:t xml:space="preserve"> </w:t>
      </w:r>
      <w:r>
        <w:t xml:space="preserve">6.1.3 Impacts on Member States</w:t>
      </w:r>
      <w:r>
        <w:t xml:space="preserve"> </w:t>
      </w:r>
      <w:r>
        <w:t xml:space="preserve">62</w:t>
      </w:r>
      <w:r>
        <w:t xml:space="preserve"> </w:t>
      </w:r>
      <w:r>
        <w:t xml:space="preserve">6.1.4 Stakeholders’ views on policy option 1</w:t>
      </w:r>
      <w:r>
        <w:t xml:space="preserve"> </w:t>
      </w:r>
      <w:r>
        <w:t xml:space="preserve">62</w:t>
      </w:r>
      <w:r>
        <w:t xml:space="preserve"> </w:t>
      </w:r>
      <w:r>
        <w:t xml:space="preserve">6.1.5 Specific impacts related to Policy option 1b: EU level legal form covering cross-</w:t>
      </w:r>
      <w:r>
        <w:t xml:space="preserve"> </w:t>
      </w:r>
      <w:r>
        <w:t xml:space="preserve">border aspects: ‘The European cross-border Association’</w:t>
      </w:r>
      <w:r>
        <w:t xml:space="preserve"> </w:t>
      </w:r>
      <w:r>
        <w:t xml:space="preserve">63</w:t>
      </w:r>
      <w:r>
        <w:t xml:space="preserve"> </w:t>
      </w:r>
      <w:r>
        <w:t xml:space="preserve">6.2 PO2: Harmonisation regarding common minimum standards for cross-border activities</w:t>
      </w:r>
      <w:r>
        <w:t xml:space="preserve"> </w:t>
      </w:r>
      <w:r>
        <w:t xml:space="preserve">of associations</w:t>
      </w:r>
      <w:r>
        <w:t xml:space="preserve"> </w:t>
      </w:r>
      <w:r>
        <w:t xml:space="preserve">65</w:t>
      </w:r>
      <w:r>
        <w:t xml:space="preserve"> </w:t>
      </w:r>
      <w:r>
        <w:t xml:space="preserve">6.2.1 Economic impacts on associations</w:t>
      </w:r>
      <w:r>
        <w:t xml:space="preserve"> </w:t>
      </w:r>
      <w:r>
        <w:t xml:space="preserve">65</w:t>
      </w:r>
      <w:r>
        <w:t xml:space="preserve"> </w:t>
      </w:r>
      <w:r>
        <w:t xml:space="preserve">6.2.2 Indirect economic effects</w:t>
      </w:r>
      <w:r>
        <w:t xml:space="preserve"> </w:t>
      </w:r>
      <w:r>
        <w:t xml:space="preserve">67</w:t>
      </w:r>
      <w:r>
        <w:t xml:space="preserve"> </w:t>
      </w:r>
      <w:r>
        <w:t xml:space="preserve">6.2.3 Impacts on Member States</w:t>
      </w:r>
      <w:r>
        <w:t xml:space="preserve"> </w:t>
      </w:r>
      <w:r>
        <w:t xml:space="preserve">67</w:t>
      </w:r>
      <w:r>
        <w:t xml:space="preserve"> </w:t>
      </w:r>
      <w:r>
        <w:t xml:space="preserve">6.2.4 Stakeholders’ views on policy option 2</w:t>
      </w:r>
      <w:r>
        <w:t xml:space="preserve"> </w:t>
      </w:r>
      <w:r>
        <w:t xml:space="preserve">68</w:t>
      </w:r>
      <w:r>
        <w:t xml:space="preserve"> </w:t>
      </w:r>
      <w:r>
        <w:t xml:space="preserve">6.3 PO3: Creation of an additional national legal form of association designed for a cross-</w:t>
      </w:r>
      <w:r>
        <w:t xml:space="preserve"> </w:t>
      </w:r>
      <w:r>
        <w:t xml:space="preserve">border membership and/or cross-border purposes or activities</w:t>
      </w:r>
      <w:r>
        <w:t xml:space="preserve"> </w:t>
      </w:r>
      <w:r>
        <w:t xml:space="preserve">68</w:t>
      </w:r>
      <w:r>
        <w:t xml:space="preserve"> </w:t>
      </w:r>
      <w:r>
        <w:t xml:space="preserve">6.3.1 Economic impacts on associations</w:t>
      </w:r>
      <w:r>
        <w:t xml:space="preserve"> </w:t>
      </w:r>
      <w:r>
        <w:t xml:space="preserve">69</w:t>
      </w:r>
      <w:r>
        <w:t xml:space="preserve"> </w:t>
      </w:r>
      <w:r>
        <w:t xml:space="preserve">6.3.2 Indirect economic impacts</w:t>
      </w:r>
      <w:r>
        <w:t xml:space="preserve"> </w:t>
      </w:r>
      <w:r>
        <w:t xml:space="preserve">70</w:t>
      </w:r>
      <w:r>
        <w:t xml:space="preserve"> </w:t>
      </w:r>
      <w:r>
        <w:t xml:space="preserve">6.3.3 Impacts on Member States</w:t>
      </w:r>
      <w:r>
        <w:t xml:space="preserve"> </w:t>
      </w:r>
      <w:r>
        <w:t xml:space="preserve">71</w:t>
      </w:r>
      <w:r>
        <w:t xml:space="preserve"> </w:t>
      </w:r>
      <w:r>
        <w:t xml:space="preserve">6.3.4 Stakeholders’ views on policy option 3</w:t>
      </w:r>
      <w:r>
        <w:t xml:space="preserve"> </w:t>
      </w:r>
      <w:r>
        <w:t xml:space="preserve">71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……………………………………………………..71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………………………………………………………………………………78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.81</w:t>
      </w:r>
      <w:r>
        <w:t xml:space="preserve"> </w:t>
      </w:r>
      <w:r>
        <w:t xml:space="preserve">ANNEXES …………………………………………………………………………………………………………83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CSO</w:t>
      </w:r>
      <w:r>
        <w:t xml:space="preserve"> </w:t>
      </w:r>
      <w:r>
        <w:t xml:space="preserve">Civil Society Organisations</w:t>
      </w:r>
      <w:r>
        <w:t xml:space="preserve"> </w:t>
      </w:r>
      <w:r>
        <w:t xml:space="preserve">EESC</w:t>
      </w:r>
      <w:r>
        <w:t xml:space="preserve"> </w:t>
      </w:r>
      <w:r>
        <w:t xml:space="preserve">The European Economic and Social Committee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Equivalent (employment)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NPO</w:t>
      </w:r>
      <w:r>
        <w:t xml:space="preserve"> </w:t>
      </w:r>
      <w:r>
        <w:t xml:space="preserve">Non-profit/not-for profit organisation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SDGs</w:t>
      </w:r>
      <w:r>
        <w:t xml:space="preserve"> </w:t>
      </w:r>
      <w:r>
        <w:t xml:space="preserve">(UN) Sustainable Development Goals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 sized enterprise</w:t>
      </w:r>
      <w:r>
        <w:t xml:space="preserve"> </w:t>
      </w:r>
      <w:r>
        <w:t xml:space="preserve">TEU</w:t>
      </w:r>
      <w:r>
        <w:t xml:space="preserve"> </w:t>
      </w:r>
      <w:r>
        <w:t xml:space="preserve">Treaty on the European Union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VAT</w:t>
      </w:r>
      <w:r>
        <w:t xml:space="preserve"> </w:t>
      </w:r>
      <w:r>
        <w:t xml:space="preserve">Value added tax</w:t>
      </w:r>
      <w:r>
        <w:t xml:space="preserve"> </w:t>
      </w:r>
      <w:r>
        <w:t xml:space="preserve">Main working definitions</w:t>
      </w:r>
      <w:r>
        <w:t xml:space="preserve"> </w:t>
      </w:r>
      <w:r>
        <w:t xml:space="preserve">Cross-border activity</w:t>
      </w:r>
      <w:r>
        <w:t xml:space="preserve"> </w:t>
      </w:r>
      <w:r>
        <w:t xml:space="preserve">This refers to, in particular, the following aspects of EU-based associations</w:t>
      </w:r>
      <w:r>
        <w:t xml:space="preserve"> </w:t>
      </w:r>
      <w:r>
        <w:t xml:space="preserve">across Member States: (i) conducting economic activities (including the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provision of goods and services) in a Member State other than the one of it</w:t>
      </w:r>
      <w:r>
        <w:t xml:space="preserve"> </w:t>
      </w:r>
      <w:r>
        <w:t xml:space="preserve">domicile or in multiple Member States; (ii) sending and receiving capital in</w:t>
      </w:r>
      <w:r>
        <w:t xml:space="preserve"> </w:t>
      </w:r>
      <w:r>
        <w:t xml:space="preserve">another Member State (i.e. membership fees, funding, donations); (iii) having</w:t>
      </w:r>
      <w:r>
        <w:t xml:space="preserve"> </w:t>
      </w:r>
      <w:r>
        <w:t xml:space="preserve">members or board members who reside in another Member State than the one</w:t>
      </w:r>
      <w:r>
        <w:t xml:space="preserve"> </w:t>
      </w:r>
      <w:r>
        <w:t xml:space="preserve">of the association’s domicile.</w:t>
      </w:r>
    </w:p>
    <w:p>
      <w:pPr>
        <w:pStyle w:val="BodyText"/>
      </w:pPr>
      <w:r>
        <w:t xml:space="preserve">Cross-border conversion</w:t>
      </w:r>
      <w:r>
        <w:t xml:space="preserve"> </w:t>
      </w:r>
      <w:r>
        <w:t xml:space="preserve">This refers a situation where an association, without being dissolved or wound</w:t>
      </w:r>
      <w:r>
        <w:t xml:space="preserve"> </w:t>
      </w:r>
      <w:r>
        <w:t xml:space="preserve">up or going into liquidation, converts its legal form under which it is domiciled</w:t>
      </w:r>
      <w:r>
        <w:t xml:space="preserve"> </w:t>
      </w:r>
      <w:r>
        <w:t xml:space="preserve">and registered in a Member State into a legal form of another Member State</w:t>
      </w:r>
      <w:r>
        <w:t xml:space="preserve"> </w:t>
      </w:r>
      <w:r>
        <w:t xml:space="preserve">and transfers at least its registered office to the said destination Member State,</w:t>
      </w:r>
      <w:r>
        <w:t xml:space="preserve"> </w:t>
      </w:r>
      <w:r>
        <w:t xml:space="preserve">while retaining its legal personality.</w:t>
      </w:r>
    </w:p>
    <w:p>
      <w:pPr>
        <w:pStyle w:val="BodyText"/>
      </w:pPr>
      <w:r>
        <w:t xml:space="preserve">Cross-border division</w:t>
      </w:r>
      <w:r>
        <w:t xml:space="preserve"> </w:t>
      </w:r>
      <w:r>
        <w:t xml:space="preserve">This refers to situations where: (a) an association being divided, on being</w:t>
      </w:r>
      <w:r>
        <w:t xml:space="preserve"> </w:t>
      </w:r>
      <w:r>
        <w:t xml:space="preserve">dissolved without going into liquidation, transfers all its assets and liabilities</w:t>
      </w:r>
      <w:r>
        <w:t xml:space="preserve"> </w:t>
      </w:r>
      <w:r>
        <w:t xml:space="preserve">to two or more recipient associations in different Member States; (b) an</w:t>
      </w:r>
      <w:r>
        <w:t xml:space="preserve"> </w:t>
      </w:r>
      <w:r>
        <w:t xml:space="preserve">association being divided transfers part of its assets and liabilities to one or</w:t>
      </w:r>
      <w:r>
        <w:t xml:space="preserve"> </w:t>
      </w:r>
      <w:r>
        <w:t xml:space="preserve">more recipient associations in different Member States.</w:t>
      </w:r>
      <w:r>
        <w:t xml:space="preserve"> </w:t>
      </w:r>
      <w:r>
        <w:t xml:space="preserve">Cross-border governance role</w:t>
      </w:r>
      <w:r>
        <w:t xml:space="preserve"> </w:t>
      </w:r>
      <w:r>
        <w:t xml:space="preserve">This refers to members of statutory management bodies of an association, such</w:t>
      </w:r>
      <w:r>
        <w:t xml:space="preserve"> </w:t>
      </w:r>
      <w:r>
        <w:t xml:space="preserve">as a board of directors, supervisory board, or executive committee, who reside</w:t>
      </w:r>
      <w:r>
        <w:t xml:space="preserve"> </w:t>
      </w:r>
      <w:r>
        <w:t xml:space="preserve">in another Member State than where the relevant association is domiciled.</w:t>
      </w:r>
      <w:r>
        <w:t xml:space="preserve"> </w:t>
      </w:r>
      <w:r>
        <w:t xml:space="preserve">Cross-border merger</w:t>
      </w:r>
      <w:r>
        <w:t xml:space="preserve"> </w:t>
      </w:r>
      <w:r>
        <w:t xml:space="preserve">This refers to situations where (a) one or more associations domiciled in</w:t>
      </w:r>
      <w:r>
        <w:t xml:space="preserve"> </w:t>
      </w:r>
      <w:r>
        <w:t xml:space="preserve">different Member States, on being dissolved without going into liquidation,</w:t>
      </w:r>
      <w:r>
        <w:t xml:space="preserve"> </w:t>
      </w:r>
      <w:r>
        <w:t xml:space="preserve">transfer all their assets and liabilities to another existing association, the</w:t>
      </w:r>
      <w:r>
        <w:t xml:space="preserve"> </w:t>
      </w:r>
      <w:r>
        <w:t xml:space="preserve">acquiring association; or (b) two or more associations domiciled in different</w:t>
      </w:r>
      <w:r>
        <w:t xml:space="preserve"> </w:t>
      </w:r>
      <w:r>
        <w:t xml:space="preserve">Member States, on being dissolved without going into liquidation, transfer all</w:t>
      </w:r>
      <w:r>
        <w:t xml:space="preserve"> </w:t>
      </w:r>
      <w:r>
        <w:t xml:space="preserve">their assets and liabilities to an association that they form, the new association.</w:t>
      </w:r>
    </w:p>
    <w:p>
      <w:pPr>
        <w:pStyle w:val="BodyText"/>
      </w:pPr>
      <w:r>
        <w:t xml:space="preserve">Cross-border membership</w:t>
      </w:r>
      <w:r>
        <w:t xml:space="preserve"> </w:t>
      </w:r>
      <w:r>
        <w:t xml:space="preserve">This refers to a situation where a member of an association resides in another</w:t>
      </w:r>
      <w:r>
        <w:t xml:space="preserve"> </w:t>
      </w:r>
      <w:r>
        <w:t xml:space="preserve">Member State than the one where the relevant association is domiciled.</w:t>
      </w:r>
      <w:r>
        <w:t xml:space="preserve"> </w:t>
      </w:r>
      <w:r>
        <w:t xml:space="preserve">Cross-border mobility</w:t>
      </w:r>
      <w:r>
        <w:t xml:space="preserve"> </w:t>
      </w:r>
      <w:r>
        <w:t xml:space="preserve">This refers, in particular, to (i) a conversion of an association involving</w:t>
      </w:r>
      <w:r>
        <w:t xml:space="preserve"> </w:t>
      </w:r>
      <w:r>
        <w:t xml:space="preserve">transferring its registered office to another Member State; (ii) when an</w:t>
      </w:r>
      <w:r>
        <w:t xml:space="preserve"> </w:t>
      </w:r>
      <w:r>
        <w:t xml:space="preserve">association wants to merge with or divide from an association in another</w:t>
      </w:r>
      <w:r>
        <w:t xml:space="preserve"> </w:t>
      </w:r>
      <w:r>
        <w:t xml:space="preserve">Member State.</w:t>
      </w:r>
      <w:r>
        <w:br/>
      </w:r>
      <w:r>
        <w:t xml:space="preserve">Recognition of legal personality</w:t>
      </w:r>
      <w:r>
        <w:t xml:space="preserve"> </w:t>
      </w:r>
      <w:r>
        <w:t xml:space="preserve">This refers to the situation where an association, which has legal personality in</w:t>
      </w:r>
      <w:r>
        <w:t xml:space="preserve"> </w:t>
      </w:r>
      <w:r>
        <w:t xml:space="preserve">the Member State where it is domiciled, has therefore legal personality in all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Social economy</w:t>
      </w:r>
      <w:r>
        <w:t xml:space="preserve"> </w:t>
      </w:r>
      <w:r>
        <w:t xml:space="preserve">The social economy is an umbrella term covering a wide range of private</w:t>
      </w:r>
      <w:r>
        <w:t xml:space="preserve"> </w:t>
      </w:r>
      <w:r>
        <w:t xml:space="preserve">entities, with profit-making or non-profit making purpose, that prioritise</w:t>
      </w:r>
      <w:r>
        <w:t xml:space="preserve"> </w:t>
      </w:r>
      <w:r>
        <w:t xml:space="preserve">people, social, and environmental causes over profit. While the scope and the</w:t>
      </w:r>
      <w:r>
        <w:t xml:space="preserve"> </w:t>
      </w:r>
      <w:r>
        <w:t xml:space="preserve">terms used to describe the social economy concept can vary depending on</w:t>
      </w:r>
      <w:r>
        <w:t xml:space="preserve"> </w:t>
      </w:r>
      <w:r>
        <w:t xml:space="preserve">national traditions, it typically comprises cooperatives, mutual benefit</w:t>
      </w:r>
      <w:r>
        <w:t xml:space="preserve"> </w:t>
      </w:r>
      <w:r>
        <w:t xml:space="preserve">societies, associations (including charities), foundations, and social enterprises</w:t>
      </w:r>
      <w:r>
        <w:t xml:space="preserve"> </w:t>
      </w:r>
      <w:r>
        <w:t xml:space="preserve">(with different legal forms).</w:t>
      </w:r>
      <w:r>
        <w:br/>
      </w:r>
      <w:r>
        <w:t xml:space="preserve">Third sector</w:t>
      </w:r>
      <w:r>
        <w:t xml:space="preserve"> </w:t>
      </w:r>
      <w:r>
        <w:t xml:space="preserve">Although there is no common definition, it usually embraces institutional and</w:t>
      </w:r>
      <w:r>
        <w:t xml:space="preserve"> </w:t>
      </w:r>
      <w:r>
        <w:t xml:space="preserve">individual-action components that embody, in general, three underlying</w:t>
      </w:r>
      <w:r>
        <w:t xml:space="preserve"> </w:t>
      </w:r>
      <w:r>
        <w:t xml:space="preserve">attributes: a) private, b) primarily oriented to the public good and c) unpaid</w:t>
      </w:r>
      <w:r>
        <w:t xml:space="preserve"> </w:t>
      </w:r>
      <w:r>
        <w:t xml:space="preserve">non-compulsory work. Non-profit organisations are at the core of the third</w:t>
      </w:r>
      <w:r>
        <w:t xml:space="preserve"> </w:t>
      </w:r>
      <w:r>
        <w:t xml:space="preserve">sector. However, the third sector is wider and encompasses the non-profit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sector, also including the social economy and uncompensated work performed</w:t>
      </w:r>
      <w:r>
        <w:t xml:space="preserve"> </w:t>
      </w:r>
      <w:r>
        <w:t xml:space="preserve">through third sector organizations.</w:t>
      </w:r>
      <w:r>
        <w:t xml:space="preserve"> </w:t>
      </w:r>
      <w:r>
        <w:t xml:space="preserve">Non-profit sector</w:t>
      </w:r>
      <w:r>
        <w:t xml:space="preserve"> </w:t>
      </w:r>
      <w:r>
        <w:t xml:space="preserve">It includes entities that do not operate for the benefit of themselves but use</w:t>
      </w:r>
      <w:r>
        <w:t xml:space="preserve"> </w:t>
      </w:r>
      <w:r>
        <w:t xml:space="preserve">profits in the pursuit of their purpose.</w:t>
      </w:r>
      <w:r>
        <w:t xml:space="preserve"> </w:t>
      </w:r>
      <w:r>
        <w:t xml:space="preserve">Non-profit organisations</w:t>
      </w:r>
      <w:r>
        <w:t xml:space="preserve"> </w:t>
      </w:r>
      <w:r>
        <w:t xml:space="preserve">Entities operating in the non-profit sector not meant to operate for the benefit</w:t>
      </w:r>
      <w:r>
        <w:t xml:space="preserve"> </w:t>
      </w:r>
      <w:r>
        <w:t xml:space="preserve">of themselves, but that must use profits in the pursuit of their purpose.</w:t>
      </w:r>
      <w:r>
        <w:t xml:space="preserve"> </w:t>
      </w:r>
      <w:r>
        <w:t xml:space="preserve">Legal statuses/qualifications</w:t>
      </w:r>
      <w:r>
        <w:t xml:space="preserve"> </w:t>
      </w:r>
      <w:r>
        <w:t xml:space="preserve">They are created by national laws with the intention of awarding an</w:t>
      </w:r>
      <w:r>
        <w:t xml:space="preserve"> </w:t>
      </w:r>
      <w:r>
        <w:t xml:space="preserve">accreditation scheme that can be adopted by the organisations that meet the</w:t>
      </w:r>
      <w:r>
        <w:t xml:space="preserve"> </w:t>
      </w:r>
      <w:r>
        <w:t xml:space="preserve">requirements and must be distinguished from the notion of “legal form”. A</w:t>
      </w:r>
      <w:r>
        <w:t xml:space="preserve"> </w:t>
      </w:r>
      <w:r>
        <w:t xml:space="preserve">variety of entities, including foundations, companies and cooperatives that</w:t>
      </w:r>
      <w:r>
        <w:t xml:space="preserve"> </w:t>
      </w:r>
      <w:r>
        <w:t xml:space="preserve">meet the necessary legal requirements can adopt the status – for profit and non-</w:t>
      </w:r>
      <w:r>
        <w:t xml:space="preserve"> </w:t>
      </w:r>
      <w:r>
        <w:t xml:space="preserve">profit.</w:t>
      </w:r>
    </w:p>
    <w:p>
      <w:pPr>
        <w:pStyle w:val="BodyText"/>
      </w:pPr>
      <w:r>
        <w:t xml:space="preserve">6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br/>
      </w:r>
      <w:r>
        <w:t xml:space="preserve">The non-profit sector</w:t>
      </w:r>
      <w:r>
        <w:t xml:space="preserve"> </w:t>
      </w:r>
      <w:r>
        <w:t xml:space="preserve">The non-profit sector is instrumental for bringing together the social, green and digital</w:t>
      </w:r>
      <w:r>
        <w:t xml:space="preserve"> </w:t>
      </w:r>
      <w:r>
        <w:t xml:space="preserve">objectives of the European Union. It does so by showing “another way” to generate value and</w:t>
      </w:r>
      <w:r>
        <w:t xml:space="preserve"> </w:t>
      </w:r>
      <w:r>
        <w:t xml:space="preserve">meet societal needs that the market and, in some areas, the State cannot address.1 For instance,</w:t>
      </w:r>
      <w:r>
        <w:t xml:space="preserve"> </w:t>
      </w:r>
      <w:r>
        <w:t xml:space="preserve">the non-profit sector enables grassroots initiatives to emerge and contributes to face challenges</w:t>
      </w:r>
      <w:r>
        <w:t xml:space="preserve"> </w:t>
      </w:r>
      <w:r>
        <w:t xml:space="preserve">such as, more recently, the COVID-19 pandemic and the crisis originated by Russia’s</w:t>
      </w:r>
      <w:r>
        <w:t xml:space="preserve"> </w:t>
      </w:r>
      <w:r>
        <w:t xml:space="preserve">aggression in Ukraine, while it can also help ensure a just green transition for all parts of the</w:t>
      </w:r>
      <w:r>
        <w:t xml:space="preserve"> </w:t>
      </w:r>
      <w:r>
        <w:t xml:space="preserve">society.2 Unlocking the potential of the non-profit sector can strengthen its positive role in</w:t>
      </w:r>
      <w:r>
        <w:t xml:space="preserve"> </w:t>
      </w:r>
      <w:r>
        <w:t xml:space="preserve">generating value in economic and societal terms across the European Union. It can also help</w:t>
      </w:r>
      <w:r>
        <w:t xml:space="preserve"> </w:t>
      </w:r>
      <w:r>
        <w:t xml:space="preserve">underpin civic participation, EU values and fundamental rights.</w:t>
      </w:r>
      <w:r>
        <w:br/>
      </w:r>
      <w:r>
        <w:t xml:space="preserve">The legal form of association</w:t>
      </w:r>
      <w:r>
        <w:t xml:space="preserve"> </w:t>
      </w:r>
      <w:r>
        <w:t xml:space="preserve">Out of almost 4.6 million organisations within the non-profit sector at EU level around 87%</w:t>
      </w:r>
      <w:r>
        <w:t xml:space="preserve"> </w:t>
      </w:r>
      <w:r>
        <w:t xml:space="preserve">(3.87 million) have the legal form of associations.3 Associations are also the largest in number</w:t>
      </w:r>
      <w:r>
        <w:t xml:space="preserve"> </w:t>
      </w:r>
      <w:r>
        <w:t xml:space="preserve">of the four legal forms traditionally encompassed by the social economy,4 which includes both</w:t>
      </w:r>
      <w:r>
        <w:t xml:space="preserve"> </w:t>
      </w:r>
      <w:r>
        <w:t xml:space="preserve">non-profit and profit-making entities with or without economic activities that prioritize social</w:t>
      </w:r>
      <w:r>
        <w:t xml:space="preserve"> </w:t>
      </w:r>
      <w:r>
        <w:t xml:space="preserve">or public interest goals and share common principles and features.5 Associations are also</w:t>
      </w:r>
      <w:r>
        <w:t xml:space="preserve"> </w:t>
      </w:r>
      <w:r>
        <w:t xml:space="preserve">present in the so called third sector.6 It is important to note that, in some Member States, there</w:t>
      </w:r>
      <w:r>
        <w:t xml:space="preserve"> </w:t>
      </w:r>
      <w:r>
        <w:t xml:space="preserve">are legal statuses connected, for example, with fiscal privileges or access to public funding,</w:t>
      </w:r>
      <w:r>
        <w:t xml:space="preserve"> </w:t>
      </w:r>
      <w:r>
        <w:t xml:space="preserve">which associations may decide to acquire in addition to their legal form, provided that they</w:t>
      </w:r>
    </w:p>
    <w:p>
      <w:pPr>
        <w:pStyle w:val="FirstParagraph"/>
      </w:pPr>
      <w:r>
        <w:t xml:space="preserve">1 The non-profit sector is not strictly defined because the entities therein are very diverse and the rules outlined</w:t>
      </w:r>
      <w:r>
        <w:t xml:space="preserve"> </w:t>
      </w:r>
      <w:r>
        <w:t xml:space="preserve">for members of this sector can vary depending on the country in which they are established. The common feature</w:t>
      </w:r>
      <w:r>
        <w:t xml:space="preserve"> </w:t>
      </w:r>
      <w:r>
        <w:t xml:space="preserve">identifying entities in the non-profit sector is that they are not meant to make benefit for themselves, but they must</w:t>
      </w:r>
      <w:r>
        <w:t xml:space="preserve"> </w:t>
      </w:r>
      <w:r>
        <w:t xml:space="preserve">use profits in the pursuit of their purpose.</w:t>
      </w:r>
      <w:r>
        <w:t xml:space="preserve"> </w:t>
      </w:r>
      <w:r>
        <w:t xml:space="preserve">2 According to a recent Eurobarometer survey on “Fairness perceptions of the green transition”, 88% of EU</w:t>
      </w:r>
      <w:r>
        <w:t xml:space="preserve"> </w:t>
      </w:r>
      <w:r>
        <w:t xml:space="preserve">citizens agree that the green transition should not leave anyone behind (Special Eurobarometer 527, October</w:t>
      </w:r>
      <w:r>
        <w:t xml:space="preserve"> </w:t>
      </w:r>
      <w:r>
        <w:t xml:space="preserve">2022). Survey available at: Fairness perceptions of the green transition - Eurobarometer survey (europa.eu).</w:t>
      </w:r>
      <w:r>
        <w:t xml:space="preserve"> </w:t>
      </w:r>
      <w:r>
        <w:t xml:space="preserve">3 These figures were developed in the context of the independent study supporting this impact assessment</w:t>
      </w:r>
      <w:r>
        <w:t xml:space="preserve"> </w:t>
      </w:r>
      <w:r>
        <w:t xml:space="preserve">(hereinafter “IA study”). Concerning the figure of 87%, this is calculated based on Member State sources for</w:t>
      </w:r>
      <w:r>
        <w:t xml:space="preserve"> </w:t>
      </w:r>
      <w:r>
        <w:t xml:space="preserve">number of associations and NPOs. The basis for this figure is very robust as most Member States have recent and</w:t>
      </w:r>
      <w:r>
        <w:t xml:space="preserve"> </w:t>
      </w:r>
      <w:r>
        <w:t xml:space="preserve">reliable data. The relative number of organisations per country is factored in to yield the weighted average, see</w:t>
      </w:r>
      <w:r>
        <w:t xml:space="preserve"> </w:t>
      </w:r>
      <w:r>
        <w:t xml:space="preserve">Annex 4 (Section 2.1). Placeholder for publication reference to the IA study when available</w:t>
      </w:r>
      <w:r>
        <w:t xml:space="preserve"> </w:t>
      </w:r>
      <w:r>
        <w:t xml:space="preserve">4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 ‘Building an economy that works for people: an action plan</w:t>
      </w:r>
      <w:r>
        <w:t xml:space="preserve"> </w:t>
      </w:r>
      <w:r>
        <w:t xml:space="preserve">for the social economy’ of December 2021. Hereinafter “the Social Economy Action Plan”. The other legal entities</w:t>
      </w:r>
      <w:r>
        <w:t xml:space="preserve"> </w:t>
      </w:r>
      <w:r>
        <w:t xml:space="preserve">present in the social economy are cooperatives, mutual benefit societies (or mutuals) and foundations.</w:t>
      </w:r>
      <w:r>
        <w:t xml:space="preserve"> </w:t>
      </w:r>
      <w:r>
        <w:t xml:space="preserve">5 According to the Social Economy Action Plan, the social economy covers entities sharing the following main</w:t>
      </w:r>
      <w:r>
        <w:t xml:space="preserve"> </w:t>
      </w:r>
      <w:r>
        <w:t xml:space="preserve">common principles and features: the primacy of people as well as social and/or environmental purpose over profit,</w:t>
      </w:r>
      <w:r>
        <w:t xml:space="preserve"> </w:t>
      </w:r>
      <w:r>
        <w:t xml:space="preserve">the reinvestment of most of the profits and surpluses to carry out activities in the interest of members/users</w:t>
      </w:r>
      <w:r>
        <w:t xml:space="preserve"> </w:t>
      </w:r>
      <w:r>
        <w:t xml:space="preserve">(“collective interest”) or society at large (“general interest”) and democratic and/or participatory governance.</w:t>
      </w:r>
      <w:r>
        <w:t xml:space="preserve"> </w:t>
      </w:r>
      <w:r>
        <w:t xml:space="preserve">6There is no common definition of the “third sector” which embraces institutional and individual-action</w:t>
      </w:r>
      <w:r>
        <w:t xml:space="preserve"> </w:t>
      </w:r>
      <w:r>
        <w:t xml:space="preserve">components that embody, in general, three underlying attributes: a) private, b) primarily oriented to the public</w:t>
      </w:r>
      <w:r>
        <w:t xml:space="preserve"> </w:t>
      </w:r>
      <w:r>
        <w:t xml:space="preserve">good and c) unpaid non-compulsory work (volunteering). Non-profit organisations are at the core of the third</w:t>
      </w:r>
      <w:r>
        <w:t xml:space="preserve"> </w:t>
      </w:r>
      <w:r>
        <w:t xml:space="preserve">sector. However, the definition of the third sector is wider and encompasses in addition to non-profit</w:t>
      </w:r>
      <w:r>
        <w:t xml:space="preserve"> </w:t>
      </w:r>
      <w:r>
        <w:t xml:space="preserve">organisations the social economy and uncompensated work performed through third sector organizations</w:t>
      </w:r>
      <w:r>
        <w:t xml:space="preserve"> </w:t>
      </w:r>
      <w:r>
        <w:t xml:space="preserve">(volunteerism). Beyond Non-profits: In Search of the Third Sector, Lester M. Salamon &amp; Wojciech Sokolowski,</w:t>
      </w:r>
      <w:r>
        <w:t xml:space="preserve"> </w:t>
      </w:r>
      <w:r>
        <w:t xml:space="preserve">2018.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satisfy specific requirements for such qualifications and depending on the jurisdiction where</w:t>
      </w:r>
      <w:r>
        <w:t xml:space="preserve"> </w:t>
      </w:r>
      <w:r>
        <w:t xml:space="preserve">they operate.7</w:t>
      </w:r>
      <w:r>
        <w:t xml:space="preserve"> </w:t>
      </w:r>
      <w:r>
        <w:t xml:space="preserve">Figure 1 provides an overview of the legal forms commonly present in the social economy )</w:t>
      </w:r>
      <w:r>
        <w:t xml:space="preserve"> </w:t>
      </w:r>
      <w:r>
        <w:t xml:space="preserve">the non-profit sector and the third sector, as well as the legal statuses (or qualifications) that</w:t>
      </w:r>
      <w:r>
        <w:t xml:space="preserve"> </w:t>
      </w:r>
      <w:r>
        <w:t xml:space="preserve">associations may decide to acquire. Annex 9 provides more information on the legal forms in</w:t>
      </w:r>
      <w:r>
        <w:t xml:space="preserve"> </w:t>
      </w:r>
      <w:r>
        <w:t xml:space="preserve">the social economy and the non-profit sector.</w:t>
      </w:r>
    </w:p>
    <w:p>
      <w:pPr>
        <w:pStyle w:val="BodyText"/>
      </w:pPr>
      <w:r>
        <w:t xml:space="preserve">Figure 1: Overview of common legal forms and statuses present in the non-profit sector, the social economy and</w:t>
      </w:r>
      <w:r>
        <w:t xml:space="preserve"> </w:t>
      </w:r>
      <w:r>
        <w:t xml:space="preserve">the third sector.</w:t>
      </w:r>
      <w:r>
        <w:t xml:space="preserve"> </w:t>
      </w:r>
      <w:r>
        <w:t xml:space="preserve">Non-profit associations are membership-based legal forms that may or may not perform</w:t>
      </w:r>
      <w:r>
        <w:t xml:space="preserve"> </w:t>
      </w:r>
      <w:r>
        <w:t xml:space="preserve">entrepreneurial/economic activities, serving a collective or social interest or public benefit, and</w:t>
      </w:r>
      <w:r>
        <w:t xml:space="preserve"> </w:t>
      </w:r>
      <w:r>
        <w:t xml:space="preserve">any revenues they generate exceeding expenses must be committed to the entity’s purpose</w:t>
      </w:r>
      <w:r>
        <w:t xml:space="preserve"> </w:t>
      </w:r>
      <w:r>
        <w:t xml:space="preserve">(contrary to entities operating as a business aiming to generate profit and distribute it to it</w:t>
      </w:r>
      <w:r>
        <w:t xml:space="preserve"> </w:t>
      </w:r>
      <w:r>
        <w:t xml:space="preserve">owners or shareholders). Associations are active in all Member States, where they provide</w:t>
      </w:r>
      <w:r>
        <w:t xml:space="preserve"> </w:t>
      </w:r>
      <w:r>
        <w:t xml:space="preserve">goods and services, addressing needs ranging from local communities to broader societal</w:t>
      </w:r>
      <w:r>
        <w:t xml:space="preserve"> </w:t>
      </w:r>
      <w:r>
        <w:t xml:space="preserve">challenges, and lower the threshold for civic participation in sectors such as sports, recreation</w:t>
      </w:r>
      <w:r>
        <w:t xml:space="preserve"> </w:t>
      </w:r>
      <w:r>
        <w:t xml:space="preserve">and culture, as well as in social and health services, education and training. While they largely</w:t>
      </w:r>
      <w:r>
        <w:t xml:space="preserve"> </w:t>
      </w:r>
      <w:r>
        <w:t xml:space="preserve">operate at local and national level, there are already associations that operate in several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7 As an example, entities legally established in the form of an association can assume the legal status or</w:t>
      </w:r>
      <w:r>
        <w:t xml:space="preserve"> </w:t>
      </w:r>
      <w:r>
        <w:t xml:space="preserve">qualification of non-profit organizations (NPOs), public benefit organizations (PBOs), non-governmental</w:t>
      </w:r>
      <w:r>
        <w:t xml:space="preserve"> </w:t>
      </w:r>
      <w:r>
        <w:t xml:space="preserve">organizations (NGOs), civil society organizations (CSOs), third sector organizations (TSOs), charities, provided</w:t>
      </w:r>
      <w:r>
        <w:t xml:space="preserve"> </w:t>
      </w:r>
      <w:r>
        <w:t xml:space="preserve">they satisfy the legal requirements for such qualifications. Additionally, other legal statuses may be relevant when</w:t>
      </w:r>
      <w:r>
        <w:t xml:space="preserve"> </w:t>
      </w:r>
      <w:r>
        <w:t xml:space="preserve">discussing about associations (e.g. social enterprise and social economy organization).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Associations are regulated through legislation and rules specific to them in 24 out of 27</w:t>
      </w:r>
      <w:r>
        <w:t xml:space="preserve"> </w:t>
      </w:r>
      <w:r>
        <w:t xml:space="preserve">Member States (Annex 10 provides an overview of the legal regimes of associations in the</w:t>
      </w:r>
      <w:r>
        <w:t xml:space="preserve"> </w:t>
      </w:r>
      <w:r>
        <w:t xml:space="preserve">Member States).8</w:t>
      </w:r>
      <w:r>
        <w:br/>
      </w:r>
      <w:r>
        <w:t xml:space="preserve">According to the legal comparative analysis conducted in the IA study underpinning the</w:t>
      </w:r>
      <w:r>
        <w:t xml:space="preserve"> </w:t>
      </w:r>
      <w:r>
        <w:t xml:space="preserve">preparation of the impact assessment, national regulatory frameworks are, in principle,</w:t>
      </w:r>
      <w:r>
        <w:t xml:space="preserve"> </w:t>
      </w:r>
      <w:r>
        <w:t xml:space="preserve">adequate for the development of associations operating at national level. At the same time,</w:t>
      </w:r>
      <w:r>
        <w:t xml:space="preserve"> </w:t>
      </w:r>
      <w:r>
        <w:t xml:space="preserve">rules on cross-border aspects of associations are generally not provided for in national</w:t>
      </w:r>
      <w:r>
        <w:t xml:space="preserve"> </w:t>
      </w:r>
      <w:r>
        <w:t xml:space="preserve">legislations or, when provided, they differ or they may be effectively constraining associations</w:t>
      </w:r>
      <w:r>
        <w:t xml:space="preserve"> </w:t>
      </w:r>
      <w:r>
        <w:t xml:space="preserve">operating in more than one Member State. This results in regulatory fragmentation legal</w:t>
      </w:r>
      <w:r>
        <w:t xml:space="preserve"> </w:t>
      </w:r>
      <w:r>
        <w:t xml:space="preserve">uncertainty about the applicable rules and unjustified administrative practices and costs for</w:t>
      </w:r>
      <w:r>
        <w:t xml:space="preserve"> </w:t>
      </w:r>
      <w:r>
        <w:t xml:space="preserve">associations, creating barriers for those associations engaged or wishing to engage in activities</w:t>
      </w:r>
      <w:r>
        <w:t xml:space="preserve"> </w:t>
      </w:r>
      <w:r>
        <w:t xml:space="preserve">in more than one Member State (Annex 11 summarises national rules on cross-border aspects</w:t>
      </w:r>
      <w:r>
        <w:t xml:space="preserve"> </w:t>
      </w:r>
      <w:r>
        <w:t xml:space="preserve">of associations).</w:t>
      </w:r>
      <w:r>
        <w:t xml:space="preserve"> </w:t>
      </w:r>
      <w:r>
        <w:t xml:space="preserve">Against this background, the initiative assessed in this impact assessment report (‘IA Study’)</w:t>
      </w:r>
      <w:r>
        <w:t xml:space="preserve"> </w:t>
      </w:r>
      <w:r>
        <w:t xml:space="preserve">focuses on non-profit associations as the predominant legal form in the non-profit sector and</w:t>
      </w:r>
      <w:r>
        <w:t xml:space="preserve"> </w:t>
      </w:r>
      <w:r>
        <w:t xml:space="preserve">aims create an enabling framework for cross-border activities of associations in the single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1.1 Scope of the initiative</w:t>
      </w:r>
      <w:r>
        <w:br/>
      </w:r>
      <w:r>
        <w:t xml:space="preserve">With the view to unlocking the potential of the non-profit sector in the EU, this initiative</w:t>
      </w:r>
      <w:r>
        <w:t xml:space="preserve"> </w:t>
      </w:r>
      <w:r>
        <w:t xml:space="preserve">captures “non-profit associations” having a legal personality and seeks to address barriers that</w:t>
      </w:r>
      <w:r>
        <w:t xml:space="preserve"> </w:t>
      </w:r>
      <w:r>
        <w:t xml:space="preserve">they face in their cross-border activities and mobility in the single market (as described in</w:t>
      </w:r>
      <w:r>
        <w:t xml:space="preserve"> </w:t>
      </w:r>
      <w:r>
        <w:t xml:space="preserve">Section 2). The entities in the scope of the initiative will be hereinafter referred as</w:t>
      </w:r>
      <w:r>
        <w:t xml:space="preserve"> </w:t>
      </w:r>
      <w:r>
        <w:t xml:space="preserve">“associations”.</w:t>
      </w:r>
      <w:r>
        <w:t xml:space="preserve"> </w:t>
      </w:r>
      <w:r>
        <w:t xml:space="preserve">As associations represent the predominant legal form among non-profit organisations at EU</w:t>
      </w:r>
      <w:r>
        <w:t xml:space="preserve"> </w:t>
      </w:r>
      <w:r>
        <w:t xml:space="preserve">level and through their membership-based structure, they have a direct leverage effect on</w:t>
      </w:r>
      <w:r>
        <w:t xml:space="preserve"> </w:t>
      </w:r>
      <w:r>
        <w:t xml:space="preserve">citizens who are members, donors or beneficiaries of their activities. Therefore, creating an</w:t>
      </w:r>
      <w:r>
        <w:t xml:space="preserve"> </w:t>
      </w:r>
      <w:r>
        <w:t xml:space="preserve">enabling framework for cross-border activities of associations has potentially a multiplying</w:t>
      </w:r>
      <w:r>
        <w:t xml:space="preserve"> </w:t>
      </w:r>
      <w:r>
        <w:t xml:space="preserve">positive impact on the largest part of the EU non-profit sector.</w:t>
      </w:r>
      <w:r>
        <w:t xml:space="preserve"> </w:t>
      </w:r>
      <w:r>
        <w:t xml:space="preserve">This said, cross-border obstacles faced by associations in the areas of taxation and labour law</w:t>
      </w:r>
      <w:r>
        <w:t xml:space="preserve"> </w:t>
      </w:r>
      <w:r>
        <w:t xml:space="preserve">will not be addressed by this initiative, taking into account the EU limited competence in these</w:t>
      </w:r>
      <w:r>
        <w:t xml:space="preserve"> </w:t>
      </w:r>
      <w:r>
        <w:t xml:space="preserve">areas and the principles of proportionality and subsidiarity (notably taxation aspects will be</w:t>
      </w:r>
      <w:r>
        <w:t xml:space="preserve"> </w:t>
      </w:r>
      <w:r>
        <w:t xml:space="preserve">tackled through specific factsheets on legislative frameworks and case-law, as explained in</w:t>
      </w:r>
      <w:r>
        <w:t xml:space="preserve"> </w:t>
      </w:r>
      <w:r>
        <w:t xml:space="preserve">Sections 1.2 and 2 and in Annexes 9 and 12).</w:t>
      </w:r>
    </w:p>
    <w:p>
      <w:pPr>
        <w:pStyle w:val="BodyText"/>
      </w:pPr>
      <w:r>
        <w:t xml:space="preserve">8 With the exception of Ireland, Denmark and Sweden.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Other legal forms present in the non-profit sector and the social economy, such as foundations,9</w:t>
      </w:r>
      <w:r>
        <w:t xml:space="preserve"> </w:t>
      </w:r>
      <w:r>
        <w:t xml:space="preserve">cooperatives and mutual societies, are excluded from the scope of this initiative (as explained</w:t>
      </w:r>
      <w:r>
        <w:t xml:space="preserve"> </w:t>
      </w:r>
      <w:r>
        <w:t xml:space="preserve">in Annex 9).</w:t>
      </w:r>
      <w:r>
        <w:br/>
      </w:r>
      <w:r>
        <w:t xml:space="preserve">Entities excluded from the scope of the initiative are outlined in Box 1.</w:t>
      </w:r>
      <w:r>
        <w:t xml:space="preserve"> </w:t>
      </w:r>
      <w:r>
        <w:t xml:space="preserve">Box 1: Non-profit sector and social economy entities and types of associations excluded from the scope of this</w:t>
      </w:r>
      <w:r>
        <w:t xml:space="preserve"> </w:t>
      </w:r>
      <w:r>
        <w:t xml:space="preserve">initiative and not assessed in this IA.</w:t>
      </w:r>
      <w:r>
        <w:t xml:space="preserve"> </w:t>
      </w:r>
      <w:r>
        <w:t xml:space="preserve">▪ Foundations, cooperatives and mutual societies (as explained in Annex 9)</w:t>
      </w:r>
      <w:r>
        <w:t xml:space="preserve"> </w:t>
      </w:r>
      <w:r>
        <w:t xml:space="preserve">▪ Political parties, due to their particular status within national and EU law10</w:t>
      </w:r>
      <w:r>
        <w:t xml:space="preserve"> </w:t>
      </w:r>
      <w:r>
        <w:t xml:space="preserve">▪ trade unions11</w:t>
      </w:r>
      <w:r>
        <w:t xml:space="preserve"> </w:t>
      </w:r>
      <w:r>
        <w:t xml:space="preserve">▪ Churches and other religious communities and philosophical or non-confessional</w:t>
      </w:r>
      <w:r>
        <w:t xml:space="preserve"> </w:t>
      </w:r>
      <w:r>
        <w:t xml:space="preserve">organisations (as referred to in Article 17.1 TFEU) due to their particular status within</w:t>
      </w:r>
      <w:r>
        <w:t xml:space="preserve"> </w:t>
      </w:r>
      <w:r>
        <w:t xml:space="preserve">national law which the Union is bound to respect</w:t>
      </w:r>
      <w:r>
        <w:t xml:space="preserve"> </w:t>
      </w:r>
      <w:r>
        <w:t xml:space="preserve">▪ The so-called “economic associations” present in a few Member States (i.e. Germany,</w:t>
      </w:r>
      <w:r>
        <w:t xml:space="preserve"> </w:t>
      </w:r>
      <w:r>
        <w:t xml:space="preserve">Denmark, Finland, and Sweden), due to their profit-making purpose12</w:t>
      </w:r>
    </w:p>
    <w:p>
      <w:pPr>
        <w:pStyle w:val="BodyText"/>
      </w:pPr>
      <w:r>
        <w:t xml:space="preserve">1.2 Political context</w:t>
      </w:r>
      <w:r>
        <w:br/>
      </w:r>
      <w:r>
        <w:t xml:space="preserve">The initiative is embedded in the broader political objectives of the European Green Deal and</w:t>
      </w:r>
      <w:r>
        <w:t xml:space="preserve"> </w:t>
      </w:r>
      <w:r>
        <w:t xml:space="preserve">the Digital Decade 2030.</w:t>
      </w:r>
      <w:r>
        <w:br/>
      </w:r>
      <w:r>
        <w:t xml:space="preserve">More specifically, it addresses the political priority “An economy that works for people”13,</w:t>
      </w:r>
      <w:r>
        <w:t xml:space="preserve"> </w:t>
      </w:r>
      <w:r>
        <w:t xml:space="preserve">contributing to the objective of “an economy that can fully respond to the needs of EU citizens</w:t>
      </w:r>
      <w:r>
        <w:t xml:space="preserve"> </w:t>
      </w:r>
      <w:r>
        <w:t xml:space="preserve">thereby ensuring social fairness and prosperity”. In this sense, the initiative interlinks with the</w:t>
      </w:r>
      <w:r>
        <w:t xml:space="preserve"> </w:t>
      </w:r>
      <w:r>
        <w:t xml:space="preserve">other measures announced in the Social Economy Action Plan and forms with them the Social</w:t>
      </w:r>
      <w:r>
        <w:t xml:space="preserve"> </w:t>
      </w:r>
      <w:r>
        <w:t xml:space="preserve">Economy framework as follows:</w:t>
      </w:r>
      <w:r>
        <w:t xml:space="preserve"> </w:t>
      </w:r>
      <w:r>
        <w:t xml:space="preserve">First, a proposal for a Council Recommendation on developing social economy framework</w:t>
      </w:r>
      <w:r>
        <w:t xml:space="preserve"> </w:t>
      </w:r>
      <w:r>
        <w:t xml:space="preserve">conditions in the Member States which will recommend Member States to integrate the social</w:t>
      </w:r>
      <w:r>
        <w:t xml:space="preserve"> </w:t>
      </w:r>
      <w:r>
        <w:t xml:space="preserve">economy into their socio-economic policies and create a favourable environment for the sector,</w:t>
      </w:r>
      <w:r>
        <w:t xml:space="preserve"> </w:t>
      </w:r>
      <w:r>
        <w:t xml:space="preserve">including through targeted public policies and adapted legal frameworks. Having as objective</w:t>
      </w:r>
    </w:p>
    <w:p>
      <w:pPr>
        <w:pStyle w:val="BodyText"/>
      </w:pPr>
      <w:r>
        <w:t xml:space="preserve">9 When it comes to foundations in particular, it is important to note the following elements to exclude them from</w:t>
      </w:r>
      <w:r>
        <w:t xml:space="preserve"> </w:t>
      </w:r>
      <w:r>
        <w:t xml:space="preserve">the scope of the initiative (as further explained in Annex 9): important differences exist between foundations and</w:t>
      </w:r>
      <w:r>
        <w:t xml:space="preserve"> </w:t>
      </w:r>
      <w:r>
        <w:t xml:space="preserve">associations; one of the major problems that for example foundations face when operating cross-border is taxation-</w:t>
      </w:r>
      <w:r>
        <w:t xml:space="preserve"> </w:t>
      </w:r>
      <w:r>
        <w:t xml:space="preserve">related; a Commission proposal seeking to create a single European legal form for public benefit purpose</w:t>
      </w:r>
      <w:r>
        <w:t xml:space="preserve"> </w:t>
      </w:r>
      <w:r>
        <w:t xml:space="preserve">foundations (i.e. the European Foundation) was withdrawn in 2015 due to the lack of consensus among</w:t>
      </w:r>
      <w:r>
        <w:t xml:space="preserve"> </w:t>
      </w:r>
      <w:r>
        <w:t xml:space="preserve">MemberStates.</w:t>
      </w:r>
      <w:r>
        <w:t xml:space="preserve"> </w:t>
      </w:r>
      <w:r>
        <w:t xml:space="preserve">10 Regulation (EU, Euratom) No 1141/2014 on the statute and funding of European political parties and European</w:t>
      </w:r>
      <w:r>
        <w:t xml:space="preserve"> </w:t>
      </w:r>
      <w:r>
        <w:t xml:space="preserve">political foundations, under ongoing revision.</w:t>
      </w:r>
      <w:r>
        <w:t xml:space="preserve"> </w:t>
      </w:r>
      <w:r>
        <w:t xml:space="preserve">11 In line with Article 153 TFEU relevant to the right of association for representation and defence of the interests</w:t>
      </w:r>
      <w:r>
        <w:t xml:space="preserve"> </w:t>
      </w:r>
      <w:r>
        <w:t xml:space="preserve">of workers and employers.</w:t>
      </w:r>
      <w:r>
        <w:t xml:space="preserve"> </w:t>
      </w:r>
      <w:r>
        <w:t xml:space="preserve">12IA study. They are not considered as associations in the strict sense, because they do not share the same (non-</w:t>
      </w:r>
      <w:r>
        <w:t xml:space="preserve"> </w:t>
      </w:r>
      <w:r>
        <w:t xml:space="preserve">profit) purpose and, therefore, fall within another category of private law organizations (such as cooperatives).</w:t>
      </w:r>
      <w:r>
        <w:t xml:space="preserve"> </w:t>
      </w:r>
      <w:r>
        <w:t xml:space="preserve">13 The European Commission priorities for 2019-24.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to foster access to the labour market and social inclusion, it will touch upon a variety of areas</w:t>
      </w:r>
      <w:r>
        <w:t xml:space="preserve"> </w:t>
      </w:r>
      <w:r>
        <w:t xml:space="preserve">of relevance to the social economy, such as employment policy, education, skills and training,</w:t>
      </w:r>
      <w:r>
        <w:t xml:space="preserve"> </w:t>
      </w:r>
      <w:r>
        <w:t xml:space="preserve">social services, green transition, territorial cohesion, data and research, access to funding,</w:t>
      </w:r>
      <w:r>
        <w:t xml:space="preserve"> </w:t>
      </w:r>
      <w:r>
        <w:t xml:space="preserve">access to markets, State aid, taxation, public procurement, and social impact measurement.</w:t>
      </w:r>
      <w:r>
        <w:t xml:space="preserve"> </w:t>
      </w:r>
      <w:r>
        <w:t xml:space="preserve">Despite the difference in scope, the proposal for a Council Recommendation is particularly</w:t>
      </w:r>
      <w:r>
        <w:t xml:space="preserve"> </w:t>
      </w:r>
      <w:r>
        <w:t xml:space="preserve">linked with the current initiative in that it is promoting an enabling environment for social</w:t>
      </w:r>
      <w:r>
        <w:t xml:space="preserve"> </w:t>
      </w:r>
      <w:r>
        <w:t xml:space="preserve">economy entities, including associations, but it does not touch upon cross-border activities of</w:t>
      </w:r>
      <w:r>
        <w:t xml:space="preserve"> </w:t>
      </w:r>
      <w:r>
        <w:t xml:space="preserve">associations specifically and its recommendations are non-binding for the Member States.</w:t>
      </w:r>
      <w:r>
        <w:t xml:space="preserve"> </w:t>
      </w:r>
      <w:r>
        <w:t xml:space="preserve">Therefore, there is no overlap between the two initiatives.</w:t>
      </w:r>
      <w:r>
        <w:t xml:space="preserve"> </w:t>
      </w:r>
      <w:r>
        <w:t xml:space="preserve">Second, two Commission Staff Working Documents (notably on “relevant taxation</w:t>
      </w:r>
      <w:r>
        <w:t xml:space="preserve"> </w:t>
      </w:r>
      <w:r>
        <w:t xml:space="preserve">frameworks for social economy entities” and on “non-discriminatory taxation of charitable</w:t>
      </w:r>
      <w:r>
        <w:t xml:space="preserve"> </w:t>
      </w:r>
      <w:r>
        <w:t xml:space="preserve">organisations and their donors: principles drawn from EU case-law,”) are planned to be</w:t>
      </w:r>
      <w:r>
        <w:t xml:space="preserve"> </w:t>
      </w:r>
      <w:r>
        <w:t xml:space="preserve">presented together with this initiative. They will provide factual information as to the state of</w:t>
      </w:r>
      <w:r>
        <w:t xml:space="preserve"> </w:t>
      </w:r>
      <w:r>
        <w:t xml:space="preserve">play of legislative frameworks in Member States and the case-law on taxation matters, thus</w:t>
      </w:r>
      <w:r>
        <w:t xml:space="preserve"> </w:t>
      </w:r>
      <w:r>
        <w:t xml:space="preserve">tackling cross-border taxation obstacles falling out of the scope of this initiative.14</w:t>
      </w:r>
      <w:r>
        <w:t xml:space="preserve"> </w:t>
      </w:r>
      <w:r>
        <w:t xml:space="preserve">The Social Economy Action Plan recognised that associations face constraints in operating</w:t>
      </w:r>
      <w:r>
        <w:t xml:space="preserve"> </w:t>
      </w:r>
      <w:r>
        <w:t xml:space="preserve">cross-border and referred to a forthcoming European Parliament initiative15, which was</w:t>
      </w:r>
      <w:r>
        <w:t xml:space="preserve"> </w:t>
      </w:r>
      <w:r>
        <w:t xml:space="preserve">eventually adopted in February 2022. This European Parliament resolution aims to promote</w:t>
      </w:r>
      <w:r>
        <w:t xml:space="preserve"> </w:t>
      </w:r>
      <w:r>
        <w:t xml:space="preserve">associations and other non-profit organisations in the EU in completing the single market,</w:t>
      </w:r>
      <w:r>
        <w:t xml:space="preserve"> </w:t>
      </w:r>
      <w:r>
        <w:t xml:space="preserve">protecting their fundamental rights and fostering an EU democratic space. It asked the</w:t>
      </w:r>
      <w:r>
        <w:t xml:space="preserve"> </w:t>
      </w:r>
      <w:r>
        <w:t xml:space="preserve">Commission, under Article 225 TFEU, to submit two new legislative proposals: a Regulation</w:t>
      </w:r>
      <w:r>
        <w:t xml:space="preserve"> </w:t>
      </w:r>
      <w:r>
        <w:t xml:space="preserve">(under Article 352 TFEU), which creates the legal form of “European Associations”, and a</w:t>
      </w:r>
      <w:r>
        <w:t xml:space="preserve"> </w:t>
      </w:r>
      <w:r>
        <w:t xml:space="preserve">Directive harmonising common minimum standards for NPOs (under Article 114 TFEU).</w:t>
      </w:r>
      <w:r>
        <w:t xml:space="preserve"> </w:t>
      </w:r>
      <w:r>
        <w:t xml:space="preserve">Sharing the need to create an enabling environment for the non-profit sector, as stemming from</w:t>
      </w:r>
      <w:r>
        <w:t xml:space="preserve"> </w:t>
      </w:r>
      <w:r>
        <w:t xml:space="preserve">the EP resolution, and building on the objectives of the Social Economy Action Plan, the</w:t>
      </w:r>
      <w:r>
        <w:t xml:space="preserve"> </w:t>
      </w:r>
      <w:r>
        <w:t xml:space="preserve">Commission committed to pursue the matter. This initiative is, therefore, included in the</w:t>
      </w:r>
      <w:r>
        <w:t xml:space="preserve"> </w:t>
      </w:r>
      <w:r>
        <w:t xml:space="preserve">Commission work programme 2023, as part of the Social Economy framework, and is</w:t>
      </w:r>
      <w:r>
        <w:t xml:space="preserve"> </w:t>
      </w:r>
      <w:r>
        <w:t xml:space="preserve">complemented by the measures mentioned above. The Social Economy framework will address</w:t>
      </w:r>
      <w:r>
        <w:t xml:space="preserve"> </w:t>
      </w:r>
      <w:r>
        <w:t xml:space="preserve">the broader scope of issues raised in the European Parliament resolution, combining legislative</w:t>
      </w:r>
      <w:r>
        <w:t xml:space="preserve"> </w:t>
      </w:r>
      <w:r>
        <w:t xml:space="preserve">and non-legislative actions, in line with the principles of subsidiarity and proportionality</w:t>
      </w:r>
      <w:r>
        <w:t xml:space="preserve"> </w:t>
      </w:r>
      <w:r>
        <w:t xml:space="preserve">(details are provided in Annex 9).</w:t>
      </w:r>
      <w:r>
        <w:br/>
      </w:r>
      <w:r>
        <w:t xml:space="preserve">Furthermore, this initiative may have links with the ‘Defence of Democracy package’ (see the</w:t>
      </w:r>
      <w:r>
        <w:t xml:space="preserve"> </w:t>
      </w:r>
      <w:r>
        <w:t xml:space="preserve">Call for Evidence of 16 February 2023), announced under the political priority of “A new push</w:t>
      </w:r>
      <w:r>
        <w:t xml:space="preserve"> </w:t>
      </w:r>
      <w:r>
        <w:t xml:space="preserve">for European democracy”.</w:t>
      </w:r>
    </w:p>
    <w:p>
      <w:pPr>
        <w:pStyle w:val="BodyText"/>
      </w:pPr>
      <w:r>
        <w:t xml:space="preserve">14 SWD(2023) 211 on “Relevant taxation frameworks for social economy entities, which is based on available</w:t>
      </w:r>
      <w:r>
        <w:t xml:space="preserve"> </w:t>
      </w:r>
      <w:r>
        <w:t xml:space="preserve">analysis and input provided by Member States’ authorities and social economy stakeholders; and SWD(2023) 212</w:t>
      </w:r>
      <w:r>
        <w:t xml:space="preserve"> </w:t>
      </w:r>
      <w:r>
        <w:t xml:space="preserve">on “Non-discriminatory taxation of charitable organisations and their donors: principles drawn from EU case-</w:t>
      </w:r>
      <w:r>
        <w:t xml:space="preserve"> </w:t>
      </w:r>
      <w:r>
        <w:t xml:space="preserve">law,” which provides a description of this key principle as interpreted by the Court of Justice of the 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15 Social Economy Action Plan, page 5.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Addressing cross-border aspects of non-profit associations as civil society actors, this initiative</w:t>
      </w:r>
      <w:r>
        <w:t xml:space="preserve"> </w:t>
      </w:r>
      <w:r>
        <w:t xml:space="preserve">is also in line with the findings of the 2022 Annual report on the application of the EU</w:t>
      </w:r>
      <w:r>
        <w:t xml:space="preserve"> </w:t>
      </w:r>
      <w:r>
        <w:t xml:space="preserve">Charter of Fundamental Rights, which stresses that civil society organisations may advocate</w:t>
      </w:r>
      <w:r>
        <w:t xml:space="preserve"> </w:t>
      </w:r>
      <w:r>
        <w:t xml:space="preserve">policies and legislation beyond the borders of Member States and that their role is particularly</w:t>
      </w:r>
      <w:r>
        <w:t xml:space="preserve"> </w:t>
      </w:r>
      <w:r>
        <w:t xml:space="preserve">relevant in the context of current challenges the EU if facing.16 In this connection, the</w:t>
      </w:r>
      <w:r>
        <w:t xml:space="preserve"> </w:t>
      </w:r>
      <w:r>
        <w:t xml:space="preserve">Conference on the Future of Europe recognises the important role of the civil society and</w:t>
      </w:r>
      <w:r>
        <w:t xml:space="preserve"> </w:t>
      </w:r>
      <w:r>
        <w:t xml:space="preserve">mentions the need for a statute for European cross-border associations and non-profit</w:t>
      </w:r>
      <w:r>
        <w:t xml:space="preserve"> </w:t>
      </w:r>
      <w:r>
        <w:t xml:space="preserve">organisations.17</w:t>
      </w:r>
      <w:r>
        <w:t xml:space="preserve"> </w:t>
      </w:r>
      <w:r>
        <w:t xml:space="preserve">This initiative further underpins the political priority “a Europe fit for the digital age” by</w:t>
      </w:r>
      <w:r>
        <w:t xml:space="preserve"> </w:t>
      </w:r>
      <w:r>
        <w:t xml:space="preserve">seeking to facilitate the cross-border activities of associations and thereby enabling them to</w:t>
      </w:r>
      <w:r>
        <w:t xml:space="preserve"> </w:t>
      </w:r>
      <w:r>
        <w:t xml:space="preserve">play an active role in responding to the opportunities and challenges of the digital</w:t>
      </w:r>
      <w:r>
        <w:t xml:space="preserve"> </w:t>
      </w:r>
      <w:r>
        <w:t xml:space="preserve">transformation.18 This is relevant for strengthening freedoms of information and expression in</w:t>
      </w:r>
      <w:r>
        <w:t xml:space="preserve"> </w:t>
      </w:r>
      <w:r>
        <w:t xml:space="preserve">civil society (e.g. European Media Freedom Act), as well as for boosting civic engagement,</w:t>
      </w:r>
      <w:r>
        <w:t xml:space="preserve"> </w:t>
      </w:r>
      <w:r>
        <w:t xml:space="preserve">especially for youth, and volunteerism in general. In this regard, the European Solidarity Corps,</w:t>
      </w:r>
      <w:r>
        <w:t xml:space="preserve"> </w:t>
      </w:r>
      <w:r>
        <w:t xml:space="preserve">financing volunteering and solidary projects in the EU and partner countries aiming at</w:t>
      </w:r>
      <w:r>
        <w:t xml:space="preserve"> </w:t>
      </w:r>
      <w:r>
        <w:t xml:space="preserve">addressing unmet societal needs, constitutes a concrete illustration.</w:t>
      </w:r>
      <w:r>
        <w:t xml:space="preserve"> </w:t>
      </w:r>
      <w:r>
        <w:t xml:space="preserve">This initiative also supports the objectives of the EU Industrial Strategy and its update of</w:t>
      </w:r>
      <w:r>
        <w:t xml:space="preserve"> </w:t>
      </w:r>
      <w:r>
        <w:t xml:space="preserve">May 2021,19 and in particular the Proximity and Social Economy ecosystem, one of the 14</w:t>
      </w:r>
      <w:r>
        <w:t xml:space="preserve"> </w:t>
      </w:r>
      <w:r>
        <w:t xml:space="preserve">industrial ecosystems identified as critical for post-COVID recovery, for the resilience of the</w:t>
      </w:r>
      <w:r>
        <w:t xml:space="preserve"> </w:t>
      </w:r>
      <w:r>
        <w:t xml:space="preserve">EU economy and for the green and digital transition. In this context, the transition pathway for</w:t>
      </w:r>
      <w:r>
        <w:t xml:space="preserve"> </w:t>
      </w:r>
      <w:r>
        <w:t xml:space="preserve">Proximity and Social Economy presented in November 2022,20 mapped barriers and</w:t>
      </w:r>
      <w:r>
        <w:t xml:space="preserve"> </w:t>
      </w:r>
      <w:r>
        <w:t xml:space="preserve">opportunities and identified, in co-creation with stakeholders, 14 areas of shared action to fulfil</w:t>
      </w:r>
      <w:r>
        <w:t xml:space="preserve"> </w:t>
      </w:r>
      <w:r>
        <w:t xml:space="preserve">the potential for the green and digital transition of the actors in this ecosystem, including</w:t>
      </w:r>
      <w:r>
        <w:t xml:space="preserve"> </w:t>
      </w:r>
      <w:r>
        <w:t xml:space="preserve">associations.</w:t>
      </w:r>
      <w:r>
        <w:br/>
      </w:r>
      <w:r>
        <w:t xml:space="preserve">Lastly, the initiative contributes to the Sustainable Development Goals (SDGs) and it</w:t>
      </w:r>
      <w:r>
        <w:t xml:space="preserve"> </w:t>
      </w:r>
      <w:r>
        <w:t xml:space="preserve">particularly supports the SDG 8 (Promote sustained, inclusive and sustainable economic</w:t>
      </w:r>
      <w:r>
        <w:t xml:space="preserve"> </w:t>
      </w:r>
      <w:r>
        <w:t xml:space="preserve">growth, full and productive employment and decent work for all), by supporting job creation</w:t>
      </w:r>
      <w:r>
        <w:t xml:space="preserve"> </w:t>
      </w:r>
      <w:r>
        <w:t xml:space="preserve">and improving equal and inclusive access to economic opportunities. It further addresses the</w:t>
      </w:r>
      <w:r>
        <w:t xml:space="preserve"> </w:t>
      </w:r>
      <w:r>
        <w:t xml:space="preserve">SDG 16 (Peace, justice and inclusive societies), by strengthening civil society through</w:t>
      </w:r>
      <w:r>
        <w:t xml:space="preserve"> </w:t>
      </w:r>
      <w:r>
        <w:t xml:space="preserve">protecting associations among other entities. This initiative also indirectly supports SDG 3</w:t>
      </w:r>
      <w:r>
        <w:t xml:space="preserve"> </w:t>
      </w:r>
      <w:r>
        <w:t xml:space="preserve">(Ensure healthy lives and promote well-being for all), by facilitating cross-border activities of</w:t>
      </w:r>
      <w:r>
        <w:t xml:space="preserve"> </w:t>
      </w:r>
      <w:r>
        <w:t xml:space="preserve">associations mainly active in sectors such as health, care and social services.</w:t>
      </w:r>
    </w:p>
    <w:p>
      <w:pPr>
        <w:pStyle w:val="BodyText"/>
      </w:pPr>
      <w:r>
        <w:t xml:space="preserve">16 See Charter of Fundamental Rights of the European Union, OJ C 202, 7.6.2016, p. 389–405.</w:t>
      </w:r>
      <w:r>
        <w:t xml:space="preserve"> </w:t>
      </w:r>
      <w:r>
        <w:t xml:space="preserve">17 See Conference on the Future of Europe, Report on the final outcome, May 2022.</w:t>
      </w:r>
      <w:r>
        <w:br/>
      </w:r>
      <w:r>
        <w:t xml:space="preserve">18 EESC, Exploratory opinion Presidency of 18.09.2020, Digitalisation and Sustainability – status quo and need</w:t>
      </w:r>
      <w:r>
        <w:t xml:space="preserve"> </w:t>
      </w:r>
      <w:r>
        <w:t xml:space="preserve">for action in civil society perspective</w:t>
      </w:r>
      <w:r>
        <w:t xml:space="preserve"> </w:t>
      </w:r>
      <w:r>
        <w:t xml:space="preserve">19 COM (2021) 350 of May 2021, Updating the 2020 New Industrial Strategy: Building a stronger Single Market</w:t>
      </w:r>
      <w:r>
        <w:t xml:space="preserve"> </w:t>
      </w:r>
      <w:r>
        <w:t xml:space="preserve">for Europe’s recovery.</w:t>
      </w:r>
      <w:r>
        <w:t xml:space="preserve"> </w:t>
      </w:r>
      <w:r>
        <w:t xml:space="preserve">20 SWD(2021) 982 of December 2021, Transition pathway on Proximity and Social Economy ecosystem.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1.3 Legal context</w:t>
      </w:r>
      <w:r>
        <w:t xml:space="preserve"> </w:t>
      </w:r>
      <w:r>
        <w:t xml:space="preserve">EU level</w:t>
      </w:r>
      <w:r>
        <w:br/>
      </w:r>
      <w:r>
        <w:t xml:space="preserve">The right to freedom of assembly of association is a fundamental right enshrined in the EU</w:t>
      </w:r>
      <w:r>
        <w:t xml:space="preserve"> </w:t>
      </w:r>
      <w:r>
        <w:t xml:space="preserve">Charter of Fundamental Rights (Article 12).21 The Court of Justice of the European Union</w:t>
      </w:r>
      <w:r>
        <w:t xml:space="preserve"> </w:t>
      </w:r>
      <w:r>
        <w:t xml:space="preserve">(CJEU) has recognised it as one of the essential foundations of a democratic and pluralistic</w:t>
      </w:r>
      <w:r>
        <w:t xml:space="preserve"> </w:t>
      </w:r>
      <w:r>
        <w:t xml:space="preserve">society.22</w:t>
      </w:r>
    </w:p>
    <w:p>
      <w:pPr>
        <w:pStyle w:val="BodyText"/>
      </w:pPr>
      <w:r>
        <w:t xml:space="preserve">In terms of the regulatory conditions for associations in the single market, there is no dedicated</w:t>
      </w:r>
      <w:r>
        <w:t xml:space="preserve"> </w:t>
      </w:r>
      <w:r>
        <w:t xml:space="preserve">EU-level legislation, such as there is for companies23 and cooperatives24. The Commission</w:t>
      </w:r>
      <w:r>
        <w:t xml:space="preserve"> </w:t>
      </w:r>
      <w:r>
        <w:t xml:space="preserve">proposed creating a European legal form for associations, the European Association, in 1992,</w:t>
      </w:r>
      <w:r>
        <w:t xml:space="preserve"> </w:t>
      </w:r>
      <w:r>
        <w:t xml:space="preserve">based on the current Article 114 TFEU.25 The proposal was, however, criticised by some</w:t>
      </w:r>
      <w:r>
        <w:t xml:space="preserve"> </w:t>
      </w:r>
      <w:r>
        <w:t xml:space="preserve">Member States on grounds of subsidiarity and unsuitability of the legal basis compared to its</w:t>
      </w:r>
      <w:r>
        <w:t xml:space="preserve"> </w:t>
      </w:r>
      <w:r>
        <w:t xml:space="preserve">scope and purposes and because according to their view it did not answer to any proven need,</w:t>
      </w:r>
      <w:r>
        <w:t xml:space="preserve"> </w:t>
      </w:r>
      <w:r>
        <w:t xml:space="preserve">its provisions did not embody the diversity of national legislations and it laid excessive</w:t>
      </w:r>
      <w:r>
        <w:t xml:space="preserve"> </w:t>
      </w:r>
      <w:r>
        <w:t xml:space="preserve">administrative burden on associations.26 The European Parliament was supportive and</w:t>
      </w:r>
      <w:r>
        <w:t xml:space="preserve"> </w:t>
      </w:r>
      <w:r>
        <w:t xml:space="preserve">continued to ask for progress on the proposal until 2005 when it was eventually withdrawn by</w:t>
      </w:r>
      <w:r>
        <w:t xml:space="preserve"> </w:t>
      </w:r>
      <w:r>
        <w:t xml:space="preserve">the Commission due to lack of progress at the Council. Section 5 and Annex 9 provide further</w:t>
      </w:r>
      <w:r>
        <w:t xml:space="preserve"> </w:t>
      </w:r>
      <w:r>
        <w:t xml:space="preserve">information on the Commission proposal of 1992 and explain differences with the current</w:t>
      </w:r>
      <w:r>
        <w:t xml:space="preserve"> </w:t>
      </w:r>
      <w:r>
        <w:t xml:space="preserve">initiative, including the reasons why it failed and how the situation has evolved since then.</w:t>
      </w:r>
      <w:r>
        <w:t xml:space="preserve"> </w:t>
      </w:r>
      <w:r>
        <w:t xml:space="preserve">Furthermore, there are additional legal forms at EU level that aim to facilitate cross-border co-</w:t>
      </w:r>
      <w:r>
        <w:t xml:space="preserve"> </w:t>
      </w:r>
      <w:r>
        <w:t xml:space="preserve">operation and which do not exclude associations: in particular, the European Digital</w:t>
      </w:r>
      <w:r>
        <w:t xml:space="preserve"> </w:t>
      </w:r>
      <w:r>
        <w:t xml:space="preserve">Infrastructure Consortia (EDIC)27, the European Research Infrastructure Consortium (ERIC)28,</w:t>
      </w:r>
      <w:r>
        <w:t xml:space="preserve"> </w:t>
      </w:r>
      <w:r>
        <w:t xml:space="preserve">European Grouping of Economic Interest (EEIG),29 and European Territorial Cooperation</w:t>
      </w:r>
      <w:r>
        <w:t xml:space="preserve"> </w:t>
      </w:r>
      <w:r>
        <w:t xml:space="preserve">Grouping (EGTC)30. As their names imply, these focus on cooperation of entities. As such,</w:t>
      </w:r>
      <w:r>
        <w:t xml:space="preserve"> </w:t>
      </w:r>
      <w:r>
        <w:t xml:space="preserve">their personal scope may partially cover associations with cross-border activities, to the extent</w:t>
      </w:r>
      <w:r>
        <w:t xml:space="preserve"> </w:t>
      </w:r>
      <w:r>
        <w:t xml:space="preserve">that these are eligible entities, but they do not address the specific challenges faced by</w:t>
      </w:r>
    </w:p>
    <w:p>
      <w:pPr>
        <w:pStyle w:val="BodyText"/>
      </w:pPr>
      <w:r>
        <w:t xml:space="preserve">21 Article 12 of the Charter reads as follows “1. Everyone has the right to freedom of peaceful assembly and to</w:t>
      </w:r>
      <w:r>
        <w:t xml:space="preserve"> </w:t>
      </w:r>
      <w:r>
        <w:t xml:space="preserve">freedom of association at all levels, in particular in political, trade union and civic matters, which implies the</w:t>
      </w:r>
      <w:r>
        <w:t xml:space="preserve"> </w:t>
      </w:r>
      <w:r>
        <w:t xml:space="preserve">right of everyone to form and to join trade unions for the protection of his or her interests. 2. Political parties at</w:t>
      </w:r>
      <w:r>
        <w:t xml:space="preserve"> </w:t>
      </w:r>
      <w:r>
        <w:t xml:space="preserve">Union level contribute to expressing the political will of the citizens of the Union”.</w:t>
      </w:r>
      <w:r>
        <w:t xml:space="preserve"> </w:t>
      </w:r>
      <w:r>
        <w:t xml:space="preserve">22 Judgment of 18 June 2020, Commission v Hungary, C-78/18, EU:C:2020:476, quoting ECtHR, 17 February 2004,</w:t>
      </w:r>
      <w:r>
        <w:t xml:space="preserve"> </w:t>
      </w:r>
      <w:r>
        <w:t xml:space="preserve">Gorzelik and Others v. Poland, CE:ECHR:2004:0217JUD004415898, §§ 88, 90 and 92, and ECtHR, 8 October 2009,</w:t>
      </w:r>
      <w:r>
        <w:t xml:space="preserve"> </w:t>
      </w:r>
      <w:r>
        <w:t xml:space="preserve">Tebieti Mühafize Cemiyyeti and Israfilov v. Azerbaijan, CE:ECHR:2009:1008JUD003708303, §§ 52 and 53).</w:t>
      </w:r>
      <w:r>
        <w:t xml:space="preserve"> </w:t>
      </w:r>
      <w:r>
        <w:t xml:space="preserve">23 Council Regulation (EC) No 2157/2001 of 8 October 2001 on the Statute for a European company (SE).</w:t>
      </w:r>
      <w:r>
        <w:t xml:space="preserve"> </w:t>
      </w:r>
      <w:r>
        <w:t xml:space="preserve">24 Council Regulation (EC) No 1435/2003 of 22 July 2003 on the Statute for a European Cooperative Society</w:t>
      </w:r>
      <w:r>
        <w:t xml:space="preserve"> </w:t>
      </w:r>
      <w:r>
        <w:t xml:space="preserve">(SCE).</w:t>
      </w:r>
      <w:r>
        <w:t xml:space="preserve"> </w:t>
      </w:r>
      <w:r>
        <w:t xml:space="preserve">25 Proposal for a Council Regulation on the Statute for an European Association (91/273). It specified the rules of</w:t>
      </w:r>
      <w:r>
        <w:t xml:space="preserve"> </w:t>
      </w:r>
      <w:r>
        <w:t xml:space="preserve">the formation, registration, constitution, functioning, financing, dissolution, liquidation and insolvency of the</w:t>
      </w:r>
      <w:r>
        <w:t xml:space="preserve"> </w:t>
      </w:r>
      <w:r>
        <w:t xml:space="preserve">association.</w:t>
      </w:r>
      <w:r>
        <w:t xml:space="preserve"> </w:t>
      </w:r>
      <w:r>
        <w:t xml:space="preserve">26 For further details on the history of this file, see e.g. Tim Wöffen (2018), ‘European Associations: The Political</w:t>
      </w:r>
      <w:r>
        <w:t xml:space="preserve"> </w:t>
      </w:r>
      <w:r>
        <w:t xml:space="preserve">Debate and Basic Legal Questions’.</w:t>
      </w:r>
      <w:r>
        <w:t xml:space="preserve"> </w:t>
      </w:r>
      <w:r>
        <w:t xml:space="preserve">27 Decision 2022/2481 of 14 December 2022 establishing the Digital Decade Policy Programme.</w:t>
      </w:r>
      <w:r>
        <w:t xml:space="preserve"> </w:t>
      </w:r>
      <w:r>
        <w:t xml:space="preserve">28 Council Regulation 723/2009 of 25 June 2009 on the Community legal framework for a European Research</w:t>
      </w:r>
      <w:r>
        <w:t xml:space="preserve"> </w:t>
      </w:r>
      <w:r>
        <w:t xml:space="preserve">Infrastructure Consortium (ERIC).</w:t>
      </w:r>
      <w:r>
        <w:t xml:space="preserve"> </w:t>
      </w:r>
      <w:r>
        <w:t xml:space="preserve">29 Council Regulation 2137/85 of 25 July 1985 on the European Economic Interest Grouping (EEIG).</w:t>
      </w:r>
      <w:r>
        <w:br/>
      </w:r>
      <w:r>
        <w:t xml:space="preserve">30 Regulation 1082/2006 of 5 July 2006 on a European grouping of territorial cooperation (EGTC).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associations wishing to extend operations in more than one Member State and that this initiative</w:t>
      </w:r>
      <w:r>
        <w:t xml:space="preserve"> </w:t>
      </w:r>
      <w:r>
        <w:t xml:space="preserve">targets. For a detailed overview of existing legal forms and how they relate to the entities and</w:t>
      </w:r>
      <w:r>
        <w:t xml:space="preserve"> </w:t>
      </w:r>
      <w:r>
        <w:t xml:space="preserve">the scope covered by this initiative, see Annex 9.</w:t>
      </w:r>
      <w:r>
        <w:t xml:space="preserve"> </w:t>
      </w:r>
      <w:r>
        <w:t xml:space="preserve">Regarding the cross-border activities of associations in the single market, CJEU case law has</w:t>
      </w:r>
      <w:r>
        <w:t xml:space="preserve"> </w:t>
      </w:r>
      <w:r>
        <w:t xml:space="preserve">confirmed that the right to establishment and the free movement of services apply to</w:t>
      </w:r>
      <w:r>
        <w:t xml:space="preserve"> </w:t>
      </w:r>
      <w:r>
        <w:t xml:space="preserve">“undertakings”, which are defined broadly as not limited to persons seeking to make a profit,</w:t>
      </w:r>
      <w:r>
        <w:t xml:space="preserve"> </w:t>
      </w:r>
      <w:r>
        <w:t xml:space="preserve">as long as activities are remunerated.31 Moreover, CJEU jurisprudence in EU competition law</w:t>
      </w:r>
      <w:r>
        <w:t xml:space="preserve"> </w:t>
      </w:r>
      <w:r>
        <w:t xml:space="preserve">establishes that NPOs - associations in this case - may be considered ‘undertakings’.32 A further</w:t>
      </w:r>
      <w:r>
        <w:t xml:space="preserve"> </w:t>
      </w:r>
      <w:r>
        <w:t xml:space="preserve">analysis of the specificities of associations and, broadly, the non-profit sector under EU law is</w:t>
      </w:r>
      <w:r>
        <w:t xml:space="preserve"> </w:t>
      </w:r>
      <w:r>
        <w:t xml:space="preserve">found in Section 3 of this IA. Associations benefit from the freedom of movement of capital in</w:t>
      </w:r>
      <w:r>
        <w:t xml:space="preserve"> </w:t>
      </w:r>
      <w:r>
        <w:t xml:space="preserve">the single market. Article 63 (1) TFEU states that all restrictions on movements of capital with</w:t>
      </w:r>
      <w:r>
        <w:t xml:space="preserve"> </w:t>
      </w:r>
      <w:r>
        <w:t xml:space="preserve">a cross-border dimension are prohibited. In this context, the term “movement of capital”33 is to</w:t>
      </w:r>
      <w:r>
        <w:t xml:space="preserve"> </w:t>
      </w:r>
      <w:r>
        <w:t xml:space="preserve">be understood in cross-border contexts as including, inter alia, inheritances and gifts, and</w:t>
      </w:r>
      <w:r>
        <w:t xml:space="preserve"> </w:t>
      </w:r>
      <w:r>
        <w:t xml:space="preserve">funding, as well as financial loans or credits, sureties or other guarantees, while the concept of</w:t>
      </w:r>
      <w:r>
        <w:t xml:space="preserve"> </w:t>
      </w:r>
      <w:r>
        <w:t xml:space="preserve">“restriction”34 is intended to cover any obstacle to the free movement of capital with a cross-</w:t>
      </w:r>
      <w:r>
        <w:t xml:space="preserve"> </w:t>
      </w:r>
      <w:r>
        <w:t xml:space="preserve">border dimension.</w:t>
      </w:r>
    </w:p>
    <w:p>
      <w:pPr>
        <w:pStyle w:val="BodyText"/>
      </w:pPr>
      <w:r>
        <w:t xml:space="preserve">Member State level</w:t>
      </w:r>
      <w:r>
        <w:t xml:space="preserve"> </w:t>
      </w:r>
      <w:r>
        <w:t xml:space="preserve">Associations are subject to dedicated regulation in 24 Member States (in the majority of cases</w:t>
      </w:r>
      <w:r>
        <w:t xml:space="preserve"> </w:t>
      </w:r>
      <w:r>
        <w:t xml:space="preserve">separate laws, otherwise their regulation can be either found in the civil code or in a few</w:t>
      </w:r>
      <w:r>
        <w:t xml:space="preserve"> </w:t>
      </w:r>
      <w:r>
        <w:t xml:space="preserve">Member States they are regulated in one legal act together with foundations35), with the</w:t>
      </w:r>
      <w:r>
        <w:t xml:space="preserve"> </w:t>
      </w:r>
      <w:r>
        <w:t xml:space="preserve">exception of Denmark, Ireland and Sweden. In general, these are comprehensive laws,</w:t>
      </w:r>
      <w:r>
        <w:t xml:space="preserve"> </w:t>
      </w:r>
      <w:r>
        <w:t xml:space="preserve">regulating associations in detail. Fundamental aspects and features of association regimes have</w:t>
      </w:r>
      <w:r>
        <w:t xml:space="preserve"> </w:t>
      </w:r>
      <w:r>
        <w:t xml:space="preserve">common points across the 27 Member States, including the possibility for associations to</w:t>
      </w:r>
      <w:r>
        <w:t xml:space="preserve"> </w:t>
      </w:r>
      <w:r>
        <w:t xml:space="preserve">undertake economic activities, although usually with varying limitations. This said, cross-</w:t>
      </w:r>
      <w:r>
        <w:t xml:space="preserve"> </w:t>
      </w:r>
      <w:r>
        <w:t xml:space="preserve">border aspects essential to mobility and activities of associations are not comprehensively</w:t>
      </w:r>
      <w:r>
        <w:t xml:space="preserve"> </w:t>
      </w:r>
      <w:r>
        <w:t xml:space="preserve">regulated in any Member State. Individual cross-border aspects are regulated to some extent</w:t>
      </w:r>
      <w:r>
        <w:t xml:space="preserve"> </w:t>
      </w:r>
      <w:r>
        <w:t xml:space="preserve">with different approaches, with eighteen Member States having some rules on different aspects</w:t>
      </w:r>
      <w:r>
        <w:t xml:space="preserve"> </w:t>
      </w:r>
      <w:r>
        <w:t xml:space="preserve">(see comparative table of national rules on cross-border aspects for associations in Annex 11).</w:t>
      </w:r>
      <w:r>
        <w:t xml:space="preserve"> </w:t>
      </w:r>
      <w:r>
        <w:t xml:space="preserve">Overall, from the perspective of an association active in more than one Member States, the</w:t>
      </w:r>
      <w:r>
        <w:t xml:space="preserve"> </w:t>
      </w:r>
      <w:r>
        <w:t xml:space="preserve">applicable legal rules and resulting administrative practices vary depending on where (i.e. the</w:t>
      </w:r>
      <w:r>
        <w:t xml:space="preserve"> </w:t>
      </w:r>
      <w:r>
        <w:t xml:space="preserve">specific Member State) it is domiciled and where (i.e. the specific Member State) it is active.</w:t>
      </w:r>
    </w:p>
    <w:p>
      <w:pPr>
        <w:pStyle w:val="BodyText"/>
      </w:pPr>
      <w:r>
        <w:t xml:space="preserve">International level</w:t>
      </w:r>
    </w:p>
    <w:p>
      <w:pPr>
        <w:pStyle w:val="BodyText"/>
      </w:pPr>
      <w:r>
        <w:t xml:space="preserve">31 CJEU C-179-14</w:t>
      </w:r>
      <w:r>
        <w:t xml:space="preserve"> </w:t>
      </w:r>
      <w:r>
        <w:t xml:space="preserve">32 See cases C-180/98 and C-184/98 and C-222/04 para. 125 and C-74/16, para. 41-50), as well as for example</w:t>
      </w:r>
      <w:r>
        <w:t xml:space="preserve"> </w:t>
      </w:r>
      <w:r>
        <w:t xml:space="preserve">Commission/Italy (C 119/06, EU:C:2007:729) para. 37-41 and CoNISMa (C 305/08, EU:C 2009:807) para.45.</w:t>
      </w:r>
      <w:r>
        <w:t xml:space="preserve"> </w:t>
      </w:r>
      <w:r>
        <w:t xml:space="preserve">33 Based on a settled case-law including C-318/07 paragraph 29 and C-235/17 paragraph 54.</w:t>
      </w:r>
      <w:r>
        <w:br/>
      </w:r>
      <w:r>
        <w:t xml:space="preserve">34 Both between Member States and between Member States and third countries. See “Nomenclature of The</w:t>
      </w:r>
      <w:r>
        <w:t xml:space="preserve"> </w:t>
      </w:r>
      <w:r>
        <w:t xml:space="preserve">Capital Movements”, Annex 1 of Directive 88/361/EC, as well as cases C-105/12 and C-45/17.</w:t>
      </w:r>
      <w:r>
        <w:t xml:space="preserve"> </w:t>
      </w:r>
      <w:r>
        <w:t xml:space="preserve">35 One unique case is that of Belgium where there is the “Code of Companies and Associations” which regulates</w:t>
      </w:r>
      <w:r>
        <w:t xml:space="preserve"> </w:t>
      </w:r>
      <w:r>
        <w:t xml:space="preserve">different types of legal forms, including foundations, cooperatives and other European legal forms. As to the</w:t>
      </w:r>
      <w:r>
        <w:t xml:space="preserve"> </w:t>
      </w:r>
      <w:r>
        <w:t xml:space="preserve">Member States where associations are regulated in one legal act together with foundations, this is the case for:</w:t>
      </w:r>
      <w:r>
        <w:t xml:space="preserve"> </w:t>
      </w:r>
      <w:r>
        <w:t xml:space="preserve">Bulgaria, Cyprus, Latvia, Luxembourg and Romania.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The freedom of association is a human right, recognized by the Universal Declaration of</w:t>
      </w:r>
      <w:r>
        <w:t xml:space="preserve"> </w:t>
      </w:r>
      <w:r>
        <w:t xml:space="preserve">Human Rights (Article 20), the International Covenant on Civil and Political Rights (Article</w:t>
      </w:r>
      <w:r>
        <w:t xml:space="preserve"> </w:t>
      </w:r>
      <w:r>
        <w:t xml:space="preserve">22) of the United Nations and the European Convention on Human Rights (Article 11) of the</w:t>
      </w:r>
      <w:r>
        <w:t xml:space="preserve"> </w:t>
      </w:r>
      <w:r>
        <w:t xml:space="preserve">Council of Europe.36</w:t>
      </w:r>
      <w:r>
        <w:t xml:space="preserve"> </w:t>
      </w:r>
      <w:r>
        <w:t xml:space="preserve">The Council of Europe has adopted initiatives to facilitate within its membership the cross-</w:t>
      </w:r>
      <w:r>
        <w:t xml:space="preserve"> </w:t>
      </w:r>
      <w:r>
        <w:t xml:space="preserve">border operation of non-governmental organisations, including associations. These initiatives</w:t>
      </w:r>
      <w:r>
        <w:t xml:space="preserve"> </w:t>
      </w:r>
      <w:r>
        <w:t xml:space="preserve">emphasize a non-profit making objective, while the possibility to conduct economic activities</w:t>
      </w:r>
      <w:r>
        <w:t xml:space="preserve"> </w:t>
      </w:r>
      <w:r>
        <w:t xml:space="preserve">is present to support the said objective. The European Convention on the Recognition of the</w:t>
      </w:r>
      <w:r>
        <w:t xml:space="preserve"> </w:t>
      </w:r>
      <w:r>
        <w:t xml:space="preserve">Legal Personality of International Non-Governmental Organisations of 1986 includes elements</w:t>
      </w:r>
      <w:r>
        <w:t xml:space="preserve"> </w:t>
      </w:r>
      <w:r>
        <w:t xml:space="preserve">of mutual recognition and attempts to harmonise many aspects of association law: contracting</w:t>
      </w:r>
      <w:r>
        <w:t xml:space="preserve"> </w:t>
      </w:r>
      <w:r>
        <w:t xml:space="preserve">parties agree to recognise “as of right” the legal personality and capacity as acquired by the</w:t>
      </w:r>
      <w:r>
        <w:t xml:space="preserve"> </w:t>
      </w:r>
      <w:r>
        <w:t xml:space="preserve">contracting party where the organisation has its statutory offices. So far, only twelve Council</w:t>
      </w:r>
      <w:r>
        <w:t xml:space="preserve"> </w:t>
      </w:r>
      <w:r>
        <w:t xml:space="preserve">of Europe Member States (out of 46) have ratified the Convention, eight being EU Member</w:t>
      </w:r>
      <w:r>
        <w:t xml:space="preserve"> </w:t>
      </w:r>
      <w:r>
        <w:t xml:space="preserve">States.37 In addition, two non-legally binding initiatives are: the Recommendation on the legal</w:t>
      </w:r>
      <w:r>
        <w:t xml:space="preserve"> </w:t>
      </w:r>
      <w:r>
        <w:t xml:space="preserve">status of non-governmental organisations in Europe,38 suggesting minimum standards for non-</w:t>
      </w:r>
      <w:r>
        <w:t xml:space="preserve"> </w:t>
      </w:r>
      <w:r>
        <w:t xml:space="preserve">governmental organisations on a number of topics such as formation, legal personality,</w:t>
      </w:r>
      <w:r>
        <w:t xml:space="preserve"> </w:t>
      </w:r>
      <w:r>
        <w:t xml:space="preserve">governance, funding, and transparency, and the Fundamental Principles on the Status of Non-</w:t>
      </w:r>
      <w:r>
        <w:t xml:space="preserve"> </w:t>
      </w:r>
      <w:r>
        <w:t xml:space="preserve">governmental Organizations in Europe39 building on the above Recommendation.</w:t>
      </w:r>
    </w:p>
    <w:p>
      <w:pPr>
        <w:pStyle w:val="BodyText"/>
      </w:pPr>
      <w:r>
        <w:t xml:space="preserve">1.4 Market Context</w:t>
      </w:r>
      <w:r>
        <w:br/>
      </w:r>
      <w:r>
        <w:t xml:space="preserve">This Section provides the measure of the socio-economic value of associations in the EU and</w:t>
      </w:r>
      <w:r>
        <w:t xml:space="preserve"> </w:t>
      </w:r>
      <w:r>
        <w:t xml:space="preserve">thereby an indication of their untapped potential in terms of activities offered for citizens’</w:t>
      </w:r>
      <w:r>
        <w:t xml:space="preserve"> </w:t>
      </w:r>
      <w:r>
        <w:t xml:space="preserve">participation, services, goods and assets for the public benefit. First, this is done by analysing</w:t>
      </w:r>
      <w:r>
        <w:t xml:space="preserve"> </w:t>
      </w:r>
      <w:r>
        <w:t xml:space="preserve">the “socio-economic impact of associations in the EU” in terms of their presence at EU level,</w:t>
      </w:r>
      <w:r>
        <w:t xml:space="preserve"> </w:t>
      </w:r>
      <w:r>
        <w:t xml:space="preserve">their economic contribution to the EU Gross Domestic Product (GDP) and to the European</w:t>
      </w:r>
      <w:r>
        <w:t xml:space="preserve"> </w:t>
      </w:r>
      <w:r>
        <w:t xml:space="preserve">labour force; second, by focusing on the main cross-border activities that they perform across</w:t>
      </w:r>
      <w:r>
        <w:t xml:space="preserve"> </w:t>
      </w:r>
      <w:r>
        <w:t xml:space="preserve">Member States. The Section is complemented by Annex 6 which provides evidence on the</w:t>
      </w:r>
      <w:r>
        <w:t xml:space="preserve"> </w:t>
      </w:r>
      <w:r>
        <w:t xml:space="preserve">market context, looking at those associations operating cross-border and sectors where they are</w:t>
      </w:r>
      <w:r>
        <w:t xml:space="preserve"> </w:t>
      </w:r>
      <w:r>
        <w:t xml:space="preserve">most active.</w:t>
      </w:r>
      <w:r>
        <w:t xml:space="preserve"> </w:t>
      </w:r>
      <w:r>
        <w:t xml:space="preserve">Box 2: Treatment of data constrains on associations in the market context.</w:t>
      </w:r>
    </w:p>
    <w:p>
      <w:pPr>
        <w:pStyle w:val="BodyText"/>
      </w:pPr>
      <w:r>
        <w:t xml:space="preserve">36 Article 11 ECHR reads as follows: “1. Everyone has the right to freedom of peaceful assembly and to freedom</w:t>
      </w:r>
      <w:r>
        <w:t xml:space="preserve"> </w:t>
      </w:r>
      <w:r>
        <w:t xml:space="preserve">of association with others, including the right to form and to join trade unions for the protection of his interests.</w:t>
      </w:r>
      <w:r>
        <w:t xml:space="preserve"> </w:t>
      </w:r>
      <w:r>
        <w:t xml:space="preserve">2. No restrictions shall be placed on the exercise of these rights other than such as are prescribed by law and are</w:t>
      </w:r>
      <w:r>
        <w:t xml:space="preserve"> </w:t>
      </w:r>
      <w:r>
        <w:t xml:space="preserve">necessary in a democratic society in the interests of national security or public safety, for the prevention of</w:t>
      </w:r>
      <w:r>
        <w:t xml:space="preserve"> </w:t>
      </w:r>
      <w:r>
        <w:t xml:space="preserve">disorder or crime, for the protection of health or morals or for the protection of the rights and freedoms of others.</w:t>
      </w:r>
      <w:r>
        <w:t xml:space="preserve"> </w:t>
      </w:r>
      <w:r>
        <w:t xml:space="preserve">This Article shall not prevent the imposition of lawful restrictions on the exercise of these rights by members of</w:t>
      </w:r>
      <w:r>
        <w:t xml:space="preserve"> </w:t>
      </w:r>
      <w:r>
        <w:t xml:space="preserve">the armed forces, of the police or of the administration of the State.”</w:t>
      </w:r>
      <w:r>
        <w:t xml:space="preserve"> </w:t>
      </w:r>
      <w:r>
        <w:t xml:space="preserve">37 CETS 124 - European Convention on the Recognition of the Legal Personality of International Non-</w:t>
      </w:r>
      <w:r>
        <w:t xml:space="preserve"> </w:t>
      </w:r>
      <w:r>
        <w:t xml:space="preserve">Governmental Organisations (coe.int), European Treaty Series - No. 124.</w:t>
      </w:r>
      <w:r>
        <w:br/>
      </w:r>
      <w:r>
        <w:t xml:space="preserve">38 Council of Europe, Recommendation CM/Rec(2007)14 of the Committee of Ministers to member States on the</w:t>
      </w:r>
      <w:r>
        <w:t xml:space="preserve"> </w:t>
      </w:r>
      <w:r>
        <w:t xml:space="preserve">legal status of non-governmental organisations in Europe.</w:t>
      </w:r>
      <w:r>
        <w:t xml:space="preserve"> </w:t>
      </w:r>
      <w:r>
        <w:t xml:space="preserve">39 Fundamental Principles E (cartercenter.org).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The analysis in this Section of the IA is challenged by the minimal availability of recent, qualitative</w:t>
      </w:r>
      <w:r>
        <w:t xml:space="preserve"> </w:t>
      </w:r>
      <w:r>
        <w:t xml:space="preserve">and relevant data on associations at EU and Member State level.</w:t>
      </w:r>
      <w:r>
        <w:br/>
      </w:r>
      <w:r>
        <w:t xml:space="preserve">Producing quantitative data on associations at EU level is difficult for the following reasons: (i)</w:t>
      </w:r>
      <w:r>
        <w:t xml:space="preserve"> </w:t>
      </w:r>
      <w:r>
        <w:t xml:space="preserve">absence of official statistics gathering data on associations (beyond registration) at Member State</w:t>
      </w:r>
      <w:r>
        <w:t xml:space="preserve"> </w:t>
      </w:r>
      <w:r>
        <w:t xml:space="preserve">and EU level, (ii) economic indicators are usually not collected in traditional business statistics at</w:t>
      </w:r>
      <w:r>
        <w:t xml:space="preserve"> </w:t>
      </w:r>
      <w:r>
        <w:t xml:space="preserve">Member State and EU level, with the exception of sectoral satellite accounts, ad-hoc research</w:t>
      </w:r>
      <w:r>
        <w:t xml:space="preserve"> </w:t>
      </w:r>
      <w:r>
        <w:t xml:space="preserve">projects or databases of private federations and sectoral actors, (iii) lack of harmonised definitions</w:t>
      </w:r>
      <w:r>
        <w:t xml:space="preserve"> </w:t>
      </w:r>
      <w:r>
        <w:t xml:space="preserve">and different traditions of the non-profit sector and different registration requirements in the Member</w:t>
      </w:r>
      <w:r>
        <w:t xml:space="preserve"> </w:t>
      </w:r>
      <w:r>
        <w:t xml:space="preserve">States (e.g. Orbis database does not allow to distinguish organisations that could be defined as</w:t>
      </w:r>
      <w:r>
        <w:t xml:space="preserve"> </w:t>
      </w:r>
      <w:r>
        <w:t xml:space="preserve">associations), and (iv) comparative studies at EU level are scarce and limited in economic indicators.</w:t>
      </w:r>
    </w:p>
    <w:p>
      <w:pPr>
        <w:pStyle w:val="BodyText"/>
      </w:pPr>
      <w:r>
        <w:t xml:space="preserve">The IA (Section 1.4 and Annex 4) is informed by the two following existing studies, mostly using the</w:t>
      </w:r>
      <w:r>
        <w:t xml:space="preserve"> </w:t>
      </w:r>
      <w:r>
        <w:t xml:space="preserve">same input data (2014-2015): (i) a study from the European Economic and Social Committee on</w:t>
      </w:r>
      <w:r>
        <w:t xml:space="preserve"> </w:t>
      </w:r>
      <w:r>
        <w:t xml:space="preserve">recent evolutions in the social economy and (ii) a study performed for the UN on the size and scope</w:t>
      </w:r>
      <w:r>
        <w:t xml:space="preserve"> </w:t>
      </w:r>
      <w:r>
        <w:t xml:space="preserve">of the EU Third sector.</w:t>
      </w:r>
      <w:r>
        <w:br/>
      </w:r>
      <w:r>
        <w:t xml:space="preserve">Basic data on the number of associations presented in this IA can be considered robust, as building</w:t>
      </w:r>
      <w:r>
        <w:t xml:space="preserve"> </w:t>
      </w:r>
      <w:r>
        <w:t xml:space="preserve">on available and recent official data for most Member States; and as half of the Member States have</w:t>
      </w:r>
      <w:r>
        <w:t xml:space="preserve"> </w:t>
      </w:r>
      <w:r>
        <w:t xml:space="preserve">recent data available in terms of associations employment and contribution to the GDP. However,</w:t>
      </w:r>
      <w:r>
        <w:t xml:space="preserve"> </w:t>
      </w:r>
      <w:r>
        <w:t xml:space="preserve">when it comes to other economic indicators such as size of the organisation, sectoral presence and</w:t>
      </w:r>
      <w:r>
        <w:t xml:space="preserve"> </w:t>
      </w:r>
      <w:r>
        <w:t xml:space="preserve">cross border activities, data on associations is often outdated or completely missing for most Member</w:t>
      </w:r>
      <w:r>
        <w:t xml:space="preserve"> </w:t>
      </w:r>
      <w:r>
        <w:t xml:space="preserve">States. Data in European databases such as Eurostat (e.g. Structural Business Statistics) or ORBIS</w:t>
      </w:r>
      <w:r>
        <w:t xml:space="preserve"> </w:t>
      </w:r>
      <w:r>
        <w:t xml:space="preserve">do not allow to disaggregate data on associations, e.g based on the legal form. In addition, there are</w:t>
      </w:r>
      <w:r>
        <w:t xml:space="preserve"> </w:t>
      </w:r>
      <w:r>
        <w:t xml:space="preserve">no recent comparative studies on associations at EU level. Sectoral data or specific data on social</w:t>
      </w:r>
      <w:r>
        <w:t xml:space="preserve"> </w:t>
      </w:r>
      <w:r>
        <w:t xml:space="preserve">economy, the third sector, NPOs, NGOs, CSOs, etc. are available and used where appropriate, but</w:t>
      </w:r>
      <w:r>
        <w:t xml:space="preserve"> </w:t>
      </w:r>
      <w:r>
        <w:t xml:space="preserve">they do not represent disaggregated data specific to associations.</w:t>
      </w:r>
      <w:r>
        <w:br/>
      </w:r>
      <w:r>
        <w:t xml:space="preserve">Consequently, data about cross-border activities of associations is mostly absent (specific data on</w:t>
      </w:r>
      <w:r>
        <w:t xml:space="preserve"> </w:t>
      </w:r>
      <w:r>
        <w:t xml:space="preserve">internationalisation and cross-border activities of associations is available for only four Member</w:t>
      </w:r>
      <w:r>
        <w:t xml:space="preserve"> </w:t>
      </w:r>
      <w:r>
        <w:t xml:space="preserve">States (Germany, Austria, Italy and Estonia). Estimates in the IA regarding associations operating</w:t>
      </w:r>
      <w:r>
        <w:t xml:space="preserve"> </w:t>
      </w:r>
      <w:r>
        <w:t xml:space="preserve">cross- border are, therefore, based on theoretical assumptions, analogies and benchmarking (e.g. </w:t>
      </w:r>
      <w:r>
        <w:t xml:space="preserve"> </w:t>
      </w:r>
      <w:r>
        <w:t xml:space="preserve">parallels with similar sectors and activities), allowing extrapolations of input data available (Annex</w:t>
      </w:r>
      <w:r>
        <w:t xml:space="preserve"> </w:t>
      </w:r>
      <w:r>
        <w:t xml:space="preserve">4 provides for a detailed overview on how each estimate is calculated and for which data points</w:t>
      </w:r>
      <w:r>
        <w:t xml:space="preserve"> </w:t>
      </w:r>
      <w:r>
        <w:t xml:space="preserve">theoretical assumptions had to be made). It is important to note that these data points may present a</w:t>
      </w:r>
      <w:r>
        <w:t xml:space="preserve"> </w:t>
      </w:r>
      <w:r>
        <w:t xml:space="preserve">risk of overestimation. As mitigation measures, the analysis underpinning this IA builds on the lower</w:t>
      </w:r>
      <w:r>
        <w:t xml:space="preserve"> </w:t>
      </w:r>
      <w:r>
        <w:t xml:space="preserve">bound estimates and complements with qualitative information (based on literature review as well</w:t>
      </w:r>
      <w:r>
        <w:t xml:space="preserve"> </w:t>
      </w:r>
      <w:r>
        <w:t xml:space="preserve">as interviews and a targeted survey, as outlined in Annex 2) in order to further support the</w:t>
      </w:r>
      <w:r>
        <w:t xml:space="preserve"> </w:t>
      </w:r>
      <w:r>
        <w:t xml:space="preserve">quantitative methodology. More details on the methodology are provided in Annex 4.</w:t>
      </w:r>
      <w:r>
        <w:br/>
      </w:r>
      <w:r>
        <w:t xml:space="preserve">To address the chronic data gaps on associations, and more broadly the social economy, the</w:t>
      </w:r>
      <w:r>
        <w:t xml:space="preserve"> </w:t>
      </w:r>
      <w:r>
        <w:t xml:space="preserve">Commission has undertaken actions such as: (i) contribution since 2017 to the joint work of ESTAT</w:t>
      </w:r>
      <w:r>
        <w:t xml:space="preserve"> </w:t>
      </w:r>
      <w:r>
        <w:t xml:space="preserve">and the OECD on the establishment of national satellite accounts for the social economy, also</w:t>
      </w:r>
      <w:r>
        <w:t xml:space="preserve"> </w:t>
      </w:r>
      <w:r>
        <w:t xml:space="preserve">covering associations. A few Member States (e.g. France, Poland, Portugal) have concluded or are</w:t>
      </w:r>
      <w:r>
        <w:t xml:space="preserve"> </w:t>
      </w:r>
      <w:r>
        <w:t xml:space="preserve">performing first pilots. Available data from these satellite accounts were used as input data in the</w:t>
      </w:r>
      <w:r>
        <w:t xml:space="preserve"> </w:t>
      </w:r>
      <w:r>
        <w:t xml:space="preserve">methodology of this IA; (ii) a study on the economic performance of the Proximity and Social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Economy industrial ecosystem (including associations) is launched in Q2 2023. Its first results will</w:t>
      </w:r>
      <w:r>
        <w:t xml:space="preserve"> </w:t>
      </w:r>
      <w:r>
        <w:t xml:space="preserve">feed the future monitoring of the initiative (see Section 9).</w:t>
      </w:r>
    </w:p>
    <w:p>
      <w:pPr>
        <w:pStyle w:val="BodyText"/>
      </w:pPr>
      <w:r>
        <w:t xml:space="preserve">Based on the methodology of this IA, when it comes in particular to the impact of associations</w:t>
      </w:r>
      <w:r>
        <w:t xml:space="preserve"> </w:t>
      </w:r>
      <w:r>
        <w:t xml:space="preserve">at EU level, the analysis establishes and builds on an estimated number of 3.87 million</w:t>
      </w:r>
      <w:r>
        <w:t xml:space="preserve"> </w:t>
      </w:r>
      <w:r>
        <w:t xml:space="preserve">associations at EU level (see table 1).40 These data suggest that, while NPOs encompass other</w:t>
      </w:r>
      <w:r>
        <w:t xml:space="preserve"> </w:t>
      </w:r>
      <w:r>
        <w:t xml:space="preserve">types of organisations (as explained in Section 1), data for NPOs are likely to be mostly driven</w:t>
      </w:r>
      <w:r>
        <w:t xml:space="preserve"> </w:t>
      </w:r>
      <w:r>
        <w:t xml:space="preserve">by associations.</w:t>
      </w:r>
      <w:r>
        <w:br/>
      </w:r>
      <w:r>
        <w:t xml:space="preserve">Table 1: Overall estimates of the number of NPOs and associations in the EU-27.</w:t>
      </w:r>
    </w:p>
    <w:p>
      <w:pPr>
        <w:pStyle w:val="BodyText"/>
      </w:pPr>
      <w:r>
        <w:t xml:space="preserve">Lower bound</w:t>
      </w:r>
      <w:r>
        <w:t xml:space="preserve"> </w:t>
      </w:r>
      <w:r>
        <w:t xml:space="preserve">Central estimate</w:t>
      </w:r>
      <w:r>
        <w:t xml:space="preserve"> </w:t>
      </w:r>
      <w:r>
        <w:t xml:space="preserve">Upper bound</w:t>
      </w:r>
      <w:r>
        <w:t xml:space="preserve"> </w:t>
      </w:r>
      <w:r>
        <w:t xml:space="preserve">NPOs</w:t>
      </w:r>
      <w:r>
        <w:t xml:space="preserve"> </w:t>
      </w:r>
      <w:r>
        <w:t xml:space="preserve">4 500 000</w:t>
      </w:r>
      <w:r>
        <w:t xml:space="preserve"> </w:t>
      </w:r>
      <w:r>
        <w:t xml:space="preserve">4 600 000</w:t>
      </w:r>
      <w:r>
        <w:t xml:space="preserve"> </w:t>
      </w:r>
      <w:r>
        <w:t xml:space="preserve">4 700 000</w:t>
      </w:r>
      <w:r>
        <w:t xml:space="preserve"> </w:t>
      </w:r>
      <w:r>
        <w:t xml:space="preserve">Associations</w:t>
      </w:r>
      <w:r>
        <w:t xml:space="preserve"> </w:t>
      </w:r>
      <w:r>
        <w:t xml:space="preserve">3 800 000</w:t>
      </w:r>
      <w:r>
        <w:t xml:space="preserve"> </w:t>
      </w:r>
      <w:r>
        <w:t xml:space="preserve">3 870 000</w:t>
      </w:r>
      <w:r>
        <w:t xml:space="preserve"> </w:t>
      </w:r>
      <w:r>
        <w:t xml:space="preserve">4 000 000</w:t>
      </w:r>
    </w:p>
    <w:p>
      <w:pPr>
        <w:pStyle w:val="BodyText"/>
      </w:pPr>
      <w:r>
        <w:t xml:space="preserve">Concerning their growth, the number of associations in the EU remained roughly stable in the</w:t>
      </w:r>
      <w:r>
        <w:t xml:space="preserve"> </w:t>
      </w:r>
      <w:r>
        <w:t xml:space="preserve">last years41 and they are most present in the social and health sectors, communication and</w:t>
      </w:r>
      <w:r>
        <w:t xml:space="preserve"> </w:t>
      </w:r>
      <w:r>
        <w:t xml:space="preserve">information (i.e. advocacy), culture, education, recreation (i.e. sports) and entertainment.42</w:t>
      </w:r>
      <w:r>
        <w:t xml:space="preserve"> </w:t>
      </w:r>
      <w:r>
        <w:t xml:space="preserve">Associations’ economic contribution to the EU GDP is estimated at EUR 420 billion (i.e. </w:t>
      </w:r>
      <w:r>
        <w:t xml:space="preserve"> </w:t>
      </w:r>
      <w:r>
        <w:t xml:space="preserve">2.9% of EU GDP)43. In terms of job creation, the IA study estimates that associations are</w:t>
      </w:r>
      <w:r>
        <w:t xml:space="preserve"> </w:t>
      </w:r>
      <w:r>
        <w:t xml:space="preserve">employing about 5% of the European labour force (8.8 million employees)44, without</w:t>
      </w:r>
      <w:r>
        <w:t xml:space="preserve"> </w:t>
      </w:r>
      <w:r>
        <w:t xml:space="preserve">counting the non-paid jobs their volunteers represent. However, there is considerable variation</w:t>
      </w:r>
      <w:r>
        <w:t xml:space="preserve"> </w:t>
      </w:r>
      <w:r>
        <w:t xml:space="preserve">across Member States in the number of employees per association, as well as the share of all</w:t>
      </w:r>
      <w:r>
        <w:t xml:space="preserve"> </w:t>
      </w:r>
      <w:r>
        <w:t xml:space="preserve">employees that associations account for. For example, in Belgium, people employed by</w:t>
      </w:r>
      <w:r>
        <w:t xml:space="preserve"> </w:t>
      </w:r>
      <w:r>
        <w:t xml:space="preserve">associations accounted for about 11% of the total employees in 2022, and the average</w:t>
      </w:r>
      <w:r>
        <w:t xml:space="preserve"> </w:t>
      </w:r>
      <w:r>
        <w:t xml:space="preserve">employment per association is above the EU average. Contrary to this, in Croatia, on average</w:t>
      </w:r>
    </w:p>
    <w:p>
      <w:pPr>
        <w:pStyle w:val="BodyText"/>
      </w:pPr>
      <w:r>
        <w:t xml:space="preserve">40 Figure considered as very robust. Official and recent data for number of associations is available for 26 MS (not</w:t>
      </w:r>
      <w:r>
        <w:t xml:space="preserve"> </w:t>
      </w:r>
      <w:r>
        <w:t xml:space="preserve">for IE). For DK, AT, LU, CY, BG, RO, no data for NPOs exist. For the missing data points estimates have been</w:t>
      </w:r>
      <w:r>
        <w:t xml:space="preserve"> </w:t>
      </w:r>
      <w:r>
        <w:t xml:space="preserve">developed using two different estimation techniques; for IE the weighted average share of associations among</w:t>
      </w:r>
      <w:r>
        <w:t xml:space="preserve"> </w:t>
      </w:r>
      <w:r>
        <w:t xml:space="preserve">NPOs across countries is used to estimate the number of associations. Where the total number of NPOs is not</w:t>
      </w:r>
      <w:r>
        <w:t xml:space="preserve"> </w:t>
      </w:r>
      <w:r>
        <w:t xml:space="preserve">available the average number of associations per capita for similar countries is used as a proxy value to estimate</w:t>
      </w:r>
      <w:r>
        <w:t xml:space="preserve"> </w:t>
      </w:r>
      <w:r>
        <w:t xml:space="preserve">the number of associations. For more details see Annex 4 (Section 2.1).</w:t>
      </w:r>
      <w:r>
        <w:br/>
      </w:r>
      <w:r>
        <w:t xml:space="preserve">41Considering growth in number of associations, only 8 Member States have data at hand. The weighted average</w:t>
      </w:r>
      <w:r>
        <w:t xml:space="preserve"> </w:t>
      </w:r>
      <w:r>
        <w:t xml:space="preserve">of the values yields an annual growth rate of 0.4%. However, recent data also suggests that the growth rate for</w:t>
      </w:r>
      <w:r>
        <w:t xml:space="preserve"> </w:t>
      </w:r>
      <w:r>
        <w:t xml:space="preserve">associations might slow down. For example, a recent report for Germany notes that it is likely that in the coming</w:t>
      </w:r>
      <w:r>
        <w:t xml:space="preserve"> </w:t>
      </w:r>
      <w:r>
        <w:t xml:space="preserve">years, the number of associations might actually decrease. Therefore, the IA uses a conservative 0 % growth</w:t>
      </w:r>
      <w:r>
        <w:t xml:space="preserve"> </w:t>
      </w:r>
      <w:r>
        <w:t xml:space="preserve">assumption.</w:t>
      </w:r>
      <w:r>
        <w:t xml:space="preserve"> </w:t>
      </w:r>
      <w:r>
        <w:t xml:space="preserve">42 Recent data on sectoral activity is available for 20 Member States, be it at most aggregated NACE code.</w:t>
      </w:r>
      <w:r>
        <w:br/>
      </w:r>
      <w:r>
        <w:t xml:space="preserve">43 Figure considered as robust. Official and recent data for GDP contribution of NPOs is available for 22 Member</w:t>
      </w:r>
      <w:r>
        <w:t xml:space="preserve"> </w:t>
      </w:r>
      <w:r>
        <w:t xml:space="preserve">States. For the missing data points of EE, CY, EL, NL and IE estimates have been developed. The estimate for</w:t>
      </w:r>
      <w:r>
        <w:t xml:space="preserve"> </w:t>
      </w:r>
      <w:r>
        <w:t xml:space="preserve">GDP contribution of associations is deducted from the collected data for NPOs. For a detailed overview see Annex</w:t>
      </w:r>
      <w:r>
        <w:t xml:space="preserve"> </w:t>
      </w:r>
      <w:r>
        <w:t xml:space="preserve">4 (Section 2.2).</w:t>
      </w:r>
      <w:r>
        <w:t xml:space="preserve"> </w:t>
      </w:r>
      <w:r>
        <w:t xml:space="preserve">44 Figure considered as robust. Estimated based on recent sources for 16 Member States combined with an EU</w:t>
      </w:r>
      <w:r>
        <w:t xml:space="preserve"> </w:t>
      </w:r>
      <w:r>
        <w:t xml:space="preserve">comparative study: The Size and Composition of the European Third Sector, Lester M.Salamon and Wojciech</w:t>
      </w:r>
      <w:r>
        <w:t xml:space="preserve"> </w:t>
      </w:r>
      <w:r>
        <w:t xml:space="preserve">Sokolowski, 2018 (figures for associations and foundations. UK and Norway are excluded from the calculations).</w:t>
      </w:r>
      <w:r>
        <w:t xml:space="preserve"> </w:t>
      </w:r>
      <w:r>
        <w:t xml:space="preserve">These figures are also confirmed by the EESC study on Recent Evolutions of the Social Economy in the European</w:t>
      </w:r>
      <w:r>
        <w:t xml:space="preserve"> </w:t>
      </w:r>
      <w:r>
        <w:t xml:space="preserve">Union, 2016. For a detailed overview of the calculations, see Annex 4 (Section 2.3).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less than one person is employed per association, and the total number of people employed by</w:t>
      </w:r>
      <w:r>
        <w:t xml:space="preserve"> </w:t>
      </w:r>
      <w:r>
        <w:t xml:space="preserve">associations account for only 1% of employment overall. Besides paid staff, many associations</w:t>
      </w:r>
      <w:r>
        <w:t xml:space="preserve"> </w:t>
      </w:r>
      <w:r>
        <w:t xml:space="preserve">rely fully on volunteers to perform their activities.45 For example, data for France46 and</w:t>
      </w:r>
      <w:r>
        <w:t xml:space="preserve"> </w:t>
      </w:r>
      <w:r>
        <w:t xml:space="preserve">Austria47 suggest that the work delivered by volunteers amounts to an additional 580 000 and</w:t>
      </w:r>
      <w:r>
        <w:t xml:space="preserve"> </w:t>
      </w:r>
      <w:r>
        <w:t xml:space="preserve">230 000 Full Time Equivalent workers (FTEs)48 per year respectively.49</w:t>
      </w:r>
      <w:r>
        <w:br/>
      </w:r>
      <w:r>
        <w:t xml:space="preserve">Annex 6 and Annex 4 offer more details and additional indicators on market context.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t xml:space="preserve"> </w:t>
      </w:r>
      <w:r>
        <w:t xml:space="preserve">Box 3: Treatment of data constrains on associations in the problem definition.</w:t>
      </w:r>
    </w:p>
    <w:p>
      <w:pPr>
        <w:pStyle w:val="FirstParagraph"/>
      </w:pPr>
      <w:r>
        <w:t xml:space="preserve">2.1 Preliminary remarks</w:t>
      </w:r>
      <w:r>
        <w:t xml:space="preserve"> </w:t>
      </w:r>
      <w:r>
        <w:t xml:space="preserve">Stakeholders’ views collected through the Public Consultation and further substantiated by a</w:t>
      </w:r>
      <w:r>
        <w:t xml:space="preserve"> </w:t>
      </w:r>
      <w:r>
        <w:t xml:space="preserve">targeted survey and interviews underpinning the IA study, identified a clear need for</w:t>
      </w:r>
      <w:r>
        <w:t xml:space="preserve"> </w:t>
      </w:r>
      <w:r>
        <w:t xml:space="preserve">associations to operate and perform activities in different Member States or having the potential</w:t>
      </w:r>
      <w:r>
        <w:t xml:space="preserve"> </w:t>
      </w:r>
      <w:r>
        <w:t xml:space="preserve">to do so, as follows:</w:t>
      </w:r>
      <w:r>
        <w:t xml:space="preserve"> </w:t>
      </w:r>
      <w:r>
        <w:t xml:space="preserve">Table 2: Stakeholders’ views on the need to operate and perform activities in other Member States.50</w:t>
      </w:r>
    </w:p>
    <w:p>
      <w:pPr>
        <w:pStyle w:val="BodyText"/>
      </w:pPr>
      <w:r>
        <w:t xml:space="preserve">45 A recent Eurobarometer survey suggests that almost half of the population of the EU were engaged with civil</w:t>
      </w:r>
      <w:r>
        <w:t xml:space="preserve"> </w:t>
      </w:r>
      <w:r>
        <w:t xml:space="preserve">society organisations in one way or another in 2020 (on average 47% of respondents), including donating money,</w:t>
      </w:r>
      <w:r>
        <w:t xml:space="preserve"> </w:t>
      </w:r>
      <w:r>
        <w:t xml:space="preserve">engaging in volunteering, or taking part in activities civil society organisations offer. European Parliament (2018),</w:t>
      </w:r>
      <w:r>
        <w:t xml:space="preserve"> </w:t>
      </w:r>
      <w:r>
        <w:t xml:space="preserve">Civic Engagement, Flash Eurobarometer (FL4023) last accessed on 17/03/2023.</w:t>
      </w:r>
      <w:r>
        <w:t xml:space="preserve"> </w:t>
      </w:r>
      <w:r>
        <w:t xml:space="preserve">46 Institut national de la statistique et des études économiques (2018) Les associations actives en 2018. Last</w:t>
      </w:r>
      <w:r>
        <w:t xml:space="preserve"> </w:t>
      </w:r>
      <w:r>
        <w:t xml:space="preserve">accessed on 17/03/2023.</w:t>
      </w:r>
      <w:r>
        <w:t xml:space="preserve"> </w:t>
      </w:r>
      <w:r>
        <w:t xml:space="preserve">47 BÜNDNIS FÜR GEMEINNÜTZIGKEIT (2022), last accessed on 17/03/2023.</w:t>
      </w:r>
      <w:r>
        <w:t xml:space="preserve"> </w:t>
      </w:r>
      <w:r>
        <w:t xml:space="preserve">48 See glossary.</w:t>
      </w:r>
      <w:r>
        <w:br/>
      </w:r>
      <w:r>
        <w:t xml:space="preserve">49 Data are available for the EU Third sector, shows that a total of 16 million FTE workers in the EU are volunteers</w:t>
      </w:r>
      <w:r>
        <w:t xml:space="preserve"> </w:t>
      </w:r>
      <w:r>
        <w:t xml:space="preserve">(EU-28, including UK). The Size and Composition of the European Third Sector, Lester M.Salamon and Wojciech</w:t>
      </w:r>
      <w:r>
        <w:t xml:space="preserve"> </w:t>
      </w:r>
      <w:r>
        <w:t xml:space="preserve">Sokolowski, 2018.</w:t>
      </w:r>
      <w:r>
        <w:br/>
      </w:r>
      <w:r>
        <w:t xml:space="preserve">50 The data limitation disclaimer under Market Context applies.</w:t>
      </w:r>
      <w:r>
        <w:t xml:space="preserve"> </w:t>
      </w:r>
      <w:r>
        <w:t xml:space="preserve">The analysis in this Section of the IA is challenged by the limited availability of input data. Robust data</w:t>
      </w:r>
      <w:r>
        <w:t xml:space="preserve"> </w:t>
      </w:r>
      <w:r>
        <w:t xml:space="preserve">sets concerning the magnitude of the problem do not exist and this also links to the limitations described</w:t>
      </w:r>
      <w:r>
        <w:t xml:space="preserve"> </w:t>
      </w:r>
      <w:r>
        <w:t xml:space="preserve">in the Market Context above (Section 1.4). Moreover, the Public Consultation yielded a limited sample in</w:t>
      </w:r>
      <w:r>
        <w:t xml:space="preserve"> </w:t>
      </w:r>
      <w:r>
        <w:t xml:space="preserve">terms of absolute number of individual contributions, albeit relatively representative in terms of the nature</w:t>
      </w:r>
      <w:r>
        <w:t xml:space="preserve"> </w:t>
      </w:r>
      <w:r>
        <w:t xml:space="preserve">of respondents (including 13 umbrella associations representing the voice of around 1,958 associations)</w:t>
      </w:r>
      <w:r>
        <w:t xml:space="preserve"> </w:t>
      </w:r>
      <w:r>
        <w:t xml:space="preserve">As mitigation measures, the analysis of the nature and magnitude of the problem is complemented with</w:t>
      </w:r>
      <w:r>
        <w:t xml:space="preserve"> </w:t>
      </w:r>
      <w:r>
        <w:t xml:space="preserve">qualitative and quantitative information coming from a dedicated survey and interviews, desk research</w:t>
      </w:r>
      <w:r>
        <w:t xml:space="preserve"> </w:t>
      </w:r>
      <w:r>
        <w:t xml:space="preserve">and literature review and the use of anecdotal evidence and of case studies. Where assumptions need to</w:t>
      </w:r>
      <w:r>
        <w:t xml:space="preserve"> </w:t>
      </w:r>
      <w:r>
        <w:t xml:space="preserve">be made, this is duly indicated and relevant conclusions are nuanced. For more information on the</w:t>
      </w:r>
      <w:r>
        <w:t xml:space="preserve"> </w:t>
      </w:r>
      <w:r>
        <w:t xml:space="preserve">methodology, see Annex 4.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EC PUBLIC</w:t>
      </w:r>
      <w:r>
        <w:t xml:space="preserve"> </w:t>
      </w:r>
      <w:r>
        <w:t xml:space="preserve">CONSULTATION51</w:t>
      </w:r>
    </w:p>
    <w:p>
      <w:pPr>
        <w:pStyle w:val="BodyText"/>
      </w:pPr>
      <w:r>
        <w:t xml:space="preserve">73% out of 64 respondents (among them, 29 out of 38 associations)</w:t>
      </w:r>
      <w:r>
        <w:t xml:space="preserve"> </w:t>
      </w:r>
      <w:r>
        <w:t xml:space="preserve">agree that associations need to be able to easily operate cross-</w:t>
      </w:r>
      <w:r>
        <w:t xml:space="preserve"> </w:t>
      </w:r>
      <w:r>
        <w:t xml:space="preserve">border in the single market in order to reach their objectives.</w:t>
      </w:r>
      <w:r>
        <w:br/>
      </w:r>
      <w:r>
        <w:t xml:space="preserve">To note that, in total 13 out of those 38 associations are umbrella</w:t>
      </w:r>
      <w:r>
        <w:t xml:space="preserve"> </w:t>
      </w:r>
      <w:r>
        <w:t xml:space="preserve">organisations and thereby representing a reach of approximately 1,958</w:t>
      </w:r>
      <w:r>
        <w:t xml:space="preserve"> </w:t>
      </w:r>
      <w:r>
        <w:t xml:space="preserve">individual associations in the EU.</w:t>
      </w:r>
      <w:r>
        <w:br/>
      </w:r>
      <w:r>
        <w:t xml:space="preserve">TARGETED</w:t>
      </w:r>
      <w:r>
        <w:t xml:space="preserve"> </w:t>
      </w:r>
      <w:r>
        <w:t xml:space="preserve">SURVEY</w:t>
      </w:r>
      <w:r>
        <w:t xml:space="preserve"> </w:t>
      </w:r>
      <w:r>
        <w:t xml:space="preserve">OF</w:t>
      </w:r>
      <w:r>
        <w:t xml:space="preserve"> </w:t>
      </w:r>
      <w:r>
        <w:t xml:space="preserve">THE IA STUDY</w:t>
      </w:r>
    </w:p>
    <w:p>
      <w:pPr>
        <w:pStyle w:val="BodyText"/>
      </w:pPr>
      <w:r>
        <w:t xml:space="preserve">49% of responding associations (43 out of 88) have operations in</w:t>
      </w:r>
      <w:r>
        <w:t xml:space="preserve"> </w:t>
      </w:r>
      <w:r>
        <w:t xml:space="preserve">more than one EU Member State.</w:t>
      </w:r>
      <w:r>
        <w:br/>
      </w:r>
      <w:r>
        <w:t xml:space="preserve">Out of the 50% of responding associations (45 out of 88) operating in</w:t>
      </w:r>
      <w:r>
        <w:t xml:space="preserve"> </w:t>
      </w:r>
      <w:r>
        <w:t xml:space="preserve">one single Member State, 19 % (8 out of 45) have considered</w:t>
      </w:r>
      <w:r>
        <w:t xml:space="preserve"> </w:t>
      </w:r>
      <w:r>
        <w:t xml:space="preserve">expanding their operations to another Member State.</w:t>
      </w:r>
    </w:p>
    <w:p>
      <w:pPr>
        <w:pStyle w:val="BodyText"/>
      </w:pPr>
      <w:r>
        <w:t xml:space="preserve">For the purpose of understanding the scale of cross-border activities of associations, this IA</w:t>
      </w:r>
      <w:r>
        <w:t xml:space="preserve"> </w:t>
      </w:r>
      <w:r>
        <w:t xml:space="preserve">reflects the input of a total number of 3 026 associations (including individual associations and</w:t>
      </w:r>
      <w:r>
        <w:t xml:space="preserve"> </w:t>
      </w:r>
      <w:r>
        <w:t xml:space="preserve">umbrella organisations) throughout the overall consultation activities52, either in cases where</w:t>
      </w:r>
      <w:r>
        <w:t xml:space="preserve"> </w:t>
      </w:r>
      <w:r>
        <w:t xml:space="preserve">an association directly contributed to a consultation activity, or indirectly, when the</w:t>
      </w:r>
      <w:r>
        <w:t xml:space="preserve"> </w:t>
      </w:r>
      <w:r>
        <w:t xml:space="preserve">contribution was made via the umbrella organisation the association is a member of. In total,</w:t>
      </w:r>
      <w:r>
        <w:t xml:space="preserve"> </w:t>
      </w:r>
      <w:r>
        <w:t xml:space="preserve">29 umbrella organisations representing the interests and needs of their members were reached</w:t>
      </w:r>
      <w:r>
        <w:t xml:space="preserve"> </w:t>
      </w:r>
      <w:r>
        <w:t xml:space="preserve">out during the consultation activities (more details in Annex 2, Table 1), thereby reinforcing</w:t>
      </w:r>
      <w:r>
        <w:t xml:space="preserve"> </w:t>
      </w:r>
      <w:r>
        <w:t xml:space="preserve">the representativeness of the collected evidence. The following Member States competent</w:t>
      </w:r>
      <w:r>
        <w:t xml:space="preserve"> </w:t>
      </w:r>
      <w:r>
        <w:t xml:space="preserve">authorities contributed to the consultation activities: Estonia, Denmark and France53 (Public</w:t>
      </w:r>
      <w:r>
        <w:t xml:space="preserve"> </w:t>
      </w:r>
      <w:r>
        <w:t xml:space="preserve">Consultation54); Belgium, Croatia, Italy, Denmark, Finland, Cyprus, France, Latvia (Targeted</w:t>
      </w:r>
      <w:r>
        <w:t xml:space="preserve"> </w:t>
      </w:r>
      <w:r>
        <w:t xml:space="preserve">Survey55); and for the in-depth interviews: Belgium, Bulgaria, Cyprus, Denmark, Finland,</w:t>
      </w:r>
      <w:r>
        <w:t xml:space="preserve"> </w:t>
      </w:r>
      <w:r>
        <w:t xml:space="preserve">France, Germany, Latvia, Lithuania, Sweden.</w:t>
      </w:r>
    </w:p>
    <w:p>
      <w:pPr>
        <w:pStyle w:val="BodyText"/>
      </w:pPr>
      <w:r>
        <w:t xml:space="preserve">51 Given the low number of respondents, any derived conclusion should be read with caution (‘re.</w:t>
      </w:r>
      <w:r>
        <w:t xml:space="preserve"> </w:t>
      </w:r>
      <w:r>
        <w:t xml:space="preserve">representativeness’).</w:t>
      </w:r>
      <w:r>
        <w:t xml:space="preserve"> </w:t>
      </w:r>
      <w:r>
        <w:t xml:space="preserve">52 These activities included a Call for Evidence (50 replies) and a Public Consultation (64 replies). Moreover, a</w:t>
      </w:r>
      <w:r>
        <w:t xml:space="preserve"> </w:t>
      </w:r>
      <w:r>
        <w:t xml:space="preserve">Targeted Survey (140 replies received out of which 88 are associations) and 64 in-depth interviews (replies from</w:t>
      </w:r>
      <w:r>
        <w:br/>
      </w:r>
      <w:r>
        <w:t xml:space="preserve">41 associations) were carried out to further enhance the evidence base.</w:t>
      </w:r>
      <w:r>
        <w:br/>
      </w:r>
      <w:r>
        <w:t xml:space="preserve">53 France authorities specifically provided a position paper during the Public Consultation.</w:t>
      </w:r>
      <w:r>
        <w:br/>
      </w:r>
      <w:r>
        <w:t xml:space="preserve">54 To note that Member State authorities did not provide a contribution to the Call for Evidence.</w:t>
      </w:r>
      <w:r>
        <w:br/>
      </w:r>
      <w:r>
        <w:t xml:space="preserve">55 Two different bodies provided information for Belgium, Finland and Denmark.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To further support the collected evidence base, the need to facilitate associations to engage in</w:t>
      </w:r>
      <w:r>
        <w:t xml:space="preserve"> </w:t>
      </w:r>
      <w:r>
        <w:t xml:space="preserve">activities and move across different Member States is further corroborated by recent</w:t>
      </w:r>
      <w:r>
        <w:t xml:space="preserve"> </w:t>
      </w:r>
      <w:r>
        <w:t xml:space="preserve">literature.56</w:t>
      </w:r>
      <w:r>
        <w:t xml:space="preserve"> </w:t>
      </w:r>
      <w:r>
        <w:t xml:space="preserve">2.2 What is the problem?</w:t>
      </w:r>
      <w:r>
        <w:t xml:space="preserve"> </w:t>
      </w:r>
      <w:r>
        <w:t xml:space="preserve">Based on the stakeholder input gathered from different sources – the Public Consultation, the</w:t>
      </w:r>
      <w:r>
        <w:t xml:space="preserve"> </w:t>
      </w:r>
      <w:r>
        <w:t xml:space="preserve">preparation of the IA study, the European Parliament Resolution and its supporting study, as</w:t>
      </w:r>
      <w:r>
        <w:t xml:space="preserve"> </w:t>
      </w:r>
      <w:r>
        <w:t xml:space="preserve">well as two recent independent studies commissioned by the European Commission57 the</w:t>
      </w:r>
      <w:r>
        <w:t xml:space="preserve"> </w:t>
      </w:r>
      <w:r>
        <w:t xml:space="preserve">following problem has been identified:</w:t>
      </w:r>
    </w:p>
    <w:p>
      <w:pPr>
        <w:pStyle w:val="BodyText"/>
      </w:pPr>
      <w:r>
        <w:t xml:space="preserve">Figure 2: Problem statement.</w:t>
      </w:r>
      <w:r>
        <w:t xml:space="preserve"> </w:t>
      </w:r>
      <w:r>
        <w:t xml:space="preserve">The problem refers to both conducting cross-border activities and the possibility for cross-</w:t>
      </w:r>
      <w:r>
        <w:t xml:space="preserve"> </w:t>
      </w:r>
      <w:r>
        <w:t xml:space="preserve">border mobility for associations across the Union, as described below.</w:t>
      </w:r>
      <w:r>
        <w:br/>
      </w:r>
      <w:r>
        <w:t xml:space="preserve">Associations concerned by the identified problem</w:t>
      </w:r>
      <w:r>
        <w:t xml:space="preserve"> </w:t>
      </w:r>
      <w:r>
        <w:t xml:space="preserve">To identify current associations with cross-border activities58, there is no direct data</w:t>
      </w:r>
      <w:r>
        <w:t xml:space="preserve"> </w:t>
      </w:r>
      <w:r>
        <w:t xml:space="preserve">available for most EU Member States. An estimate was developed based on reliable data for</w:t>
      </w:r>
      <w:r>
        <w:t xml:space="preserve"> </w:t>
      </w:r>
      <w:r>
        <w:t xml:space="preserve">Austria and Germany, assuming that 8% of EU associations perform cross-border operations:</w:t>
      </w:r>
      <w:r>
        <w:t xml:space="preserve"> </w:t>
      </w:r>
      <w:r>
        <w:t xml:space="preserve">310 000 cross-border associations in the EU.59 These associations appear to be organised in</w:t>
      </w:r>
      <w:r>
        <w:t xml:space="preserve"> </w:t>
      </w:r>
      <w:r>
        <w:t xml:space="preserve">several Member States. They are active at the EU or international level in areas such as</w:t>
      </w:r>
    </w:p>
    <w:p>
      <w:pPr>
        <w:pStyle w:val="BodyText"/>
      </w:pPr>
      <w:r>
        <w:t xml:space="preserve">56 See e.g. Breen, O. B. (2018). ‘Enlarging the space for European philanthropy’, European Foundation Centre</w:t>
      </w:r>
      <w:r>
        <w:t xml:space="preserve"> </w:t>
      </w:r>
      <w:r>
        <w:t xml:space="preserve">(EFC) and Donors and Foundations Network of Europe (DAME); Charrad, Kristina (2014), ‘Why Is There No</w:t>
      </w:r>
      <w:r>
        <w:t xml:space="preserve"> </w:t>
      </w:r>
      <w:r>
        <w:t xml:space="preserve">Statute for a European Association?’, M. Freise, T. Hallmann (eds.), Modernizing Democracy, DOI 10.1007/978-</w:t>
      </w:r>
      <w:r>
        <w:t xml:space="preserve"> </w:t>
      </w:r>
      <w:r>
        <w:t xml:space="preserve">1-4939-0485- 3_16, Berlin and New York: Springer Science+Business Media.; and Simon Loubris (2003)</w:t>
      </w:r>
      <w:r>
        <w:t xml:space="preserve"> </w:t>
      </w:r>
      <w:r>
        <w:t xml:space="preserve">‘European Association Status: the neglect of Europe’s associations’.</w:t>
      </w:r>
      <w:r>
        <w:t xml:space="preserve"> </w:t>
      </w:r>
      <w:r>
        <w:t xml:space="preserve">57 European Commission, Directorate-General for Internal Market, Industry, Entrepreneurship and SMEs,</w:t>
      </w:r>
      <w:r>
        <w:t xml:space="preserve"> </w:t>
      </w:r>
      <w:r>
        <w:t xml:space="preserve">Comparative legal analysis of associations laws and regimes in the EU: final report (hereinafter “Comparative</w:t>
      </w:r>
      <w:r>
        <w:t xml:space="preserve"> </w:t>
      </w:r>
      <w:r>
        <w:t xml:space="preserve">legal analysis of associations laws and regimes in the EU: final report”), Publications Office of the European</w:t>
      </w:r>
      <w:r>
        <w:t xml:space="preserve"> </w:t>
      </w:r>
      <w:r>
        <w:t xml:space="preserve">Union, 2022; Directorate-General for Internal Market, Industry; Entrepreneurship and SMEs, Study on promoting</w:t>
      </w:r>
      <w:r>
        <w:t xml:space="preserve"> </w:t>
      </w:r>
      <w:r>
        <w:t xml:space="preserve">cross-border activities for social economy (to be published by 2023).</w:t>
      </w:r>
    </w:p>
    <w:p>
      <w:pPr>
        <w:pStyle w:val="BodyText"/>
      </w:pPr>
      <w:r>
        <w:t xml:space="preserve">58 For instance, when associations provide goods and services beyond their de jure or de facto Member State of</w:t>
      </w:r>
      <w:r>
        <w:t xml:space="preserve"> </w:t>
      </w:r>
      <w:r>
        <w:t xml:space="preserve">establishment, when their members come from different Member States, as well as when they collect assets,</w:t>
      </w:r>
      <w:r>
        <w:t xml:space="preserve"> </w:t>
      </w:r>
      <w:r>
        <w:t xml:space="preserve">notably in the form of donations. The data scarcity also translates into an absent single definition of a ‘cross border</w:t>
      </w:r>
      <w:r>
        <w:t xml:space="preserve"> </w:t>
      </w:r>
      <w:r>
        <w:t xml:space="preserve">activity’ that can be applied to the available data and research used and developed in Annex 4. Consequently, a</w:t>
      </w:r>
      <w:r>
        <w:t xml:space="preserve"> </w:t>
      </w:r>
      <w:r>
        <w:t xml:space="preserve">relatively broad definition is applied when it comes to data gathering for associations with cross border activities</w:t>
      </w:r>
      <w:r>
        <w:t xml:space="preserve"> </w:t>
      </w:r>
      <w:r>
        <w:t xml:space="preserve">(based on the studies available for Austria and Germany).</w:t>
      </w:r>
      <w:r>
        <w:br/>
      </w:r>
      <w:r>
        <w:t xml:space="preserve">59 IA study. Estimates are based on data available for Austria and Germany. Data for Estonia and Italy were also</w:t>
      </w:r>
      <w:r>
        <w:t xml:space="preserve"> </w:t>
      </w:r>
      <w:r>
        <w:t xml:space="preserve">available, however not reliable nor representative and were therefore excluded from the estimation exercise. This</w:t>
      </w:r>
      <w:r>
        <w:t xml:space="preserve"> </w:t>
      </w:r>
      <w:r>
        <w:t xml:space="preserve">figure also includes 4 996 so called International NPOs associations, which are established across the EU countries</w:t>
      </w:r>
      <w:r>
        <w:t xml:space="preserve"> </w:t>
      </w:r>
      <w:r>
        <w:t xml:space="preserve">in 2020 (UIA, 2021). Their number has increased about 30 % since 2010 (about 100 INPOs per year). For a</w:t>
      </w:r>
      <w:r>
        <w:t xml:space="preserve"> </w:t>
      </w:r>
      <w:r>
        <w:t xml:space="preserve">detailed overview see Annex 4 (Section 2.5).</w:t>
      </w:r>
      <w:r>
        <w:t xml:space="preserve"> </w:t>
      </w:r>
      <w:r>
        <w:t xml:space="preserve">ASSOCIATIONS THAT WANT TO OPERATE ACROSS BORDERS IN THE SINGLE</w:t>
      </w:r>
      <w:r>
        <w:t xml:space="preserve"> </w:t>
      </w:r>
      <w:r>
        <w:t xml:space="preserve">MARKET ARE FACED WITH UNCERTAINTY ABOUT APPLICABLE RULES AND</w:t>
      </w:r>
      <w:r>
        <w:t xml:space="preserve"> </w:t>
      </w:r>
      <w:r>
        <w:t xml:space="preserve">ADDITIONAL ADMINISTRATIVE BURDEN AND COSTS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healthcare and social services, social inclusion, sports, humanitarian aid, as well as in cross-</w:t>
      </w:r>
      <w:r>
        <w:t xml:space="preserve"> </w:t>
      </w:r>
      <w:r>
        <w:t xml:space="preserve">border innovation and research projects. It is important to note that these figures are best</w:t>
      </w:r>
      <w:r>
        <w:t xml:space="preserve"> </w:t>
      </w:r>
      <w:r>
        <w:t xml:space="preserve">estimates and, therefore, present a risk of overestimation, as extrapolations had to be made, as</w:t>
      </w:r>
      <w:r>
        <w:t xml:space="preserve"> </w:t>
      </w:r>
      <w:r>
        <w:t xml:space="preserve">explained in Annex 4, Section 2.5.</w:t>
      </w:r>
      <w:r>
        <w:br/>
      </w:r>
      <w:r>
        <w:t xml:space="preserve">Table 3: Estimated total number of associations and number of cross-border associations at EU level.</w:t>
      </w:r>
      <w:r>
        <w:t xml:space="preserve"> </w:t>
      </w:r>
      <w:r>
        <w:t xml:space="preserve">Estimate</w:t>
      </w:r>
      <w:r>
        <w:br/>
      </w:r>
      <w:r>
        <w:t xml:space="preserve">Total number of associations</w:t>
      </w:r>
      <w:r>
        <w:br/>
      </w:r>
      <w:r>
        <w:t xml:space="preserve">Number of cross-border associations</w:t>
      </w:r>
    </w:p>
    <w:p>
      <w:pPr>
        <w:pStyle w:val="BodyText"/>
      </w:pPr>
      <w:r>
        <w:t xml:space="preserve">Cross-Border Share: 8%</w:t>
      </w:r>
      <w:r>
        <w:t xml:space="preserve"> </w:t>
      </w:r>
      <w:r>
        <w:t xml:space="preserve">Lower bound</w:t>
      </w:r>
      <w:r>
        <w:br/>
      </w:r>
      <w:r>
        <w:t xml:space="preserve">3 800 000</w:t>
      </w:r>
      <w:r>
        <w:br/>
      </w:r>
      <w:r>
        <w:t xml:space="preserve">304 000</w:t>
      </w:r>
      <w:r>
        <w:br/>
      </w:r>
      <w:r>
        <w:t xml:space="preserve">Central estimate</w:t>
      </w:r>
      <w:r>
        <w:br/>
      </w:r>
      <w:r>
        <w:t xml:space="preserve">3 870 000</w:t>
      </w:r>
      <w:r>
        <w:br/>
      </w:r>
      <w:r>
        <w:t xml:space="preserve">310 000</w:t>
      </w:r>
      <w:r>
        <w:br/>
      </w:r>
      <w:r>
        <w:t xml:space="preserve">Upper bound</w:t>
      </w:r>
      <w:r>
        <w:br/>
      </w:r>
      <w:r>
        <w:t xml:space="preserve">4 000 000</w:t>
      </w:r>
      <w:r>
        <w:br/>
      </w:r>
      <w:r>
        <w:t xml:space="preserve">320 000</w:t>
      </w:r>
    </w:p>
    <w:p>
      <w:pPr>
        <w:pStyle w:val="BodyText"/>
      </w:pPr>
      <w:r>
        <w:t xml:space="preserve">The consequent contribution of cross-border associations to EU GDP is estimated between</w:t>
      </w:r>
      <w:r>
        <w:t xml:space="preserve"> </w:t>
      </w:r>
      <w:r>
        <w:t xml:space="preserve">EUR 5.7 billion and EUR 7.0 billion (see table below).60 These estimates should be treated</w:t>
      </w:r>
      <w:r>
        <w:t xml:space="preserve"> </w:t>
      </w:r>
      <w:r>
        <w:t xml:space="preserve">with cautiousness, as there might be a risk of overestimation due to limited official data.</w:t>
      </w:r>
      <w:r>
        <w:br/>
      </w:r>
      <w:r>
        <w:t xml:space="preserve">Table 4: Estimated contribution of cross-border associations to the EU GDP (2021).</w:t>
      </w:r>
      <w:r>
        <w:t xml:space="preserve"> </w:t>
      </w:r>
      <w:r>
        <w:t xml:space="preserve">Lower bound estimate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EUR 5.7 billion</w:t>
      </w:r>
      <w:r>
        <w:t xml:space="preserve"> </w:t>
      </w:r>
      <w:r>
        <w:t xml:space="preserve">EUR 7.0 billion</w:t>
      </w:r>
      <w:r>
        <w:t xml:space="preserve"> </w:t>
      </w:r>
      <w:r>
        <w:t xml:space="preserve">0.04% of total GDP (2021)</w:t>
      </w:r>
      <w:r>
        <w:t xml:space="preserve"> </w:t>
      </w:r>
      <w:r>
        <w:t xml:space="preserve">0.05% of total GDP (2021)</w:t>
      </w:r>
    </w:p>
    <w:p>
      <w:pPr>
        <w:pStyle w:val="BodyText"/>
      </w:pPr>
      <w:r>
        <w:t xml:space="preserve">Among cross-border associations, there are associations active in border regions. The IA study</w:t>
      </w:r>
      <w:r>
        <w:t xml:space="preserve"> </w:t>
      </w:r>
      <w:r>
        <w:t xml:space="preserve">survey showed that 70% (30 out of 43 replies) of the associations acting cross-border had</w:t>
      </w:r>
      <w:r>
        <w:t xml:space="preserve"> </w:t>
      </w:r>
      <w:r>
        <w:t xml:space="preserve">activities in at least one border region.61 In addition, qualitative and quantitative information,</w:t>
      </w:r>
      <w:r>
        <w:t xml:space="preserve"> </w:t>
      </w:r>
      <w:r>
        <w:t xml:space="preserve">building on the participation of civil society organisations, including associations, to</w:t>
      </w:r>
      <w:r>
        <w:t xml:space="preserve"> </w:t>
      </w:r>
      <w:r>
        <w:t xml:space="preserve">implement Interreg programmes,62 supports that associations active in border regions are (or</w:t>
      </w:r>
      <w:r>
        <w:t xml:space="preserve"> </w:t>
      </w:r>
      <w:r>
        <w:t xml:space="preserve">desire) undertaking cross-border activities in neighbouring Member States (see box 2).</w:t>
      </w:r>
      <w:r>
        <w:br/>
      </w:r>
      <w:r>
        <w:t xml:space="preserve">Box 4: Associations present in Interreg Cross-Border Programmes.</w:t>
      </w:r>
      <w:r>
        <w:br/>
      </w:r>
      <w:r>
        <w:t xml:space="preserve">Data from keep.eu database63 for the programme period 2014-2020 provide a good picture about associations</w:t>
      </w:r>
      <w:r>
        <w:t xml:space="preserve"> </w:t>
      </w:r>
      <w:r>
        <w:t xml:space="preserve">involved in different Interreg programmes, thereby indirectly showing that associations have clear incentives</w:t>
      </w:r>
    </w:p>
    <w:p>
      <w:pPr>
        <w:pStyle w:val="BodyText"/>
      </w:pPr>
      <w:r>
        <w:t xml:space="preserve">60 IA study. Estimates based on the combination of data on the share of FTE working cross-border with the</w:t>
      </w:r>
      <w:r>
        <w:t xml:space="preserve"> </w:t>
      </w:r>
      <w:r>
        <w:t xml:space="preserve">estimated contribution of associations to GDP. As the estimates for cross-border employment are likely to</w:t>
      </w:r>
      <w:r>
        <w:t xml:space="preserve"> </w:t>
      </w:r>
      <w:r>
        <w:t xml:space="preserve">underestimate the true cross-border activities considerably, the upper bound estimate should be seen as more</w:t>
      </w:r>
      <w:r>
        <w:t xml:space="preserve"> </w:t>
      </w:r>
      <w:r>
        <w:t xml:space="preserve">reliable. For more info see Annex 4 (Section 2.7).</w:t>
      </w:r>
      <w:r>
        <w:br/>
      </w:r>
      <w:r>
        <w:t xml:space="preserve">61 IA study. However, due to the limited sample, the study information is insufficient to achieve proper estimations</w:t>
      </w:r>
      <w:r>
        <w:t xml:space="preserve"> </w:t>
      </w:r>
      <w:r>
        <w:t xml:space="preserve">on the total number of associations active in border regions.</w:t>
      </w:r>
      <w:r>
        <w:t xml:space="preserve"> </w:t>
      </w:r>
      <w:r>
        <w:t xml:space="preserve">62 For example, http://www.at-cz.eu/</w:t>
      </w:r>
      <w:r>
        <w:br/>
      </w:r>
      <w:r>
        <w:t xml:space="preserve">63 The Keep.eu database contains data for 9 079 Interreg projects (out of the 9 485 or 96%). It serves all</w:t>
      </w:r>
      <w:r>
        <w:t xml:space="preserve"> </w:t>
      </w:r>
      <w:r>
        <w:t xml:space="preserve">professional audiences in need of aggregated data regarding projects and beneficiaries of European Union cross-</w:t>
      </w:r>
      <w:r>
        <w:t xml:space="preserve"> </w:t>
      </w:r>
      <w:r>
        <w:t xml:space="preserve">border, transnational and interregional cooperation programmes among the member States, and between member</w:t>
      </w:r>
      <w:r>
        <w:t xml:space="preserve"> </w:t>
      </w:r>
      <w:r>
        <w:t xml:space="preserve">States and neighbouring or pre-accession countries.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to operate cross-border, including cross-border activities in neighbouring regions. A minimum 1 335 or 15%</w:t>
      </w:r>
      <w:r>
        <w:t xml:space="preserve"> </w:t>
      </w:r>
      <w:r>
        <w:t xml:space="preserve">of all projects had associations as a partner or consortium leader.64 Looking at projects in NUTS III regions</w:t>
      </w:r>
      <w:r>
        <w:t xml:space="preserve"> </w:t>
      </w:r>
      <w:r>
        <w:t xml:space="preserve">from at least two different Member States directly on the borders or adjacent to them (neighbouring regions),</w:t>
      </w:r>
      <w:r>
        <w:t xml:space="preserve"> </w:t>
      </w:r>
      <w:r>
        <w:t xml:space="preserve">associations were engaged in 536 or 6% of the overall projects. Main areas of cross-border, transnational and</w:t>
      </w:r>
      <w:r>
        <w:t xml:space="preserve"> </w:t>
      </w:r>
      <w:r>
        <w:t xml:space="preserve">interregional cooperation involving associations: tourism (10%), cultural heritage and arts (8%), SME and</w:t>
      </w:r>
      <w:r>
        <w:t xml:space="preserve"> </w:t>
      </w:r>
      <w:r>
        <w:t xml:space="preserve">entrepreneurship (6%), sustainable management of natural resources (4%), education and training (4%), social</w:t>
      </w:r>
      <w:r>
        <w:t xml:space="preserve"> </w:t>
      </w:r>
      <w:r>
        <w:t xml:space="preserve">inclusion and equal opportunities (4%), clustering and economic cooperation (4%).</w:t>
      </w:r>
    </w:p>
    <w:p>
      <w:pPr>
        <w:pStyle w:val="BodyText"/>
      </w:pPr>
      <w:r>
        <w:t xml:space="preserve">A second group to be considered as concerned by the identified problem are associations that</w:t>
      </w:r>
      <w:r>
        <w:t xml:space="preserve"> </w:t>
      </w:r>
      <w:r>
        <w:t xml:space="preserve">are not yet active in more than one Member State, but which would potentially expand cross-</w:t>
      </w:r>
      <w:r>
        <w:t xml:space="preserve"> </w:t>
      </w:r>
      <w:r>
        <w:t xml:space="preserve">border, if barriers to be specified below were removed. These are associations active</w:t>
      </w:r>
      <w:r>
        <w:t xml:space="preserve"> </w:t>
      </w:r>
      <w:r>
        <w:t xml:space="preserve">domestically with an interest to go cross-border. Arguably, estimating the size of this group of</w:t>
      </w:r>
      <w:r>
        <w:t xml:space="preserve"> </w:t>
      </w:r>
      <w:r>
        <w:t xml:space="preserve">associations is the most challenging, as no clear-cut information is available. Several estimation</w:t>
      </w:r>
      <w:r>
        <w:t xml:space="preserve"> </w:t>
      </w:r>
      <w:r>
        <w:t xml:space="preserve">techniques (based on company data and surveys)65 were used to arrive at a “theoretical</w:t>
      </w:r>
      <w:r>
        <w:t xml:space="preserve"> </w:t>
      </w:r>
      <w:r>
        <w:t xml:space="preserve">maximum potential” of 350 000 associations that could be engaged in cross-border activities,</w:t>
      </w:r>
      <w:r>
        <w:t xml:space="preserve"> </w:t>
      </w:r>
      <w:r>
        <w:t xml:space="preserve">should identified barriers be removed. This corresponds to 9% of the total number of</w:t>
      </w:r>
      <w:r>
        <w:t xml:space="preserve"> </w:t>
      </w:r>
      <w:r>
        <w:t xml:space="preserve">associations66 in the EU. This is the most conservative approach (e.g. compared to the</w:t>
      </w:r>
      <w:r>
        <w:t xml:space="preserve"> </w:t>
      </w:r>
      <w:r>
        <w:t xml:space="preserve">stakeholder survey showing 17%). This corresponds to a theoretic maximum ‘opportunity cost’</w:t>
      </w:r>
      <w:r>
        <w:t xml:space="preserve"> </w:t>
      </w:r>
      <w:r>
        <w:t xml:space="preserve">of EUR 7.9 billion (annual contribution to EU GDP) and 140 000 jobs (FTEs working cross-</w:t>
      </w:r>
      <w:r>
        <w:t xml:space="preserve"> </w:t>
      </w:r>
      <w:r>
        <w:t xml:space="preserve">border)67. This estimate is the most conservative result that could be used amongst applied</w:t>
      </w:r>
      <w:r>
        <w:t xml:space="preserve"> </w:t>
      </w:r>
      <w:r>
        <w:t xml:space="preserve">methods.</w:t>
      </w:r>
      <w:r>
        <w:t xml:space="preserve"> </w:t>
      </w:r>
      <w:r>
        <w:t xml:space="preserve">Furthermore, as it is not realistic to assume that any policy option assessed in the IA could</w:t>
      </w:r>
      <w:r>
        <w:t xml:space="preserve"> </w:t>
      </w:r>
      <w:r>
        <w:t xml:space="preserve">solve all identified barriers (as some of them are outside the scope of intervention such as those</w:t>
      </w:r>
      <w:r>
        <w:t xml:space="preserve"> </w:t>
      </w:r>
      <w:r>
        <w:t xml:space="preserve">relating to taxation or labour), the IA study estimated68 that at maximum 185 000 associations</w:t>
      </w:r>
      <w:r>
        <w:t xml:space="preserve"> </w:t>
      </w:r>
      <w:r>
        <w:t xml:space="preserve">could be expected to consider operating cross-border in the event of sufficient policy</w:t>
      </w:r>
    </w:p>
    <w:p>
      <w:pPr>
        <w:pStyle w:val="BodyText"/>
      </w:pPr>
      <w:r>
        <w:t xml:space="preserve">64 This is most likely an underestimation as selection could only be based on projects in English, German and</w:t>
      </w:r>
      <w:r>
        <w:t xml:space="preserve"> </w:t>
      </w:r>
      <w:r>
        <w:t xml:space="preserve">French. Projects registers in another language are not selected. These figures are at project level, where at least 1</w:t>
      </w:r>
      <w:r>
        <w:t xml:space="preserve"> </w:t>
      </w:r>
      <w:r>
        <w:t xml:space="preserve">association is engaged as a (lead) partner. This means that actual participation of associations will be a multitude</w:t>
      </w:r>
      <w:r>
        <w:t xml:space="preserve"> </w:t>
      </w:r>
      <w:r>
        <w:t xml:space="preserve">to the figures above. From the program period 2021-2027 onwards such figures will also become available at</w:t>
      </w:r>
      <w:r>
        <w:t xml:space="preserve"> </w:t>
      </w:r>
      <w:r>
        <w:t xml:space="preserve">partner level.</w:t>
      </w:r>
      <w:r>
        <w:br/>
      </w:r>
      <w:r>
        <w:t xml:space="preserve">65 In order to estimate the maximum theoretic potential of associations willing to go cross-border, various sources</w:t>
      </w:r>
      <w:r>
        <w:t xml:space="preserve"> </w:t>
      </w:r>
      <w:r>
        <w:t xml:space="preserve">were employed, including Eurobarometer and Eurochambers surveys which explored the interest to go cross-</w:t>
      </w:r>
      <w:r>
        <w:t xml:space="preserve"> </w:t>
      </w:r>
      <w:r>
        <w:t xml:space="preserve">border for companies not yet active. A further breakdown by size of organisations was used. Data on micro-</w:t>
      </w:r>
      <w:r>
        <w:t xml:space="preserve"> </w:t>
      </w:r>
      <w:r>
        <w:t xml:space="preserve">enterprises were used as proxy for associations, as associations can be conceptualised to be most similar to micro-</w:t>
      </w:r>
      <w:r>
        <w:t xml:space="preserve"> </w:t>
      </w:r>
      <w:r>
        <w:t xml:space="preserve">enterprises, given their resources available and number of employees. See Annex 4 (Section 3.2) for detailed steps</w:t>
      </w:r>
      <w:r>
        <w:t xml:space="preserve"> </w:t>
      </w:r>
      <w:r>
        <w:t xml:space="preserve">and sources.</w:t>
      </w:r>
      <w:r>
        <w:t xml:space="preserve"> </w:t>
      </w:r>
      <w:r>
        <w:t xml:space="preserve">66 This figure of 350 000 associations (or 9% of the total number of associations) was triangulated with information</w:t>
      </w:r>
      <w:r>
        <w:t xml:space="preserve"> </w:t>
      </w:r>
      <w:r>
        <w:t xml:space="preserve">collected via the stakeholder survey specifically targeted to associations, which showed a slightly higher share of</w:t>
      </w:r>
      <w:r>
        <w:t xml:space="preserve"> </w:t>
      </w:r>
      <w:r>
        <w:t xml:space="preserve">associations willing to go cross-border (~17%). In terms of size, over 90% of associations responding to the survey</w:t>
      </w:r>
      <w:r>
        <w:t xml:space="preserve"> </w:t>
      </w:r>
      <w:r>
        <w:t xml:space="preserve">were small or micro-organisations, reflecting the typical (micro) structure of associations. However, due to the</w:t>
      </w:r>
      <w:r>
        <w:t xml:space="preserve"> </w:t>
      </w:r>
      <w:r>
        <w:t xml:space="preserve">topic of the survey and the stakeholders reached out to, a certain selection bias is likely towards respondents from</w:t>
      </w:r>
      <w:r>
        <w:t xml:space="preserve"> </w:t>
      </w:r>
      <w:r>
        <w:t xml:space="preserve">organisations that are interested in the topic of cross-borders activities, leading to a slightly overestimated figure.</w:t>
      </w:r>
      <w:r>
        <w:t xml:space="preserve"> </w:t>
      </w:r>
      <w:r>
        <w:t xml:space="preserve">For this reason the more conservative estimate of 9% was used. For more details see Annex 4 (Section 3.2).</w:t>
      </w:r>
      <w:r>
        <w:br/>
      </w:r>
      <w:r>
        <w:t xml:space="preserve">67 Deducted from data on employment and GDP contribution of associations already operating cross- border. For</w:t>
      </w:r>
      <w:r>
        <w:t xml:space="preserve"> </w:t>
      </w:r>
      <w:r>
        <w:t xml:space="preserve">more detail, see Annex 4 (Section 3.2).</w:t>
      </w:r>
      <w:r>
        <w:t xml:space="preserve"> </w:t>
      </w:r>
      <w:r>
        <w:t xml:space="preserve">68 Based on a benchmark of small and medium sized enterprises in services sectors increasing their cross-border</w:t>
      </w:r>
      <w:r>
        <w:t xml:space="preserve"> </w:t>
      </w:r>
      <w:r>
        <w:t xml:space="preserve">trade over a 15-year timeframe.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intervention.69 A further element to mitigate the risk of a potential overestimation builds on the</w:t>
      </w:r>
      <w:r>
        <w:t xml:space="preserve"> </w:t>
      </w:r>
      <w:r>
        <w:t xml:space="preserve">fact that, as compared to SMEs in the service sector, associations (i) have more limited</w:t>
      </w:r>
      <w:r>
        <w:t xml:space="preserve"> </w:t>
      </w:r>
      <w:r>
        <w:t xml:space="preserve">operational and financial capacity (ii) are mostly small to micro-organisations and (iii) are</w:t>
      </w:r>
      <w:r>
        <w:t xml:space="preserve"> </w:t>
      </w:r>
      <w:r>
        <w:t xml:space="preserve">much rooted to the territory with missions and business models addressing local markets.</w:t>
      </w:r>
      <w:r>
        <w:br/>
      </w:r>
      <w:r>
        <w:t xml:space="preserve">Based on the above qualitative arguments, the table below shows three lower growth scenarios</w:t>
      </w:r>
      <w:r>
        <w:t xml:space="preserve"> </w:t>
      </w:r>
      <w:r>
        <w:t xml:space="preserve">for associations expected to consider operating cross-border in the event of sufficient policy</w:t>
      </w:r>
      <w:r>
        <w:t xml:space="preserve"> </w:t>
      </w:r>
      <w:r>
        <w:t xml:space="preserve">intervention.</w:t>
      </w:r>
      <w:r>
        <w:br/>
      </w:r>
      <w:r>
        <w:t xml:space="preserve">Table 5: Different scenarios of associations that could realistically consider operating cross-border in the event</w:t>
      </w:r>
      <w:r>
        <w:t xml:space="preserve"> </w:t>
      </w:r>
      <w:r>
        <w:t xml:space="preserve">of sufficient policy intervention (as a share (%) of “current cross border associations” of 310 000 associations).</w:t>
      </w:r>
      <w:r>
        <w:t xml:space="preserve"> </w:t>
      </w:r>
      <w:r>
        <w:t xml:space="preserve">Scenario 1: Benchmark (60%)</w:t>
      </w:r>
      <w:r>
        <w:t xml:space="preserve"> </w:t>
      </w:r>
      <w:r>
        <w:t xml:space="preserve">185 000 SCENARIO A</w:t>
      </w:r>
      <w:r>
        <w:t xml:space="preserve"> </w:t>
      </w:r>
      <w:r>
        <w:t xml:space="preserve">Scenario 2: -5p.p. (55%)</w:t>
      </w:r>
      <w:r>
        <w:t xml:space="preserve"> </w:t>
      </w:r>
      <w:r>
        <w:t xml:space="preserve">170 500</w:t>
      </w:r>
      <w:r>
        <w:t xml:space="preserve"> </w:t>
      </w:r>
      <w:r>
        <w:t xml:space="preserve">Scenario 3: -10p.p. (50%)</w:t>
      </w:r>
      <w:r>
        <w:t xml:space="preserve"> </w:t>
      </w:r>
      <w:r>
        <w:t xml:space="preserve">155 000 SCENARIO B</w:t>
      </w:r>
      <w:r>
        <w:t xml:space="preserve"> </w:t>
      </w:r>
      <w:r>
        <w:t xml:space="preserve">Scenario 4: -15p.p. (45%)</w:t>
      </w:r>
      <w:r>
        <w:t xml:space="preserve"> </w:t>
      </w:r>
      <w:r>
        <w:t xml:space="preserve">139 500</w:t>
      </w:r>
    </w:p>
    <w:p>
      <w:pPr>
        <w:pStyle w:val="BodyText"/>
      </w:pPr>
      <w:r>
        <w:t xml:space="preserve">N.B.: to note that only scenarios 1 and 3 will be further used to measure the impacts (IA, Section 6). As</w:t>
      </w:r>
      <w:r>
        <w:t xml:space="preserve"> </w:t>
      </w:r>
      <w:r>
        <w:t xml:space="preserve">scenario 2, 3 and 4 are more conservative scenarios proportionate to the benchmark scenario, only one</w:t>
      </w:r>
      <w:r>
        <w:t xml:space="preserve"> </w:t>
      </w:r>
      <w:r>
        <w:t xml:space="preserve">lower scenario will be further used in the assessment of impacts. For clarity purposes, scenario 1 and</w:t>
      </w:r>
      <w:r>
        <w:t xml:space="preserve"> </w:t>
      </w:r>
      <w:r>
        <w:t xml:space="preserve">3 will be referred to thereafter as ‘scenario A’ and ‘scenario B’, respectively.</w:t>
      </w:r>
      <w:r>
        <w:br/>
      </w:r>
      <w:r>
        <w:t xml:space="preserve">Table 6: Summary of best estimates for associations operating and potentially operating cross border.</w:t>
      </w:r>
      <w:r>
        <w:t xml:space="preserve"> </w:t>
      </w:r>
      <w:r>
        <w:t xml:space="preserve">Total number of associations</w:t>
      </w:r>
      <w:r>
        <w:t xml:space="preserve"> </w:t>
      </w:r>
      <w:r>
        <w:t xml:space="preserve">(EU)</w:t>
      </w:r>
      <w:r>
        <w:t xml:space="preserve"> </w:t>
      </w:r>
      <w:r>
        <w:t xml:space="preserve">3 870 000</w:t>
      </w:r>
      <w:r>
        <w:t xml:space="preserve"> </w:t>
      </w:r>
      <w:r>
        <w:t xml:space="preserve">% of total</w:t>
      </w:r>
      <w:r>
        <w:t xml:space="preserve"> </w:t>
      </w:r>
      <w:r>
        <w:t xml:space="preserve">IA Impact Section 6</w:t>
      </w:r>
      <w:r>
        <w:t xml:space="preserve"> </w:t>
      </w:r>
      <w:r>
        <w:t xml:space="preserve">Associations</w:t>
      </w:r>
      <w:r>
        <w:t xml:space="preserve"> </w:t>
      </w:r>
      <w:r>
        <w:t xml:space="preserve">currently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cross-border</w:t>
      </w:r>
      <w:r>
        <w:t xml:space="preserve"> </w:t>
      </w:r>
      <w:r>
        <w:t xml:space="preserve">activities</w:t>
      </w:r>
      <w:r>
        <w:t xml:space="preserve"> </w:t>
      </w:r>
      <w:r>
        <w:t xml:space="preserve">310 000</w:t>
      </w:r>
      <w:r>
        <w:t xml:space="preserve"> </w:t>
      </w:r>
      <w:r>
        <w:t xml:space="preserve">8%</w:t>
      </w:r>
      <w:r>
        <w:br/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impact</w:t>
      </w:r>
      <w:r>
        <w:t xml:space="preserve"> </w:t>
      </w:r>
      <w:r>
        <w:t xml:space="preserve">calculations</w:t>
      </w:r>
      <w:r>
        <w:t xml:space="preserve"> </w:t>
      </w:r>
      <w:r>
        <w:t xml:space="preserve">for</w:t>
      </w:r>
      <w:r>
        <w:t xml:space="preserve"> </w:t>
      </w:r>
      <w:r>
        <w:t xml:space="preserve">“recurrent costs”</w:t>
      </w:r>
      <w:r>
        <w:t xml:space="preserve"> </w:t>
      </w:r>
      <w:r>
        <w:t xml:space="preserve">Associations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potentially</w:t>
      </w:r>
      <w:r>
        <w:t xml:space="preserve"> </w:t>
      </w:r>
      <w:r>
        <w:t xml:space="preserve">operate</w:t>
      </w:r>
      <w:r>
        <w:t xml:space="preserve"> </w:t>
      </w:r>
      <w:r>
        <w:t xml:space="preserve">cross-</w:t>
      </w:r>
      <w:r>
        <w:t xml:space="preserve"> </w:t>
      </w:r>
      <w:r>
        <w:t xml:space="preserve">border (theoretical maximum)</w:t>
      </w:r>
      <w:r>
        <w:t xml:space="preserve"> </w:t>
      </w:r>
      <w:r>
        <w:t xml:space="preserve">350 000</w:t>
      </w:r>
      <w:r>
        <w:t xml:space="preserve"> </w:t>
      </w:r>
      <w:r>
        <w:t xml:space="preserve">9%</w:t>
      </w:r>
    </w:p>
    <w:p>
      <w:pPr>
        <w:pStyle w:val="BodyText"/>
      </w:pPr>
      <w:r>
        <w:t xml:space="preserve">Associations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potentially operate cross-</w:t>
      </w:r>
      <w:r>
        <w:t xml:space="preserve"> </w:t>
      </w:r>
      <w:r>
        <w:t xml:space="preserve">border (maximum unlocked</w:t>
      </w:r>
      <w:r>
        <w:t xml:space="preserve"> </w:t>
      </w:r>
      <w:r>
        <w:t xml:space="preserve">in case of policy intervention)</w:t>
      </w:r>
    </w:p>
    <w:p>
      <w:pPr>
        <w:pStyle w:val="BodyText"/>
      </w:pPr>
      <w:r>
        <w:t xml:space="preserve">185 000 (scenario A)</w:t>
      </w:r>
      <w:r>
        <w:t xml:space="preserve"> </w:t>
      </w:r>
      <w:r>
        <w:t xml:space="preserve">155 000 (scenario B)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Both scenarios are used</w:t>
      </w:r>
      <w:r>
        <w:t xml:space="preserve"> </w:t>
      </w:r>
      <w:r>
        <w:t xml:space="preserve">as a basis for impact</w:t>
      </w:r>
      <w:r>
        <w:t xml:space="preserve"> </w:t>
      </w:r>
      <w:r>
        <w:t xml:space="preserve">calculations for “one-off</w:t>
      </w:r>
      <w:r>
        <w:t xml:space="preserve"> </w:t>
      </w:r>
      <w:r>
        <w:t xml:space="preserve">costs”</w:t>
      </w:r>
      <w:r>
        <w:t xml:space="preserve"> </w:t>
      </w:r>
      <w:r>
        <w:t xml:space="preserve">and</w:t>
      </w:r>
      <w:r>
        <w:t xml:space="preserve"> </w:t>
      </w:r>
      <w:r>
        <w:t xml:space="preserve">potential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69 Estimate based on developments for SMEs in the service sector. The “30 years of Single Market” report was</w:t>
      </w:r>
      <w:r>
        <w:t xml:space="preserve"> </w:t>
      </w:r>
      <w:r>
        <w:t xml:space="preserve">used as the most suitable benchmark. The report estimated that companies’ trade in services within the Single</w:t>
      </w:r>
      <w:r>
        <w:t xml:space="preserve"> </w:t>
      </w:r>
      <w:r>
        <w:t xml:space="preserve">Market increased from 5% to 8% (as a share of the GDP) within 2004-2019 in the EU, representing an increase</w:t>
      </w:r>
      <w:r>
        <w:t xml:space="preserve"> </w:t>
      </w:r>
      <w:r>
        <w:t xml:space="preserve">of 60% of trade in services within the Single Market. The same 60% increase is applied to the number of</w:t>
      </w:r>
      <w:r>
        <w:t xml:space="preserve"> </w:t>
      </w:r>
      <w:r>
        <w:t xml:space="preserve">associations estimated to be already active cross-border (310 000). See Annex 4 (Section 2.5).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When considering the sectors and size of associations active or willing to operate across-</w:t>
      </w:r>
      <w:r>
        <w:t xml:space="preserve"> </w:t>
      </w:r>
      <w:r>
        <w:t xml:space="preserve">borders, the IA study highlights that no clear evidence exists at hand. In terms of sectoral</w:t>
      </w:r>
      <w:r>
        <w:t xml:space="preserve"> </w:t>
      </w:r>
      <w:r>
        <w:t xml:space="preserve">activity, assumptions can be made that associations operating in sectors with comparable</w:t>
      </w:r>
      <w:r>
        <w:t xml:space="preserve"> </w:t>
      </w:r>
      <w:r>
        <w:t xml:space="preserve">internationalisation degree in the for-profit sector might be more likely to pursue cross-border</w:t>
      </w:r>
      <w:r>
        <w:t xml:space="preserve"> </w:t>
      </w:r>
      <w:r>
        <w:t xml:space="preserve">ambitions, despite of associations generally being rooted to the territory and with potentially</w:t>
      </w:r>
      <w:r>
        <w:t xml:space="preserve"> </w:t>
      </w:r>
      <w:r>
        <w:t xml:space="preserve">fewer international ambitions. In terms of size, the IA study offers arguments supporting the</w:t>
      </w:r>
      <w:r>
        <w:t xml:space="preserve"> </w:t>
      </w:r>
      <w:r>
        <w:t xml:space="preserve">assumption that bigger and more professionalised associations are more likely to operate across</w:t>
      </w:r>
      <w:r>
        <w:t xml:space="preserve"> </w:t>
      </w:r>
      <w:r>
        <w:t xml:space="preserve">border than small ones, as they have more capacity, resources, scaling potential and are more</w:t>
      </w:r>
      <w:r>
        <w:t xml:space="preserve"> </w:t>
      </w:r>
      <w:r>
        <w:t xml:space="preserve">likely to operate in international context driven by trade or knowledge sharing. The deterring</w:t>
      </w:r>
      <w:r>
        <w:t xml:space="preserve"> </w:t>
      </w:r>
      <w:r>
        <w:t xml:space="preserve">effect of costs to operate cross-border is likely to be bigger for smaller associations with little</w:t>
      </w:r>
      <w:r>
        <w:t xml:space="preserve"> </w:t>
      </w:r>
      <w:r>
        <w:t xml:space="preserve">or no paid employees that need to spend additional time to gather information, establish the</w:t>
      </w:r>
      <w:r>
        <w:t xml:space="preserve"> </w:t>
      </w:r>
      <w:r>
        <w:t xml:space="preserve">cross-border activities and comply with any potential legal requirements if no policy</w:t>
      </w:r>
      <w:r>
        <w:t xml:space="preserve"> </w:t>
      </w:r>
      <w:r>
        <w:t xml:space="preserve">intervention occurs. Furthermore, according to interviews during the scoping phase</w:t>
      </w:r>
      <w:r>
        <w:t xml:space="preserve"> </w:t>
      </w:r>
      <w:r>
        <w:t xml:space="preserve">underpinning the IA study, the need to carry out cross-border activities mostly concerns: (i)</w:t>
      </w:r>
      <w:r>
        <w:t xml:space="preserve"> </w:t>
      </w:r>
      <w:r>
        <w:t xml:space="preserve">fields which tend to cover a cross-border dimension (e.g. education, culture, health,</w:t>
      </w:r>
      <w:r>
        <w:t xml:space="preserve"> </w:t>
      </w:r>
      <w:r>
        <w:t xml:space="preserve">environmental and fundamental rights) and (ii) associations with presence in many Member</w:t>
      </w:r>
      <w:r>
        <w:t xml:space="preserve"> </w:t>
      </w:r>
      <w:r>
        <w:t xml:space="preserve">States (as an indication, around 5 000 International NPOs70 exist in the EU. Their number has</w:t>
      </w:r>
      <w:r>
        <w:t xml:space="preserve"> </w:t>
      </w:r>
      <w:r>
        <w:t xml:space="preserve">increased by about 30 % since 2010).</w:t>
      </w:r>
    </w:p>
    <w:p>
      <w:pPr>
        <w:pStyle w:val="BodyText"/>
      </w:pPr>
      <w:r>
        <w:t xml:space="preserve">Description of the identified problem</w:t>
      </w:r>
      <w:r>
        <w:t xml:space="preserve"> </w:t>
      </w:r>
      <w:r>
        <w:t xml:space="preserve">As emerged from the Public Consultation, the survey conducted for the IA study and further</w:t>
      </w:r>
      <w:r>
        <w:t xml:space="preserve"> </w:t>
      </w:r>
      <w:r>
        <w:t xml:space="preserve">corroborated by anecdotal evidence, associations face a fragmented landscape of diverse rules</w:t>
      </w:r>
      <w:r>
        <w:t xml:space="preserve"> </w:t>
      </w:r>
      <w:r>
        <w:t xml:space="preserve">or the lack of enabling rules in the Member States applying to their cross-border activities,</w:t>
      </w:r>
      <w:r>
        <w:t xml:space="preserve"> </w:t>
      </w:r>
      <w:r>
        <w:t xml:space="preserve">mobility, and cross-border internal organisation elements (i.e. membership or governance</w:t>
      </w:r>
      <w:r>
        <w:t xml:space="preserve"> </w:t>
      </w:r>
      <w:r>
        <w:t xml:space="preserve">functions).71 This fragmentation creates an uneven playing field for associations preventing</w:t>
      </w:r>
      <w:r>
        <w:t xml:space="preserve"> </w:t>
      </w:r>
      <w:r>
        <w:t xml:space="preserve">them from enjoying their freedoms in the single market and resulting in regulatory and</w:t>
      </w:r>
      <w:r>
        <w:t xml:space="preserve"> </w:t>
      </w:r>
      <w:r>
        <w:t xml:space="preserve">administrative barriers and unnecessary excessive costs.72 This is further confirmed by the legal</w:t>
      </w:r>
      <w:r>
        <w:t xml:space="preserve"> </w:t>
      </w:r>
      <w:r>
        <w:t xml:space="preserve">analysis conducted.</w:t>
      </w:r>
      <w:r>
        <w:br/>
      </w:r>
      <w:r>
        <w:t xml:space="preserve">Based on the comparative analysis of laws in the Member States, as conducted in the IA study</w:t>
      </w:r>
      <w:r>
        <w:t xml:space="preserve"> </w:t>
      </w:r>
      <w:r>
        <w:t xml:space="preserve">and building on a recent comparative legal analysis of associations laws and regimes in the</w:t>
      </w:r>
      <w:r>
        <w:t xml:space="preserve"> </w:t>
      </w:r>
      <w:r>
        <w:t xml:space="preserve">EU,73 it appears that, while the legal framework in the Member States is, in principle, adequate</w:t>
      </w:r>
    </w:p>
    <w:p>
      <w:pPr>
        <w:pStyle w:val="BodyText"/>
      </w:pPr>
      <w:r>
        <w:t xml:space="preserve">70 The Union of International Associations defines NPOs that are set up in more than one Member State with</w:t>
      </w:r>
      <w:r>
        <w:t xml:space="preserve"> </w:t>
      </w:r>
      <w:r>
        <w:t xml:space="preserve">objectives and activities framed in a European or wider context as International NPOs (or INPOs).</w:t>
      </w:r>
      <w:r>
        <w:br/>
      </w:r>
      <w:r>
        <w:t xml:space="preserve">71 IA study: 36% (16 out of 45) of the surveyed associations active cross-border, indicated to have encountered</w:t>
      </w:r>
      <w:r>
        <w:t xml:space="preserve"> </w:t>
      </w:r>
      <w:r>
        <w:t xml:space="preserve">difficulties with establishing, registering, and/or continues running of operations cross-border. Public</w:t>
      </w:r>
      <w:r>
        <w:t xml:space="preserve"> </w:t>
      </w:r>
      <w:r>
        <w:t xml:space="preserve">Consultation: “an association registered in an EU Member State currently faces restrictions when seeking to</w:t>
      </w:r>
      <w:r>
        <w:t xml:space="preserve"> </w:t>
      </w:r>
      <w:r>
        <w:t xml:space="preserve">operate in another EU Member State”, more than half of the respondents (58% - 37 out of 64) strongly agreed</w:t>
      </w:r>
      <w:r>
        <w:t xml:space="preserve"> </w:t>
      </w:r>
      <w:r>
        <w:t xml:space="preserve">with the statement.</w:t>
      </w:r>
      <w:r>
        <w:t xml:space="preserve"> </w:t>
      </w:r>
      <w:r>
        <w:t xml:space="preserve">72 The importance of costs was raised by 31% (9 out of 33) of the interviewed associations conducted for the IA</w:t>
      </w:r>
      <w:r>
        <w:t xml:space="preserve"> </w:t>
      </w:r>
      <w:r>
        <w:t xml:space="preserve">study. The nature of those costs can significantly vary, ranging from legal establishment costs to legal consulting</w:t>
      </w:r>
      <w:r>
        <w:t xml:space="preserve"> </w:t>
      </w:r>
      <w:r>
        <w:t xml:space="preserve">services for instance. An association that tried to expand to other Member States, but eventually did not, stated</w:t>
      </w:r>
      <w:r>
        <w:t xml:space="preserve"> </w:t>
      </w:r>
      <w:r>
        <w:t xml:space="preserve">that the costs of starting activities in a new Member State would have cost them EUR 30 000. Small associations,</w:t>
      </w:r>
      <w:r>
        <w:t xml:space="preserve"> </w:t>
      </w:r>
      <w:r>
        <w:t xml:space="preserve">as pointed out by one of the interviewed stakeholders, are not able to cope with such expenses. Even if their</w:t>
      </w:r>
      <w:r>
        <w:t xml:space="preserve"> </w:t>
      </w:r>
      <w:r>
        <w:t xml:space="preserve">cashflow is consequent due to their funding model, they do not have the sufficient reserves to disburse important</w:t>
      </w:r>
      <w:r>
        <w:t xml:space="preserve"> </w:t>
      </w:r>
      <w:r>
        <w:t xml:space="preserve">sums and therefore chose not to expand.</w:t>
      </w:r>
      <w:r>
        <w:br/>
      </w:r>
      <w:r>
        <w:t xml:space="preserve">73 Comparative legal analysis of associations laws and regimes in the EU: final report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for the development of associations in a domestic context, barriers in the single market exist in</w:t>
      </w:r>
      <w:r>
        <w:t xml:space="preserve"> </w:t>
      </w:r>
      <w:r>
        <w:t xml:space="preserve">four areas: 1) the cross-border activities of associations in relation to their right to</w:t>
      </w:r>
      <w:r>
        <w:t xml:space="preserve"> </w:t>
      </w:r>
      <w:r>
        <w:t xml:space="preserve">establishment, thereby hampering associations’ capabilities to provide services and goods in</w:t>
      </w:r>
      <w:r>
        <w:t xml:space="preserve"> </w:t>
      </w:r>
      <w:r>
        <w:t xml:space="preserve">the single market; 2) the movement of capital in the single market; 3) the possibilities for cross-</w:t>
      </w:r>
      <w:r>
        <w:t xml:space="preserve"> </w:t>
      </w:r>
      <w:r>
        <w:t xml:space="preserve">border membership and participation in governance bodies; and 4) associations’ possibilities</w:t>
      </w:r>
      <w:r>
        <w:t xml:space="preserve"> </w:t>
      </w:r>
      <w:r>
        <w:t xml:space="preserve">for cross-border mobility.</w:t>
      </w:r>
      <w:r>
        <w:br/>
      </w:r>
      <w:r>
        <w:t xml:space="preserve">As it will be described in more detail under the respective problem drivers below, barriers</w:t>
      </w:r>
      <w:r>
        <w:t xml:space="preserve"> </w:t>
      </w:r>
      <w:r>
        <w:t xml:space="preserve">consist of de jure or de facto uncertainties, restrictions or requirements resulting in burdensome</w:t>
      </w:r>
      <w:r>
        <w:t xml:space="preserve"> </w:t>
      </w:r>
      <w:r>
        <w:t xml:space="preserve">administrative processes and costs, in particular, regarding the recognition of the legal</w:t>
      </w:r>
      <w:r>
        <w:t xml:space="preserve"> </w:t>
      </w:r>
      <w:r>
        <w:t xml:space="preserve">personality, registration formalities, secondary establishment, cross-border mobility, cross-</w:t>
      </w:r>
      <w:r>
        <w:t xml:space="preserve"> </w:t>
      </w:r>
      <w:r>
        <w:t xml:space="preserve">border donations, membership and governance. Overall, it is rare that a specific restriction is</w:t>
      </w:r>
      <w:r>
        <w:t xml:space="preserve"> </w:t>
      </w:r>
      <w:r>
        <w:t xml:space="preserve">present across all Member States. On the contrary, in many cases, only a few Member States</w:t>
      </w:r>
      <w:r>
        <w:t xml:space="preserve"> </w:t>
      </w:r>
      <w:r>
        <w:t xml:space="preserve">retain a certain type of restriction, as is explained in Annex 11.</w:t>
      </w:r>
      <w:r>
        <w:t xml:space="preserve"> </w:t>
      </w:r>
      <w:r>
        <w:t xml:space="preserve">The above-mentioned barriers are distinct to associations and have been invoked by</w:t>
      </w:r>
      <w:r>
        <w:t xml:space="preserve"> </w:t>
      </w:r>
      <w:r>
        <w:t xml:space="preserve">interviewed associations74 as one of the causes of their reduced cross-border capacity, including</w:t>
      </w:r>
      <w:r>
        <w:t xml:space="preserve"> </w:t>
      </w:r>
      <w:r>
        <w:t xml:space="preserve">to be active in the single market as providers of services and goods. Other barriers are in line</w:t>
      </w:r>
      <w:r>
        <w:t xml:space="preserve"> </w:t>
      </w:r>
      <w:r>
        <w:t xml:space="preserve">with generic barriers in the single market, such as difficulties in obtaining information on the</w:t>
      </w:r>
      <w:r>
        <w:t xml:space="preserve"> </w:t>
      </w:r>
      <w:r>
        <w:t xml:space="preserve">relevant regulatory requirements, problems related to registration of economic activities in</w:t>
      </w:r>
      <w:r>
        <w:t xml:space="preserve"> </w:t>
      </w:r>
      <w:r>
        <w:t xml:space="preserve">another Member State, and burdensome procedures due to differences in tax systems and</w:t>
      </w:r>
      <w:r>
        <w:t xml:space="preserve"> </w:t>
      </w:r>
      <w:r>
        <w:t xml:space="preserve">administrations.75 Furthermore, associations present in services sectors face general barriers,</w:t>
      </w:r>
      <w:r>
        <w:t xml:space="preserve"> </w:t>
      </w:r>
      <w:r>
        <w:t xml:space="preserve">as do entities established in other legal forms, including those related to requirements of having</w:t>
      </w:r>
      <w:r>
        <w:t xml:space="preserve"> </w:t>
      </w:r>
      <w:r>
        <w:t xml:space="preserve">a specific legal form, as indicated by reports published by the European Commission.76</w:t>
      </w:r>
      <w:r>
        <w:br/>
      </w:r>
      <w:r>
        <w:t xml:space="preserve">Main barriers encountered by associations operating across borders (as identified in the IA</w:t>
      </w:r>
      <w:r>
        <w:t xml:space="preserve"> </w:t>
      </w:r>
      <w:r>
        <w:t xml:space="preserve">study) are:</w:t>
      </w:r>
    </w:p>
    <w:p>
      <w:pPr>
        <w:pStyle w:val="BodyText"/>
      </w:pPr>
      <w:r>
        <w:t xml:space="preserve">74 IA study. For example, 33 associations participated in the interview. The most prominent problem they raised</w:t>
      </w:r>
      <w:r>
        <w:t xml:space="preserve"> </w:t>
      </w:r>
      <w:r>
        <w:t xml:space="preserve">was the different set of national rules for establishing the legal personality of associations (14 associations),</w:t>
      </w:r>
      <w:r>
        <w:t xml:space="preserve"> </w:t>
      </w:r>
      <w:r>
        <w:t xml:space="preserve">followed by the different set of rules defining the associations themselves in the various Member States. For more</w:t>
      </w:r>
      <w:r>
        <w:t xml:space="preserve"> </w:t>
      </w:r>
      <w:r>
        <w:t xml:space="preserve">details see Annex 2.</w:t>
      </w:r>
      <w:r>
        <w:br/>
      </w:r>
      <w:r>
        <w:t xml:space="preserve">75 COM/2020/93. Commission Communication on Identifying and addressing barriers to the Single Market of</w:t>
      </w:r>
      <w:r>
        <w:t xml:space="preserve"> </w:t>
      </w:r>
      <w:r>
        <w:t xml:space="preserve">10.03.2020.</w:t>
      </w:r>
      <w:r>
        <w:t xml:space="preserve"> </w:t>
      </w:r>
      <w:r>
        <w:t xml:space="preserve">76 European Commission, Directorate-General for Internal Market, Industry, Entrepreneurship and SMEs,</w:t>
      </w:r>
      <w:r>
        <w:t xml:space="preserve"> </w:t>
      </w:r>
      <w:r>
        <w:t xml:space="preserve">Mapping and assessment of legal and administrative barriers in the services sector: summary report, Publications</w:t>
      </w:r>
      <w:r>
        <w:t xml:space="preserve"> </w:t>
      </w:r>
      <w:r>
        <w:t xml:space="preserve">Office, 2021.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Figure 3: Barriers encountered by associations operating cross- border.</w:t>
      </w:r>
      <w:r>
        <w:t xml:space="preserve"> </w:t>
      </w:r>
      <w:r>
        <w:t xml:space="preserve">To note that some of the identified barriers, such as obtaining recognition of tax-benefits (e.g. </w:t>
      </w:r>
      <w:r>
        <w:t xml:space="preserve"> </w:t>
      </w:r>
      <w:r>
        <w:t xml:space="preserve">value added tax [VAT], income tax and tax breaks linked with charitable donations) and</w:t>
      </w:r>
      <w:r>
        <w:t xml:space="preserve"> </w:t>
      </w:r>
      <w:r>
        <w:t xml:space="preserve">administrative procedures and controls when opening or closing bank accounts will not be</w:t>
      </w:r>
      <w:r>
        <w:t xml:space="preserve"> </w:t>
      </w:r>
      <w:r>
        <w:t xml:space="preserve">addressed by the current initiative, taking into account the limited EU competencies in the area</w:t>
      </w:r>
      <w:r>
        <w:t xml:space="preserve"> </w:t>
      </w:r>
      <w:r>
        <w:t xml:space="preserve">of taxation, as well as the overall single market focus of the initiative. To note that a common</w:t>
      </w:r>
      <w:r>
        <w:t xml:space="preserve"> </w:t>
      </w:r>
      <w:r>
        <w:t xml:space="preserve">denominator in many Member States77 is the so-called public benefit status, which often</w:t>
      </w:r>
      <w:r>
        <w:t xml:space="preserve"> </w:t>
      </w:r>
      <w:r>
        <w:t xml:space="preserve">unlocks access to both of the said aspects.78 There are significant challenges in having this</w:t>
      </w:r>
      <w:r>
        <w:t xml:space="preserve"> </w:t>
      </w:r>
      <w:r>
        <w:t xml:space="preserve">status recognized in cross-border contexts, despite CJEU case law establishing a principle of</w:t>
      </w:r>
      <w:r>
        <w:t xml:space="preserve"> </w:t>
      </w:r>
      <w:r>
        <w:t xml:space="preserve">non-discrimination (details are found in Annex 12). This said, these aspects will be covered by</w:t>
      </w:r>
      <w:r>
        <w:t xml:space="preserve"> </w:t>
      </w:r>
      <w:r>
        <w:t xml:space="preserve">the Commission Staff Working Documents on the state of play of taxation frameworks in</w:t>
      </w:r>
      <w:r>
        <w:t xml:space="preserve"> </w:t>
      </w:r>
      <w:r>
        <w:t xml:space="preserve">Member States and on non-discriminatory taxation of charitable organisations and their donors,</w:t>
      </w:r>
      <w:r>
        <w:t xml:space="preserve"> </w:t>
      </w:r>
      <w:r>
        <w:t xml:space="preserve">as explained in section 1.2 and elaborated further in Annex 9. Furthermore, regarding VAT, as</w:t>
      </w:r>
      <w:r>
        <w:t xml:space="preserve"> </w:t>
      </w:r>
      <w:r>
        <w:t xml:space="preserve">of 2025, associations engaging in economic activities that qualify as SMEs can benefit from</w:t>
      </w:r>
      <w:r>
        <w:t xml:space="preserve"> </w:t>
      </w:r>
      <w:r>
        <w:t xml:space="preserve">the new simplification rules which will open the VAT exemption to small businesses</w:t>
      </w:r>
      <w:r>
        <w:t xml:space="preserve"> </w:t>
      </w:r>
      <w:r>
        <w:t xml:space="preserve">established in other Member States and help reduce VAT compliance costs,79 thereby also</w:t>
      </w:r>
      <w:r>
        <w:t xml:space="preserve"> </w:t>
      </w:r>
      <w:r>
        <w:t xml:space="preserve">positively affecting the situation for associations operating cross-border. When pertaining to</w:t>
      </w:r>
      <w:r>
        <w:t xml:space="preserve"> </w:t>
      </w:r>
      <w:r>
        <w:t xml:space="preserve">the EU anti-money-laundering and counter-terrorism legislation, the stakeholder consultation</w:t>
      </w:r>
      <w:r>
        <w:t xml:space="preserve"> </w:t>
      </w:r>
      <w:r>
        <w:t xml:space="preserve">of this IA has raised problems associations face when opening bank accounts and accessing</w:t>
      </w:r>
      <w:r>
        <w:t xml:space="preserve"> </w:t>
      </w:r>
      <w:r>
        <w:t xml:space="preserve">other financial services.80 These will also not be covered under this initiative.</w:t>
      </w:r>
      <w:r>
        <w:t xml:space="preserve"> </w:t>
      </w:r>
      <w:r>
        <w:t xml:space="preserve">The identified barriers, as developed under the problem drivers below, illustrate the range and</w:t>
      </w:r>
      <w:r>
        <w:t xml:space="preserve"> </w:t>
      </w:r>
      <w:r>
        <w:t xml:space="preserve">scale of the problems faced by associations in the single market. This situation hampers</w:t>
      </w:r>
      <w:r>
        <w:t xml:space="preserve"> </w:t>
      </w:r>
      <w:r>
        <w:t xml:space="preserve">associations currently active across borders in the Union (310 000 already active across</w:t>
      </w:r>
      <w:r>
        <w:t xml:space="preserve"> </w:t>
      </w:r>
      <w:r>
        <w:t xml:space="preserve">borders) or discourages associations wishing to go cross-border (350 000 estimated as</w:t>
      </w:r>
      <w:r>
        <w:t xml:space="preserve"> </w:t>
      </w:r>
      <w:r>
        <w:t xml:space="preserve">theoretical maximum potential number to expand their activities cross border, yet the IA takes</w:t>
      </w:r>
    </w:p>
    <w:p>
      <w:pPr>
        <w:pStyle w:val="BodyText"/>
      </w:pPr>
      <w:r>
        <w:t xml:space="preserve">77 (Austria, Bulgaria, Germany, Spain, France, Croatia, Hungary, Ireland, Luxembourg, Romania), see</w:t>
      </w:r>
      <w:r>
        <w:t xml:space="preserve"> </w:t>
      </w:r>
      <w:r>
        <w:t xml:space="preserve">Comparative legal analysis of associations laws and regimes in the EU: final report.</w:t>
      </w:r>
      <w:r>
        <w:t xml:space="preserve"> </w:t>
      </w:r>
      <w:r>
        <w:t xml:space="preserve">78 Indirectly, via fiscal facilities tax-privileged status for private donors (e.g., Estonia, Spain, Hungary, Romania,</w:t>
      </w:r>
      <w:r>
        <w:t xml:space="preserve"> </w:t>
      </w:r>
      <w:r>
        <w:t xml:space="preserve">Sweden, Slovenia) or recipient associations (Austria, Germany, Bulgaria, Denmark, Estonia, Spain, Finland);</w:t>
      </w:r>
      <w:r>
        <w:t xml:space="preserve"> </w:t>
      </w:r>
      <w:r>
        <w:t xml:space="preserve">and/or directly preferential access to public funds and use of public assets (e.g., Bulgaria, Hungary, Romania).</w:t>
      </w:r>
      <w:r>
        <w:t xml:space="preserve"> </w:t>
      </w:r>
      <w:r>
        <w:t xml:space="preserve">79 VAT scheme for Small Businesses (europa.eu).</w:t>
      </w:r>
      <w:r>
        <w:t xml:space="preserve"> </w:t>
      </w:r>
      <w:r>
        <w:t xml:space="preserve">80 Associations raised these points during the in- depth interviews regarding compliance complexity related to</w:t>
      </w:r>
      <w:r>
        <w:t xml:space="preserve"> </w:t>
      </w:r>
      <w:r>
        <w:t xml:space="preserve">banks as one of the main difficulties associations face when acting in a single Member State (6 out of 15). For</w:t>
      </w:r>
      <w:r>
        <w:t xml:space="preserve"> </w:t>
      </w:r>
      <w:r>
        <w:t xml:space="preserve">more details see Annex 2.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185 000 as a more realistic proxy to base the analysis) to benefit from the freedoms granted by</w:t>
      </w:r>
      <w:r>
        <w:t xml:space="preserve"> </w:t>
      </w:r>
      <w:r>
        <w:t xml:space="preserve">the single market and reach their full potential as economic and civic actors.</w:t>
      </w:r>
    </w:p>
    <w:p>
      <w:pPr>
        <w:pStyle w:val="BodyText"/>
      </w:pPr>
      <w:r>
        <w:t xml:space="preserve">2.3 What are the problem drivers?</w:t>
      </w:r>
      <w:r>
        <w:t xml:space="preserve"> </w:t>
      </w:r>
      <w:r>
        <w:t xml:space="preserve">The relationship between the problem itself, its drivers, as well as its consequences is set out</w:t>
      </w:r>
      <w:r>
        <w:t xml:space="preserve"> </w:t>
      </w:r>
      <w:r>
        <w:t xml:space="preserve">below in the problem tree table, Figure 4.</w:t>
      </w:r>
    </w:p>
    <w:p>
      <w:pPr>
        <w:pStyle w:val="BodyText"/>
      </w:pPr>
      <w:r>
        <w:t xml:space="preserve">Figure 4: Tree table of the problem definition.</w:t>
      </w:r>
      <w:r>
        <w:t xml:space="preserve"> </w:t>
      </w:r>
      <w:r>
        <w:t xml:space="preserve">2.3.1 Driver 1: Key cross-border aspects for associations are either</w:t>
      </w:r>
      <w:r>
        <w:t xml:space="preserve"> </w:t>
      </w:r>
      <w:r>
        <w:t xml:space="preserve">unregulated or regulated in varying ways in each EU Member State</w:t>
      </w:r>
      <w:r>
        <w:br/>
      </w:r>
      <w:r>
        <w:t xml:space="preserve">The differences in legislation across Member States concerning the recognition of their legal</w:t>
      </w:r>
      <w:r>
        <w:t xml:space="preserve"> </w:t>
      </w:r>
      <w:r>
        <w:t xml:space="preserve">personality and related formalities, economic activities (provision of services and goods),</w:t>
      </w:r>
      <w:r>
        <w:t xml:space="preserve"> </w:t>
      </w:r>
      <w:r>
        <w:t xml:space="preserve">cross-border mobility, cross-border capital transfers and internal organisation elements of</w:t>
      </w:r>
      <w:r>
        <w:t xml:space="preserve"> </w:t>
      </w:r>
      <w:r>
        <w:t xml:space="preserve">associations create legal uncertainty and burden cross-border associations in several ways,</w:t>
      </w:r>
      <w:r>
        <w:t xml:space="preserve"> </w:t>
      </w:r>
      <w:r>
        <w:t xml:space="preserve">including through additional costs or effort in order to find basic information about applicable</w:t>
      </w:r>
      <w:r>
        <w:t xml:space="preserve"> </w:t>
      </w:r>
      <w:r>
        <w:t xml:space="preserve">rules on regulatory requirements and administrative procedures in the Member State(s) in</w:t>
      </w:r>
      <w:r>
        <w:t xml:space="preserve"> </w:t>
      </w:r>
      <w:r>
        <w:t xml:space="preserve">which an associations seeks to operate.81</w:t>
      </w:r>
      <w:r>
        <w:t xml:space="preserve"> </w:t>
      </w:r>
      <w:r>
        <w:t xml:space="preserve">More specifically, when asked in the context of Public Consultation about the most important</w:t>
      </w:r>
      <w:r>
        <w:t xml:space="preserve"> </w:t>
      </w:r>
      <w:r>
        <w:t xml:space="preserve">needs for associations that operate or want to operate in more than one Member State, about</w:t>
      </w:r>
      <w:r>
        <w:t xml:space="preserve"> </w:t>
      </w:r>
      <w:r>
        <w:t xml:space="preserve">one fourth (i.e. 24% - 48 out of 64) of respondents indicated the provision of services in another</w:t>
      </w:r>
      <w:r>
        <w:t xml:space="preserve"> </w:t>
      </w:r>
      <w:r>
        <w:t xml:space="preserve">Member State without registration as most important. In this context, it is worth noting that</w:t>
      </w:r>
    </w:p>
    <w:p>
      <w:pPr>
        <w:pStyle w:val="BodyText"/>
      </w:pPr>
      <w:r>
        <w:t xml:space="preserve">81 IA study: 36% (i.e. 16 out of 45) of the surveyed associations active across borders indicated to have</w:t>
      </w:r>
      <w:r>
        <w:t xml:space="preserve"> </w:t>
      </w:r>
      <w:r>
        <w:t xml:space="preserve">encountered difficulties with establishing, registering, and/or conducting activities cross-border. Results from the</w:t>
      </w:r>
      <w:r>
        <w:t xml:space="preserve"> </w:t>
      </w:r>
      <w:r>
        <w:t xml:space="preserve">Public Consultation show, among the identified causes of restrictions that associations face when operating across</w:t>
      </w:r>
      <w:r>
        <w:t xml:space="preserve"> </w:t>
      </w:r>
      <w:r>
        <w:t xml:space="preserve">borders, the following ones: associations’ lack of knowledge/understanding of legislation in other Member States</w:t>
      </w:r>
      <w:r>
        <w:t xml:space="preserve"> </w:t>
      </w:r>
      <w:r>
        <w:t xml:space="preserve">(53% - 34 out of 64), lack of administrative procedures taking into account cross-border activities of associations</w:t>
      </w:r>
      <w:r>
        <w:t xml:space="preserve"> </w:t>
      </w:r>
      <w:r>
        <w:t xml:space="preserve">(52% - 33 out of 64), incompatible legislation between Member States (50% - 32 out of 64).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challenges SMEs are facing when it comes to understanding regulatory requirements82 also</w:t>
      </w:r>
      <w:r>
        <w:t xml:space="preserve"> </w:t>
      </w:r>
      <w:r>
        <w:t xml:space="preserve">apply to associations engaging in economic activities and concurrently falling within the</w:t>
      </w:r>
      <w:r>
        <w:t xml:space="preserve"> </w:t>
      </w:r>
      <w:r>
        <w:t xml:space="preserve">definition of SMEs.83 Among the needs based on the replies to the Public Consultation, were</w:t>
      </w:r>
      <w:r>
        <w:t xml:space="preserve"> </w:t>
      </w:r>
      <w:r>
        <w:t xml:space="preserve">also cross-border mergers (i.e. 39% 25 out of 64 respondents) and conversions (i.e. 40% 26 out</w:t>
      </w:r>
      <w:r>
        <w:t xml:space="preserve"> </w:t>
      </w:r>
      <w:r>
        <w:t xml:space="preserve">of 64 respondents).84</w:t>
      </w:r>
      <w:r>
        <w:br/>
      </w:r>
      <w:r>
        <w:t xml:space="preserve">According to the comparative analysis of national laws and as outlined earlier in Section 2,</w:t>
      </w:r>
      <w:r>
        <w:t xml:space="preserve"> </w:t>
      </w:r>
      <w:r>
        <w:t xml:space="preserve">while there is a number of common traits when it comes to association laws at Member State</w:t>
      </w:r>
      <w:r>
        <w:t xml:space="preserve"> </w:t>
      </w:r>
      <w:r>
        <w:t xml:space="preserve">level (illustrated in Annex 10), significant differences exist. Furthermore, most national</w:t>
      </w:r>
      <w:r>
        <w:t xml:space="preserve"> </w:t>
      </w:r>
      <w:r>
        <w:t xml:space="preserve">legislations do not attempt to facilitate cross-border issues, which is the targeted focus of this</w:t>
      </w:r>
      <w:r>
        <w:t xml:space="preserve"> </w:t>
      </w:r>
      <w:r>
        <w:t xml:space="preserve">initiative.</w:t>
      </w:r>
      <w:r>
        <w:br/>
      </w:r>
      <w:r>
        <w:t xml:space="preserve">As said above, regulatory and administrative barriers concerning this driver and affecting cross-</w:t>
      </w:r>
      <w:r>
        <w:t xml:space="preserve"> </w:t>
      </w:r>
      <w:r>
        <w:t xml:space="preserve">border associations exist in four particular areas: 1) related to the right to establishment and</w:t>
      </w:r>
      <w:r>
        <w:t xml:space="preserve"> </w:t>
      </w:r>
      <w:r>
        <w:t xml:space="preserve">thereby hampering associations’ capabilities of the provision of services and goods; 2) related</w:t>
      </w:r>
      <w:r>
        <w:t xml:space="preserve"> </w:t>
      </w:r>
      <w:r>
        <w:t xml:space="preserve">to the movement of capital (i.e. donations, membership fees), 3) related to the possibilities for</w:t>
      </w:r>
      <w:r>
        <w:t xml:space="preserve"> </w:t>
      </w:r>
      <w:r>
        <w:t xml:space="preserve">cross-border membership and participation in governance bodies, and 4) related to their</w:t>
      </w:r>
      <w:r>
        <w:t xml:space="preserve"> </w:t>
      </w:r>
      <w:r>
        <w:t xml:space="preserve">possibilities for cross-border mobility.</w:t>
      </w:r>
      <w:r>
        <w:t xml:space="preserve"> </w:t>
      </w:r>
      <w:r>
        <w:t xml:space="preserve">Regarding establishment, a key challenge is the variation in the Member States of the</w:t>
      </w:r>
      <w:r>
        <w:t xml:space="preserve"> </w:t>
      </w:r>
      <w:r>
        <w:t xml:space="preserve">recognition of a non-domestic association’s legal personality. While no mechanism exists at</w:t>
      </w:r>
      <w:r>
        <w:t xml:space="preserve"> </w:t>
      </w:r>
      <w:r>
        <w:t xml:space="preserve">EU level, practices vary from automatic recognition to no recognition, requiring expanding</w:t>
      </w:r>
      <w:r>
        <w:t xml:space="preserve"> </w:t>
      </w:r>
      <w:r>
        <w:t xml:space="preserve">associations to set up a new legal entity or branch in the other Member State. This point will</w:t>
      </w:r>
      <w:r>
        <w:t xml:space="preserve"> </w:t>
      </w:r>
      <w:r>
        <w:t xml:space="preserve">be elaborated separately under Driver 2 below.</w:t>
      </w:r>
      <w:r>
        <w:t xml:space="preserve"> </w:t>
      </w:r>
      <w:r>
        <w:t xml:space="preserve">Concerning cross-border mobility, key aspects are largely unregulated, including cross-border</w:t>
      </w:r>
      <w:r>
        <w:t xml:space="preserve"> </w:t>
      </w:r>
      <w:r>
        <w:t xml:space="preserve">conversions, mergers and divisions.85 This causes legal uncertainty for interested associations.</w:t>
      </w:r>
      <w:r>
        <w:t xml:space="preserve"> </w:t>
      </w:r>
      <w:r>
        <w:t xml:space="preserve">Moreover, a few Member States explicitly impose restrictions, such as excluding the possibility</w:t>
      </w:r>
      <w:r>
        <w:t xml:space="preserve"> </w:t>
      </w:r>
      <w:r>
        <w:t xml:space="preserve">for an association to transfer its registered office abroad, without going through a process of</w:t>
      </w:r>
      <w:r>
        <w:t xml:space="preserve"> </w:t>
      </w:r>
      <w:r>
        <w:t xml:space="preserve">liquidation.86</w:t>
      </w:r>
    </w:p>
    <w:p>
      <w:pPr>
        <w:pStyle w:val="BodyText"/>
      </w:pPr>
      <w:r>
        <w:t xml:space="preserve">Concerning movement of capital (i.e. donations, including gifts, and inheritances), which is a</w:t>
      </w:r>
      <w:r>
        <w:t xml:space="preserve"> </w:t>
      </w:r>
      <w:r>
        <w:t xml:space="preserve">crucial foundation of the existence of many associations87, they face varying requirements such</w:t>
      </w:r>
    </w:p>
    <w:p>
      <w:pPr>
        <w:pStyle w:val="BodyText"/>
      </w:pPr>
      <w:r>
        <w:t xml:space="preserve">82 COM/2020/93. Commission Communication on Identifying and addressing barriers to the Single Market of</w:t>
      </w:r>
      <w:r>
        <w:t xml:space="preserve"> </w:t>
      </w:r>
      <w:r>
        <w:t xml:space="preserve">10.03.2020.</w:t>
      </w:r>
      <w:r>
        <w:t xml:space="preserve"> </w:t>
      </w:r>
      <w:r>
        <w:t xml:space="preserve">83 Based on the definition of an SME in the Commission Recommendation of 6 May 2003 concerning the</w:t>
      </w:r>
      <w:r>
        <w:t xml:space="preserve"> </w:t>
      </w:r>
      <w:r>
        <w:t xml:space="preserve">definition of micro, small and medium-sized enterprises (Text with EEA relevance) (notified under document</w:t>
      </w:r>
      <w:r>
        <w:t xml:space="preserve"> </w:t>
      </w:r>
      <w:r>
        <w:t xml:space="preserve">number C(2003) 1422): “…an enterprise should be considered to be any entity, regardless of its legal form,</w:t>
      </w:r>
      <w:r>
        <w:t xml:space="preserve"> </w:t>
      </w:r>
      <w:r>
        <w:t xml:space="preserve">engaged in economic activities, including in particular entities engaged in a craft activity and other activities on</w:t>
      </w:r>
      <w:r>
        <w:t xml:space="preserve"> </w:t>
      </w:r>
      <w:r>
        <w:t xml:space="preserve">an individual or family basis, partnerships or associations regularly engaged in economic activities.”</w:t>
      </w:r>
    </w:p>
    <w:p>
      <w:pPr>
        <w:pStyle w:val="BodyText"/>
      </w:pPr>
      <w:r>
        <w:t xml:space="preserve">85 Results from the Public Consultation show that 28% (i.e., 18 out of 64) reported differences between Member</w:t>
      </w:r>
      <w:r>
        <w:t xml:space="preserve"> </w:t>
      </w:r>
      <w:r>
        <w:t xml:space="preserve">States of liability, liquidation and dissolution regimes as one of the most significant restrictions faced associations</w:t>
      </w:r>
      <w:r>
        <w:t xml:space="preserve"> </w:t>
      </w:r>
      <w:r>
        <w:t xml:space="preserve">when engaging in activities across borders.</w:t>
      </w:r>
      <w:r>
        <w:t xml:space="preserve"> </w:t>
      </w:r>
      <w:r>
        <w:t xml:space="preserve">86 Austria and Germany.</w:t>
      </w:r>
      <w:r>
        <w:t xml:space="preserve"> </w:t>
      </w:r>
      <w:r>
        <w:t xml:space="preserve">87 For the purposes of this IA, donations are the most relevant cross-border capital transfer, including gifts and</w:t>
      </w:r>
      <w:r>
        <w:t xml:space="preserve"> </w:t>
      </w:r>
      <w:r>
        <w:t xml:space="preserve">inheritances. See e.g. C‑78/18.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as transparency duties,88 additional duties of care89 or even State approval90 which, although</w:t>
      </w:r>
      <w:r>
        <w:t xml:space="preserve"> </w:t>
      </w:r>
      <w:r>
        <w:t xml:space="preserve">applied also for domestic associations, especially affect foreign associations,91 thereby</w:t>
      </w:r>
      <w:r>
        <w:t xml:space="preserve"> </w:t>
      </w:r>
      <w:r>
        <w:t xml:space="preserve">restricting the free movement of capital relied upon by associations. 92 This links also to Driver</w:t>
      </w:r>
      <w:r>
        <w:t xml:space="preserve"> </w:t>
      </w:r>
      <w:r>
        <w:t xml:space="preserve">3. According to the in-depth interviews conducted with associations, 22% (4 out of 18) reported</w:t>
      </w:r>
      <w:r>
        <w:t xml:space="preserve"> </w:t>
      </w:r>
      <w:r>
        <w:t xml:space="preserve">difficulties in receiving donations from other countries.</w:t>
      </w:r>
    </w:p>
    <w:p>
      <w:pPr>
        <w:pStyle w:val="BodyText"/>
      </w:pPr>
      <w:r>
        <w:t xml:space="preserve">Box 5: Example of restrictions for an association to receive donations.93</w:t>
      </w:r>
    </w:p>
    <w:p>
      <w:pPr>
        <w:pStyle w:val="BodyText"/>
      </w:pPr>
      <w:r>
        <w:t xml:space="preserve">Furthermore, legal restrictions that associations face exist in relation to their cross-border</w:t>
      </w:r>
      <w:r>
        <w:t xml:space="preserve"> </w:t>
      </w:r>
      <w:r>
        <w:t xml:space="preserve">governance and membership. In Poland, non-nationals cannot establish an association, but can</w:t>
      </w:r>
      <w:r>
        <w:t xml:space="preserve"> </w:t>
      </w:r>
      <w:r>
        <w:t xml:space="preserve">join it only after it is established. In Finland, the chairperson of the executive committee of an</w:t>
      </w:r>
      <w:r>
        <w:t xml:space="preserve"> </w:t>
      </w:r>
      <w:r>
        <w:t xml:space="preserve">association must be resident in the country. These issues are further specified in Annex 11.</w:t>
      </w:r>
      <w:r>
        <w:t xml:space="preserve"> </w:t>
      </w:r>
      <w:r>
        <w:t xml:space="preserve">Further, results from the Public Consultation show that 23% (15 out of 64) of the respondents</w:t>
      </w:r>
      <w:r>
        <w:t xml:space="preserve"> </w:t>
      </w:r>
      <w:r>
        <w:t xml:space="preserve">identified differences between Member States in membership requirements as one of the</w:t>
      </w:r>
      <w:r>
        <w:t xml:space="preserve"> </w:t>
      </w:r>
      <w:r>
        <w:t xml:space="preserve">restrictions when associations engage in activities across borders. Further challenges arise from</w:t>
      </w:r>
      <w:r>
        <w:t xml:space="preserve"> </w:t>
      </w:r>
      <w:r>
        <w:t xml:space="preserve">the differences and legal limitations in possibilities to use modern technology in the governance</w:t>
      </w:r>
      <w:r>
        <w:t xml:space="preserve"> </w:t>
      </w:r>
      <w:r>
        <w:t xml:space="preserve">of associations, such as arranging meetings of the general assemblies virtually.94</w:t>
      </w:r>
      <w:r>
        <w:br/>
      </w:r>
      <w:r>
        <w:t xml:space="preserve">2.3.2 Driver 2: Lack of mutual recognition of legal personality of an</w:t>
      </w:r>
      <w:r>
        <w:t xml:space="preserve"> </w:t>
      </w:r>
      <w:r>
        <w:t xml:space="preserve">association when operating cross-border</w:t>
      </w:r>
      <w:r>
        <w:t xml:space="preserve"> </w:t>
      </w:r>
      <w:r>
        <w:t xml:space="preserve">When asked what they considered to be the causes of the restrictions that associations face</w:t>
      </w:r>
      <w:r>
        <w:t xml:space="preserve"> </w:t>
      </w:r>
      <w:r>
        <w:t xml:space="preserve">when operating across borders in the single market, 58% (i.e. 37 out of 64 respondents) of the</w:t>
      </w:r>
      <w:r>
        <w:t xml:space="preserve"> </w:t>
      </w:r>
      <w:r>
        <w:t xml:space="preserve">respondents to the Public Consultation identified the lack of recognition of an association’s</w:t>
      </w:r>
      <w:r>
        <w:t xml:space="preserve"> </w:t>
      </w:r>
      <w:r>
        <w:t xml:space="preserve">legal personality in other Member States. There is a general absence of rules at EU level and</w:t>
      </w:r>
      <w:r>
        <w:t xml:space="preserve"> </w:t>
      </w:r>
      <w:r>
        <w:t xml:space="preserve">at Member State level allowing for automatic recognition of an association’s legal personality</w:t>
      </w:r>
      <w:r>
        <w:t xml:space="preserve"> </w:t>
      </w:r>
      <w:r>
        <w:t xml:space="preserve">in the EU, which creates uncertainty and fragmentation. For cross-border associations, this</w:t>
      </w:r>
      <w:r>
        <w:t xml:space="preserve"> </w:t>
      </w:r>
      <w:r>
        <w:t xml:space="preserve">results in either mandatory legal requirements for establishing a new legal entity or a branch,</w:t>
      </w:r>
    </w:p>
    <w:p>
      <w:pPr>
        <w:pStyle w:val="BodyText"/>
      </w:pPr>
      <w:r>
        <w:t xml:space="preserve">88 This is the case for Cyprus and Greece, for more details see Annex 11.</w:t>
      </w:r>
      <w:r>
        <w:t xml:space="preserve"> </w:t>
      </w:r>
      <w:r>
        <w:t xml:space="preserve">89 This is the case for Germany, for more details see Annex 11.</w:t>
      </w:r>
      <w:r>
        <w:t xml:space="preserve"> </w:t>
      </w:r>
      <w:r>
        <w:t xml:space="preserve">90 This is the case for Luxembourg and Belgium, for more details see Annex 11.</w:t>
      </w:r>
      <w:r>
        <w:t xml:space="preserve"> </w:t>
      </w:r>
      <w:r>
        <w:t xml:space="preserve">91 In this respect, it should be recalled that also national measures which apply equally to domestic and imported</w:t>
      </w:r>
      <w:r>
        <w:t xml:space="preserve"> </w:t>
      </w:r>
      <w:r>
        <w:t xml:space="preserve">goods could inhibit the free movement of goods based on the differences between the national rules of the Member</w:t>
      </w:r>
      <w:r>
        <w:t xml:space="preserve"> </w:t>
      </w:r>
      <w:r>
        <w:t xml:space="preserve">States, see case C-120/78.</w:t>
      </w:r>
      <w:r>
        <w:t xml:space="preserve"> </w:t>
      </w:r>
      <w:r>
        <w:t xml:space="preserve">92 IA study. In some MSs there are some restrictions to donations from abroad, e.g. in Cyprus the source of any</w:t>
      </w:r>
      <w:r>
        <w:t xml:space="preserve"> </w:t>
      </w:r>
      <w:r>
        <w:t xml:space="preserve">revenue shall be known and lawful, in Greece there is an obligation for associations to disclose donations above</w:t>
      </w:r>
      <w:r>
        <w:t xml:space="preserve"> </w:t>
      </w:r>
      <w:r>
        <w:t xml:space="preserve">a certain amount, in Belgium and Luxemburg the state approval is required for donations above a certain threshold,</w:t>
      </w:r>
      <w:r>
        <w:t xml:space="preserve"> </w:t>
      </w:r>
      <w:r>
        <w:t xml:space="preserve">and finally in Germany donations may trigger additional duties of care for banks and accountants. See Annex 11</w:t>
      </w:r>
      <w:r>
        <w:t xml:space="preserve"> </w:t>
      </w:r>
      <w:r>
        <w:t xml:space="preserve">for more details.</w:t>
      </w:r>
      <w:r>
        <w:br/>
      </w:r>
      <w:r>
        <w:t xml:space="preserve">93 IA study.</w:t>
      </w:r>
      <w:r>
        <w:t xml:space="preserve"> </w:t>
      </w:r>
      <w:r>
        <w:t xml:space="preserve">94 IA Study.</w:t>
      </w:r>
      <w:r>
        <w:t xml:space="preserve"> </w:t>
      </w:r>
      <w:r>
        <w:t xml:space="preserve">Example: In Belgium, associations need State approval for donations from individuals exceeding</w:t>
      </w:r>
      <w:r>
        <w:t xml:space="preserve"> </w:t>
      </w:r>
      <w:r>
        <w:t xml:space="preserve">EUR 100 000, which is a restriction on an association’s possibility to receive capital and on foreign</w:t>
      </w:r>
      <w:r>
        <w:t xml:space="preserve"> </w:t>
      </w:r>
      <w:r>
        <w:t xml:space="preserve">donors to donate across borders in the EU.</w:t>
      </w:r>
      <w:r>
        <w:br/>
      </w:r>
      <w:r>
        <w:t xml:space="preserve">Source : Arrêté ministériel du 14 avril 2005 exécutant les articles 16, 33 et 54 de la loi du 27 juin</w:t>
      </w:r>
      <w:r>
        <w:t xml:space="preserve"> </w:t>
      </w:r>
      <w:r>
        <w:t xml:space="preserve">1921 sur les associations sans but lucratif, les associations internationales sans but lucratif et les</w:t>
      </w:r>
      <w:r>
        <w:t xml:space="preserve"> </w:t>
      </w:r>
      <w:r>
        <w:t xml:space="preserve">fondations.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as is the case in a few Member States95 or legal requirements for registration in a public register,</w:t>
      </w:r>
      <w:r>
        <w:t xml:space="preserve"> </w:t>
      </w:r>
      <w:r>
        <w:t xml:space="preserve">only after which the association’s legal personality is recognized, which is the case in another</w:t>
      </w:r>
      <w:r>
        <w:t xml:space="preserve"> </w:t>
      </w:r>
      <w:r>
        <w:t xml:space="preserve">few96</w:t>
      </w:r>
      <w:r>
        <w:br/>
      </w:r>
      <w:r>
        <w:t xml:space="preserve">The main exception to this concerns eight EU Member States that have ratified the Council of</w:t>
      </w:r>
      <w:r>
        <w:t xml:space="preserve"> </w:t>
      </w:r>
      <w:r>
        <w:t xml:space="preserve">Europe Convention on the Recognition of the Legal Personality of International Non-</w:t>
      </w:r>
      <w:r>
        <w:t xml:space="preserve"> </w:t>
      </w:r>
      <w:r>
        <w:t xml:space="preserve">Governmental Organisations (see also Section 1.3), given that these Member States have</w:t>
      </w:r>
      <w:r>
        <w:t xml:space="preserve"> </w:t>
      </w:r>
      <w:r>
        <w:t xml:space="preserve">agreed to mutually recognise “as of right” the legal personality and capacity of associations</w:t>
      </w:r>
      <w:r>
        <w:t xml:space="preserve"> </w:t>
      </w:r>
      <w:r>
        <w:t xml:space="preserve">meeting the criteria set in the Convention (such as non-profit aim of international utility, and</w:t>
      </w:r>
      <w:r>
        <w:t xml:space="preserve"> </w:t>
      </w:r>
      <w:r>
        <w:t xml:space="preserve">activities in at least two Member States), as acquired by the Member State where the</w:t>
      </w:r>
      <w:r>
        <w:t xml:space="preserve"> </w:t>
      </w:r>
      <w:r>
        <w:t xml:space="preserve">organisation has its statutory offices. To benefit, associations would need to operate between</w:t>
      </w:r>
      <w:r>
        <w:t xml:space="preserve"> </w:t>
      </w:r>
      <w:r>
        <w:t xml:space="preserve">these Member States which have ratified the Convention, which leaves the single market</w:t>
      </w:r>
      <w:r>
        <w:t xml:space="preserve"> </w:t>
      </w:r>
      <w:r>
        <w:t xml:space="preserve">fragmented.</w:t>
      </w:r>
      <w:r>
        <w:t xml:space="preserve"> </w:t>
      </w:r>
      <w:r>
        <w:t xml:space="preserve">Box 6: Example of an association facing various challenges in border regions.97</w:t>
      </w:r>
    </w:p>
    <w:p>
      <w:pPr>
        <w:pStyle w:val="BodyText"/>
      </w:pPr>
      <w:r>
        <w:t xml:space="preserve">Box 7: Example of burden resulting from absence of recognition of an association’s legal personality.</w:t>
      </w:r>
    </w:p>
    <w:p>
      <w:pPr>
        <w:pStyle w:val="BodyText"/>
      </w:pPr>
      <w:r>
        <w:t xml:space="preserve">95 e.g. Greece, Slovakia, and Spain.</w:t>
      </w:r>
      <w:r>
        <w:t xml:space="preserve"> </w:t>
      </w:r>
      <w:r>
        <w:t xml:space="preserve">96 e.g. Croatia, Cyprus, Romania.</w:t>
      </w:r>
      <w:r>
        <w:t xml:space="preserve"> </w:t>
      </w:r>
      <w:r>
        <w:t xml:space="preserve">97 See also Annex 8 on challenges faced by associations present in border regions.</w:t>
      </w:r>
      <w:r>
        <w:t xml:space="preserve"> </w:t>
      </w:r>
      <w:r>
        <w:t xml:space="preserve">A pan-European association active in the democracy and fundamental rights sector needed a full year to be</w:t>
      </w:r>
      <w:r>
        <w:t xml:space="preserve"> </w:t>
      </w:r>
      <w:r>
        <w:t xml:space="preserve">registered in one Member State, while the same process lasted on average 3 months in another Member State.</w:t>
      </w:r>
      <w:r>
        <w:t xml:space="preserve"> </w:t>
      </w:r>
      <w:r>
        <w:t xml:space="preserve">This was due to the absence of recognition of the legal personality and the lack of knowledge of the local</w:t>
      </w:r>
      <w:r>
        <w:t xml:space="preserve"> </w:t>
      </w:r>
      <w:r>
        <w:t xml:space="preserve">administration about legislation in another Member State which was different.</w:t>
      </w:r>
      <w:r>
        <w:t xml:space="preserve"> </w:t>
      </w:r>
      <w:r>
        <w:t xml:space="preserve">[Source: IA study]</w:t>
      </w:r>
      <w:r>
        <w:t xml:space="preserve"> </w:t>
      </w:r>
      <w:r>
        <w:t xml:space="preserve">Example: Establishment of a single cross-border entrance for the European Archaeological Park at</w:t>
      </w:r>
      <w:r>
        <w:t xml:space="preserve"> </w:t>
      </w:r>
      <w:r>
        <w:t xml:space="preserve">Bliesbruck-Reinheim</w:t>
      </w:r>
      <w:r>
        <w:t xml:space="preserve"> </w:t>
      </w:r>
      <w:r>
        <w:t xml:space="preserve">The aim was to create a European Archaeological Park between the region of Bliesbruck in France and</w:t>
      </w:r>
      <w:r>
        <w:t xml:space="preserve"> </w:t>
      </w:r>
      <w:r>
        <w:t xml:space="preserve">Reinheim in Germany, including a single cross-border point of entry, using the legal form of an association.</w:t>
      </w:r>
      <w:r>
        <w:t xml:space="preserve"> </w:t>
      </w:r>
      <w:r>
        <w:t xml:space="preserve">The different legal frameworks in France and Germany make it difficult to choose the best possible legal</w:t>
      </w:r>
      <w:r>
        <w:t xml:space="preserve"> </w:t>
      </w:r>
      <w:r>
        <w:t xml:space="preserve">structure. The establishment of a joint entrance involves various legal matters to be addressed and various</w:t>
      </w:r>
      <w:r>
        <w:t xml:space="preserve"> </w:t>
      </w:r>
      <w:r>
        <w:t xml:space="preserve">potential barriers were identified.</w:t>
      </w:r>
      <w:r>
        <w:br/>
      </w:r>
      <w:r>
        <w:t xml:space="preserve">Full recognition in a Member State of the legal personality of an association established in another Member</w:t>
      </w:r>
      <w:r>
        <w:t xml:space="preserve"> </w:t>
      </w:r>
      <w:r>
        <w:t xml:space="preserve">State and equal treatment with the associations of the respective Member State could arguably reduce these</w:t>
      </w:r>
      <w:r>
        <w:t xml:space="preserve"> </w:t>
      </w:r>
      <w:r>
        <w:t xml:space="preserve">challenges.</w:t>
      </w:r>
      <w:r>
        <w:br/>
      </w:r>
      <w:r>
        <w:t xml:space="preserve">[Source: b-solutions: solving border obstacles – a compendium 2020-2021, Case study: Establishment of a</w:t>
      </w:r>
      <w:r>
        <w:t xml:space="preserve"> </w:t>
      </w:r>
      <w:r>
        <w:t xml:space="preserve">single cross-border entrance for the European Archaeological Park at Bliesbruck-Reinheim, p. 59-61.]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2.3.3. Driver 3: Excessive administrative practices and processes when</w:t>
      </w:r>
      <w:r>
        <w:t xml:space="preserve"> </w:t>
      </w:r>
      <w:r>
        <w:t xml:space="preserve">operating cross-border</w:t>
      </w:r>
      <w:r>
        <w:t xml:space="preserve"> </w:t>
      </w:r>
      <w:r>
        <w:t xml:space="preserve">In the Public Consultation, when asked about the most often mentioned types of restriction</w:t>
      </w:r>
      <w:r>
        <w:t xml:space="preserve"> </w:t>
      </w:r>
      <w:r>
        <w:t xml:space="preserve">faced by associations when engaging in economic activities across borders, more than half (i.e. </w:t>
      </w:r>
      <w:r>
        <w:t xml:space="preserve"> </w:t>
      </w:r>
      <w:r>
        <w:t xml:space="preserve">52% - 33 out of 64) of respondents referred to: administrative formalities to implement actions</w:t>
      </w:r>
      <w:r>
        <w:t xml:space="preserve"> </w:t>
      </w:r>
      <w:r>
        <w:t xml:space="preserve">in another Member State without prior registration and registration procedures in another</w:t>
      </w:r>
      <w:r>
        <w:t xml:space="preserve"> </w:t>
      </w:r>
      <w:r>
        <w:t xml:space="preserve">Member State (cost, case handling time, uncertainty about constitutive elements etc.). The</w:t>
      </w:r>
      <w:r>
        <w:t xml:space="preserve"> </w:t>
      </w:r>
      <w:r>
        <w:t xml:space="preserve">replies from the Public Consultation refer to registration requirements as a condition for being</w:t>
      </w:r>
      <w:r>
        <w:t xml:space="preserve"> </w:t>
      </w:r>
      <w:r>
        <w:t xml:space="preserve">able to operate in another Member State, in some cases for the purpose of achieving recognition</w:t>
      </w:r>
      <w:r>
        <w:t xml:space="preserve"> </w:t>
      </w:r>
      <w:r>
        <w:t xml:space="preserve">for their legal personality (as also described in Driver 2 above). In addition, close to half (i.e. </w:t>
      </w:r>
      <w:r>
        <w:t xml:space="preserve"> </w:t>
      </w:r>
      <w:r>
        <w:t xml:space="preserve">47% - 30 out of 64) of respondents reported as barrier registration requirements in relation to</w:t>
      </w:r>
      <w:r>
        <w:t xml:space="preserve"> </w:t>
      </w:r>
      <w:r>
        <w:t xml:space="preserve">VAT when conducting activities abroad.</w:t>
      </w:r>
      <w:r>
        <w:br/>
      </w:r>
      <w:r>
        <w:t xml:space="preserve">Another example concerns the transfer of seat, which is restricted in some Member States,98</w:t>
      </w:r>
      <w:r>
        <w:t xml:space="preserve"> </w:t>
      </w:r>
      <w:r>
        <w:t xml:space="preserve">requiring an arduous process of dissolution. This is supported by evidence from the Public</w:t>
      </w:r>
      <w:r>
        <w:t xml:space="preserve"> </w:t>
      </w:r>
      <w:r>
        <w:t xml:space="preserve">Consultation, where 40% of the respondents (26 out of 64) identified ‘transfer of seat’ as one</w:t>
      </w:r>
      <w:r>
        <w:t xml:space="preserve"> </w:t>
      </w:r>
      <w:r>
        <w:t xml:space="preserve">of the most important needs for associations operating or willing to operate in more than one</w:t>
      </w:r>
      <w:r>
        <w:t xml:space="preserve"> </w:t>
      </w:r>
      <w:r>
        <w:t xml:space="preserve">Member State.</w:t>
      </w:r>
      <w:r>
        <w:t xml:space="preserve"> </w:t>
      </w:r>
      <w:r>
        <w:t xml:space="preserve">This leads to the understanding that administrative practices and processes are a barrier in</w:t>
      </w:r>
      <w:r>
        <w:t xml:space="preserve"> </w:t>
      </w:r>
      <w:r>
        <w:t xml:space="preserve">cross-border contexts. To be precise, it is not the case only for associations. When identifying</w:t>
      </w:r>
      <w:r>
        <w:t xml:space="preserve"> </w:t>
      </w:r>
      <w:r>
        <w:t xml:space="preserve">existing barriers in the single market, several surveys consistently quote complex</w:t>
      </w:r>
      <w:r>
        <w:t xml:space="preserve"> </w:t>
      </w:r>
      <w:r>
        <w:t xml:space="preserve">administrative procedures as being one of the most serious obstacles in the single market,</w:t>
      </w:r>
      <w:r>
        <w:t xml:space="preserve"> </w:t>
      </w:r>
      <w:r>
        <w:t xml:space="preserve">particularly for SMEs.99 The scale is however magnified for associations when taking into</w:t>
      </w:r>
      <w:r>
        <w:t xml:space="preserve"> </w:t>
      </w:r>
      <w:r>
        <w:t xml:space="preserve">account their limited operational and financial capacity and their non-profit character, as well</w:t>
      </w:r>
      <w:r>
        <w:t xml:space="preserve"> </w:t>
      </w:r>
      <w:r>
        <w:t xml:space="preserve">as in comparison with those of other actors in the single market.100 For example, the</w:t>
      </w:r>
      <w:r>
        <w:t xml:space="preserve"> </w:t>
      </w:r>
      <w:r>
        <w:t xml:space="preserve">requirement to set up a distinct legal entity or a branch regardless of the nature of operations in</w:t>
      </w:r>
      <w:r>
        <w:t xml:space="preserve"> </w:t>
      </w:r>
      <w:r>
        <w:t xml:space="preserve">question or the obligation to seek approval for or register cross-border capital transfers in</w:t>
      </w:r>
      <w:r>
        <w:t xml:space="preserve"> </w:t>
      </w:r>
      <w:r>
        <w:t xml:space="preserve">certain Member States, as described under Driver 1. In the Belgian example below the process</w:t>
      </w:r>
      <w:r>
        <w:t xml:space="preserve"> </w:t>
      </w:r>
      <w:r>
        <w:t xml:space="preserve">for seeking approval for receiving a donation from abroad may take up to three months.</w:t>
      </w:r>
    </w:p>
    <w:p>
      <w:pPr>
        <w:pStyle w:val="BodyText"/>
      </w:pPr>
      <w:r>
        <w:t xml:space="preserve">99 European Commission: Identifying and addressing barriers to the Single Market. COM (2020)93.</w:t>
      </w:r>
      <w:r>
        <w:t xml:space="preserve"> </w:t>
      </w:r>
      <w:r>
        <w:t xml:space="preserve">99 European Commission: Identifying and addressing barriers to the Single Market. COM (2020)93.</w:t>
      </w:r>
      <w:r>
        <w:t xml:space="preserve"> </w:t>
      </w:r>
      <w:r>
        <w:t xml:space="preserve">100 IA study.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Box 8: Examples of excessive administrative practice.</w:t>
      </w:r>
    </w:p>
    <w:p>
      <w:pPr>
        <w:pStyle w:val="BodyText"/>
      </w:pPr>
      <w:r>
        <w:t xml:space="preserve">Finally, the burden emanating from administrative formalities, for instance from the effort</w:t>
      </w:r>
      <w:r>
        <w:t xml:space="preserve"> </w:t>
      </w:r>
      <w:r>
        <w:t xml:space="preserve">needed to organise and collect documents and arrange for translations, is linked to an</w:t>
      </w:r>
      <w:r>
        <w:t xml:space="preserve"> </w:t>
      </w:r>
      <w:r>
        <w:t xml:space="preserve">insufficient degree of administrative cooperation between authorities of the Member States. In-</w:t>
      </w:r>
      <w:r>
        <w:t xml:space="preserve"> </w:t>
      </w:r>
      <w:r>
        <w:t xml:space="preserve">depth interviews in connection with the IA Study highlighted that language capacity is</w:t>
      </w:r>
      <w:r>
        <w:t xml:space="preserve"> </w:t>
      </w:r>
      <w:r>
        <w:t xml:space="preserve">observed as a barrier for both associations’ staff and administration employees. Formal</w:t>
      </w:r>
      <w:r>
        <w:t xml:space="preserve"> </w:t>
      </w:r>
      <w:r>
        <w:t xml:space="preserve">documents usually need to be submitted in the official language of the relevant Member</w:t>
      </w:r>
      <w:r>
        <w:t xml:space="preserve"> </w:t>
      </w:r>
      <w:r>
        <w:t xml:space="preserve">State.101 In part, this burden could be alleviated by improving the access to information and</w:t>
      </w:r>
      <w:r>
        <w:t xml:space="preserve"> </w:t>
      </w:r>
      <w:r>
        <w:t xml:space="preserve">administrative cooperation, by leveraging digitalisation and digital tools.</w:t>
      </w:r>
    </w:p>
    <w:p>
      <w:pPr>
        <w:pStyle w:val="BodyText"/>
      </w:pPr>
      <w:r>
        <w:t xml:space="preserve">2.4 How likely is the problem to persist?</w:t>
      </w:r>
      <w:r>
        <w:t xml:space="preserve"> </w:t>
      </w:r>
      <w:r>
        <w:t xml:space="preserve">Without any policy intervention, the identified barriers associations are facing in the single</w:t>
      </w:r>
      <w:r>
        <w:t xml:space="preserve"> </w:t>
      </w:r>
      <w:r>
        <w:t xml:space="preserve">market are likely to persist. These barriers are of legal or administrative nature resulting from</w:t>
      </w:r>
      <w:r>
        <w:t xml:space="preserve"> </w:t>
      </w:r>
      <w:r>
        <w:t xml:space="preserve">the application of law, hence it cannot be expected that non-binding initiatives, such as those</w:t>
      </w:r>
      <w:r>
        <w:t xml:space="preserve"> </w:t>
      </w:r>
      <w:r>
        <w:t xml:space="preserve">announced in the Social Economy Action Plan or the mentioned initiatives of the Council of</w:t>
      </w:r>
      <w:r>
        <w:t xml:space="preserve"> </w:t>
      </w:r>
      <w:r>
        <w:t xml:space="preserve">Europe (as outlined in Section 1), can resolve them fully or to a meaningful extent.</w:t>
      </w:r>
      <w:r>
        <w:br/>
      </w:r>
      <w:r>
        <w:t xml:space="preserve">There is no indication of Member States planning legislation in this space and there is currently</w:t>
      </w:r>
      <w:r>
        <w:t xml:space="preserve"> </w:t>
      </w:r>
      <w:r>
        <w:t xml:space="preserve">a general lack of legislative measures in Member States addressing specifically the cross-</w:t>
      </w:r>
      <w:r>
        <w:t xml:space="preserve"> </w:t>
      </w:r>
      <w:r>
        <w:t xml:space="preserve">border activities and mobility of associations. Only one Member State (Belgium) has a</w:t>
      </w:r>
      <w:r>
        <w:t xml:space="preserve"> </w:t>
      </w:r>
      <w:r>
        <w:t xml:space="preserve">dedicated legal form concerning international activities and only three Member States</w:t>
      </w:r>
      <w:r>
        <w:t xml:space="preserve"> </w:t>
      </w:r>
      <w:r>
        <w:t xml:space="preserve">(Bulgaria, Croatia and Cyprus) regulate individual elements, such as explicitly mentioning the</w:t>
      </w:r>
      <w:r>
        <w:t xml:space="preserve"> </w:t>
      </w:r>
      <w:r>
        <w:t xml:space="preserve">possibility to establish a branch in another country. Overall, Member State-level measures are</w:t>
      </w:r>
      <w:r>
        <w:t xml:space="preserve"> </w:t>
      </w:r>
      <w:r>
        <w:t xml:space="preserve">of limited benefit, in the absence of a simple way to obtain recognition of the legal personality</w:t>
      </w:r>
      <w:r>
        <w:t xml:space="preserve"> </w:t>
      </w:r>
      <w:r>
        <w:t xml:space="preserve">of associations, facilitating mobility as well as the free movement of capital, and the provision</w:t>
      </w:r>
      <w:r>
        <w:t xml:space="preserve"> </w:t>
      </w:r>
      <w:r>
        <w:t xml:space="preserve">of goods and services cross-border. Moreover, as already indicated, a cross-border conversion</w:t>
      </w:r>
      <w:r>
        <w:t xml:space="preserve"> </w:t>
      </w:r>
      <w:r>
        <w:t xml:space="preserve">requires dissolution of the association and liquidation of its assets in two Member States.</w:t>
      </w:r>
      <w:r>
        <w:t xml:space="preserve"> </w:t>
      </w:r>
      <w:r>
        <w:t xml:space="preserve">(These cases are described in Annex 11).</w:t>
      </w:r>
    </w:p>
    <w:p>
      <w:pPr>
        <w:pStyle w:val="BodyText"/>
      </w:pPr>
      <w:r>
        <w:t xml:space="preserve">101 IA Study</w:t>
      </w:r>
      <w:r>
        <w:t xml:space="preserve"> </w:t>
      </w:r>
      <w:r>
        <w:t xml:space="preserve">An association active in the democracy and fundamental rights sector pointed at particular requirements of</w:t>
      </w:r>
      <w:r>
        <w:t xml:space="preserve"> </w:t>
      </w:r>
      <w:r>
        <w:t xml:space="preserve">the registration process in Belgium: an association is required to have a physical address in Belgium to register</w:t>
      </w:r>
      <w:r>
        <w:t xml:space="preserve"> </w:t>
      </w:r>
      <w:r>
        <w:t xml:space="preserve">(and ultimately to operate in Belgium).</w:t>
      </w:r>
      <w:r>
        <w:t xml:space="preserve"> </w:t>
      </w:r>
      <w:r>
        <w:t xml:space="preserve">[Source: IA study.]</w:t>
      </w:r>
      <w:r>
        <w:t xml:space="preserve"> </w:t>
      </w:r>
      <w:r>
        <w:t xml:space="preserve">The notary procedure is a regular obstacle for pan-European boards and slows down communications with</w:t>
      </w:r>
      <w:r>
        <w:t xml:space="preserve"> </w:t>
      </w:r>
      <w:r>
        <w:t xml:space="preserve">association registers. For example, it is not possible to use German notarial servicesfrom Belgium or to submit</w:t>
      </w:r>
      <w:r>
        <w:t xml:space="preserve"> </w:t>
      </w:r>
      <w:r>
        <w:t xml:space="preserve">documents via the diplomatic representation as an alternative. A mixed-national board must therefore appear</w:t>
      </w:r>
      <w:r>
        <w:t xml:space="preserve"> </w:t>
      </w:r>
      <w:r>
        <w:t xml:space="preserve">in person at a notary’s office in Germany</w:t>
      </w:r>
      <w:r>
        <w:t xml:space="preserve"> </w:t>
      </w:r>
      <w:r>
        <w:t xml:space="preserve">“in a number authorised to represent”</w:t>
      </w:r>
      <w:r>
        <w:t xml:space="preserve"> </w:t>
      </w:r>
      <w:r>
        <w:t xml:space="preserve">(in vertretungsberechtigter</w:t>
      </w:r>
      <w:r>
        <w:t xml:space="preserve"> </w:t>
      </w:r>
      <w:r>
        <w:t xml:space="preserve">Zahl) in order to submit amendments to the articles of association to the German registry court.</w:t>
      </w:r>
      <w:r>
        <w:t xml:space="preserve"> </w:t>
      </w:r>
      <w:r>
        <w:t xml:space="preserve">[Source: Call for Evidence.]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Furthermore, the magnitude of the social and economic consequences is expected to grow for</w:t>
      </w:r>
      <w:r>
        <w:t xml:space="preserve"> </w:t>
      </w:r>
      <w:r>
        <w:t xml:space="preserve">the following reasons:</w:t>
      </w:r>
      <w:r>
        <w:br/>
      </w:r>
      <w:r>
        <w:t xml:space="preserve">• Bearing in mind data limitations, there appears to be an increasing need for associations to</w:t>
      </w:r>
      <w:r>
        <w:t xml:space="preserve"> </w:t>
      </w:r>
      <w:r>
        <w:t xml:space="preserve">operate cross-border – involving not only recurring activities, but also cross-border</w:t>
      </w:r>
      <w:r>
        <w:t xml:space="preserve"> </w:t>
      </w:r>
      <w:r>
        <w:t xml:space="preserve">restructuring and mobility – based on the results from the Public Consultation, where 45%</w:t>
      </w:r>
      <w:r>
        <w:t xml:space="preserve"> </w:t>
      </w:r>
      <w:r>
        <w:t xml:space="preserve">of the respondents strongly agree that associations are likely to increase cross-border</w:t>
      </w:r>
      <w:r>
        <w:t xml:space="preserve"> </w:t>
      </w:r>
      <w:r>
        <w:t xml:space="preserve">activities in the EU single market in the future and that these organisations might be</w:t>
      </w:r>
      <w:r>
        <w:t xml:space="preserve"> </w:t>
      </w:r>
      <w:r>
        <w:t xml:space="preserve">inclined to enhance their activities further if barriers were removed.102</w:t>
      </w:r>
      <w:r>
        <w:br/>
      </w:r>
      <w:r>
        <w:t xml:space="preserve">• The nature and scale of successive crises (pandemic, the Russian aggression on Ukraine,</w:t>
      </w:r>
      <w:r>
        <w:t xml:space="preserve"> </w:t>
      </w:r>
      <w:r>
        <w:t xml:space="preserve">high energy prices, disrupted supply chains), current challenges (fight against climate</w:t>
      </w:r>
      <w:r>
        <w:t xml:space="preserve"> </w:t>
      </w:r>
      <w:r>
        <w:t xml:space="preserve">change, digital divide, migration, aging demographics, disinformation) and a “Just</w:t>
      </w:r>
      <w:r>
        <w:t xml:space="preserve"> </w:t>
      </w:r>
      <w:r>
        <w:t xml:space="preserve">Transition leaving no one behind” require mobilisation of all actors, including the non-</w:t>
      </w:r>
      <w:r>
        <w:t xml:space="preserve"> </w:t>
      </w:r>
      <w:r>
        <w:t xml:space="preserve">profit sector. These challenges call for long-term action across Member States, especially</w:t>
      </w:r>
      <w:r>
        <w:t xml:space="preserve"> </w:t>
      </w:r>
      <w:r>
        <w:t xml:space="preserve">in sectors in which the presence of associations is strong such as health, fundamental rights,</w:t>
      </w:r>
      <w:r>
        <w:t xml:space="preserve"> </w:t>
      </w:r>
      <w:r>
        <w:t xml:space="preserve">humanitarian aid, communication and advocacy, education, culture.103</w:t>
      </w:r>
      <w:r>
        <w:t xml:space="preserve"> </w:t>
      </w:r>
      <w:r>
        <w:t xml:space="preserve">• The civic space is reported to be shrinking in parts of the Union, and pressure on civil</w:t>
      </w:r>
      <w:r>
        <w:t xml:space="preserve"> </w:t>
      </w:r>
      <w:r>
        <w:t xml:space="preserve">society organisations, associations included, from state authorities and non-state actors is</w:t>
      </w:r>
      <w:r>
        <w:t xml:space="preserve"> </w:t>
      </w:r>
      <w:r>
        <w:t xml:space="preserve">increasing.104 Overall civil society organisations report a range of challenges, obstacles and</w:t>
      </w:r>
      <w:r>
        <w:t xml:space="preserve"> </w:t>
      </w:r>
      <w:r>
        <w:t xml:space="preserve">restrictions in certain Member States that have limited their ability to carry out their</w:t>
      </w:r>
      <w:r>
        <w:t xml:space="preserve"> </w:t>
      </w:r>
      <w:r>
        <w:t xml:space="preserve">activities, thereby hampering associations capacity to fulfil their purposes and restrict their</w:t>
      </w:r>
      <w:r>
        <w:t xml:space="preserve"> </w:t>
      </w:r>
      <w:r>
        <w:t xml:space="preserve">fundamental rights and those of their members.105</w:t>
      </w:r>
      <w:r>
        <w:br/>
      </w:r>
      <w:r>
        <w:t xml:space="preserve">• While the IA study generally suggests that the developments in the number of associations</w:t>
      </w:r>
      <w:r>
        <w:t xml:space="preserve"> </w:t>
      </w:r>
      <w:r>
        <w:t xml:space="preserve">have been dynamic across Member States between 2011 and 2017,106 the growth trend</w:t>
      </w:r>
      <w:r>
        <w:t xml:space="preserve"> </w:t>
      </w:r>
      <w:r>
        <w:t xml:space="preserve">seems to slow down in recent years. As suggested in the IA study, although year-on-year</w:t>
      </w:r>
      <w:r>
        <w:t xml:space="preserve"> </w:t>
      </w:r>
      <w:r>
        <w:t xml:space="preserve">changes in their numbers are relatively small, associations seem to remain an important</w:t>
      </w:r>
      <w:r>
        <w:t xml:space="preserve"> </w:t>
      </w:r>
      <w:r>
        <w:t xml:space="preserve">social and economic driver. However, when it comes to International NPOs, there is a</w:t>
      </w:r>
      <w:r>
        <w:t xml:space="preserve"> </w:t>
      </w:r>
      <w:r>
        <w:t xml:space="preserve">growth trend (30% increase in 10 years time). This trend confirms the growing interest of</w:t>
      </w:r>
      <w:r>
        <w:t xml:space="preserve"> </w:t>
      </w:r>
      <w:r>
        <w:t xml:space="preserve">associations to operate across borders, and more precisely in a pan European context.107</w:t>
      </w:r>
    </w:p>
    <w:p>
      <w:pPr>
        <w:pStyle w:val="BodyText"/>
      </w:pPr>
      <w:r>
        <w:t xml:space="preserve">102 19% respondents somewhat agreed (12 out of 64), 11% indicated neutral (seven out of 64), 8% somewhat</w:t>
      </w:r>
      <w:r>
        <w:t xml:space="preserve"> </w:t>
      </w:r>
      <w:r>
        <w:t xml:space="preserve">disagreed (five out of 64), 9% strongly disagreed (six out of 64) and 8% indicated no opinion or did not know</w:t>
      </w:r>
      <w:r>
        <w:t xml:space="preserve"> </w:t>
      </w:r>
      <w:r>
        <w:t xml:space="preserve">(five out of 64).</w:t>
      </w:r>
      <w:r>
        <w:t xml:space="preserve"> </w:t>
      </w:r>
      <w:r>
        <w:t xml:space="preserve">103 Examples, most of which are cross-border, in the context of the UA war have been included in the 2022 Charter</w:t>
      </w:r>
      <w:r>
        <w:t xml:space="preserve"> </w:t>
      </w:r>
      <w:r>
        <w:t xml:space="preserve">report 1_1_201131_2022_charter_report_en.pdf (europa.eu), p. 4.</w:t>
      </w:r>
      <w:r>
        <w:t xml:space="preserve"> </w:t>
      </w:r>
      <w:r>
        <w:t xml:space="preserve">104 EUROPE’S CIVIL SOCIETY: STILL UNDER PRESSURE — Update 2022 (europa.eu)</w:t>
      </w:r>
      <w:r>
        <w:t xml:space="preserve"> </w:t>
      </w:r>
      <w:r>
        <w:t xml:space="preserve">105 2022 Charter report 1_1_201131_2022_charter_report_en.pdf (europa.eu), p. 4.</w:t>
      </w:r>
      <w:r>
        <w:t xml:space="preserve"> </w:t>
      </w:r>
      <w:r>
        <w:t xml:space="preserve">106 IA study. E.g. the number of associations in France and in Germany grew respectively by 2.4% and by 3.4%</w:t>
      </w:r>
      <w:r>
        <w:t xml:space="preserve"> </w:t>
      </w:r>
      <w:r>
        <w:t xml:space="preserve">in the same period.</w:t>
      </w:r>
      <w:r>
        <w:t xml:space="preserve"> </w:t>
      </w:r>
      <w:r>
        <w:t xml:space="preserve">107 UIA, 2021.</w:t>
      </w:r>
    </w:p>
    <w:p>
      <w:pPr>
        <w:pStyle w:val="BodyText"/>
      </w:pPr>
      <w:r>
        <w:t xml:space="preserve">33</w:t>
      </w:r>
    </w:p>
    <w:p>
      <w:pPr>
        <w:pStyle w:val="Compact"/>
        <w:numPr>
          <w:ilvl w:val="0"/>
          <w:numId w:val="1003"/>
        </w:numPr>
      </w:pPr>
      <w:r>
        <w:t xml:space="preserve">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In light of the identified problem and objectives, as well as their socio-economic value in the</w:t>
      </w:r>
      <w:r>
        <w:t xml:space="preserve"> </w:t>
      </w:r>
      <w:r>
        <w:t xml:space="preserve">single market created by associations, the initiative could be based on Article 114 TFEU on the</w:t>
      </w:r>
      <w:r>
        <w:t xml:space="preserve"> </w:t>
      </w:r>
      <w:r>
        <w:t xml:space="preserve">approximation of national rules for the establishment and well-functioning of the single market,</w:t>
      </w:r>
      <w:r>
        <w:t xml:space="preserve"> </w:t>
      </w:r>
      <w:r>
        <w:t xml:space="preserve">Article 50 TFEU on attaining the freedom of establishment for associations in the single market</w:t>
      </w:r>
      <w:r>
        <w:t xml:space="preserve"> </w:t>
      </w:r>
      <w:r>
        <w:t xml:space="preserve">or on article 352 TFEU, which provides an appropriate legal base when no other provision in</w:t>
      </w:r>
      <w:r>
        <w:t xml:space="preserve"> </w:t>
      </w:r>
      <w:r>
        <w:t xml:space="preserve">the Treaty gives the necessary powers for EU institutions to adopt a measure, depending on the</w:t>
      </w:r>
      <w:r>
        <w:t xml:space="preserve"> </w:t>
      </w:r>
      <w:r>
        <w:t xml:space="preserve">precise content.</w:t>
      </w:r>
      <w:r>
        <w:t xml:space="preserve"> </w:t>
      </w:r>
      <w:r>
        <w:t xml:space="preserve">The main aim of this initiative is to address the barriers described in section 2 which create</w:t>
      </w:r>
      <w:r>
        <w:t xml:space="preserve"> </w:t>
      </w:r>
      <w:r>
        <w:t xml:space="preserve">fragmentation with regard to applicable rules on associations in the single market, resulting in</w:t>
      </w:r>
      <w:r>
        <w:t xml:space="preserve"> </w:t>
      </w:r>
      <w:r>
        <w:t xml:space="preserve">legal uncertainty, undue administrative burden and costs. Therefore, Article 114 TFEU could</w:t>
      </w:r>
      <w:r>
        <w:t xml:space="preserve"> </w:t>
      </w:r>
      <w:r>
        <w:t xml:space="preserve">be an appropriate legal basis for measures aiming at harmonising aspects of national</w:t>
      </w:r>
      <w:r>
        <w:t xml:space="preserve"> </w:t>
      </w:r>
      <w:r>
        <w:t xml:space="preserve">legislations on cross-border activities of associations, for instance the conditions for</w:t>
      </w:r>
      <w:r>
        <w:t xml:space="preserve"> </w:t>
      </w:r>
      <w:r>
        <w:t xml:space="preserve">recognition of the legal personality of associations, which is the one of the most basic</w:t>
      </w:r>
      <w:r>
        <w:t xml:space="preserve"> </w:t>
      </w:r>
      <w:r>
        <w:t xml:space="preserve">conditions, if an association seeks to conduct activities in another Member State and thus</w:t>
      </w:r>
      <w:r>
        <w:t xml:space="preserve"> </w:t>
      </w:r>
      <w:r>
        <w:t xml:space="preserve">enable associations to enjoy their freedom to provide services and goods in the single market.</w:t>
      </w:r>
      <w:r>
        <w:t xml:space="preserve"> </w:t>
      </w:r>
      <w:r>
        <w:t xml:space="preserve">Article 114 TFEU could also be the appropriate basis for measures aiming at the approximation</w:t>
      </w:r>
      <w:r>
        <w:t xml:space="preserve"> </w:t>
      </w:r>
      <w:r>
        <w:t xml:space="preserve">of national laws concerning the freedom of movement of capital (excluding any measure on</w:t>
      </w:r>
      <w:r>
        <w:t xml:space="preserve"> </w:t>
      </w:r>
      <w:r>
        <w:t xml:space="preserve">taxation) and the capacity of associations to send/receive capital in the single market, in</w:t>
      </w:r>
      <w:r>
        <w:t xml:space="preserve"> </w:t>
      </w:r>
      <w:r>
        <w:t xml:space="preserve">particular to benefit from cross-border funding and donations.</w:t>
      </w:r>
      <w:r>
        <w:br/>
      </w:r>
      <w:r>
        <w:t xml:space="preserve">Article 50 TFEU could serve as legal basis for measures that facilitate the exercise of the right</w:t>
      </w:r>
      <w:r>
        <w:t xml:space="preserve"> </w:t>
      </w:r>
      <w:r>
        <w:t xml:space="preserve">of establishment of associations and their mobility (cross-border conversions and mergers of</w:t>
      </w:r>
      <w:r>
        <w:t xml:space="preserve"> </w:t>
      </w:r>
      <w:r>
        <w:t xml:space="preserve">associations). This could also cover rules on the registration and the formalities linked to the</w:t>
      </w:r>
      <w:r>
        <w:t xml:space="preserve"> </w:t>
      </w:r>
      <w:r>
        <w:t xml:space="preserve">registration which limits the possibility for associations to operate cross-border and thus enable</w:t>
      </w:r>
      <w:r>
        <w:t xml:space="preserve"> </w:t>
      </w:r>
      <w:r>
        <w:t xml:space="preserve">them to enjoy their freedom of establishment and association in the single market.</w:t>
      </w:r>
      <w:r>
        <w:br/>
      </w:r>
      <w:r>
        <w:t xml:space="preserve">Article 352 has been used for the creation of new forms of legal entities at EU level,108 which</w:t>
      </w:r>
      <w:r>
        <w:t xml:space="preserve"> </w:t>
      </w:r>
      <w:r>
        <w:t xml:space="preserve">leaves unchanged the different national laws in existence and does not aim to approximate the</w:t>
      </w:r>
      <w:r>
        <w:t xml:space="preserve"> </w:t>
      </w:r>
      <w:r>
        <w:t xml:space="preserve">laws of the Member States.109</w:t>
      </w:r>
      <w:r>
        <w:br/>
      </w:r>
      <w:r>
        <w:t xml:space="preserve">The legal basis will depend on the final content of the proposal. For each of the available policy</w:t>
      </w:r>
      <w:r>
        <w:t xml:space="preserve"> </w:t>
      </w:r>
      <w:r>
        <w:t xml:space="preserve">option, it is necessary to assess which could be the appropriate legal basis. In light of the single</w:t>
      </w:r>
      <w:r>
        <w:t xml:space="preserve"> </w:t>
      </w:r>
      <w:r>
        <w:t xml:space="preserve">market objectives, the scope, and the approach of preferred option (see section 8), this initiative</w:t>
      </w:r>
      <w:r>
        <w:t xml:space="preserve"> </w:t>
      </w:r>
      <w:r>
        <w:t xml:space="preserve">is likely to be based on either Article 114 TFEU, Article 50 TFEU or on a combination of the</w:t>
      </w:r>
      <w:r>
        <w:t xml:space="preserve"> </w:t>
      </w:r>
      <w:r>
        <w:t xml:space="preserve">two. This initiative is subject to the shared competence of the EU, and therefore the subsidiarity</w:t>
      </w:r>
      <w:r>
        <w:t xml:space="preserve"> </w:t>
      </w:r>
      <w:r>
        <w:t xml:space="preserve">and proportionality principles apply.</w:t>
      </w:r>
    </w:p>
    <w:p>
      <w:pPr>
        <w:pStyle w:val="FirstParagraph"/>
      </w:pPr>
      <w:r>
        <w:t xml:space="preserve">108 For instance Regulation 2157/2001 on the European association, Regulation 1435/003 on the European</w:t>
      </w:r>
      <w:r>
        <w:t xml:space="preserve"> </w:t>
      </w:r>
      <w:r>
        <w:t xml:space="preserve">cooperative society.</w:t>
      </w:r>
      <w:r>
        <w:t xml:space="preserve"> </w:t>
      </w:r>
      <w:r>
        <w:t xml:space="preserve">109 CJEU C 436/03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3.2 Subsidiarity: Necessity of EU action</w:t>
      </w:r>
      <w:r>
        <w:t xml:space="preserve"> </w:t>
      </w:r>
      <w:r>
        <w:t xml:space="preserve">The key problem drivers result from regulatory diversity and/or restrictions among Member</w:t>
      </w:r>
      <w:r>
        <w:t xml:space="preserve"> </w:t>
      </w:r>
      <w:r>
        <w:t xml:space="preserve">States. The current situation, as described in previous sections, demonstrates that the problem</w:t>
      </w:r>
      <w:r>
        <w:t xml:space="preserve"> </w:t>
      </w:r>
      <w:r>
        <w:t xml:space="preserve">is not properly addressed at national level and that, in the absence of mutual recognition</w:t>
      </w:r>
      <w:r>
        <w:t xml:space="preserve"> </w:t>
      </w:r>
      <w:r>
        <w:t xml:space="preserve">mechanisms among Member States, its cross-border character requires a European solution to</w:t>
      </w:r>
      <w:r>
        <w:t xml:space="preserve"> </w:t>
      </w:r>
      <w:r>
        <w:t xml:space="preserve">remove identified barriers to the cross-activities and cross-border mobility of associations in</w:t>
      </w:r>
      <w:r>
        <w:t xml:space="preserve"> </w:t>
      </w:r>
      <w:r>
        <w:t xml:space="preserve">the EU single market.</w:t>
      </w:r>
      <w:r>
        <w:br/>
      </w:r>
      <w:r>
        <w:t xml:space="preserve">The problem is not only limited to certain territories or regions but appears widely as</w:t>
      </w:r>
      <w:r>
        <w:t xml:space="preserve"> </w:t>
      </w:r>
      <w:r>
        <w:t xml:space="preserve">associations are present in all Member States. There is little coordination by individual Member</w:t>
      </w:r>
      <w:r>
        <w:t xml:space="preserve"> </w:t>
      </w:r>
      <w:r>
        <w:t xml:space="preserve">States to facilitate cross-border activities, mobility and capital transfers of associations. Such</w:t>
      </w:r>
      <w:r>
        <w:t xml:space="preserve"> </w:t>
      </w:r>
      <w:r>
        <w:t xml:space="preserve">coordination, although theoretically possible, appears unlikely in the near future110. For</w:t>
      </w:r>
      <w:r>
        <w:t xml:space="preserve"> </w:t>
      </w:r>
      <w:r>
        <w:t xml:space="preserve">instance, notwithstanding the withdrawal in 2005 of the Commission proposal for a Council</w:t>
      </w:r>
      <w:r>
        <w:t xml:space="preserve"> </w:t>
      </w:r>
      <w:r>
        <w:t xml:space="preserve">regulation on the statute for a European association, only few Member States have legislated</w:t>
      </w:r>
      <w:r>
        <w:t xml:space="preserve"> </w:t>
      </w:r>
      <w:r>
        <w:t xml:space="preserve">in ways to facilitate cross-border aspects of associations: either by enacting provisions to allow</w:t>
      </w:r>
      <w:r>
        <w:t xml:space="preserve"> </w:t>
      </w:r>
      <w:r>
        <w:t xml:space="preserve">establishing branches abroad111, s to allow associations’ cross-border mobility to another</w:t>
      </w:r>
      <w:r>
        <w:t xml:space="preserve"> </w:t>
      </w:r>
      <w:r>
        <w:t xml:space="preserve">Member State in some way112, or by ratifying the Council of Europe Convention on the</w:t>
      </w:r>
      <w:r>
        <w:t xml:space="preserve"> </w:t>
      </w:r>
      <w:r>
        <w:t xml:space="preserve">recognition of international non-governmental organizations (which may cover also</w:t>
      </w:r>
      <w:r>
        <w:t xml:space="preserve"> </w:t>
      </w:r>
      <w:r>
        <w:t xml:space="preserve">associations)113 have introduced measures allowing cross-border mergers and divisions,</w:t>
      </w:r>
      <w:r>
        <w:t xml:space="preserve"> </w:t>
      </w:r>
      <w:r>
        <w:t xml:space="preserve">whereas one Member State expressly prohibits merger and division of domestic associations</w:t>
      </w:r>
      <w:r>
        <w:t xml:space="preserve"> </w:t>
      </w:r>
      <w:r>
        <w:t xml:space="preserve">with associations which are not entered in the national register.114 In particular, individual</w:t>
      </w:r>
      <w:r>
        <w:t xml:space="preserve"> </w:t>
      </w:r>
      <w:r>
        <w:t xml:space="preserve">action or inaction by Member States, most often, focuses on their specific national context and</w:t>
      </w:r>
      <w:r>
        <w:t xml:space="preserve"> </w:t>
      </w:r>
      <w:r>
        <w:t xml:space="preserve">usually would not seek to facilitate the cross-border dimension. Relying on Member State</w:t>
      </w:r>
      <w:r>
        <w:t xml:space="preserve"> </w:t>
      </w:r>
      <w:r>
        <w:t xml:space="preserve">action alone, it is likely that the legal, administrative, and economic barriers for associations</w:t>
      </w:r>
      <w:r>
        <w:t xml:space="preserve"> </w:t>
      </w:r>
      <w:r>
        <w:t xml:space="preserve">would therefore persist.</w:t>
      </w:r>
      <w:r>
        <w:br/>
      </w:r>
      <w:r>
        <w:t xml:space="preserve">The objective of this initiative cannot be achieved sufficiently by the Member States and can</w:t>
      </w:r>
      <w:r>
        <w:t xml:space="preserve"> </w:t>
      </w:r>
      <w:r>
        <w:t xml:space="preserve">be better achieved at Union level.</w:t>
      </w:r>
    </w:p>
    <w:p>
      <w:pPr>
        <w:pStyle w:val="BodyText"/>
      </w:pPr>
      <w:r>
        <w:t xml:space="preserve">3.3 Subsidiarity: Added value of EU action</w:t>
      </w:r>
      <w:r>
        <w:t xml:space="preserve"> </w:t>
      </w:r>
      <w:r>
        <w:t xml:space="preserve">Without intervention at Union level, Member States will keep their national rules, resulting in</w:t>
      </w:r>
      <w:r>
        <w:t xml:space="preserve"> </w:t>
      </w:r>
      <w:r>
        <w:t xml:space="preserve">the continuation of fragmentation of requirements and limitations, therefore not allowing a</w:t>
      </w:r>
      <w:r>
        <w:t xml:space="preserve"> </w:t>
      </w:r>
      <w:r>
        <w:t xml:space="preserve">level playing field for associations in the single market. As indicated in the European</w:t>
      </w:r>
    </w:p>
    <w:p>
      <w:pPr>
        <w:pStyle w:val="BodyText"/>
      </w:pPr>
      <w:r>
        <w:t xml:space="preserve">110 Although the existence of legal forms at EU level for cross-border cooperation such as the Territorial Grouping</w:t>
      </w:r>
      <w:r>
        <w:t xml:space="preserve"> </w:t>
      </w:r>
      <w:r>
        <w:t xml:space="preserve">for Territorial Cooperation (EGTC), they ultimately cannot meet the objectives of the current initiative (as</w:t>
      </w:r>
      <w:r>
        <w:t xml:space="preserve"> </w:t>
      </w:r>
      <w:r>
        <w:t xml:space="preserve">explained in Annex 8). Furthermore, Annex 9 details existing EU legal forms that may be partially used by non-</w:t>
      </w:r>
      <w:r>
        <w:t xml:space="preserve"> </w:t>
      </w:r>
      <w:r>
        <w:t xml:space="preserve">profit associations for cross-border purposes and their specific limitations.</w:t>
      </w:r>
      <w:r>
        <w:br/>
      </w:r>
      <w:r>
        <w:t xml:space="preserve">111 Bulgaria, Croatia and Cyprus.</w:t>
      </w:r>
      <w:r>
        <w:t xml:space="preserve"> </w:t>
      </w:r>
      <w:r>
        <w:t xml:space="preserve">112 Luxemburg, Italy and Portugal.</w:t>
      </w:r>
      <w:r>
        <w:t xml:space="preserve"> </w:t>
      </w:r>
      <w:r>
        <w:t xml:space="preserve">113 Netherlands.</w:t>
      </w:r>
      <w:r>
        <w:t xml:space="preserve"> </w:t>
      </w:r>
      <w:r>
        <w:t xml:space="preserve">114 Estonia.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Parliament’s resolution, the intensity and volume of cross-border activity of associations does</w:t>
      </w:r>
      <w:r>
        <w:t xml:space="preserve"> </w:t>
      </w:r>
      <w:r>
        <w:t xml:space="preserve">not reach its potential. Only EU action would enable the adoption of common or mutually</w:t>
      </w:r>
      <w:r>
        <w:t xml:space="preserve"> </w:t>
      </w:r>
      <w:r>
        <w:t xml:space="preserve">recognised rules that would ease the cross-border activities and mobility of associations. By</w:t>
      </w:r>
      <w:r>
        <w:t xml:space="preserve"> </w:t>
      </w:r>
      <w:r>
        <w:t xml:space="preserve">acting, the EU would provide a clear and predictable framework enabling associations to fully</w:t>
      </w:r>
      <w:r>
        <w:t xml:space="preserve"> </w:t>
      </w:r>
      <w:r>
        <w:t xml:space="preserve">benefit from their single market freedoms. Indirectly, EU intervention may potentially help to</w:t>
      </w:r>
      <w:r>
        <w:t xml:space="preserve"> </w:t>
      </w:r>
      <w:r>
        <w:t xml:space="preserve">promote the diversity and strengthen the potential of the non-profit organisations, of which</w:t>
      </w:r>
      <w:r>
        <w:t xml:space="preserve"> </w:t>
      </w:r>
      <w:r>
        <w:t xml:space="preserve">associations are the dominant legal entities, thereby contributing to unleashing the full potential</w:t>
      </w:r>
      <w:r>
        <w:t xml:space="preserve"> </w:t>
      </w:r>
      <w:r>
        <w:t xml:space="preserve">of the non-profit sector.</w:t>
      </w:r>
    </w:p>
    <w:p>
      <w:pPr>
        <w:pStyle w:val="BodyText"/>
      </w:pPr>
      <w:r>
        <w:t xml:space="preserve">4 OBJECTIVES: WHAT IS TO BE ACHIEVED?</w:t>
      </w:r>
      <w:r>
        <w:t xml:space="preserve"> </w:t>
      </w:r>
      <w:r>
        <w:t xml:space="preserve">The links between the identified problem and the objectives of this initiative are presented in</w:t>
      </w:r>
      <w:r>
        <w:t xml:space="preserve"> </w:t>
      </w:r>
      <w:r>
        <w:t xml:space="preserve">Figure 5 below.</w:t>
      </w:r>
      <w:r>
        <w:t xml:space="preserve"> </w:t>
      </w:r>
      <w:r>
        <w:t xml:space="preserve">Figure 5: Tree table of the links between problems and objectives.</w:t>
      </w:r>
    </w:p>
    <w:p>
      <w:pPr>
        <w:pStyle w:val="BodyText"/>
      </w:pPr>
      <w:r>
        <w:t xml:space="preserve">4.1 General objectives</w:t>
      </w:r>
      <w:r>
        <w:t xml:space="preserve"> </w:t>
      </w:r>
      <w:r>
        <w:t xml:space="preserve">The general objective of the initiative is to improve the functioning of the single market by</w:t>
      </w:r>
      <w:r>
        <w:t xml:space="preserve"> </w:t>
      </w:r>
      <w:r>
        <w:t xml:space="preserve">removing legal and administrative barriers for associations operating in more than one</w:t>
      </w:r>
      <w:r>
        <w:t xml:space="preserve"> </w:t>
      </w:r>
      <w:r>
        <w:t xml:space="preserve">Member State. This includes enabling associations to fully benefit from the single market</w:t>
      </w:r>
      <w:r>
        <w:t xml:space="preserve"> </w:t>
      </w:r>
      <w:r>
        <w:t xml:space="preserve">freedoms, in particular the freedom of establishment (including facilitating mobility of</w:t>
      </w:r>
      <w:r>
        <w:t xml:space="preserve"> </w:t>
      </w:r>
      <w:r>
        <w:t xml:space="preserve">associations), the freedom to provide and receive services and goods, as well as the free</w:t>
      </w:r>
      <w:r>
        <w:t xml:space="preserve"> </w:t>
      </w:r>
      <w:r>
        <w:t xml:space="preserve">movement of capital (such as cross-border donations and membership fees). Removing these</w:t>
      </w:r>
      <w:r>
        <w:t xml:space="preserve"> </w:t>
      </w:r>
      <w:r>
        <w:t xml:space="preserve">barriers would make it easier for associations to engage in activities across Member States and</w:t>
      </w:r>
      <w:r>
        <w:t xml:space="preserve"> </w:t>
      </w:r>
      <w:r>
        <w:t xml:space="preserve">enable them to unleash their full potential to generate economic and societal value in the EU.</w:t>
      </w:r>
      <w:r>
        <w:br/>
      </w:r>
      <w:r>
        <w:t xml:space="preserve">Although no direct cause-effect link may be established and while this initiative is centred on</w:t>
      </w:r>
      <w:r>
        <w:t xml:space="preserve"> </w:t>
      </w:r>
      <w:r>
        <w:t xml:space="preserve">the functioning of the single market for associations, improving the conditions for associations</w:t>
      </w:r>
      <w:r>
        <w:t xml:space="preserve"> </w:t>
      </w:r>
      <w:r>
        <w:t xml:space="preserve">to operate in the single market could have indirect spill-over effects on strengthening civil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society in the EU and its potential to lower the threshold of citizens’ engagement in different</w:t>
      </w:r>
      <w:r>
        <w:t xml:space="preserve"> </w:t>
      </w:r>
      <w:r>
        <w:t xml:space="preserve">sectors across the Union.</w:t>
      </w:r>
    </w:p>
    <w:p>
      <w:pPr>
        <w:pStyle w:val="BodyText"/>
      </w:pPr>
      <w:r>
        <w:t xml:space="preserve">4.2 Specific objectives</w:t>
      </w:r>
      <w:r>
        <w:t xml:space="preserve"> </w:t>
      </w:r>
      <w:r>
        <w:t xml:space="preserve">The specific objective of the initiative are:</w:t>
      </w:r>
      <w:r>
        <w:t xml:space="preserve"> </w:t>
      </w:r>
      <w:r>
        <w:t xml:space="preserve">1- Improve possibilities for an association to have its legal personality recognized in</w:t>
      </w:r>
      <w:r>
        <w:t xml:space="preserve"> </w:t>
      </w:r>
      <w:r>
        <w:t xml:space="preserve">other Member States, thereby ensuring equal treatment in the single market</w:t>
      </w:r>
      <w:r>
        <w:t xml:space="preserve"> </w:t>
      </w:r>
      <w:r>
        <w:t xml:space="preserve">Associations conducting cross-border activities do not benefit from the same legal recognition</w:t>
      </w:r>
      <w:r>
        <w:t xml:space="preserve"> </w:t>
      </w:r>
      <w:r>
        <w:t xml:space="preserve">across the EU. Recognition of legal personality – whether automatic across the Union or mutual</w:t>
      </w:r>
      <w:r>
        <w:t xml:space="preserve"> </w:t>
      </w:r>
      <w:r>
        <w:t xml:space="preserve">between Member States – can overcome burdensome bureaucratic procedures to be repeated</w:t>
      </w:r>
      <w:r>
        <w:t xml:space="preserve"> </w:t>
      </w:r>
      <w:r>
        <w:t xml:space="preserve">in each Member State in which associations wish to expand their activities, by notably avoiding</w:t>
      </w:r>
      <w:r>
        <w:t xml:space="preserve"> </w:t>
      </w:r>
      <w:r>
        <w:t xml:space="preserve">multiple registrations or setting up multiple legal entities, resulting in red tape and additional</w:t>
      </w:r>
      <w:r>
        <w:t xml:space="preserve"> </w:t>
      </w:r>
      <w:r>
        <w:t xml:space="preserve">costs.</w:t>
      </w:r>
      <w:r>
        <w:t xml:space="preserve"> </w:t>
      </w:r>
      <w:r>
        <w:t xml:space="preserve">2- Reduce the regulatory formalities for associations operating in more than one</w:t>
      </w:r>
      <w:r>
        <w:t xml:space="preserve"> </w:t>
      </w:r>
      <w:r>
        <w:t xml:space="preserve">Member State</w:t>
      </w:r>
      <w:r>
        <w:br/>
      </w:r>
      <w:r>
        <w:t xml:space="preserve">An enabling regulatory framework for the cross-border activities and mobility of associations</w:t>
      </w:r>
      <w:r>
        <w:t xml:space="preserve"> </w:t>
      </w:r>
      <w:r>
        <w:t xml:space="preserve">is necessary in order for them to operate seamlessly in the single market. Reducing the</w:t>
      </w:r>
      <w:r>
        <w:t xml:space="preserve"> </w:t>
      </w:r>
      <w:r>
        <w:t xml:space="preserve">regulatory formalities, in particular regarding existing barriers to their cross-border activities,</w:t>
      </w:r>
      <w:r>
        <w:t xml:space="preserve"> </w:t>
      </w:r>
      <w:r>
        <w:t xml:space="preserve">such as administrative formalities related to registration, service provision, receiving capital,</w:t>
      </w:r>
      <w:r>
        <w:t xml:space="preserve"> </w:t>
      </w:r>
      <w:r>
        <w:t xml:space="preserve">as well as related to the recognition of legal personality, cross-border conversions, and cross-</w:t>
      </w:r>
      <w:r>
        <w:t xml:space="preserve"> </w:t>
      </w:r>
      <w:r>
        <w:t xml:space="preserve">border mergers.115 Digital solutions when addressing these administrative and regulatory</w:t>
      </w:r>
      <w:r>
        <w:t xml:space="preserve"> </w:t>
      </w:r>
      <w:r>
        <w:t xml:space="preserve">formalities should be also considered to address problems described under Driver 3 in Section</w:t>
      </w:r>
      <w:r>
        <w:t xml:space="preserve"> </w:t>
      </w:r>
      <w:r>
        <w:t xml:space="preserve">2.3.3.</w:t>
      </w:r>
      <w:r>
        <w:br/>
      </w:r>
      <w:r>
        <w:t xml:space="preserve">The progress to achieving the specific objectives can be measured through the monitoring</w:t>
      </w:r>
      <w:r>
        <w:t xml:space="preserve"> </w:t>
      </w:r>
      <w:r>
        <w:t xml:space="preserve">indicators described in Section 9.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 What is the baseline from which options are assessed?</w:t>
      </w:r>
      <w:r>
        <w:t xml:space="preserve"> </w:t>
      </w:r>
      <w:r>
        <w:t xml:space="preserve">In the baseline scenario, no policy intervention is introduced at the EU level, with associations</w:t>
      </w:r>
      <w:r>
        <w:t xml:space="preserve"> </w:t>
      </w:r>
      <w:r>
        <w:t xml:space="preserve">continuing to be governed exclusively by national law. Existing barriers (as described in</w:t>
      </w:r>
      <w:r>
        <w:t xml:space="preserve"> </w:t>
      </w:r>
      <w:r>
        <w:t xml:space="preserve">Section 2) will most likely remain or in some cases worsen in light of societal challenges, future</w:t>
      </w:r>
      <w:r>
        <w:t xml:space="preserve"> </w:t>
      </w:r>
      <w:r>
        <w:t xml:space="preserve">crises and market developments (see Section 2.4).</w:t>
      </w:r>
    </w:p>
    <w:p>
      <w:pPr>
        <w:pStyle w:val="BodyText"/>
      </w:pPr>
      <w:r>
        <w:t xml:space="preserve">115 These are all defined in the Glossary.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The baseline includes a brief description of the wider socio-economic context and the relevant</w:t>
      </w:r>
      <w:r>
        <w:t xml:space="preserve"> </w:t>
      </w:r>
      <w:r>
        <w:t xml:space="preserve">policy action at EU and international level that might impact on the magnitude of the problem.</w:t>
      </w:r>
      <w:r>
        <w:t xml:space="preserve"> </w:t>
      </w:r>
      <w:r>
        <w:t xml:space="preserve">5.1.1 Socio-economic context</w:t>
      </w:r>
      <w:r>
        <w:t xml:space="preserve"> </w:t>
      </w:r>
      <w:r>
        <w:t xml:space="preserve">Associations will continue to play an active role in the society and, many of them, will continue</w:t>
      </w:r>
      <w:r>
        <w:t xml:space="preserve"> </w:t>
      </w:r>
      <w:r>
        <w:t xml:space="preserve">to provide goods and services in areas of limited profitability (i.e. the goods and services they</w:t>
      </w:r>
      <w:r>
        <w:t xml:space="preserve"> </w:t>
      </w:r>
      <w:r>
        <w:t xml:space="preserve">provide are partially at market prices, partially below).116 In addition, when this is part of their</w:t>
      </w:r>
      <w:r>
        <w:t xml:space="preserve"> </w:t>
      </w:r>
      <w:r>
        <w:t xml:space="preserve">mandate, associations will continue to build awareness and advocate for policies and</w:t>
      </w:r>
      <w:r>
        <w:t xml:space="preserve"> </w:t>
      </w:r>
      <w:r>
        <w:t xml:space="preserve">legislation, as well as the protection and promotion of fundamental rights. They will promote</w:t>
      </w:r>
      <w:r>
        <w:t xml:space="preserve"> </w:t>
      </w:r>
      <w:r>
        <w:t xml:space="preserve">engagement and effective participation of citizens in the policy-making processes and in so</w:t>
      </w:r>
      <w:r>
        <w:t xml:space="preserve"> </w:t>
      </w:r>
      <w:r>
        <w:t xml:space="preserve">doing contribute to the democratic foundations of the Union.117 They will do all the above</w:t>
      </w:r>
      <w:r>
        <w:t xml:space="preserve"> </w:t>
      </w:r>
      <w:r>
        <w:t xml:space="preserve">either nationally or beyond the borders of individual Member States. Associations will offer</w:t>
      </w:r>
      <w:r>
        <w:t xml:space="preserve"> </w:t>
      </w:r>
      <w:r>
        <w:t xml:space="preserve">essential services for society and will play an instrumental role in the fight against current or</w:t>
      </w:r>
      <w:r>
        <w:t xml:space="preserve"> </w:t>
      </w:r>
      <w:r>
        <w:t xml:space="preserve">new societal challenges. For example, ageing demographics will exponentially increase the</w:t>
      </w:r>
      <w:r>
        <w:t xml:space="preserve"> </w:t>
      </w:r>
      <w:r>
        <w:t xml:space="preserve">need for elderly care and healthcare services, both of which are sectors where associations are</w:t>
      </w:r>
      <w:r>
        <w:t xml:space="preserve"> </w:t>
      </w:r>
      <w:r>
        <w:t xml:space="preserve">key service providers.118 Such trends will also continue in the absence of policy intervention,</w:t>
      </w:r>
      <w:r>
        <w:t xml:space="preserve"> </w:t>
      </w:r>
      <w:r>
        <w:t xml:space="preserve">with associations continuing to face the identified regulatory and administrative burden when</w:t>
      </w:r>
      <w:r>
        <w:t xml:space="preserve"> </w:t>
      </w:r>
      <w:r>
        <w:t xml:space="preserve">operating across borders.</w:t>
      </w:r>
      <w:r>
        <w:br/>
      </w:r>
      <w:r>
        <w:t xml:space="preserve">Although the vast majority of associations operate in a domestic setting, an increasing role for</w:t>
      </w:r>
      <w:r>
        <w:t xml:space="preserve"> </w:t>
      </w:r>
      <w:r>
        <w:t xml:space="preserve">international NPOs and findings from the Public Consultation and the survey conducted under</w:t>
      </w:r>
      <w:r>
        <w:t xml:space="preserve"> </w:t>
      </w:r>
      <w:r>
        <w:t xml:space="preserve">the IA study, are an indication that a growing number of associations are expected to either</w:t>
      </w:r>
      <w:r>
        <w:t xml:space="preserve"> </w:t>
      </w:r>
      <w:r>
        <w:t xml:space="preserve">operate or are exploring opportunities to operate in another Member State, therefore</w:t>
      </w:r>
      <w:r>
        <w:t xml:space="preserve"> </w:t>
      </w:r>
      <w:r>
        <w:t xml:space="preserve">magnifying the identified problem.119 Not removing the identified barriers burdening</w:t>
      </w:r>
      <w:r>
        <w:t xml:space="preserve"> </w:t>
      </w:r>
      <w:r>
        <w:t xml:space="preserve">associations already active cross-border (an estimated of 8% of all associations in the EU) and</w:t>
      </w:r>
      <w:r>
        <w:t xml:space="preserve"> </w:t>
      </w:r>
      <w:r>
        <w:t xml:space="preserve">discouraging those who would be interested to expand cross-border, would ultimately limit the</w:t>
      </w:r>
      <w:r>
        <w:t xml:space="preserve"> </w:t>
      </w:r>
      <w:r>
        <w:t xml:space="preserve">distribution of the value created by these associations and by their potential individual and</w:t>
      </w:r>
      <w:r>
        <w:t xml:space="preserve"> </w:t>
      </w:r>
      <w:r>
        <w:t xml:space="preserve">corporate donors, instead of diffusing these services, goods and assets across different Member</w:t>
      </w:r>
      <w:r>
        <w:t xml:space="preserve"> </w:t>
      </w:r>
      <w:r>
        <w:t xml:space="preserve">States. Consulted associations expressed the need for a level-playing field to carry out their</w:t>
      </w:r>
      <w:r>
        <w:t xml:space="preserve"> </w:t>
      </w:r>
      <w:r>
        <w:t xml:space="preserve">purposes which often require by nature a cross-border dimension.120 Solidarity going in</w:t>
      </w:r>
      <w:r>
        <w:t xml:space="preserve"> </w:t>
      </w:r>
      <w:r>
        <w:t xml:space="preserve">principle beyond borders and the societal challenges linked with a ‘perma-crisis mode’ in</w:t>
      </w:r>
      <w:r>
        <w:t xml:space="preserve"> </w:t>
      </w:r>
      <w:r>
        <w:t xml:space="preserve">recent years – including challenges related to the green and digital transitions – require scaling</w:t>
      </w:r>
      <w:r>
        <w:t xml:space="preserve"> </w:t>
      </w:r>
      <w:r>
        <w:t xml:space="preserve">of action of all actors.</w:t>
      </w:r>
      <w:r>
        <w:br/>
      </w:r>
      <w:r>
        <w:t xml:space="preserve">Some relevant megatrends are, therefore, identified to strengthen the dynamic baseline through</w:t>
      </w:r>
      <w:r>
        <w:t xml:space="preserve"> </w:t>
      </w:r>
      <w:r>
        <w:t xml:space="preserve">foresight-based analysis. First, associations play an important role in prospects and anticipation</w:t>
      </w:r>
      <w:r>
        <w:t xml:space="preserve"> </w:t>
      </w:r>
      <w:r>
        <w:t xml:space="preserve">when it comes to “Changing nature of work”121. In this regard, associations, as social economy</w:t>
      </w:r>
      <w:r>
        <w:t xml:space="preserve"> </w:t>
      </w:r>
      <w:r>
        <w:t xml:space="preserve">actors, offer participatory business and management models which increase employees’</w:t>
      </w:r>
      <w:r>
        <w:t xml:space="preserve"> </w:t>
      </w:r>
      <w:r>
        <w:t xml:space="preserve">wellbeing and improve employability for those with a distance to the labour market, thereby</w:t>
      </w:r>
    </w:p>
    <w:p>
      <w:pPr>
        <w:pStyle w:val="BodyText"/>
      </w:pPr>
      <w:r>
        <w:t xml:space="preserve">116 IA study.</w:t>
      </w:r>
      <w:r>
        <w:t xml:space="preserve"> </w:t>
      </w:r>
      <w:r>
        <w:t xml:space="preserve">117 Europe’s civil society: still under pressure - 2022 update | European Union Agency for Fundamental Rights</w:t>
      </w:r>
      <w:r>
        <w:t xml:space="preserve"> </w:t>
      </w:r>
      <w:r>
        <w:t xml:space="preserve">(europa.eu) and 2022 Rule of law report (europa.eu).</w:t>
      </w:r>
      <w:r>
        <w:t xml:space="preserve"> </w:t>
      </w:r>
      <w:r>
        <w:t xml:space="preserve">118 Increasing demographic imbalances | Knowledge for policy (europa.eu).</w:t>
      </w:r>
      <w:r>
        <w:t xml:space="preserve"> </w:t>
      </w:r>
      <w:r>
        <w:t xml:space="preserve">119 The European Parliament resolution of February 2022 is also based on this assumption.</w:t>
      </w:r>
      <w:r>
        <w:t xml:space="preserve"> </w:t>
      </w:r>
      <w:r>
        <w:t xml:space="preserve">120 Indicated by multiple associations interviewed during the scoping phase of the IA study.</w:t>
      </w:r>
      <w:r>
        <w:br/>
      </w:r>
      <w:r>
        <w:t xml:space="preserve">121 Changing nature of work, Megatrends hubs, Competence Centre on Foresight of the Joint Research Centre,</w:t>
      </w:r>
      <w:r>
        <w:t xml:space="preserve"> </w:t>
      </w:r>
      <w:r>
        <w:t xml:space="preserve">European Commission.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contributing to sustainable working environments. Also, associations will continue to play an</w:t>
      </w:r>
      <w:r>
        <w:t xml:space="preserve"> </w:t>
      </w:r>
      <w:r>
        <w:t xml:space="preserve">important role by upskilling and reskilling people with a distance to the labour market and in</w:t>
      </w:r>
      <w:r>
        <w:t xml:space="preserve"> </w:t>
      </w:r>
      <w:r>
        <w:t xml:space="preserve">jobs transition. Associations active in the area of “Climate change and environmental</w:t>
      </w:r>
      <w:r>
        <w:t xml:space="preserve"> </w:t>
      </w:r>
      <w:r>
        <w:t xml:space="preserve">degradation”122 will continue to play a crucial role in the development of political agendas at</w:t>
      </w:r>
      <w:r>
        <w:t xml:space="preserve"> </w:t>
      </w:r>
      <w:r>
        <w:t xml:space="preserve">the local level (e.g., nature preservation, biodiversity) or EU and global level (e.g. climate and</w:t>
      </w:r>
      <w:r>
        <w:t xml:space="preserve"> </w:t>
      </w:r>
      <w:r>
        <w:t xml:space="preserve">environmental protection action, wildlife protection); and they can act as innovators when it</w:t>
      </w:r>
      <w:r>
        <w:t xml:space="preserve"> </w:t>
      </w:r>
      <w:r>
        <w:t xml:space="preserve">comes to raising awareness, designing new circular and ecological products, services and</w:t>
      </w:r>
      <w:r>
        <w:t xml:space="preserve"> </w:t>
      </w:r>
      <w:r>
        <w:t xml:space="preserve">business models. In doing so, associations active in the environmental sphere are also</w:t>
      </w:r>
      <w:r>
        <w:t xml:space="preserve"> </w:t>
      </w:r>
      <w:r>
        <w:t xml:space="preserve">contributors when coping with resources and environmental challenges related to the</w:t>
      </w:r>
      <w:r>
        <w:t xml:space="preserve"> </w:t>
      </w:r>
      <w:r>
        <w:t xml:space="preserve">“Growing consumption”123. For example, agrifood related associations may bring alternative</w:t>
      </w:r>
      <w:r>
        <w:t xml:space="preserve"> </w:t>
      </w:r>
      <w:r>
        <w:t xml:space="preserve">solutions through innovative methods applicable in agriculture and in support of a sustainable</w:t>
      </w:r>
      <w:r>
        <w:t xml:space="preserve"> </w:t>
      </w:r>
      <w:r>
        <w:t xml:space="preserve">food supply. The experience of many associations in the circular economy is also expected to</w:t>
      </w:r>
      <w:r>
        <w:t xml:space="preserve"> </w:t>
      </w:r>
      <w:r>
        <w:t xml:space="preserve">bring valuable contributions in terms of recycling, upcycling, eco-design, shared and</w:t>
      </w:r>
      <w:r>
        <w:t xml:space="preserve"> </w:t>
      </w:r>
      <w:r>
        <w:t xml:space="preserve">collaborative economy. Other megatrends where associations are expected to offer a major</w:t>
      </w:r>
      <w:r>
        <w:t xml:space="preserve"> </w:t>
      </w:r>
      <w:r>
        <w:t xml:space="preserve">contribution in the future are the “Shifting health challenges”124 as many associations are</w:t>
      </w:r>
      <w:r>
        <w:t xml:space="preserve"> </w:t>
      </w:r>
      <w:r>
        <w:t xml:space="preserve">operating in health, care and social service provision where they drive innovation and bring</w:t>
      </w:r>
      <w:r>
        <w:t xml:space="preserve"> </w:t>
      </w:r>
      <w:r>
        <w:t xml:space="preserve">new organisation methods, techniques and services. Finally, associations are expected to</w:t>
      </w:r>
      <w:r>
        <w:t xml:space="preserve"> </w:t>
      </w:r>
      <w:r>
        <w:t xml:space="preserve">continue playing a major role in the anticipation towards the “Increasing demographic</w:t>
      </w:r>
      <w:r>
        <w:t xml:space="preserve"> </w:t>
      </w:r>
      <w:r>
        <w:t xml:space="preserve">imbalances”125: for example, by offering a major contribution to aid and development</w:t>
      </w:r>
      <w:r>
        <w:t xml:space="preserve"> </w:t>
      </w:r>
      <w:r>
        <w:t xml:space="preserve">programmes for most vulnerable countries and regions in the world.</w:t>
      </w:r>
    </w:p>
    <w:p>
      <w:pPr>
        <w:pStyle w:val="BodyText"/>
      </w:pPr>
      <w:r>
        <w:t xml:space="preserve">5.1.2 Costs of operating cross border (baseline)</w:t>
      </w:r>
      <w:r>
        <w:t xml:space="preserve"> </w:t>
      </w:r>
      <w:r>
        <w:t xml:space="preserve">Estimates in the IA study show that, without policy intervention, up to 75 000 new jobs (i.e. </w:t>
      </w:r>
      <w:r>
        <w:t xml:space="preserve"> </w:t>
      </w:r>
      <w:r>
        <w:t xml:space="preserve">additional FTEs working cross-border) and an additional contribution to the EU GDP of</w:t>
      </w:r>
      <w:r>
        <w:t xml:space="preserve"> </w:t>
      </w:r>
      <w:r>
        <w:t xml:space="preserve">EUR 4.2 billion would not be generated, as up to 185 000 new associations would not be</w:t>
      </w:r>
      <w:r>
        <w:t xml:space="preserve"> </w:t>
      </w:r>
      <w:r>
        <w:t xml:space="preserve">created. This reflects the “opportunity cost” of no action, in line with the maximum theoretical</w:t>
      </w:r>
      <w:r>
        <w:t xml:space="preserve"> </w:t>
      </w:r>
      <w:r>
        <w:t xml:space="preserve">potential. Given the risk of overestimation, a second scenario was developed (see Section 2).</w:t>
      </w:r>
      <w:r>
        <w:t xml:space="preserve"> </w:t>
      </w:r>
      <w:r>
        <w:t xml:space="preserve">This scenario shows that without policy intervention, up to 63 000 jobs, 3.5 billion GDP of</w:t>
      </w:r>
      <w:r>
        <w:t xml:space="preserve"> </w:t>
      </w:r>
      <w:r>
        <w:t xml:space="preserve">EUR and 155 000 new associations would not be created.</w:t>
      </w:r>
      <w:r>
        <w:t xml:space="preserve"> </w:t>
      </w:r>
      <w:r>
        <w:t xml:space="preserve">Based on desk research, interviews and stakeholder surveys conducted in this IA, the most</w:t>
      </w:r>
      <w:r>
        <w:t xml:space="preserve"> </w:t>
      </w:r>
      <w:r>
        <w:t xml:space="preserve">relevant costs related to identified barriers are categorised in two main cost types and several</w:t>
      </w:r>
      <w:r>
        <w:t xml:space="preserve"> </w:t>
      </w:r>
      <w:r>
        <w:t xml:space="preserve">costs subtypes:</w:t>
      </w:r>
      <w:r>
        <w:br/>
      </w:r>
      <w:r>
        <w:t xml:space="preserve">1) Associations operating across borders that are bound to allocate resources to</w:t>
      </w:r>
      <w:r>
        <w:t xml:space="preserve"> </w:t>
      </w:r>
      <w:r>
        <w:t xml:space="preserve">unnecessary or excessive compliance activities and administrative burden. They</w:t>
      </w:r>
      <w:r>
        <w:t xml:space="preserve"> </w:t>
      </w:r>
      <w:r>
        <w:t xml:space="preserve">experience costs grouped in three subtypes: (i) information cost (internal), (ii)</w:t>
      </w:r>
    </w:p>
    <w:p>
      <w:pPr>
        <w:pStyle w:val="BodyText"/>
      </w:pPr>
      <w:r>
        <w:t xml:space="preserve">122 Climate change and environmental degradation, Megatrends hubs, Competence Centre on Foresight of the Joint</w:t>
      </w:r>
      <w:r>
        <w:t xml:space="preserve"> </w:t>
      </w:r>
      <w:r>
        <w:t xml:space="preserve">Research Centre, European Commission.</w:t>
      </w:r>
      <w:r>
        <w:t xml:space="preserve"> </w:t>
      </w:r>
      <w:r>
        <w:t xml:space="preserve">123 Growing consumption, Megatrends hubs, Competence Centre on Foresight of the Joint Research Centre,</w:t>
      </w:r>
      <w:r>
        <w:t xml:space="preserve"> </w:t>
      </w:r>
      <w:r>
        <w:t xml:space="preserve">European Commission.</w:t>
      </w:r>
      <w:r>
        <w:t xml:space="preserve"> </w:t>
      </w:r>
      <w:r>
        <w:t xml:space="preserve">124 Shifting health challenges, Megatrends hubs, Competence Centre on Foresight of the Joint Research Centre,</w:t>
      </w:r>
      <w:r>
        <w:t xml:space="preserve"> </w:t>
      </w:r>
      <w:r>
        <w:t xml:space="preserve">European Commission.</w:t>
      </w:r>
      <w:r>
        <w:t xml:space="preserve"> </w:t>
      </w:r>
      <w:r>
        <w:t xml:space="preserve">125 Increasing demographic imbalance, Megatrends hubs, Competence Centre on Foresight of the Joint Research</w:t>
      </w:r>
      <w:r>
        <w:t xml:space="preserve"> </w:t>
      </w:r>
      <w:r>
        <w:t xml:space="preserve">Centre, European Commission.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compliance cost (internal), (iii) direct cost/external advisory cost (external running</w:t>
      </w:r>
      <w:r>
        <w:t xml:space="preserve"> </w:t>
      </w:r>
      <w:r>
        <w:t xml:space="preserve">cost).</w:t>
      </w:r>
      <w:r>
        <w:br/>
      </w:r>
      <w:r>
        <w:t xml:space="preserve">2) Associations that want to operate and cooperate in the single market but are hindered</w:t>
      </w:r>
      <w:r>
        <w:t xml:space="preserve"> </w:t>
      </w:r>
      <w:r>
        <w:t xml:space="preserve">in doing so due to high (perceived) cost of expansion. They experience: (i) internal staff</w:t>
      </w:r>
      <w:r>
        <w:t xml:space="preserve"> </w:t>
      </w:r>
      <w:r>
        <w:t xml:space="preserve">costs, including the time spent to familiarise with national legislation (e.g. labour and</w:t>
      </w:r>
      <w:r>
        <w:t xml:space="preserve"> </w:t>
      </w:r>
      <w:r>
        <w:t xml:space="preserve">tax laws) applicable in the Member State where the association wish to expand its</w:t>
      </w:r>
      <w:r>
        <w:t xml:space="preserve"> </w:t>
      </w:r>
      <w:r>
        <w:t xml:space="preserve">operations and the time spent to prepare such expansion, (ii) registration costs/</w:t>
      </w:r>
      <w:r>
        <w:t xml:space="preserve"> </w:t>
      </w:r>
      <w:r>
        <w:t xml:space="preserve">administrative fees, (iii) external advisory services (e.g. legal and/ or tax advisory,</w:t>
      </w:r>
      <w:r>
        <w:t xml:space="preserve"> </w:t>
      </w:r>
      <w:r>
        <w:t xml:space="preserve">accounting services etc.)</w:t>
      </w:r>
      <w:r>
        <w:t xml:space="preserve"> </w:t>
      </w:r>
      <w:r>
        <w:t xml:space="preserve">The above cost categories are mainly related to the three problem drivers described in Section</w:t>
      </w:r>
      <w:r>
        <w:t xml:space="preserve"> </w:t>
      </w:r>
      <w:r>
        <w:t xml:space="preserve">2.3 informing the problem definition (i.e. cross-border aspects for associations are either</w:t>
      </w:r>
      <w:r>
        <w:t xml:space="preserve"> </w:t>
      </w:r>
      <w:r>
        <w:t xml:space="preserve">unregulated or regulated in varying ways across Member States; lack of mutual recognition of</w:t>
      </w:r>
      <w:r>
        <w:t xml:space="preserve"> </w:t>
      </w:r>
      <w:r>
        <w:t xml:space="preserve">legal personality of an association when operating cross-border; and excessive administrative</w:t>
      </w:r>
      <w:r>
        <w:t xml:space="preserve"> </w:t>
      </w:r>
      <w:r>
        <w:t xml:space="preserve">practices and processes when operating cross-border).</w:t>
      </w:r>
      <w:r>
        <w:t xml:space="preserve"> </w:t>
      </w:r>
      <w:r>
        <w:t xml:space="preserve">Operating costs</w:t>
      </w:r>
      <w:r>
        <w:t xml:space="preserve"> </w:t>
      </w:r>
      <w:r>
        <w:t xml:space="preserve">It is important to note that associations face costs of operating cross-border that consist of (i)</w:t>
      </w:r>
      <w:r>
        <w:t xml:space="preserve"> </w:t>
      </w:r>
      <w:r>
        <w:t xml:space="preserve">fixed costs that cannot be reduced by policy intervention, (ii) excess cost126 that exist (or</w:t>
      </w:r>
      <w:r>
        <w:t xml:space="preserve"> </w:t>
      </w:r>
      <w:r>
        <w:t xml:space="preserve">potentially exist) and can potentially be avoided, due to policy intervention. When looking at</w:t>
      </w:r>
      <w:r>
        <w:t xml:space="preserve"> </w:t>
      </w:r>
      <w:r>
        <w:t xml:space="preserve">the cost for the launch of operation in another Member State, the excess cost also represents a</w:t>
      </w:r>
      <w:r>
        <w:t xml:space="preserve"> </w:t>
      </w:r>
      <w:r>
        <w:t xml:space="preserve">barrier to entry in the single market. Therefore, cost reductions do not necessarily equal ‘cost</w:t>
      </w:r>
      <w:r>
        <w:t xml:space="preserve"> </w:t>
      </w:r>
      <w:r>
        <w:t xml:space="preserve">savings’ as these costs block off an entry rather than being reduced.</w:t>
      </w:r>
      <w:r>
        <w:br/>
      </w:r>
      <w:r>
        <w:t xml:space="preserve">When it comes to (recurrent) cost of operating cross-border, factors linked to country</w:t>
      </w:r>
      <w:r>
        <w:t xml:space="preserve"> </w:t>
      </w:r>
      <w:r>
        <w:t xml:space="preserve">specificities and the size and types of activity of the associations are determining and may vary</w:t>
      </w:r>
      <w:r>
        <w:t xml:space="preserve"> </w:t>
      </w:r>
      <w:r>
        <w:t xml:space="preserve">greatly. While some contextual factors may improve the situation (e.g. digitalisation, more</w:t>
      </w:r>
      <w:r>
        <w:t xml:space="preserve"> </w:t>
      </w:r>
      <w:r>
        <w:t xml:space="preserve">cooperation between certain Member States), others may worsen costs and administrative</w:t>
      </w:r>
      <w:r>
        <w:t xml:space="preserve"> </w:t>
      </w:r>
      <w:r>
        <w:t xml:space="preserve">burden. Moreover, the factor whether an association is active in two or more Member States</w:t>
      </w:r>
      <w:r>
        <w:t xml:space="preserve"> </w:t>
      </w:r>
      <w:r>
        <w:t xml:space="preserve">plays a role. Typical costs reported consist of staff dealing with cross-border complexity and</w:t>
      </w:r>
      <w:r>
        <w:t xml:space="preserve"> </w:t>
      </w:r>
      <w:r>
        <w:t xml:space="preserve">external services, including legal, accounting and tax advisory services faced by associations</w:t>
      </w:r>
      <w:r>
        <w:t xml:space="preserve"> </w:t>
      </w:r>
      <w:r>
        <w:t xml:space="preserve">to run operations in another Member States. In addition, there are also annual legal, accounting,</w:t>
      </w:r>
      <w:r>
        <w:t xml:space="preserve"> </w:t>
      </w:r>
      <w:r>
        <w:t xml:space="preserve">tax or other advisory services that associations require. As the targeted survey and in-depth</w:t>
      </w:r>
      <w:r>
        <w:t xml:space="preserve"> </w:t>
      </w:r>
      <w:r>
        <w:t xml:space="preserve">interviews of the IA study show, a clear improvement of the situation cannot be expected</w:t>
      </w:r>
      <w:r>
        <w:t xml:space="preserve"> </w:t>
      </w:r>
      <w:r>
        <w:t xml:space="preserve">without policy intervention.</w:t>
      </w:r>
      <w:r>
        <w:br/>
      </w:r>
      <w:r>
        <w:t xml:space="preserve">Bearing these considerations in mind, under an assessed timeframe of 15 years, no action is</w:t>
      </w:r>
      <w:r>
        <w:t xml:space="preserve"> </w:t>
      </w:r>
      <w:r>
        <w:t xml:space="preserve">expected to lead to the excess cost for associations operating cross-border, as outlined in the</w:t>
      </w:r>
      <w:r>
        <w:t xml:space="preserve"> </w:t>
      </w:r>
      <w:r>
        <w:t xml:space="preserve">Table 6 below:</w:t>
      </w:r>
    </w:p>
    <w:p>
      <w:pPr>
        <w:pStyle w:val="BodyText"/>
      </w:pPr>
      <w:r>
        <w:t xml:space="preserve">126 IA study. “Excess costs” are defined as the unnecessary cost which could be avoided by solving the problem.</w:t>
      </w:r>
      <w:r>
        <w:t xml:space="preserve"> </w:t>
      </w:r>
      <w:r>
        <w:t xml:space="preserve">These need to be distinguished from the actual cost which include also the unavoidable component of the cost</w:t>
      </w:r>
      <w:r>
        <w:t xml:space="preserve"> </w:t>
      </w:r>
      <w:r>
        <w:t xml:space="preserve">category. More details in Annex 4.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Table 7: Excess cost for associations operating cross-border (recurrent).127</w:t>
      </w:r>
    </w:p>
    <w:p>
      <w:pPr>
        <w:pStyle w:val="BodyText"/>
      </w:pPr>
      <w:r>
        <w:t xml:space="preserve">Per year</w:t>
      </w:r>
      <w:r>
        <w:t xml:space="preserve"> </w:t>
      </w:r>
      <w:r>
        <w:t xml:space="preserve">15 years</w:t>
      </w:r>
      <w:r>
        <w:t xml:space="preserve"> </w:t>
      </w:r>
      <w:r>
        <w:t xml:space="preserve">Information cost (internal staff)</w:t>
      </w:r>
      <w:r>
        <w:t xml:space="preserve"> </w:t>
      </w:r>
      <w:r>
        <w:t xml:space="preserve">~ EUR 350 million</w:t>
      </w:r>
      <w:r>
        <w:t xml:space="preserve"> </w:t>
      </w:r>
      <w:r>
        <w:t xml:space="preserve">~ EUR 5.2 billion</w:t>
      </w:r>
      <w:r>
        <w:t xml:space="preserve"> </w:t>
      </w:r>
      <w:r>
        <w:t xml:space="preserve">Compliance cost (internal staff)</w:t>
      </w:r>
      <w:r>
        <w:t xml:space="preserve"> </w:t>
      </w:r>
      <w:r>
        <w:t xml:space="preserve">~ EUR 190 million</w:t>
      </w:r>
      <w:r>
        <w:t xml:space="preserve"> </w:t>
      </w:r>
      <w:r>
        <w:t xml:space="preserve">~ EUR 2.8 billion</w:t>
      </w:r>
      <w:r>
        <w:t xml:space="preserve"> </w:t>
      </w:r>
      <w:r>
        <w:t xml:space="preserve">Direct cost/External advisory cost</w:t>
      </w:r>
      <w:r>
        <w:t xml:space="preserve"> </w:t>
      </w:r>
      <w:r>
        <w:t xml:space="preserve">(External running cost)</w:t>
      </w:r>
      <w:r>
        <w:t xml:space="preserve"> </w:t>
      </w:r>
      <w:r>
        <w:t xml:space="preserve">~ EUR 230 million</w:t>
      </w:r>
      <w:r>
        <w:t xml:space="preserve"> </w:t>
      </w:r>
      <w:r>
        <w:t xml:space="preserve">~ EUR 3.5 billion</w:t>
      </w:r>
    </w:p>
    <w:p>
      <w:pPr>
        <w:pStyle w:val="BodyText"/>
      </w:pPr>
      <w:r>
        <w:t xml:space="preserve">Launch costs</w:t>
      </w:r>
      <w:r>
        <w:t xml:space="preserve"> </w:t>
      </w:r>
      <w:r>
        <w:t xml:space="preserve">The current legal and policy framework requires familiarisation with the national requirements,</w:t>
      </w:r>
      <w:r>
        <w:t xml:space="preserve"> </w:t>
      </w:r>
      <w:r>
        <w:t xml:space="preserve">the set-up of a correct legal form and registration in the Member State where the association</w:t>
      </w:r>
      <w:r>
        <w:t xml:space="preserve"> </w:t>
      </w:r>
      <w:r>
        <w:t xml:space="preserve">wishes to expand. Registration costs (and obligations) vary across Member States, ranging</w:t>
      </w:r>
      <w:r>
        <w:t xml:space="preserve"> </w:t>
      </w:r>
      <w:r>
        <w:t xml:space="preserve">from 0 (free of charge) to EUR 300 – EUR 350.128 Most associations also need to rely on</w:t>
      </w:r>
      <w:r>
        <w:t xml:space="preserve"> </w:t>
      </w:r>
      <w:r>
        <w:t xml:space="preserve">external legal or tax advisory support for their establishment in a new jurisdiction, while it is</w:t>
      </w:r>
      <w:r>
        <w:t xml:space="preserve"> </w:t>
      </w:r>
      <w:r>
        <w:t xml:space="preserve">estimated that associations’ own staff spends between 9-20% of FTE to organise the</w:t>
      </w:r>
      <w:r>
        <w:t xml:space="preserve"> </w:t>
      </w:r>
      <w:r>
        <w:t xml:space="preserve">establishment of operations in another Member State (per launch).129</w:t>
      </w:r>
      <w:r>
        <w:br/>
      </w:r>
      <w:r>
        <w:t xml:space="preserve">The elements above determine the estimation of current average (one-off) cost130 for setting</w:t>
      </w:r>
      <w:r>
        <w:t xml:space="preserve"> </w:t>
      </w:r>
      <w:r>
        <w:t xml:space="preserve">up cross-border operations (per launch). This baseline is calculated at EUR 5 650 capturing</w:t>
      </w:r>
      <w:r>
        <w:t xml:space="preserve"> </w:t>
      </w:r>
      <w:r>
        <w:t xml:space="preserve">an excess cost131 of EUR 2 150.132 This means that an association willing to expand cross-</w:t>
      </w:r>
      <w:r>
        <w:t xml:space="preserve"> </w:t>
      </w:r>
      <w:r>
        <w:t xml:space="preserve">border could save up to a maximum estimated EUR 2 150, in case of policy intervention,</w:t>
      </w:r>
      <w:r>
        <w:t xml:space="preserve"> </w:t>
      </w:r>
      <w:r>
        <w:t xml:space="preserve">compared to the current situation, which brings excessive (unnecessary) cost due to the</w:t>
      </w:r>
    </w:p>
    <w:p>
      <w:pPr>
        <w:pStyle w:val="BodyText"/>
      </w:pPr>
      <w:r>
        <w:t xml:space="preserve">127 IA study. “Staff costs”: input figures based on surveyed associations, expert interviews (time spent on cross</w:t>
      </w:r>
      <w:r>
        <w:t xml:space="preserve"> </w:t>
      </w:r>
      <w:r>
        <w:t xml:space="preserve">border activity and complexity: information and compliance). Direct costs: annual legal, accounting, tax or other</w:t>
      </w:r>
      <w:r>
        <w:t xml:space="preserve"> </w:t>
      </w:r>
      <w:r>
        <w:t xml:space="preserve">advisory services that associations require. Input figures based on surveyed associations. Calculations based on</w:t>
      </w:r>
      <w:r>
        <w:t xml:space="preserve"> </w:t>
      </w:r>
      <w:r>
        <w:t xml:space="preserve">310 000 current associations operating cross border. For more detail see Annex 4 (Section 2.4).</w:t>
      </w:r>
      <w:r>
        <w:br/>
      </w:r>
      <w:r>
        <w:t xml:space="preserve">128 IA study. With the exception of few countries where registration fees depend on the value of</w:t>
      </w:r>
      <w:r>
        <w:t xml:space="preserve"> </w:t>
      </w:r>
      <w:r>
        <w:t xml:space="preserve">associations/foundation’s assets and can exceeds EUR 1 000 (e.g. Malta), or notarial deeds are prescribed by the</w:t>
      </w:r>
      <w:r>
        <w:t xml:space="preserve"> </w:t>
      </w:r>
      <w:r>
        <w:t xml:space="preserve">law for specific cases (e.g. Belgium for INPAs, ranging EUR 2 000 – 2 500). Various Member States (e.g. </w:t>
      </w:r>
      <w:r>
        <w:t xml:space="preserve"> </w:t>
      </w:r>
      <w:r>
        <w:t xml:space="preserve">Belgium, Bulgaria, Estonia, Finland, Hungary, Latvia, Lithuania, Poland, Slovenia) offer the opportunity of digital</w:t>
      </w:r>
      <w:r>
        <w:t xml:space="preserve"> </w:t>
      </w:r>
      <w:r>
        <w:t xml:space="preserve">registrations, generally at lower fees compared to paper forms.</w:t>
      </w:r>
      <w:r>
        <w:t xml:space="preserve"> </w:t>
      </w:r>
      <w:r>
        <w:t xml:space="preserve">129 IA study. This entails one off costs for staff to familiarise with the legislation in the new country, as well as to</w:t>
      </w:r>
      <w:r>
        <w:t xml:space="preserve"> </w:t>
      </w:r>
      <w:r>
        <w:t xml:space="preserve">check, prepare and conduct the administrative formalities required by the Member State where the associations</w:t>
      </w:r>
      <w:r>
        <w:t xml:space="preserve"> </w:t>
      </w:r>
      <w:r>
        <w:t xml:space="preserve">intend to expand. Examples from the conducted interviewees (14 out of the 33 associations), reported that</w:t>
      </w:r>
      <w:r>
        <w:t xml:space="preserve"> </w:t>
      </w:r>
      <w:r>
        <w:t xml:space="preserve">associations in cases had to rely on pro-bono law firms to understand the requirements of establishment.</w:t>
      </w:r>
      <w:r>
        <w:br/>
      </w:r>
      <w:r>
        <w:t xml:space="preserve">130 IA study. The estimates are based on figures provided by associations on their costs for launching cross-border</w:t>
      </w:r>
      <w:r>
        <w:t xml:space="preserve"> </w:t>
      </w:r>
      <w:r>
        <w:t xml:space="preserve">operations, via the survey and in-depth interviews. Launching costs were structured according to the three main</w:t>
      </w:r>
      <w:r>
        <w:t xml:space="preserve"> </w:t>
      </w:r>
      <w:r>
        <w:t xml:space="preserve">cost items identified to set up the operations in another Member State. For more detail see Annex 4 (Section 3.3).</w:t>
      </w:r>
      <w:r>
        <w:br/>
      </w:r>
      <w:r>
        <w:t xml:space="preserve">131 IA study. Starting from total cost (EUR 5 550) it is estimated how and if these costs could be reduced through</w:t>
      </w:r>
      <w:r>
        <w:t xml:space="preserve"> </w:t>
      </w:r>
      <w:r>
        <w:t xml:space="preserve">policy intervention based on evidence from in-depth interviews, backed by assessment based on the legal analysis,</w:t>
      </w:r>
      <w:r>
        <w:t xml:space="preserve"> </w:t>
      </w:r>
      <w:r>
        <w:t xml:space="preserve">resulting in a (maximum) cost reduction of EUR 2 150, or “excess cost” reduction.</w:t>
      </w:r>
      <w:r>
        <w:t xml:space="preserve"> </w:t>
      </w:r>
      <w:r>
        <w:t xml:space="preserve">132 The current excessive levels of inflation and predictions on inflation development are expected to cost</w:t>
      </w:r>
      <w:r>
        <w:t xml:space="preserve"> </w:t>
      </w:r>
      <w:r>
        <w:t xml:space="preserve">increases. The cost expressed should thus be interpreted in real term cost at 2023 price levels.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unresolved problem.133 It should be noted that the costs for launching cross-border operations</w:t>
      </w:r>
      <w:r>
        <w:t xml:space="preserve"> </w:t>
      </w:r>
      <w:r>
        <w:t xml:space="preserve">are not expected to significantly change in the absence of policy intervention. While some cost</w:t>
      </w:r>
      <w:r>
        <w:t xml:space="preserve"> </w:t>
      </w:r>
      <w:r>
        <w:t xml:space="preserve">linked to the establishment of operations or even the necessity of establishing for certain</w:t>
      </w:r>
      <w:r>
        <w:t xml:space="preserve"> </w:t>
      </w:r>
      <w:r>
        <w:t xml:space="preserve">activities may be reduced over time due to increasing digitalisation, other factors such as further</w:t>
      </w:r>
      <w:r>
        <w:t xml:space="preserve"> </w:t>
      </w:r>
      <w:r>
        <w:t xml:space="preserve">stringent rules in certain Member States may increase the complexity of the situation and the</w:t>
      </w:r>
      <w:r>
        <w:t xml:space="preserve"> </w:t>
      </w:r>
      <w:r>
        <w:t xml:space="preserve">launch of new activities in certain Member States.</w:t>
      </w:r>
      <w:r>
        <w:br/>
      </w:r>
      <w:r>
        <w:t xml:space="preserve">5.1.3 EU level action</w:t>
      </w:r>
      <w:r>
        <w:t xml:space="preserve"> </w:t>
      </w:r>
      <w:r>
        <w:t xml:space="preserve">When it comes to legislation at EU level, there is no harmonisation or approximation of the</w:t>
      </w:r>
      <w:r>
        <w:t xml:space="preserve"> </w:t>
      </w:r>
      <w:r>
        <w:t xml:space="preserve">national laws regarding the cross-border dimension of associations, whether related to activities</w:t>
      </w:r>
      <w:r>
        <w:t xml:space="preserve"> </w:t>
      </w:r>
      <w:r>
        <w:t xml:space="preserve">mobility or movement of capital.134 The status quo would likely continue without EU action of</w:t>
      </w:r>
      <w:r>
        <w:t xml:space="preserve"> </w:t>
      </w:r>
      <w:r>
        <w:t xml:space="preserve">binding nature.</w:t>
      </w:r>
      <w:r>
        <w:br/>
      </w:r>
      <w:r>
        <w:t xml:space="preserve">At the same time, a number of ongoing and forthcoming initiatives at EU level are relevant and</w:t>
      </w:r>
      <w:r>
        <w:t xml:space="preserve"> </w:t>
      </w:r>
      <w:r>
        <w:t xml:space="preserve">potentially conducive to a more dynamic baseline. First, the Single Digital Gateway facilitates</w:t>
      </w:r>
      <w:r>
        <w:t xml:space="preserve"> </w:t>
      </w:r>
      <w:r>
        <w:t xml:space="preserve">online access to information, administrative procedures, and assistance services that EU</w:t>
      </w:r>
      <w:r>
        <w:t xml:space="preserve"> </w:t>
      </w:r>
      <w:r>
        <w:t xml:space="preserve">citizens and businesses (also possibly capturing associations engaged in economic activities to</w:t>
      </w:r>
      <w:r>
        <w:t xml:space="preserve"> </w:t>
      </w:r>
      <w:r>
        <w:t xml:space="preserve">an extent) need when trading, establishing themselves or expanding their business across</w:t>
      </w:r>
      <w:r>
        <w:t xml:space="preserve"> </w:t>
      </w:r>
      <w:r>
        <w:t xml:space="preserve">borders. By the end of 2023, online access to the most important administrative procedures in</w:t>
      </w:r>
      <w:r>
        <w:t xml:space="preserve"> </w:t>
      </w:r>
      <w:r>
        <w:t xml:space="preserve">21 areas will be ensured in all EU Member States including certain registering procedures. This</w:t>
      </w:r>
      <w:r>
        <w:t xml:space="preserve"> </w:t>
      </w:r>
      <w:r>
        <w:t xml:space="preserve">has the potential to somewhat help associations, among other actors, depending on its</w:t>
      </w:r>
      <w:r>
        <w:t xml:space="preserve"> </w:t>
      </w:r>
      <w:r>
        <w:t xml:space="preserve">implementation and the relevance of these administrative procedures to associations. Second,</w:t>
      </w:r>
      <w:r>
        <w:t xml:space="preserve"> </w:t>
      </w:r>
      <w:r>
        <w:t xml:space="preserve">the European Media Freedom Act,135 which aims at alleviating the fragmentation of national</w:t>
      </w:r>
      <w:r>
        <w:t xml:space="preserve"> </w:t>
      </w:r>
      <w:r>
        <w:t xml:space="preserve">rules undermining the efficiency of the European internal media market, sets out, among others,</w:t>
      </w:r>
      <w:r>
        <w:t xml:space="preserve"> </w:t>
      </w:r>
      <w:r>
        <w:t xml:space="preserve">the framework for a structured dialogue with stakeholders and explicitly civil society</w:t>
      </w:r>
      <w:r>
        <w:t xml:space="preserve"> </w:t>
      </w:r>
      <w:r>
        <w:t xml:space="preserve">(including associations). Freedoms of expression and information will continue to be</w:t>
      </w:r>
      <w:r>
        <w:t xml:space="preserve"> </w:t>
      </w:r>
      <w:r>
        <w:t xml:space="preserve">strengthened in this framework and will, therefore, contribute to an enabling environment for</w:t>
      </w:r>
      <w:r>
        <w:t xml:space="preserve"> </w:t>
      </w:r>
      <w:r>
        <w:t xml:space="preserve">associations operating cross-border in the single market.136 Third, the non-binding measures</w:t>
      </w:r>
      <w:r>
        <w:t xml:space="preserve"> </w:t>
      </w:r>
      <w:r>
        <w:t xml:space="preserve">that the Social Economy Action Plan envisages (as indicated in the Introduction and in Annex</w:t>
      </w:r>
      <w:r>
        <w:t xml:space="preserve"> </w:t>
      </w:r>
      <w:r>
        <w:t xml:space="preserve">9), will complement this initiative by providing non-binding recommendations to Member</w:t>
      </w:r>
      <w:r>
        <w:t xml:space="preserve"> </w:t>
      </w:r>
      <w:r>
        <w:t xml:space="preserve">States to better design and implement enabling policies for the social economy, including</w:t>
      </w:r>
      <w:r>
        <w:t xml:space="preserve"> </w:t>
      </w:r>
      <w:r>
        <w:t xml:space="preserve">associations, (Council Recommendation) and provide a clearer understanding of the rules for</w:t>
      </w:r>
      <w:r>
        <w:t xml:space="preserve"> </w:t>
      </w:r>
      <w:r>
        <w:t xml:space="preserve">cross-border taxation of non-profit organisations like foundations and associations (two Staff</w:t>
      </w:r>
      <w:r>
        <w:t xml:space="preserve"> </w:t>
      </w:r>
      <w:r>
        <w:t xml:space="preserve">Working Documents). Furthermore, regarding VAT, associations engaging in economic</w:t>
      </w:r>
      <w:r>
        <w:t xml:space="preserve"> </w:t>
      </w:r>
      <w:r>
        <w:t xml:space="preserve">activities that qualify as SMEs can benefit from simplified rules which will help reduce VAT</w:t>
      </w:r>
      <w:r>
        <w:t xml:space="preserve"> </w:t>
      </w:r>
      <w:r>
        <w:t xml:space="preserve">compliance costs as of 2025 (as explained in Section 2.2).</w:t>
      </w:r>
    </w:p>
    <w:p>
      <w:pPr>
        <w:pStyle w:val="BodyText"/>
      </w:pPr>
      <w:r>
        <w:t xml:space="preserve">133 Costs of staff and external providers differ significantly depending on the local economic circumstances and</w:t>
      </w:r>
      <w:r>
        <w:t xml:space="preserve"> </w:t>
      </w:r>
      <w:r>
        <w:t xml:space="preserve">requirements. The estimates thus provide an indication of what can be expected and must not be taken as exact</w:t>
      </w:r>
      <w:r>
        <w:t xml:space="preserve"> </w:t>
      </w:r>
      <w:r>
        <w:t xml:space="preserve">cost structures for any association across the EU.</w:t>
      </w:r>
      <w:r>
        <w:t xml:space="preserve"> </w:t>
      </w:r>
      <w:r>
        <w:t xml:space="preserve">134 Although the Commission has proposed a Statute for a European Association (91/273), unsuccessfully.</w:t>
      </w:r>
      <w:r>
        <w:t xml:space="preserve"> </w:t>
      </w:r>
      <w:r>
        <w:t xml:space="preserve">135EUR-Lex - 52022PC0457 - EN - EUR-Lex (europa.eu)</w:t>
      </w:r>
      <w:r>
        <w:t xml:space="preserve"> </w:t>
      </w:r>
      <w:r>
        <w:t xml:space="preserve">136 See European Parliament resolution of February 2022: i) underling the importance of impartial and independent</w:t>
      </w:r>
      <w:r>
        <w:t xml:space="preserve"> </w:t>
      </w:r>
      <w:r>
        <w:t xml:space="preserve">information on the activities of non-profit organisations in the private and public media as well as the access to</w:t>
      </w:r>
      <w:r>
        <w:t xml:space="preserve"> </w:t>
      </w:r>
      <w:r>
        <w:t xml:space="preserve">pluralistic information as key pillars of democracy; ii) highlighting the Parliament resolution on SLAPPs of 11</w:t>
      </w:r>
      <w:r>
        <w:t xml:space="preserve"> </w:t>
      </w:r>
      <w:r>
        <w:t xml:space="preserve">November 2021.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Depending on the exact content, the measures mentioned above could facilitate the potential of</w:t>
      </w:r>
      <w:r>
        <w:t xml:space="preserve"> </w:t>
      </w:r>
      <w:r>
        <w:t xml:space="preserve">associations to operate cross-border in the single market. However, their positive impact is</w:t>
      </w:r>
      <w:r>
        <w:t xml:space="preserve"> </w:t>
      </w:r>
      <w:r>
        <w:t xml:space="preserve">likely to be limited in relevance to the objectives of this initiative, as these measures neither</w:t>
      </w:r>
      <w:r>
        <w:t xml:space="preserve"> </w:t>
      </w:r>
      <w:r>
        <w:t xml:space="preserve">target cross-border aspects directly nor are all of them legally binding.</w:t>
      </w:r>
      <w:r>
        <w:br/>
      </w:r>
      <w:r>
        <w:t xml:space="preserve">5.1.4 International level</w:t>
      </w:r>
      <w:r>
        <w:t xml:space="preserve"> </w:t>
      </w:r>
      <w:r>
        <w:t xml:space="preserve">The Council of Europe initiatives mentioned in the Introduction (1.3 Legal Context) did not</w:t>
      </w:r>
      <w:r>
        <w:t xml:space="preserve"> </w:t>
      </w:r>
      <w:r>
        <w:t xml:space="preserve">have much uptake by EU Member States (8 have thus far ratified the Council of Europe</w:t>
      </w:r>
      <w:r>
        <w:t xml:space="preserve"> </w:t>
      </w:r>
      <w:r>
        <w:t xml:space="preserve">Convention introduced in 1986).137 A recent report of civil society’s perception of their</w:t>
      </w:r>
      <w:r>
        <w:t xml:space="preserve"> </w:t>
      </w:r>
      <w:r>
        <w:t xml:space="preserve">implementation shows that Council of Europe Member States have largely not taken these</w:t>
      </w:r>
      <w:r>
        <w:t xml:space="preserve"> </w:t>
      </w:r>
      <w:r>
        <w:t xml:space="preserve">instruments into account in their policymaking, though it does not specify the reasons.138 This</w:t>
      </w:r>
      <w:r>
        <w:t xml:space="preserve"> </w:t>
      </w:r>
      <w:r>
        <w:t xml:space="preserve">situation is not expected to change, given the non-binding nature of these initiatives.</w:t>
      </w:r>
      <w:r>
        <w:br/>
      </w:r>
      <w:r>
        <w:t xml:space="preserve">5.2 Description of the policy options</w:t>
      </w:r>
      <w:r>
        <w:t xml:space="preserve"> </w:t>
      </w:r>
      <w:r>
        <w:t xml:space="preserve">The following alternative policy options have been constructed from a list of policy measures,</w:t>
      </w:r>
      <w:r>
        <w:t xml:space="preserve"> </w:t>
      </w:r>
      <w:r>
        <w:t xml:space="preserve">based on the findings of the IA study. These measures were screened139 to identify policy</w:t>
      </w:r>
      <w:r>
        <w:t xml:space="preserve"> </w:t>
      </w:r>
      <w:r>
        <w:t xml:space="preserve">options that should be retained for further analysis. The screening process resulted in a list of</w:t>
      </w:r>
      <w:r>
        <w:t xml:space="preserve"> </w:t>
      </w:r>
      <w:r>
        <w:t xml:space="preserve">three self-standing policy options retained for impact assessment (see Figure 6 below as a part</w:t>
      </w:r>
      <w:r>
        <w:t xml:space="preserve"> </w:t>
      </w:r>
      <w:r>
        <w:t xml:space="preserve">of the intervention logic).</w:t>
      </w:r>
      <w:r>
        <w:t xml:space="preserve"> </w:t>
      </w:r>
      <w:r>
        <w:t xml:space="preserve">Figure 6: Intervention logic.</w:t>
      </w:r>
    </w:p>
    <w:p>
      <w:pPr>
        <w:pStyle w:val="BodyText"/>
      </w:pPr>
      <w:r>
        <w:t xml:space="preserve">137 CETS 124 - European Convention on the Recognition of the Legal Personality of International Non-</w:t>
      </w:r>
      <w:r>
        <w:t xml:space="preserve"> </w:t>
      </w:r>
      <w:r>
        <w:t xml:space="preserve">Governmental Organisations (coe.int), European Treaty Series - No. 124; Recommendation on the legal status of</w:t>
      </w:r>
      <w:r>
        <w:t xml:space="preserve"> </w:t>
      </w:r>
      <w:r>
        <w:t xml:space="preserve">non-governmental organisations in Europe, CM/Rec (2007)14 of the Committee of Ministers; Fundamental</w:t>
      </w:r>
      <w:r>
        <w:t xml:space="preserve"> </w:t>
      </w:r>
      <w:r>
        <w:t xml:space="preserve">Principles on the Status of Non-governmental Organizations in Europe</w:t>
      </w:r>
      <w:r>
        <w:t xml:space="preserve"> </w:t>
      </w:r>
      <w:r>
        <w:t xml:space="preserve">138 Council of Europe Expert Council of NGO Law: The Legal Space for Non-Governmental Organisations in</w:t>
      </w:r>
      <w:r>
        <w:t xml:space="preserve"> </w:t>
      </w:r>
      <w:r>
        <w:t xml:space="preserve">Europe. Civil society’s perception of the implementation of Council of Europe CM Recommendation (2007)14</w:t>
      </w:r>
      <w:r>
        <w:t xml:space="preserve"> </w:t>
      </w:r>
      <w:r>
        <w:t xml:space="preserve">to Member States on the Legal Status of Non-Governmental Organisations in Europe, p. 39.</w:t>
      </w:r>
      <w:r>
        <w:br/>
      </w:r>
      <w:r>
        <w:t xml:space="preserve">139 Screening was developed in accordance with Tool #17 of the Better Regulation Toolbox. The longlist of</w:t>
      </w:r>
      <w:r>
        <w:t xml:space="preserve"> </w:t>
      </w:r>
      <w:r>
        <w:t xml:space="preserve">measures was assessed against seven criteria, namely: feasibility, stakeholder acceptability, effectiveness,</w:t>
      </w:r>
      <w:r>
        <w:t xml:space="preserve"> </w:t>
      </w:r>
      <w:r>
        <w:t xml:space="preserve">efficiency, proportionality, EU value added, and coherence.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All retained options address the general objective and the specific objectives, as further</w:t>
      </w:r>
      <w:r>
        <w:t xml:space="preserve"> </w:t>
      </w:r>
      <w:r>
        <w:t xml:space="preserve">described under each option below.</w:t>
      </w:r>
      <w:r>
        <w:br/>
      </w:r>
      <w:r>
        <w:t xml:space="preserve">5.2.1 Option 1: Establish an EU-level legal form of association</w:t>
      </w:r>
      <w:r>
        <w:br/>
      </w:r>
      <w:r>
        <w:t xml:space="preserve">Sub-option 1a: An EU level legal form: ‘The European Association”</w:t>
      </w:r>
      <w:r>
        <w:t xml:space="preserve"> </w:t>
      </w:r>
      <w:r>
        <w:t xml:space="preserve">This sub-option of policy option 1 (hereinafter “PO1a”) fully prescribes an EU level legal form,</w:t>
      </w:r>
      <w:r>
        <w:t xml:space="preserve"> </w:t>
      </w:r>
      <w:r>
        <w:t xml:space="preserve">i.e. “The European Association”. Under this sub-option, the initiative would introduce a</w:t>
      </w:r>
      <w:r>
        <w:t xml:space="preserve"> </w:t>
      </w:r>
      <w:r>
        <w:t xml:space="preserve">European legal form of association (the “European Association”), which would regulate all</w:t>
      </w:r>
      <w:r>
        <w:t xml:space="preserve"> </w:t>
      </w:r>
      <w:r>
        <w:t xml:space="preserve">aspects relevant to the functioning of an association, including rules on the formation,</w:t>
      </w:r>
      <w:r>
        <w:t xml:space="preserve"> </w:t>
      </w:r>
      <w:r>
        <w:t xml:space="preserve">registration, constitution, functioning, financing, dissolution, liquidation and insolvency, and</w:t>
      </w:r>
      <w:r>
        <w:t xml:space="preserve"> </w:t>
      </w:r>
      <w:r>
        <w:t xml:space="preserve">would co-exist with legal forms of associations at Member State-level while not replacing them</w:t>
      </w:r>
      <w:r>
        <w:t xml:space="preserve"> </w:t>
      </w:r>
      <w:r>
        <w:t xml:space="preserve">(details in Annex 9). It would also ensure non-discrimination and equal treatment, when it</w:t>
      </w:r>
      <w:r>
        <w:t xml:space="preserve"> </w:t>
      </w:r>
      <w:r>
        <w:t xml:space="preserve">comes to European Associations as service providers, in line with the Services Directive.140</w:t>
      </w:r>
      <w:r>
        <w:t xml:space="preserve"> </w:t>
      </w:r>
      <w:r>
        <w:t xml:space="preserve">Regarding formation, interested natural and legal persons could set up a European Association</w:t>
      </w:r>
      <w:r>
        <w:t xml:space="preserve"> </w:t>
      </w:r>
      <w:r>
        <w:t xml:space="preserve">and existing associations may form one by conversion. The main criterion to form a European</w:t>
      </w:r>
      <w:r>
        <w:t xml:space="preserve"> </w:t>
      </w:r>
      <w:r>
        <w:t xml:space="preserve">Association would be to have a link to at least two Member States. This can be one of the</w:t>
      </w:r>
      <w:r>
        <w:t xml:space="preserve"> </w:t>
      </w:r>
      <w:r>
        <w:t xml:space="preserve">following: citizenship or residence of members, employees, or volunteers; the location of its</w:t>
      </w:r>
      <w:r>
        <w:t xml:space="preserve"> </w:t>
      </w:r>
      <w:r>
        <w:t xml:space="preserve">activities or the registered location of established branches; formation through merger of</w:t>
      </w:r>
      <w:r>
        <w:t xml:space="preserve"> </w:t>
      </w:r>
      <w:r>
        <w:t xml:space="preserve">existing associations domiciled in at least two separate Member States.</w:t>
      </w:r>
      <w:r>
        <w:t xml:space="preserve"> </w:t>
      </w:r>
      <w:r>
        <w:t xml:space="preserve">The European Association would enjoy automatic recognition of its legal personality across</w:t>
      </w:r>
      <w:r>
        <w:t xml:space="preserve"> </w:t>
      </w:r>
      <w:r>
        <w:t xml:space="preserve">the Union. While it would be regulated by EU law, with regard to rights, it would enjoy at</w:t>
      </w:r>
      <w:r>
        <w:t xml:space="preserve"> </w:t>
      </w:r>
      <w:r>
        <w:t xml:space="preserve">minimum, equal treatment with national associations in the Member States where it would be</w:t>
      </w:r>
      <w:r>
        <w:t xml:space="preserve"> </w:t>
      </w:r>
      <w:r>
        <w:t xml:space="preserve">domiciled and/or engage in activities (i.e. provision of services or goods). Furthermore, it</w:t>
      </w:r>
      <w:r>
        <w:t xml:space="preserve"> </w:t>
      </w:r>
      <w:r>
        <w:t xml:space="preserve">would have rules on cross-border mobility (mergers, divisions and conversions in cross-border</w:t>
      </w:r>
    </w:p>
    <w:p>
      <w:pPr>
        <w:pStyle w:val="BodyText"/>
      </w:pPr>
      <w:r>
        <w:t xml:space="preserve">140 Directive 2006/123/EC on services in the internal market of 12.12.2006.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contexts). European Associations would enjoy non-discrimination as receivers of capital</w:t>
      </w:r>
      <w:r>
        <w:t xml:space="preserve"> </w:t>
      </w:r>
      <w:r>
        <w:t xml:space="preserve">transfers, such as donations, including the non-discrimination of their donors.141</w:t>
      </w:r>
      <w:r>
        <w:t xml:space="preserve"> </w:t>
      </w:r>
      <w:r>
        <w:t xml:space="preserve">Regarding implementation, Member States would designate a competent authority, with</w:t>
      </w:r>
      <w:r>
        <w:t xml:space="preserve"> </w:t>
      </w:r>
      <w:r>
        <w:t xml:space="preserve">defined powers. Competent authorities would be required to cooperate and exchange</w:t>
      </w:r>
      <w:r>
        <w:t xml:space="preserve"> </w:t>
      </w:r>
      <w:r>
        <w:t xml:space="preserve">information with each other.</w:t>
      </w:r>
      <w:r>
        <w:br/>
      </w:r>
      <w:r>
        <w:t xml:space="preserve">Registration of the new legal form would be done at Member State level, in line with the ‘digital</w:t>
      </w:r>
      <w:r>
        <w:t xml:space="preserve"> </w:t>
      </w:r>
      <w:r>
        <w:t xml:space="preserve">by default’ principle: setting up the European Association would be possible in a fully digital</w:t>
      </w:r>
      <w:r>
        <w:t xml:space="preserve"> </w:t>
      </w:r>
      <w:r>
        <w:t xml:space="preserve">manner, using standardised on-line procedures and entailing standardised information required</w:t>
      </w:r>
      <w:r>
        <w:t xml:space="preserve"> </w:t>
      </w:r>
      <w:r>
        <w:t xml:space="preserve">for the registration of the new legal form. Member States will be required to establish a digital</w:t>
      </w:r>
      <w:r>
        <w:t xml:space="preserve"> </w:t>
      </w:r>
      <w:r>
        <w:t xml:space="preserve">register (or adapt an existing register) and make publicly available essential information about</w:t>
      </w:r>
      <w:r>
        <w:t xml:space="preserve"> </w:t>
      </w:r>
      <w:r>
        <w:t xml:space="preserve">the associations registered under this legal form. To facilitate access to information about</w:t>
      </w:r>
      <w:r>
        <w:t xml:space="preserve"> </w:t>
      </w:r>
      <w:r>
        <w:t xml:space="preserve">registered European Associations, Member State registries would be interoperable with or</w:t>
      </w:r>
      <w:r>
        <w:t xml:space="preserve"> </w:t>
      </w:r>
      <w:r>
        <w:t xml:space="preserve">connect to an EU level platform/portal either to be established or building on existing initiatives</w:t>
      </w:r>
      <w:r>
        <w:t xml:space="preserve"> </w:t>
      </w:r>
      <w:r>
        <w:t xml:space="preserve">(i.e. the Single Digital Gateway).</w:t>
      </w:r>
      <w:r>
        <w:br/>
      </w:r>
      <w:r>
        <w:t xml:space="preserve">The European Association would be well suited for those associations interested in being active</w:t>
      </w:r>
      <w:r>
        <w:t xml:space="preserve"> </w:t>
      </w:r>
      <w:r>
        <w:t xml:space="preserve">in many Member States. Given the relevant cost and administrative effort of setting it up, it</w:t>
      </w:r>
      <w:r>
        <w:t xml:space="preserve"> </w:t>
      </w:r>
      <w:r>
        <w:t xml:space="preserve">would be less beneficial for small associations or those with only occasional activities across</w:t>
      </w:r>
      <w:r>
        <w:t xml:space="preserve"> </w:t>
      </w:r>
      <w:r>
        <w:t xml:space="preserve">borders.</w:t>
      </w:r>
      <w:r>
        <w:br/>
      </w:r>
      <w:r>
        <w:t xml:space="preserve">Although this sub-option shares with the Commission proposal of 1992 (and its revision in</w:t>
      </w:r>
      <w:r>
        <w:t xml:space="preserve"> </w:t>
      </w:r>
      <w:r>
        <w:t xml:space="preserve">1993) the general objective to regulate all aspects for associations by creating a European</w:t>
      </w:r>
      <w:r>
        <w:t xml:space="preserve"> </w:t>
      </w:r>
      <w:r>
        <w:t xml:space="preserve">statute for associations, it differs in its policy focus, and in particular in the following elements:</w:t>
      </w:r>
      <w:r>
        <w:br/>
      </w:r>
      <w:r>
        <w:t xml:space="preserve">-</w:t>
      </w:r>
      <w:r>
        <w:t xml:space="preserve"> </w:t>
      </w:r>
      <w:r>
        <w:t xml:space="preserve">As regards key provisions on mobility, the former proposal did not mention the possibility</w:t>
      </w:r>
      <w:r>
        <w:t xml:space="preserve"> </w:t>
      </w:r>
      <w:r>
        <w:t xml:space="preserve">for the European Association to merge. On the contrary, PO1a would provide for rules in</w:t>
      </w:r>
      <w:r>
        <w:t xml:space="preserve"> </w:t>
      </w:r>
      <w:r>
        <w:t xml:space="preserve">order for associations established in the new legal form to merge with other associations,</w:t>
      </w:r>
      <w:r>
        <w:t xml:space="preserve"> </w:t>
      </w:r>
      <w:r>
        <w:t xml:space="preserve">both domestically and cross-border, without such merger resulting in the involuntary</w:t>
      </w:r>
      <w:r>
        <w:t xml:space="preserve"> </w:t>
      </w:r>
      <w:r>
        <w:t xml:space="preserve">termination, prohibition or dissolution, or suspension of the activities of the organisation.</w:t>
      </w:r>
      <w:r>
        <w:br/>
      </w:r>
      <w:r>
        <w:t xml:space="preserve">-</w:t>
      </w:r>
      <w:r>
        <w:t xml:space="preserve"> </w:t>
      </w:r>
      <w:r>
        <w:t xml:space="preserve">As regards online registration and the digitalisation of the registries. PO1a, as stated above</w:t>
      </w:r>
      <w:r>
        <w:t xml:space="preserve"> </w:t>
      </w:r>
      <w:r>
        <w:t xml:space="preserve">and given the digitisation of the society, would ease the access to information on</w:t>
      </w:r>
      <w:r>
        <w:t xml:space="preserve"> </w:t>
      </w:r>
      <w:r>
        <w:t xml:space="preserve">associations for the public. The former proposal did not provide for online registration or</w:t>
      </w:r>
      <w:r>
        <w:t xml:space="preserve"> </w:t>
      </w:r>
      <w:r>
        <w:t xml:space="preserve">for rules concerning an EU level platform.</w:t>
      </w:r>
      <w:r>
        <w:br/>
      </w:r>
      <w:r>
        <w:t xml:space="preserve">-</w:t>
      </w:r>
      <w:r>
        <w:t xml:space="preserve"> </w:t>
      </w:r>
      <w:r>
        <w:t xml:space="preserve">Regarding the rules governing the financing of the European Association, while the past</w:t>
      </w:r>
      <w:r>
        <w:t xml:space="preserve"> </w:t>
      </w:r>
      <w:r>
        <w:t xml:space="preserve">proposal allowed the European Association to avail itself of all forms of financing under</w:t>
      </w:r>
      <w:r>
        <w:t xml:space="preserve"> </w:t>
      </w:r>
      <w:r>
        <w:t xml:space="preserve">the most favourable conditions applying to associations in the Member State in which it</w:t>
      </w:r>
      <w:r>
        <w:t xml:space="preserve"> </w:t>
      </w:r>
      <w:r>
        <w:t xml:space="preserve">has its registered office (Article 41 of the Commission proposal of 1992), sub-option PO1a</w:t>
      </w:r>
      <w:r>
        <w:t xml:space="preserve"> </w:t>
      </w:r>
      <w:r>
        <w:t xml:space="preserve">is more specific and goes deeper. It would oblige Member States to allow a European</w:t>
      </w:r>
      <w:r>
        <w:t xml:space="preserve"> </w:t>
      </w:r>
      <w:r>
        <w:t xml:space="preserve">Association established, registered or operating in their territory to solicit and receive</w:t>
      </w:r>
      <w:r>
        <w:t xml:space="preserve"> </w:t>
      </w:r>
      <w:r>
        <w:t xml:space="preserve">capital transfers, such as donations. In terms of procedure, PO 1a would be based on Article</w:t>
      </w:r>
    </w:p>
    <w:p>
      <w:pPr>
        <w:pStyle w:val="BodyText"/>
      </w:pPr>
      <w:r>
        <w:t xml:space="preserve">141 Following the principles of the CJEU, inter alia in C‑78/18.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352 TFEU,142 requiring unanimity; while the former Commission proposal was based on</w:t>
      </w:r>
      <w:r>
        <w:t xml:space="preserve"> </w:t>
      </w:r>
      <w:r>
        <w:t xml:space="preserve">Article 100a of the Treaty establishing the European Economic Community (current Article</w:t>
      </w:r>
      <w:r>
        <w:t xml:space="preserve"> </w:t>
      </w:r>
      <w:r>
        <w:t xml:space="preserve">114 TFEU), which links with the ordinary legislative procedure of qualified majority.</w:t>
      </w:r>
    </w:p>
    <w:p>
      <w:pPr>
        <w:pStyle w:val="BodyText"/>
      </w:pPr>
      <w:r>
        <w:t xml:space="preserve">Sub-option 1b: An EU level legal form: “The European cross-border Association”</w:t>
      </w:r>
      <w:r>
        <w:t xml:space="preserve"> </w:t>
      </w:r>
      <w:r>
        <w:t xml:space="preserve">This sub-option of policy option 1 (hereinafter “PO1b”) establishes an EU level legal form</w:t>
      </w:r>
      <w:r>
        <w:t xml:space="preserve"> </w:t>
      </w:r>
      <w:r>
        <w:t xml:space="preserve">covering only cross-border aspects: “The European cross-border Association”.</w:t>
      </w:r>
      <w:r>
        <w:t xml:space="preserve"> </w:t>
      </w:r>
      <w:r>
        <w:t xml:space="preserve">Under this sub-option, the initiative would introduce a European legal form of association at</w:t>
      </w:r>
      <w:r>
        <w:t xml:space="preserve"> </w:t>
      </w:r>
      <w:r>
        <w:t xml:space="preserve">EU level, as under sub-option 1a, but instead of a fully prescribed legal form, this sub-option</w:t>
      </w:r>
      <w:r>
        <w:t xml:space="preserve"> </w:t>
      </w:r>
      <w:r>
        <w:t xml:space="preserve">would exhaustively prescribe at EU level only cross-border aspects143 and, to the extent needed</w:t>
      </w:r>
      <w:r>
        <w:t xml:space="preserve"> </w:t>
      </w:r>
      <w:r>
        <w:t xml:space="preserve">for coherence, main features of the new legal form,144 while otherwise referring to existing</w:t>
      </w:r>
      <w:r>
        <w:t xml:space="preserve"> </w:t>
      </w:r>
      <w:r>
        <w:t xml:space="preserve">Member State law, as it regulates comparable entities. The new legal form would co-exist with</w:t>
      </w:r>
      <w:r>
        <w:t xml:space="preserve"> </w:t>
      </w:r>
      <w:r>
        <w:t xml:space="preserve">legal forms of associations at Member State-level and would not replace them. Member States</w:t>
      </w:r>
      <w:r>
        <w:t xml:space="preserve"> </w:t>
      </w:r>
      <w:r>
        <w:t xml:space="preserve">would enact the necessary provisions for the effective application of the new legal form where</w:t>
      </w:r>
      <w:r>
        <w:t xml:space="preserve"> </w:t>
      </w:r>
      <w:r>
        <w:t xml:space="preserve">relevant matters that the Regulation refers to are not sufficiently regulated.</w:t>
      </w:r>
      <w:r>
        <w:t xml:space="preserve"> </w:t>
      </w:r>
      <w:r>
        <w:t xml:space="preserve">The European cross-border Association would enjoy automatic recognition of its legal</w:t>
      </w:r>
      <w:r>
        <w:t xml:space="preserve"> </w:t>
      </w:r>
      <w:r>
        <w:t xml:space="preserve">personality across the Union.</w:t>
      </w:r>
      <w:r>
        <w:br/>
      </w:r>
      <w:r>
        <w:t xml:space="preserve">Key elements of the new legal form to be prescribed at EU level would under this sub-option</w:t>
      </w:r>
      <w:r>
        <w:t xml:space="preserve"> </w:t>
      </w:r>
      <w:r>
        <w:t xml:space="preserve">include, in particular, the following:</w:t>
      </w:r>
      <w:r>
        <w:t xml:space="preserve"> </w:t>
      </w:r>
      <w:r>
        <w:t xml:space="preserve">• specific rules concerning the formation of the new legal form; for instance, the main</w:t>
      </w:r>
      <w:r>
        <w:t xml:space="preserve"> </w:t>
      </w:r>
      <w:r>
        <w:t xml:space="preserve">criterion to form a “European cross-border association” may be to have a link to at least</w:t>
      </w:r>
      <w:r>
        <w:t xml:space="preserve"> </w:t>
      </w:r>
      <w:r>
        <w:t xml:space="preserve">two Member States. This can be one of the following: citizenship or residence of</w:t>
      </w:r>
      <w:r>
        <w:t xml:space="preserve"> </w:t>
      </w:r>
      <w:r>
        <w:t xml:space="preserve">members, employees, or volunteers; or based on the registered location of established</w:t>
      </w:r>
      <w:r>
        <w:t xml:space="preserve"> </w:t>
      </w:r>
      <w:r>
        <w:t xml:space="preserve">branches; formation through a merger of associations domiciled in at least two separate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• specific rules allowing for cross-border membership and governance roles (nationality</w:t>
      </w:r>
      <w:r>
        <w:t xml:space="preserve"> </w:t>
      </w:r>
      <w:r>
        <w:t xml:space="preserve">and residence).</w:t>
      </w:r>
      <w:r>
        <w:t xml:space="preserve"> </w:t>
      </w:r>
      <w:r>
        <w:t xml:space="preserve">•</w:t>
      </w:r>
      <w:r>
        <w:t xml:space="preserve"> </w:t>
      </w:r>
      <w:r>
        <w:t xml:space="preserve">non-discrimination and equal treatment, when it comes to European associations as</w:t>
      </w:r>
      <w:r>
        <w:t xml:space="preserve"> </w:t>
      </w:r>
      <w:r>
        <w:t xml:space="preserve">service providers, in line with the Services Directive145.</w:t>
      </w:r>
      <w:r>
        <w:t xml:space="preserve"> </w:t>
      </w:r>
      <w:r>
        <w:t xml:space="preserve">• non-discrimination of the new legal form, as receiver of capital transfers (excluding</w:t>
      </w:r>
      <w:r>
        <w:t xml:space="preserve"> </w:t>
      </w:r>
      <w:r>
        <w:t xml:space="preserve">taxation), such as donations, in cross-border contexts, including the non-discrimination</w:t>
      </w:r>
      <w:r>
        <w:t xml:space="preserve"> </w:t>
      </w:r>
      <w:r>
        <w:t xml:space="preserve">of donors based on nationality or place of residence.</w:t>
      </w:r>
    </w:p>
    <w:p>
      <w:pPr>
        <w:pStyle w:val="BodyText"/>
      </w:pPr>
      <w:r>
        <w:t xml:space="preserve">142 This legal basis has been confirmed by the CJEU as the appropriate legal base for new legal forms created at</w:t>
      </w:r>
      <w:r>
        <w:t xml:space="preserve"> </w:t>
      </w:r>
      <w:r>
        <w:t xml:space="preserve">EU level. See Case 436/03.</w:t>
      </w:r>
      <w:r>
        <w:t xml:space="preserve"> </w:t>
      </w:r>
      <w:r>
        <w:t xml:space="preserve">143 Inter alia ability to open branches abroad, cross-border mobility procedures, ability to provide services without</w:t>
      </w:r>
      <w:r>
        <w:t xml:space="preserve"> </w:t>
      </w:r>
      <w:r>
        <w:t xml:space="preserve">a local establishment, and ability to solicit and receive funding across borders.</w:t>
      </w:r>
      <w:r>
        <w:t xml:space="preserve"> </w:t>
      </w:r>
      <w:r>
        <w:t xml:space="preserve">144 Inter alia non-profit aim, non-distribution constraint, full ability to engage in economic activities and right to</w:t>
      </w:r>
      <w:r>
        <w:t xml:space="preserve"> </w:t>
      </w:r>
      <w:r>
        <w:t xml:space="preserve">acquire legal personality</w:t>
      </w:r>
      <w:r>
        <w:t xml:space="preserve"> </w:t>
      </w:r>
      <w:r>
        <w:t xml:space="preserve">145 Directive 2006/123/EC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• cross-border conversions without undergoing a dissolution and liquidation procedure,</w:t>
      </w:r>
      <w:r>
        <w:t xml:space="preserve"> </w:t>
      </w:r>
      <w:r>
        <w:t xml:space="preserve">by providing relevant safeguards.</w:t>
      </w:r>
      <w:r>
        <w:br/>
      </w:r>
      <w:r>
        <w:t xml:space="preserve">•</w:t>
      </w:r>
      <w:r>
        <w:t xml:space="preserve"> </w:t>
      </w:r>
      <w:r>
        <w:t xml:space="preserve">rules and safeguards on the process of mergers and divisions of the new legal form.</w:t>
      </w:r>
      <w:r>
        <w:br/>
      </w:r>
      <w:r>
        <w:t xml:space="preserve">Regarding implementation, Member States would designate a competent authority with</w:t>
      </w:r>
      <w:r>
        <w:t xml:space="preserve"> </w:t>
      </w:r>
      <w:r>
        <w:t xml:space="preserve">defined powers. Competent authorities would be required to cooperate and exchange</w:t>
      </w:r>
      <w:r>
        <w:t xml:space="preserve"> </w:t>
      </w:r>
      <w:r>
        <w:t xml:space="preserve">information with each other.</w:t>
      </w:r>
      <w:r>
        <w:br/>
      </w:r>
      <w:r>
        <w:t xml:space="preserve">Registration would be at Member State level as for PO1a, in line with the ‘digital by default’</w:t>
      </w:r>
      <w:r>
        <w:t xml:space="preserve"> </w:t>
      </w:r>
      <w:r>
        <w:t xml:space="preserve">principle: setting up the European cross-border Association would be possible in a fully digital</w:t>
      </w:r>
      <w:r>
        <w:t xml:space="preserve"> </w:t>
      </w:r>
      <w:r>
        <w:t xml:space="preserve">manner, using standardised on-line procedures and entailing standardised information required</w:t>
      </w:r>
      <w:r>
        <w:t xml:space="preserve"> </w:t>
      </w:r>
      <w:r>
        <w:t xml:space="preserve">for the registration of the new legal form. Member States will be required to establish a digital</w:t>
      </w:r>
      <w:r>
        <w:t xml:space="preserve"> </w:t>
      </w:r>
      <w:r>
        <w:t xml:space="preserve">register (or adapt an existing register) and make publicly available essential information about</w:t>
      </w:r>
      <w:r>
        <w:t xml:space="preserve"> </w:t>
      </w:r>
      <w:r>
        <w:t xml:space="preserve">the associations registered under this legal form. To facilitate access to information about</w:t>
      </w:r>
      <w:r>
        <w:t xml:space="preserve"> </w:t>
      </w:r>
      <w:r>
        <w:t xml:space="preserve">registered European cross-border Associations, Member State registries would be interoperable</w:t>
      </w:r>
      <w:r>
        <w:t xml:space="preserve"> </w:t>
      </w:r>
      <w:r>
        <w:t xml:space="preserve">with or connect to an EU level platform/portal either to be established or building on existing</w:t>
      </w:r>
      <w:r>
        <w:t xml:space="preserve"> </w:t>
      </w:r>
      <w:r>
        <w:t xml:space="preserve">initiatives, such as the Single Digital Gateway.</w:t>
      </w:r>
      <w:r>
        <w:t xml:space="preserve"> </w:t>
      </w:r>
      <w:r>
        <w:t xml:space="preserve">The European cross-border Association, similarly to sub-option PO1a, would be well suited</w:t>
      </w:r>
      <w:r>
        <w:t xml:space="preserve"> </w:t>
      </w:r>
      <w:r>
        <w:t xml:space="preserve">for those associations interested in being active in many Member States. As such, it would</w:t>
      </w:r>
      <w:r>
        <w:t xml:space="preserve"> </w:t>
      </w:r>
      <w:r>
        <w:t xml:space="preserve">solve current obstacles concerning the right of establishment and free provision of goods and</w:t>
      </w:r>
      <w:r>
        <w:t xml:space="preserve"> </w:t>
      </w:r>
      <w:r>
        <w:t xml:space="preserve">services across the EU. It would also partially solve issues related to the cross-border receipt</w:t>
      </w:r>
      <w:r>
        <w:t xml:space="preserve"> </w:t>
      </w:r>
      <w:r>
        <w:t xml:space="preserve">of capital to the extent those issues concern seeking approvals and reporting in some Member</w:t>
      </w:r>
      <w:r>
        <w:t xml:space="preserve"> </w:t>
      </w:r>
      <w:r>
        <w:t xml:space="preserve">States with regard to donations.</w:t>
      </w:r>
      <w:r>
        <w:br/>
      </w:r>
      <w:r>
        <w:t xml:space="preserve">As in PO1a, this sub-option would be based on Article 352 TFEU, and would take the form of</w:t>
      </w:r>
      <w:r>
        <w:t xml:space="preserve"> </w:t>
      </w:r>
      <w:r>
        <w:t xml:space="preserve">a regulation, as this option would not approximate national rules as required for Article 114</w:t>
      </w:r>
      <w:r>
        <w:t xml:space="preserve"> </w:t>
      </w:r>
      <w:r>
        <w:t xml:space="preserve">TFEU. The fact that this policy option would exhaustively prescribe at EU level the cross-</w:t>
      </w:r>
      <w:r>
        <w:t xml:space="preserve"> </w:t>
      </w:r>
      <w:r>
        <w:t xml:space="preserve">border aspects and the core features of the new legal form further justifies the choice of this</w:t>
      </w:r>
      <w:r>
        <w:t xml:space="preserve"> </w:t>
      </w:r>
      <w:r>
        <w:t xml:space="preserve">legal basis.</w:t>
      </w:r>
      <w:r>
        <w:br/>
      </w:r>
      <w:r>
        <w:t xml:space="preserve">The Commission proposal of 1992 (and its revision in 1993) and this sub-option differ in their</w:t>
      </w:r>
      <w:r>
        <w:t xml:space="preserve"> </w:t>
      </w:r>
      <w:r>
        <w:t xml:space="preserve">scope and procedure in ways already described concerning PO1a. In addition, in terms of policy</w:t>
      </w:r>
      <w:r>
        <w:t xml:space="preserve"> </w:t>
      </w:r>
      <w:r>
        <w:t xml:space="preserve">focus, a key additional difference concerns a more limited scope on elements relevant for cross-</w:t>
      </w:r>
      <w:r>
        <w:t xml:space="preserve"> </w:t>
      </w:r>
      <w:r>
        <w:t xml:space="preserve">border contexts.</w:t>
      </w:r>
      <w:r>
        <w:br/>
      </w:r>
      <w:r>
        <w:t xml:space="preserve">5.2.2 Option 2: Harmonise common minimum standards for cross-border</w:t>
      </w:r>
      <w:r>
        <w:t xml:space="preserve"> </w:t>
      </w:r>
      <w:r>
        <w:t xml:space="preserve">activities of associations</w:t>
      </w:r>
      <w:r>
        <w:br/>
      </w:r>
      <w:r>
        <w:t xml:space="preserve">Under this option (hereinafter “PO2”), the initiative would harmonise common minimum</w:t>
      </w:r>
      <w:r>
        <w:t xml:space="preserve"> </w:t>
      </w:r>
      <w:r>
        <w:t xml:space="preserve">standards for the cross-border activities and mobility of associations across Member States. It</w:t>
      </w:r>
      <w:r>
        <w:t xml:space="preserve"> </w:t>
      </w:r>
      <w:r>
        <w:t xml:space="preserve">would contribute to reducing the differences between national association laws. PO2 would</w:t>
      </w:r>
      <w:r>
        <w:t xml:space="preserve"> </w:t>
      </w:r>
      <w:r>
        <w:t xml:space="preserve">imply in practice removing or amending existing provisions or introducing new provisions in</w:t>
      </w:r>
      <w:r>
        <w:t xml:space="preserve"> </w:t>
      </w:r>
      <w:r>
        <w:t xml:space="preserve">Member State law, in particular for the purpose of facilitating cross-border mobility of</w:t>
      </w:r>
      <w:r>
        <w:t xml:space="preserve"> </w:t>
      </w:r>
      <w:r>
        <w:t xml:space="preserve">associations, the provision of services and goods and the free movement of capital (i.e. </w:t>
      </w:r>
      <w:r>
        <w:t xml:space="preserve"> </w:t>
      </w:r>
      <w:r>
        <w:t xml:space="preserve">donations), but also rules on membership and governance roles to allow for cross-border</w:t>
      </w:r>
      <w:r>
        <w:t xml:space="preserve"> </w:t>
      </w:r>
      <w:r>
        <w:t xml:space="preserve">dimension.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In detail, the initiative would harmonise national association laws to the extent needed to</w:t>
      </w:r>
      <w:r>
        <w:t xml:space="preserve"> </w:t>
      </w:r>
      <w:r>
        <w:t xml:space="preserve">facilitate the cross-border aspects mentioned above. The key provisions to be required mirror</w:t>
      </w:r>
      <w:r>
        <w:t xml:space="preserve"> </w:t>
      </w:r>
      <w:r>
        <w:t xml:space="preserve">those mentioned under PO1b, mutatis mutandis.</w:t>
      </w:r>
      <w:r>
        <w:br/>
      </w:r>
      <w:r>
        <w:t xml:space="preserve">Existing registration requirements related to e.g. establishment and provision of goods and</w:t>
      </w:r>
      <w:r>
        <w:t xml:space="preserve"> </w:t>
      </w:r>
      <w:r>
        <w:t xml:space="preserve">services, would not be prohibited as such, but they would be required to serve justified purposes</w:t>
      </w:r>
      <w:r>
        <w:t xml:space="preserve"> </w:t>
      </w:r>
      <w:r>
        <w:t xml:space="preserve">and be non-discriminatory and proportionate, and in line with existing EU legislation, such as</w:t>
      </w:r>
      <w:r>
        <w:t xml:space="preserve"> </w:t>
      </w:r>
      <w:r>
        <w:t xml:space="preserve">the Services Directive.146</w:t>
      </w:r>
      <w:r>
        <w:br/>
      </w:r>
      <w:r>
        <w:t xml:space="preserve">Moreover, the possibility for a fully online registration and the existence of digital registers</w:t>
      </w:r>
      <w:r>
        <w:t xml:space="preserve"> </w:t>
      </w:r>
      <w:r>
        <w:t xml:space="preserve">and standardised on-line procedures should be encouraged under this option, in line with the</w:t>
      </w:r>
      <w:r>
        <w:t xml:space="preserve"> </w:t>
      </w:r>
      <w:r>
        <w:t xml:space="preserve">‘digital by default’ principle and bearing in mind proportionality and subsidiarity, for the</w:t>
      </w:r>
      <w:r>
        <w:t xml:space="preserve"> </w:t>
      </w:r>
      <w:r>
        <w:t xml:space="preserve">purpose of facilitating the registration of cross-border associations, as well as exchange of</w:t>
      </w:r>
      <w:r>
        <w:t xml:space="preserve"> </w:t>
      </w:r>
      <w:r>
        <w:t xml:space="preserve">information among Member States and at EU level. This could possibly be facilitated by the</w:t>
      </w:r>
      <w:r>
        <w:t xml:space="preserve"> </w:t>
      </w:r>
      <w:r>
        <w:t xml:space="preserve">Internal Market Information System.147 Compatibility of the said registers with the Single</w:t>
      </w:r>
      <w:r>
        <w:t xml:space="preserve"> </w:t>
      </w:r>
      <w:r>
        <w:t xml:space="preserve">Digital Gateway would be explored. Overall, digital procedures and tools would also facilitate</w:t>
      </w:r>
      <w:r>
        <w:t xml:space="preserve"> </w:t>
      </w:r>
      <w:r>
        <w:t xml:space="preserve">administrative formalities linked with registration, cross-border merger, cross-border</w:t>
      </w:r>
      <w:r>
        <w:t xml:space="preserve"> </w:t>
      </w:r>
      <w:r>
        <w:t xml:space="preserve">conversion, or cross-border donations.</w:t>
      </w:r>
      <w:r>
        <w:t xml:space="preserve"> </w:t>
      </w:r>
      <w:r>
        <w:t xml:space="preserve">Associations could automatically benefit from these harmonisation measures. Depending on</w:t>
      </w:r>
      <w:r>
        <w:t xml:space="preserve"> </w:t>
      </w:r>
      <w:r>
        <w:t xml:space="preserve">the scope of harmonisation, all associations may be affected by the new rules, as the respective</w:t>
      </w:r>
      <w:r>
        <w:t xml:space="preserve"> </w:t>
      </w:r>
      <w:r>
        <w:t xml:space="preserve">rules governing them would partially change. Under this option, partial harmonisation of</w:t>
      </w:r>
      <w:r>
        <w:t xml:space="preserve"> </w:t>
      </w:r>
      <w:r>
        <w:t xml:space="preserve">national laws would lead to a regulatory simplification for associations in cross-border</w:t>
      </w:r>
      <w:r>
        <w:t xml:space="preserve"> </w:t>
      </w:r>
      <w:r>
        <w:t xml:space="preserve">contexts, thanks to an approximation of relevant rules and given that sufficient rights and</w:t>
      </w:r>
      <w:r>
        <w:t xml:space="preserve"> </w:t>
      </w:r>
      <w:r>
        <w:t xml:space="preserve">safeguards would be provided for their cross-border mobility and activities regulated at EU</w:t>
      </w:r>
      <w:r>
        <w:t xml:space="preserve"> </w:t>
      </w:r>
      <w:r>
        <w:t xml:space="preserve">level. It would be relatively straightforward even for smaller associations or those with only</w:t>
      </w:r>
      <w:r>
        <w:t xml:space="preserve"> </w:t>
      </w:r>
      <w:r>
        <w:t xml:space="preserve">occasional engagement across borders.</w:t>
      </w:r>
      <w:r>
        <w:br/>
      </w:r>
      <w:r>
        <w:t xml:space="preserve">The legal instrument would likely be a directive. Implementation of this Directive would</w:t>
      </w:r>
      <w:r>
        <w:t xml:space="preserve"> </w:t>
      </w:r>
      <w:r>
        <w:t xml:space="preserve">require Member States to transpose its provisions into their national law thereby reducing</w:t>
      </w:r>
      <w:r>
        <w:t xml:space="preserve"> </w:t>
      </w:r>
      <w:r>
        <w:t xml:space="preserve">regulatory fragmentation for associations operating across Member States. The likely legal</w:t>
      </w:r>
      <w:r>
        <w:t xml:space="preserve"> </w:t>
      </w:r>
      <w:r>
        <w:t xml:space="preserve">base of this option would be either Article 114 or 50 TFEU, or a combination thereof, taking</w:t>
      </w:r>
      <w:r>
        <w:t xml:space="preserve"> </w:t>
      </w:r>
      <w:r>
        <w:t xml:space="preserve">into account the material scope of the initiative148, as this option would approximate national</w:t>
      </w:r>
      <w:r>
        <w:t xml:space="preserve"> </w:t>
      </w:r>
      <w:r>
        <w:t xml:space="preserve">laws by laying down minimum standards.</w:t>
      </w:r>
      <w:r>
        <w:br/>
      </w:r>
      <w:r>
        <w:t xml:space="preserve">5.2.3 Option 3: Create at Member State level an additional legal form of</w:t>
      </w:r>
      <w:r>
        <w:t xml:space="preserve"> </w:t>
      </w:r>
      <w:r>
        <w:t xml:space="preserve">association designed for cross-border purposes (“the cross-border</w:t>
      </w:r>
      <w:r>
        <w:t xml:space="preserve"> </w:t>
      </w:r>
      <w:r>
        <w:t xml:space="preserve">association”) and recognised by Member States</w:t>
      </w:r>
      <w:r>
        <w:br/>
      </w:r>
      <w:r>
        <w:t xml:space="preserve">This option (hereinafter “PO3”) combines elements from PO1 (creation of legal form) and PO2</w:t>
      </w:r>
      <w:r>
        <w:t xml:space="preserve"> </w:t>
      </w:r>
      <w:r>
        <w:t xml:space="preserve">(partial harmonisation of national laws). It would require Member States to introduce in their</w:t>
      </w:r>
      <w:r>
        <w:t xml:space="preserve"> </w:t>
      </w:r>
      <w:r>
        <w:t xml:space="preserve">national legal systems a new legal form of association for cross-border purposes (‘the cross-</w:t>
      </w:r>
    </w:p>
    <w:p>
      <w:pPr>
        <w:pStyle w:val="BodyText"/>
      </w:pPr>
      <w:r>
        <w:t xml:space="preserve">146 An example: proportionate registration requirements could be required by MS for taxation purposes or when</w:t>
      </w:r>
      <w:r>
        <w:t xml:space="preserve"> </w:t>
      </w:r>
      <w:r>
        <w:t xml:space="preserve">the foreign association hires local staff.</w:t>
      </w:r>
      <w:r>
        <w:br/>
      </w:r>
      <w:r>
        <w:t xml:space="preserve">147 Regulation (EU) No 1024/2012 of the European Parliament and of the Council of 25 October 2012 on</w:t>
      </w:r>
      <w:r>
        <w:t xml:space="preserve"> </w:t>
      </w:r>
      <w:r>
        <w:t xml:space="preserve">administrative cooperation through the Internal Market Information System.</w:t>
      </w:r>
      <w:r>
        <w:t xml:space="preserve"> </w:t>
      </w:r>
      <w:r>
        <w:t xml:space="preserve">148 See Legal Context under Section 1 for details.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border association’). Member States would transpose common provisions set by EU law into</w:t>
      </w:r>
      <w:r>
        <w:t xml:space="preserve"> </w:t>
      </w:r>
      <w:r>
        <w:t xml:space="preserve">their national law (with relative flexibility to adapt them to the national setting), thereby</w:t>
      </w:r>
      <w:r>
        <w:t xml:space="preserve"> </w:t>
      </w:r>
      <w:r>
        <w:t xml:space="preserve">approximating rules and administrative procedures for associations operating across Member</w:t>
      </w:r>
      <w:r>
        <w:t xml:space="preserve"> </w:t>
      </w:r>
      <w:r>
        <w:t xml:space="preserve">States and improving legal certainty and the level-playing field in the single market.</w:t>
      </w:r>
      <w:r>
        <w:t xml:space="preserve"> </w:t>
      </w:r>
      <w:r>
        <w:t xml:space="preserve">The new legal form would be specifically designed for cross-border membership, governance,</w:t>
      </w:r>
      <w:r>
        <w:t xml:space="preserve"> </w:t>
      </w:r>
      <w:r>
        <w:t xml:space="preserve">activities and would also allow for cross-border mobility.149 It would encompass only</w:t>
      </w:r>
      <w:r>
        <w:t xml:space="preserve"> </w:t>
      </w:r>
      <w:r>
        <w:t xml:space="preserve">requirements and safeguards necessary for facilitating the said cross-border purposes, and it</w:t>
      </w:r>
      <w:r>
        <w:t xml:space="preserve"> </w:t>
      </w:r>
      <w:r>
        <w:t xml:space="preserve">would co-exist alongside existing legal forms for associations in national law and would not</w:t>
      </w:r>
      <w:r>
        <w:t xml:space="preserve"> </w:t>
      </w:r>
      <w:r>
        <w:t xml:space="preserve">replace them.150 Those interested could form a ‘cross-border association’ in several ways,</w:t>
      </w:r>
      <w:r>
        <w:t xml:space="preserve"> </w:t>
      </w:r>
      <w:r>
        <w:t xml:space="preserve">including by setting up a new one, converting from an existing association, or by a merger of</w:t>
      </w:r>
      <w:r>
        <w:t xml:space="preserve"> </w:t>
      </w:r>
      <w:r>
        <w:t xml:space="preserve">several existing associations.</w:t>
      </w:r>
      <w:r>
        <w:t xml:space="preserve"> </w:t>
      </w:r>
      <w:r>
        <w:t xml:space="preserve">Key elements of the new legal form to be prescribed by EU law would be the same as descibed</w:t>
      </w:r>
      <w:r>
        <w:t xml:space="preserve"> </w:t>
      </w:r>
      <w:r>
        <w:t xml:space="preserve">under PO1b (in Section 5.2.1 above).</w:t>
      </w:r>
      <w:r>
        <w:t xml:space="preserve"> </w:t>
      </w:r>
      <w:r>
        <w:t xml:space="preserve">Once established and registered in the Member State of domicile, ‘cross-border associations’</w:t>
      </w:r>
      <w:r>
        <w:t xml:space="preserve"> </w:t>
      </w:r>
      <w:r>
        <w:t xml:space="preserve">would not need to establish in each Member State separately, as their legal personality would</w:t>
      </w:r>
      <w:r>
        <w:t xml:space="preserve"> </w:t>
      </w:r>
      <w:r>
        <w:t xml:space="preserve">be recognised either automatically, with limited discretion for justified exceptions for Member</w:t>
      </w:r>
      <w:r>
        <w:t xml:space="preserve"> </w:t>
      </w:r>
      <w:r>
        <w:t xml:space="preserve">States or, alternatively through a simplified procedure (mutual recognition).</w:t>
      </w:r>
      <w:r>
        <w:br/>
      </w:r>
      <w:r>
        <w:t xml:space="preserve">The principle of equal treatment of ‘cross-border associations’ vis-à-vis existing legal forms of</w:t>
      </w:r>
      <w:r>
        <w:t xml:space="preserve"> </w:t>
      </w:r>
      <w:r>
        <w:t xml:space="preserve">associations in the Member States, as well as safeguards concerning procedures for recognition</w:t>
      </w:r>
      <w:r>
        <w:t xml:space="preserve"> </w:t>
      </w:r>
      <w:r>
        <w:t xml:space="preserve">of legal personality, would be established. For instance, PO3 would set a maximum duration</w:t>
      </w:r>
      <w:r>
        <w:t xml:space="preserve"> </w:t>
      </w:r>
      <w:r>
        <w:t xml:space="preserve">by which the recognition procedure for ‘cross-border associations’ must be completed and</w:t>
      </w:r>
      <w:r>
        <w:t xml:space="preserve"> </w:t>
      </w:r>
      <w:r>
        <w:t xml:space="preserve">safeguards to lead to a duly substantiated decision by the competent authority in the host</w:t>
      </w:r>
      <w:r>
        <w:t xml:space="preserve"> </w:t>
      </w:r>
      <w:r>
        <w:t xml:space="preserve">Member State (e.g. within three months after the date on which the applicant’s complete file</w:t>
      </w:r>
      <w:r>
        <w:t xml:space="preserve"> </w:t>
      </w:r>
      <w:r>
        <w:t xml:space="preserve">was submitted).</w:t>
      </w:r>
      <w:r>
        <w:br/>
      </w:r>
      <w:r>
        <w:t xml:space="preserve">Registration would be done at Member State level, in line with the ‘digital by default’ principle:</w:t>
      </w:r>
      <w:r>
        <w:t xml:space="preserve"> </w:t>
      </w:r>
      <w:r>
        <w:t xml:space="preserve">setting up the “cross-border association” would be possible in a fully digital manner, using</w:t>
      </w:r>
      <w:r>
        <w:t xml:space="preserve"> </w:t>
      </w:r>
      <w:r>
        <w:t xml:space="preserve">standardised on-line procedures and entailing standardised information required for the</w:t>
      </w:r>
      <w:r>
        <w:t xml:space="preserve"> </w:t>
      </w:r>
      <w:r>
        <w:t xml:space="preserve">registration of the new legal form, to facilitate the registration of the “cross-border</w:t>
      </w:r>
      <w:r>
        <w:t xml:space="preserve"> </w:t>
      </w:r>
      <w:r>
        <w:t xml:space="preserve">associations”, as well as sharing information between Member States and to the EU level. In</w:t>
      </w:r>
      <w:r>
        <w:t xml:space="preserve"> </w:t>
      </w:r>
      <w:r>
        <w:t xml:space="preserve">order to further facilitate the recognition of the legal personality and the registration of cross-</w:t>
      </w:r>
      <w:r>
        <w:t xml:space="preserve"> </w:t>
      </w:r>
      <w:r>
        <w:t xml:space="preserve">border associations, as well as exchange of information among Member States and at EU level,</w:t>
      </w:r>
      <w:r>
        <w:t xml:space="preserve"> </w:t>
      </w:r>
      <w:r>
        <w:t xml:space="preserve">Member States would be required to establish a digital register (or adapt an existing register)</w:t>
      </w:r>
    </w:p>
    <w:p>
      <w:pPr>
        <w:pStyle w:val="BodyText"/>
      </w:pPr>
      <w:r>
        <w:t xml:space="preserve">149 See also Belgian law entitled « Loi sur les associations sans but lucratif, les associations internationales sans</w:t>
      </w:r>
      <w:r>
        <w:t xml:space="preserve"> </w:t>
      </w:r>
      <w:r>
        <w:t xml:space="preserve">but lucratif et les fondations » of 2.05.2002 establishing the “International association without a profit purpose”</w:t>
      </w:r>
      <w:r>
        <w:t xml:space="preserve"> </w:t>
      </w:r>
      <w:r>
        <w:t xml:space="preserve">(AISBL/IVZW). The AISBL is a Belgian legal form which requires associations to specify in their statute and to</w:t>
      </w:r>
      <w:r>
        <w:t xml:space="preserve"> </w:t>
      </w:r>
      <w:r>
        <w:t xml:space="preserve">concretely pursue an objective of international public utility. It allows people and organizations from any country</w:t>
      </w:r>
      <w:r>
        <w:t xml:space="preserve"> </w:t>
      </w:r>
      <w:r>
        <w:t xml:space="preserve">to form such an association. It differs from our initiative because our scope is the EU territory and the European</w:t>
      </w:r>
      <w:r>
        <w:t xml:space="preserve"> </w:t>
      </w:r>
      <w:r>
        <w:t xml:space="preserve">associations.</w:t>
      </w:r>
      <w:r>
        <w:t xml:space="preserve"> </w:t>
      </w:r>
      <w:r>
        <w:t xml:space="preserve">150 Importantly, this also differentiates this option from the Commission proposal for a Directive on single-member</w:t>
      </w:r>
      <w:r>
        <w:t xml:space="preserve"> </w:t>
      </w:r>
      <w:r>
        <w:t xml:space="preserve">private limited liability companies (COM(2014)212), based on Article 50 TFEU, which was withdrawn in 2018.</w:t>
      </w:r>
      <w:r>
        <w:t xml:space="preserve"> </w:t>
      </w:r>
      <w:r>
        <w:t xml:space="preserve">Creating legal forms at national level, it concerned, first, general rules for single-member private limited liability</w:t>
      </w:r>
      <w:r>
        <w:t xml:space="preserve"> </w:t>
      </w:r>
      <w:r>
        <w:t xml:space="preserve">companies and, second, rules on the formation, registration, articles of association, single share, share capital,</w:t>
      </w:r>
      <w:r>
        <w:t xml:space="preserve"> </w:t>
      </w:r>
      <w:r>
        <w:t xml:space="preserve">structure and operational procedures.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and make publicly available essential information about the “cross-border associations”</w:t>
      </w:r>
      <w:r>
        <w:t xml:space="preserve"> </w:t>
      </w:r>
      <w:r>
        <w:t xml:space="preserve">registered. Compatibility with the Single Digital Gateway would be considered as well as</w:t>
      </w:r>
      <w:r>
        <w:br/>
      </w:r>
      <w:r>
        <w:t xml:space="preserve">potential use of the Internal Market Information System, for the same purposes as explained</w:t>
      </w:r>
      <w:r>
        <w:t xml:space="preserve"> </w:t>
      </w:r>
      <w:r>
        <w:t xml:space="preserve">for PO1 above (see Section 5.2.1).151</w:t>
      </w:r>
      <w:r>
        <w:br/>
      </w:r>
      <w:r>
        <w:t xml:space="preserve">Regarding implementation, Member States would designate a competent authority, with</w:t>
      </w:r>
      <w:r>
        <w:t xml:space="preserve"> </w:t>
      </w:r>
      <w:r>
        <w:t xml:space="preserve">defined powers. Competent authorities would be required to cooperate and exchange</w:t>
      </w:r>
      <w:r>
        <w:t xml:space="preserve"> </w:t>
      </w:r>
      <w:r>
        <w:t xml:space="preserve">information with each other.</w:t>
      </w:r>
      <w:r>
        <w:t xml:space="preserve"> </w:t>
      </w:r>
      <w:r>
        <w:t xml:space="preserve">Existing registration requirements related to e.g. establishment and provision of goods and</w:t>
      </w:r>
      <w:r>
        <w:t xml:space="preserve"> </w:t>
      </w:r>
      <w:r>
        <w:t xml:space="preserve">services, would not be prohibited concerning this new legal form, but they would be required</w:t>
      </w:r>
      <w:r>
        <w:t xml:space="preserve"> </w:t>
      </w:r>
      <w:r>
        <w:t xml:space="preserve">to serve justified purposes and be non-discriminatory and proportionate, and in line with</w:t>
      </w:r>
      <w:r>
        <w:t xml:space="preserve"> </w:t>
      </w:r>
      <w:r>
        <w:t xml:space="preserve">existing EU legislation, such as the Services Directive.152</w:t>
      </w:r>
      <w:r>
        <w:br/>
      </w:r>
      <w:r>
        <w:t xml:space="preserve">In light of its scope and approach and depending on the exact content of the proposal, the likely</w:t>
      </w:r>
      <w:r>
        <w:t xml:space="preserve"> </w:t>
      </w:r>
      <w:r>
        <w:t xml:space="preserve">legal base of this option would be either Article 114 or 50 TFEU, or a combination thereof, due</w:t>
      </w:r>
      <w:r>
        <w:t xml:space="preserve"> </w:t>
      </w:r>
      <w:r>
        <w:t xml:space="preserve">to the purpose of approximating certain aspects of national laws,.153 With regard to PO1b, PO3</w:t>
      </w:r>
      <w:r>
        <w:t xml:space="preserve"> </w:t>
      </w:r>
      <w:r>
        <w:t xml:space="preserve">would prescribe cross-border aspects at EU level on a very targeted manner. It would only</w:t>
      </w:r>
      <w:r>
        <w:t xml:space="preserve"> </w:t>
      </w:r>
      <w:r>
        <w:t xml:space="preserve">encompass those requirements and safeguards needed to approximate national laws by</w:t>
      </w:r>
      <w:r>
        <w:t xml:space="preserve"> </w:t>
      </w:r>
      <w:r>
        <w:t xml:space="preserve">introducing the cross-border aspects necessary for this new legal form to operate. To be noted</w:t>
      </w:r>
      <w:r>
        <w:t xml:space="preserve"> </w:t>
      </w:r>
      <w:r>
        <w:t xml:space="preserve">that legislative proposals based on Article 50 TFEU are limited to directives.</w:t>
      </w:r>
    </w:p>
    <w:p>
      <w:pPr>
        <w:pStyle w:val="BodyText"/>
      </w:pPr>
      <w:r>
        <w:t xml:space="preserve">5.3 Options discarded at an early stage</w:t>
      </w:r>
      <w:r>
        <w:t xml:space="preserve"> </w:t>
      </w:r>
      <w:r>
        <w:t xml:space="preserve">In the course of this IA, some of the originally conceived options, as identified in the IA study,</w:t>
      </w:r>
      <w:r>
        <w:t xml:space="preserve"> </w:t>
      </w:r>
      <w:r>
        <w:t xml:space="preserve">were not retained for a full assessment as they were not considered feasible or realistic in light</w:t>
      </w:r>
      <w:r>
        <w:t xml:space="preserve"> </w:t>
      </w:r>
      <w:r>
        <w:t xml:space="preserve">of their advantages, but also crucial disadvantages. The said discarded options are:</w:t>
      </w:r>
      <w:r>
        <w:br/>
      </w:r>
      <w:r>
        <w:t xml:space="preserve">-</w:t>
      </w:r>
      <w:r>
        <w:t xml:space="preserve"> </w:t>
      </w:r>
      <w:r>
        <w:t xml:space="preserve">Non-legally binding options (i.e. Council recommendations, information campaigns,</w:t>
      </w:r>
      <w:r>
        <w:t xml:space="preserve"> </w:t>
      </w:r>
      <w:r>
        <w:t xml:space="preserve">and guidelines);</w:t>
      </w:r>
      <w:r>
        <w:t xml:space="preserve"> </w:t>
      </w:r>
      <w:r>
        <w:t xml:space="preserve">-</w:t>
      </w:r>
      <w:r>
        <w:t xml:space="preserve"> </w:t>
      </w:r>
      <w:r>
        <w:t xml:space="preserve">European legal status for public-benefit associations;</w:t>
      </w:r>
      <w:r>
        <w:t xml:space="preserve"> </w:t>
      </w:r>
      <w:r>
        <w:t xml:space="preserve">-</w:t>
      </w:r>
      <w:r>
        <w:t xml:space="preserve"> </w:t>
      </w:r>
      <w:r>
        <w:t xml:space="preserve">Harmonisation of common standards for associations.</w:t>
      </w:r>
      <w:r>
        <w:t xml:space="preserve"> </w:t>
      </w:r>
      <w:r>
        <w:t xml:space="preserve">In particular, the non-binding options were discarded due to their lack in effectiveness, whereas</w:t>
      </w:r>
      <w:r>
        <w:t xml:space="preserve"> </w:t>
      </w:r>
      <w:r>
        <w:t xml:space="preserve">the creation of a European legal status for public-benefit associations was considered not</w:t>
      </w:r>
      <w:r>
        <w:t xml:space="preserve"> </w:t>
      </w:r>
      <w:r>
        <w:t xml:space="preserve">feasible in light of the limited competence of the EU in the area of taxation. Finally, the</w:t>
      </w:r>
      <w:r>
        <w:t xml:space="preserve"> </w:t>
      </w:r>
      <w:r>
        <w:t xml:space="preserve">harmonisation of common standards for associations was considered unlikely to be accepted</w:t>
      </w:r>
      <w:r>
        <w:t xml:space="preserve"> </w:t>
      </w:r>
      <w:r>
        <w:t xml:space="preserve">by Member States given the strong cultural roots embedded in the national association law and</w:t>
      </w:r>
      <w:r>
        <w:t xml:space="preserve"> </w:t>
      </w:r>
      <w:r>
        <w:t xml:space="preserve">the scope of the envisaged harmonisation under this option. For more details see Annex 13.</w:t>
      </w:r>
    </w:p>
    <w:p>
      <w:pPr>
        <w:pStyle w:val="BodyText"/>
      </w:pPr>
      <w:r>
        <w:t xml:space="preserve">151 Regulation (EU) No 1024/2012 on administrative cooperation through the Internal Market Information System.</w:t>
      </w:r>
      <w:r>
        <w:t xml:space="preserve"> </w:t>
      </w:r>
      <w:r>
        <w:t xml:space="preserve">152 An example: proportionate registration requirements could be required by MS for taxation purposes or when</w:t>
      </w:r>
      <w:r>
        <w:t xml:space="preserve"> </w:t>
      </w:r>
      <w:r>
        <w:t xml:space="preserve">the foreign association hires local staff.</w:t>
      </w:r>
      <w:r>
        <w:br/>
      </w:r>
      <w:r>
        <w:t xml:space="preserve">154 That can be a specific register for associations.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WHAT ARE THE IMPACTS OF THE POLICY OPTIONS?</w:t>
      </w:r>
    </w:p>
    <w:p>
      <w:pPr>
        <w:pStyle w:val="BodyText"/>
      </w:pPr>
      <w:r>
        <w:t xml:space="preserve">Box 9: Treatment of qualitative and quantitative analysis regarding the impact of the policy options.</w:t>
      </w:r>
      <w:r>
        <w:t xml:space="preserve"> </w:t>
      </w:r>
      <w:r>
        <w:t xml:space="preserve">The following assessment provides a qualitative analysis of the specific economic impacts</w:t>
      </w:r>
      <w:r>
        <w:t xml:space="preserve"> </w:t>
      </w:r>
      <w:r>
        <w:t xml:space="preserve">generated by each proposed policy option, based on the evidence gathered from diverse</w:t>
      </w:r>
      <w:r>
        <w:t xml:space="preserve"> </w:t>
      </w:r>
      <w:r>
        <w:t xml:space="preserve">sources. It also provides, to the extent possible, a quantitative analysis of benefits and costs</w:t>
      </w:r>
      <w:r>
        <w:t xml:space="preserve"> </w:t>
      </w:r>
      <w:r>
        <w:t xml:space="preserve">relating to the main economic impacts. The cost/benefit analysis is not fully comprehensive,</w:t>
      </w:r>
      <w:r>
        <w:t xml:space="preserve"> </w:t>
      </w:r>
      <w:r>
        <w:t xml:space="preserve">due to significant data gaps and limitations, as explained in section 1.4. Therefore, the</w:t>
      </w:r>
      <w:r>
        <w:t xml:space="preserve"> </w:t>
      </w:r>
      <w:r>
        <w:t xml:space="preserve">quantification of costs and benefits is based on a number of assumptions (see Annex 4)</w:t>
      </w:r>
      <w:r>
        <w:t xml:space="preserve"> </w:t>
      </w:r>
      <w:r>
        <w:t xml:space="preserve">deriving from different sources of input: the Commission’s assessment of stakeholder</w:t>
      </w:r>
      <w:r>
        <w:t xml:space="preserve"> </w:t>
      </w:r>
      <w:r>
        <w:t xml:space="preserve">feedback to the Public Consultation, additional targeted stakeholders survey and interviews,</w:t>
      </w:r>
      <w:r>
        <w:t xml:space="preserve"> </w:t>
      </w:r>
      <w:r>
        <w:t xml:space="preserve">existing literature, and other relevant sources of knowledge on the matter (e.g. sectoral</w:t>
      </w:r>
      <w:r>
        <w:t xml:space="preserve"> </w:t>
      </w:r>
      <w:r>
        <w:t xml:space="preserve">studies and data gathering). When it comes to the indirect economic benefits, the aim of this</w:t>
      </w:r>
      <w:r>
        <w:t xml:space="preserve"> </w:t>
      </w:r>
      <w:r>
        <w:t xml:space="preserve">assessment is to provide ranges of the magnitude of potential impacts generated by each</w:t>
      </w:r>
      <w:r>
        <w:t xml:space="preserve"> </w:t>
      </w:r>
      <w:r>
        <w:t xml:space="preserve">policy option, rather than exact monetisation.</w:t>
      </w:r>
      <w:r>
        <w:t xml:space="preserve"> </w:t>
      </w:r>
      <w:r>
        <w:t xml:space="preserve">Despite the mitigation measures (developed in this section) and application of conservative</w:t>
      </w:r>
      <w:r>
        <w:t xml:space="preserve"> </w:t>
      </w:r>
      <w:r>
        <w:t xml:space="preserve">estimations, a potential overestimation for the potential reduction of costs and potential</w:t>
      </w:r>
      <w:r>
        <w:t xml:space="preserve"> </w:t>
      </w:r>
      <w:r>
        <w:t xml:space="preserve">benefits cannot be fully excluded.</w:t>
      </w:r>
      <w:r>
        <w:br/>
      </w:r>
      <w:r>
        <w:t xml:space="preserve">A detailed breakdown for the calculation of costs and benefits for associations can be found</w:t>
      </w:r>
      <w:r>
        <w:t xml:space="preserve"> </w:t>
      </w:r>
      <w:r>
        <w:t xml:space="preserve">in Annex 4. All costs are considered administrative costs since they relate to registration,</w:t>
      </w:r>
      <w:r>
        <w:t xml:space="preserve"> </w:t>
      </w:r>
      <w:r>
        <w:t xml:space="preserve">information, and adapted administration requirements. Annex 3 provides an overview of</w:t>
      </w:r>
      <w:r>
        <w:t xml:space="preserve"> </w:t>
      </w:r>
      <w:r>
        <w:t xml:space="preserve">costs and benefits per target group assessed for the preferred option.</w:t>
      </w:r>
      <w:r>
        <w:br/>
      </w:r>
      <w:r>
        <w:t xml:space="preserve">Nominally, the current excessive levels of inflation and predictions on inflation development</w:t>
      </w:r>
      <w:r>
        <w:t xml:space="preserve"> </w:t>
      </w:r>
      <w:r>
        <w:t xml:space="preserve">are expected to cost increases. The cost expressed should thus be interpreted in real term</w:t>
      </w:r>
      <w:r>
        <w:t xml:space="preserve"> </w:t>
      </w:r>
      <w:r>
        <w:t xml:space="preserve">cost at 2023 price levels.</w:t>
      </w:r>
    </w:p>
    <w:p>
      <w:pPr>
        <w:pStyle w:val="BodyText"/>
      </w:pPr>
      <w:r>
        <w:t xml:space="preserve">This Section assesses the impacts of each retained policy option in relation to the identified</w:t>
      </w:r>
      <w:r>
        <w:t xml:space="preserve"> </w:t>
      </w:r>
      <w:r>
        <w:t xml:space="preserve">barriers and the drivers leading to the identified problem in Section 2. The Section analyses</w:t>
      </w:r>
      <w:r>
        <w:t xml:space="preserve"> </w:t>
      </w:r>
      <w:r>
        <w:t xml:space="preserve">the potential economic and social impacts on relevant target groups per policy option</w:t>
      </w:r>
      <w:r>
        <w:t xml:space="preserve"> </w:t>
      </w:r>
      <w:r>
        <w:t xml:space="preserve">(associations, Member States, citizens). Environmental and climate change impacts are only</w:t>
      </w:r>
      <w:r>
        <w:t xml:space="preserve"> </w:t>
      </w:r>
      <w:r>
        <w:t xml:space="preserve">present in an indirect manner and, therefore, are briefly addressed for all policy options.</w:t>
      </w:r>
      <w:r>
        <w:t xml:space="preserve"> </w:t>
      </w:r>
      <w:r>
        <w:t xml:space="preserve">Additionally, the Section assesses per policy option the impacts on Member States (e.g. in</w:t>
      </w:r>
      <w:r>
        <w:t xml:space="preserve"> </w:t>
      </w:r>
      <w:r>
        <w:t xml:space="preserve">terms of adaptation of legislation and compliance, administration and monitoring).</w:t>
      </w:r>
      <w:r>
        <w:t xml:space="preserve"> </w:t>
      </w:r>
      <w:r>
        <w:t xml:space="preserve">The Section is structured as follows: the first part summarises the main similarities or non-</w:t>
      </w:r>
      <w:r>
        <w:t xml:space="preserve"> </w:t>
      </w:r>
      <w:r>
        <w:t xml:space="preserve">significant impacts of all policy options together, taking into account the objectives and scope</w:t>
      </w:r>
      <w:r>
        <w:t xml:space="preserve"> </w:t>
      </w:r>
      <w:r>
        <w:t xml:space="preserve">of the initiative; the second part presents specific or significant impacts per policy option. As</w:t>
      </w:r>
      <w:r>
        <w:t xml:space="preserve"> </w:t>
      </w:r>
      <w:r>
        <w:t xml:space="preserve">section 5 outlined, Policy Option 1 (PO1) has 2 sub-options: PO1a and PO1b. The sub-options</w:t>
      </w:r>
      <w:r>
        <w:t xml:space="preserve"> </w:t>
      </w:r>
      <w:r>
        <w:t xml:space="preserve">will only be referred to separately when there is a difference in terms of impact. Consequently,</w:t>
      </w:r>
      <w:r>
        <w:t xml:space="preserve"> </w:t>
      </w:r>
      <w:r>
        <w:t xml:space="preserve">references to ‘PO1’ are made for those impacts valid for both sub-options.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Taking into account the objectives and scope of the initiative, the main similarities or non-</w:t>
      </w:r>
      <w:r>
        <w:t xml:space="preserve"> </w:t>
      </w:r>
      <w:r>
        <w:t xml:space="preserve">significant impacts for all policy options are presented below:</w:t>
      </w:r>
    </w:p>
    <w:p>
      <w:pPr>
        <w:pStyle w:val="Compact"/>
        <w:numPr>
          <w:ilvl w:val="0"/>
          <w:numId w:val="1004"/>
        </w:numPr>
      </w:pPr>
      <w:r>
        <w:t xml:space="preserve">Economic impacts on associations</w:t>
      </w:r>
      <w:r>
        <w:t xml:space="preserve"> </w:t>
      </w:r>
      <w:r>
        <w:t xml:space="preserve">Based on a combination of stakeholder surveys, expert interviews and literature, the IA study</w:t>
      </w:r>
      <w:r>
        <w:t xml:space="preserve"> </w:t>
      </w:r>
      <w:r>
        <w:t xml:space="preserve">concludes that excess cost reductions for associations are present for all POs and will result in</w:t>
      </w:r>
      <w:r>
        <w:t xml:space="preserve"> </w:t>
      </w:r>
      <w:r>
        <w:t xml:space="preserve">reduction of time allocated by their staff for the management of the cross border-related</w:t>
      </w:r>
      <w:r>
        <w:t xml:space="preserve"> </w:t>
      </w:r>
      <w:r>
        <w:t xml:space="preserve">administrative procedures, as well as in related reduced direct costs. However, when it comes</w:t>
      </w:r>
      <w:r>
        <w:t xml:space="preserve"> </w:t>
      </w:r>
      <w:r>
        <w:t xml:space="preserve">to total excess cost reduction estimates over 15 years, one needs to consider the caveats in</w:t>
      </w:r>
      <w:r>
        <w:t xml:space="preserve"> </w:t>
      </w:r>
      <w:r>
        <w:t xml:space="preserve">available data (mentioned in section 2 and section 5) and the consequent uncertainties resulting</w:t>
      </w:r>
      <w:r>
        <w:t xml:space="preserve"> </w:t>
      </w:r>
      <w:r>
        <w:t xml:space="preserve">in a possible overestimation. The direct economic impacts (excess cost reductions) for</w:t>
      </w:r>
      <w:r>
        <w:t xml:space="preserve"> </w:t>
      </w:r>
      <w:r>
        <w:t xml:space="preserve">associations per policy option are detailed in the second part of this Section.</w:t>
      </w:r>
      <w:r>
        <w:t xml:space="preserve"> </w:t>
      </w:r>
      <w:r>
        <w:t xml:space="preserve">Considering indirect economic impacts, all POs present an improvement for associations</w:t>
      </w:r>
      <w:r>
        <w:t xml:space="preserve"> </w:t>
      </w:r>
      <w:r>
        <w:t xml:space="preserve">operating or with the ambition to operate across borders in terms of:</w:t>
      </w:r>
      <w:r>
        <w:t xml:space="preserve"> </w:t>
      </w:r>
      <w:r>
        <w:t xml:space="preserve">• less burdensome access to new cross-border markets and cross-border provision of</w:t>
      </w:r>
      <w:r>
        <w:t xml:space="preserve"> </w:t>
      </w:r>
      <w:r>
        <w:t xml:space="preserve">goods and services,</w:t>
      </w:r>
      <w:r>
        <w:br/>
      </w:r>
      <w:r>
        <w:t xml:space="preserve">• more financial and human resources that can be allocated to core activities and</w:t>
      </w:r>
      <w:r>
        <w:t xml:space="preserve"> </w:t>
      </w:r>
      <w:r>
        <w:t xml:space="preserve">purpose.</w:t>
      </w:r>
      <w:r>
        <w:br/>
      </w:r>
      <w:r>
        <w:t xml:space="preserve">• improved safeguards for the freedom of establishment and security of operations.</w:t>
      </w:r>
      <w:r>
        <w:t xml:space="preserve"> </w:t>
      </w:r>
      <w:r>
        <w:t xml:space="preserve">Besides economic value, the impact of promoting civil rights and democracy,</w:t>
      </w:r>
      <w:r>
        <w:t xml:space="preserve"> </w:t>
      </w:r>
      <w:r>
        <w:t xml:space="preserve">environmental policy, equality, the European civil society, etc. will be leveraged,</w:t>
      </w:r>
      <w:r>
        <w:t xml:space="preserve"> </w:t>
      </w:r>
      <w:r>
        <w:t xml:space="preserve">especially for those associations active in these sectors.</w:t>
      </w:r>
      <w:r>
        <w:t xml:space="preserve"> </w:t>
      </w:r>
      <w:r>
        <w:t xml:space="preserve">For associations engaged in economic activities specifically, all POs (be it in different degrees,</w:t>
      </w:r>
      <w:r>
        <w:t xml:space="preserve"> </w:t>
      </w:r>
      <w:r>
        <w:t xml:space="preserve">as described in Section 5) would have a positive effect on the level playing field in the single</w:t>
      </w:r>
      <w:r>
        <w:t xml:space="preserve"> </w:t>
      </w:r>
      <w:r>
        <w:t xml:space="preserve">market in sectors where associations compete with for-profit companies. More precisely, cost</w:t>
      </w:r>
      <w:r>
        <w:t xml:space="preserve"> </w:t>
      </w:r>
      <w:r>
        <w:t xml:space="preserve">reduction and improved access to the single market for associations may lead to:</w:t>
      </w:r>
      <w:r>
        <w:t xml:space="preserve"> </w:t>
      </w:r>
      <w:r>
        <w:t xml:space="preserve">• increased offer of services and products in certain economic sectors (e.g. health, care,</w:t>
      </w:r>
      <w:r>
        <w:t xml:space="preserve"> </w:t>
      </w:r>
      <w:r>
        <w:t xml:space="preserve">social services), leading to considerable positive effects in terms of quality and price,</w:t>
      </w:r>
      <w:r>
        <w:t xml:space="preserve"> </w:t>
      </w:r>
      <w:r>
        <w:t xml:space="preserve">and enlarged geographic scope of the offer (e.g. new markets are reached), as well as</w:t>
      </w:r>
      <w:r>
        <w:t xml:space="preserve"> </w:t>
      </w:r>
      <w:r>
        <w:t xml:space="preserve">convergence of quality service delivery across the Union in sectors in which non-profit</w:t>
      </w:r>
      <w:r>
        <w:t xml:space="preserve"> </w:t>
      </w:r>
      <w:r>
        <w:t xml:space="preserve">associations are an active operator;</w:t>
      </w:r>
      <w:r>
        <w:br/>
      </w:r>
      <w:r>
        <w:t xml:space="preserve">• increased specific know-how in certain sectors (e.g. healthcare, social services) and</w:t>
      </w:r>
      <w:r>
        <w:t xml:space="preserve"> </w:t>
      </w:r>
      <w:r>
        <w:t xml:space="preserve">Research and Development (e.g. international research and technology associations,</w:t>
      </w:r>
      <w:r>
        <w:t xml:space="preserve"> </w:t>
      </w:r>
      <w:r>
        <w:t xml:space="preserve">work integration), as well as economies of scale and business opportunities in various</w:t>
      </w:r>
      <w:r>
        <w:t xml:space="preserve"> </w:t>
      </w:r>
      <w:r>
        <w:t xml:space="preserve">sectors;</w:t>
      </w:r>
      <w:r>
        <w:br/>
      </w:r>
      <w:r>
        <w:t xml:space="preserve">• increased pool of potential employees, volunteers and members engaging in the</w:t>
      </w:r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52</w:t>
      </w:r>
    </w:p>
    <w:p>
      <w:pPr>
        <w:pStyle w:val="BodyText"/>
      </w:pPr>
      <w:r>
        <w:t xml:space="preserve">For PO1 and PO3, the scale of impacts depends mainly on the uptake of the new legal forms</w:t>
      </w:r>
      <w:r>
        <w:t xml:space="preserve"> </w:t>
      </w:r>
      <w:r>
        <w:t xml:space="preserve">(the scenarios for the uptake are detailed per option in the second part of the section).</w:t>
      </w:r>
      <w:r>
        <w:br/>
      </w:r>
      <w:r>
        <w:t xml:space="preserve">Having this in mind, all POs are expected to have a positive effect on the completion and</w:t>
      </w:r>
      <w:r>
        <w:t xml:space="preserve"> </w:t>
      </w:r>
      <w:r>
        <w:t xml:space="preserve">functioning of the single market, as they bring considerable harmonising effects to enhance</w:t>
      </w:r>
      <w:r>
        <w:t xml:space="preserve"> </w:t>
      </w:r>
      <w:r>
        <w:t xml:space="preserve">cross-border activities for associations, though to a different extent. Harmonisation effects are</w:t>
      </w:r>
      <w:r>
        <w:t xml:space="preserve"> </w:t>
      </w:r>
      <w:r>
        <w:t xml:space="preserve">broadest for PO1 as it implies automatic recognition of an additional European legal form,</w:t>
      </w:r>
      <w:r>
        <w:t xml:space="preserve"> </w:t>
      </w:r>
      <w:r>
        <w:t xml:space="preserve">prescribed fully (PO1a) or partially (PO1b) at European level and through a legal instrument</w:t>
      </w:r>
      <w:r>
        <w:t xml:space="preserve"> </w:t>
      </w:r>
      <w:r>
        <w:t xml:space="preserve">more impactful in terms of implementation and level-playing field (regulation). PO2 would</w:t>
      </w:r>
      <w:r>
        <w:t xml:space="preserve"> </w:t>
      </w:r>
      <w:r>
        <w:t xml:space="preserve">imply partial harmonisation of laws on associations in the Member States regarding specific</w:t>
      </w:r>
      <w:r>
        <w:t xml:space="preserve"> </w:t>
      </w:r>
      <w:r>
        <w:t xml:space="preserve">cross-border aspects, impacting domestic and cross-border associations. PO3 would imply an</w:t>
      </w:r>
      <w:r>
        <w:t xml:space="preserve"> </w:t>
      </w:r>
      <w:r>
        <w:t xml:space="preserve">additional legal form for cross-border purposes at Member State level, thereby not affecting</w:t>
      </w:r>
      <w:r>
        <w:t xml:space="preserve"> </w:t>
      </w:r>
      <w:r>
        <w:t xml:space="preserve">the functioning of domestic associations not interested in cross-border activities, but rather</w:t>
      </w:r>
      <w:r>
        <w:t xml:space="preserve"> </w:t>
      </w:r>
      <w:r>
        <w:t xml:space="preserve">creating an option for those associations operating or wishing to operate in more than one</w:t>
      </w:r>
      <w:r>
        <w:t xml:space="preserve"> </w:t>
      </w:r>
      <w:r>
        <w:t xml:space="preserve">Member States, who could take on the new legal form which will be recognised in other</w:t>
      </w:r>
      <w:r>
        <w:t xml:space="preserve"> </w:t>
      </w:r>
      <w:r>
        <w:t xml:space="preserve">Member States. Possible risk of fragmentation and divergent interpretation linked with the</w:t>
      </w:r>
      <w:r>
        <w:t xml:space="preserve"> </w:t>
      </w:r>
      <w:r>
        <w:t xml:space="preserve">choice of the legal instrument in PO2 and PO3 may be overcome through setting safeguards</w:t>
      </w:r>
      <w:r>
        <w:t xml:space="preserve"> </w:t>
      </w:r>
      <w:r>
        <w:t xml:space="preserve">and achieving the right balance between rules prescribed by EU law and by Member State law.</w:t>
      </w:r>
      <w:r>
        <w:br/>
      </w:r>
      <w:r>
        <w:t xml:space="preserve">b. Impacts on Member States</w:t>
      </w:r>
      <w:r>
        <w:br/>
      </w:r>
      <w:r>
        <w:t xml:space="preserve">Changes in the legal framework may cause costs of adjustment and costs of</w:t>
      </w:r>
      <w:r>
        <w:t xml:space="preserve"> </w:t>
      </w:r>
      <w:r>
        <w:t xml:space="preserve">compliance/administrative burden for competent authorities depending on the magnitude</w:t>
      </w:r>
      <w:r>
        <w:t xml:space="preserve"> </w:t>
      </w:r>
      <w:r>
        <w:t xml:space="preserve">of these changes. In the case of this initiative, these impacts largely depend on (i) the extent of</w:t>
      </w:r>
      <w:r>
        <w:t xml:space="preserve"> </w:t>
      </w:r>
      <w:r>
        <w:t xml:space="preserve">adaptation of existing procedures for the recognition of legal personality and for registration,</w:t>
      </w:r>
      <w:r>
        <w:t xml:space="preserve"> </w:t>
      </w:r>
      <w:r>
        <w:t xml:space="preserve">(ii) the number of future registrations for cross-border associations and (iii) information costs,</w:t>
      </w:r>
      <w:r>
        <w:t xml:space="preserve"> </w:t>
      </w:r>
      <w:r>
        <w:t xml:space="preserve">when comparing the baseline with the policy options and specific changes brought by each</w:t>
      </w:r>
      <w:r>
        <w:t xml:space="preserve"> </w:t>
      </w:r>
      <w:r>
        <w:t xml:space="preserve">policy option.</w:t>
      </w:r>
      <w:r>
        <w:t xml:space="preserve"> </w:t>
      </w:r>
      <w:r>
        <w:t xml:space="preserve">Associations operating across-borders generally need to re-establish/register in the Member</w:t>
      </w:r>
      <w:r>
        <w:t xml:space="preserve"> </w:t>
      </w:r>
      <w:r>
        <w:t xml:space="preserve">States in which they expand, depending on the scope of their activities. Policy options (PO1</w:t>
      </w:r>
      <w:r>
        <w:t xml:space="preserve"> </w:t>
      </w:r>
      <w:r>
        <w:t xml:space="preserve">and PO3) that reduce this necessity will consequently reduce the burden on public authorities</w:t>
      </w:r>
      <w:r>
        <w:t xml:space="preserve"> </w:t>
      </w:r>
      <w:r>
        <w:t xml:space="preserve">in the long run. In the short term, policy options changing the requirements completely by</w:t>
      </w:r>
      <w:r>
        <w:t xml:space="preserve"> </w:t>
      </w:r>
      <w:r>
        <w:t xml:space="preserve">introducing a separate legal form (i.e. PO1 and PO3) will require competent authorities to</w:t>
      </w:r>
      <w:r>
        <w:t xml:space="preserve"> </w:t>
      </w:r>
      <w:r>
        <w:t xml:space="preserve">familiarise themselves with the new framework.</w:t>
      </w:r>
      <w:r>
        <w:br/>
      </w:r>
      <w:r>
        <w:t xml:space="preserve">Considering one-off costs for adapting registration procedures and registers, costs depend</w:t>
      </w:r>
      <w:r>
        <w:t xml:space="preserve"> </w:t>
      </w:r>
      <w:r>
        <w:t xml:space="preserve">on the need for adaptation of current registers or for setting up a new register. This is mostly</w:t>
      </w:r>
      <w:r>
        <w:t xml:space="preserve"> </w:t>
      </w:r>
      <w:r>
        <w:t xml:space="preserve">relevant for PO1 and PO3, while PO2 will also have similar impacts (existing registration</w:t>
      </w:r>
      <w:r>
        <w:t xml:space="preserve"> </w:t>
      </w:r>
      <w:r>
        <w:t xml:space="preserve">procedures might need to be adapted), but to a lesser extent as it does not imply the creation of</w:t>
      </w:r>
      <w:r>
        <w:t xml:space="preserve"> </w:t>
      </w:r>
      <w:r>
        <w:t xml:space="preserve">a new additional legal form.</w:t>
      </w:r>
      <w:r>
        <w:br/>
      </w:r>
      <w:r>
        <w:t xml:space="preserve">To note that, for none of the policy options an EU level registration will be foreseen, mainly</w:t>
      </w:r>
      <w:r>
        <w:t xml:space="preserve"> </w:t>
      </w:r>
      <w:r>
        <w:t xml:space="preserve">for reasons of proportionality and subsidiarity. Consequently, Member States will be</w:t>
      </w:r>
      <w:r>
        <w:t xml:space="preserve"> </w:t>
      </w:r>
      <w:r>
        <w:t xml:space="preserve">responsible for the registration of a new legal form (PO1 and PO3), as well as for the adaptation</w:t>
      </w:r>
      <w:r>
        <w:t xml:space="preserve"> </w:t>
      </w:r>
      <w:r>
        <w:t xml:space="preserve">of registration procedures in PO2. The intention is to leave Member States the flexibility</w:t>
      </w:r>
      <w:r>
        <w:t xml:space="preserve"> </w:t>
      </w:r>
      <w:r>
        <w:t xml:space="preserve">whether to adapt existing registers or establish new ones, while requiring Member States to</w:t>
      </w:r>
      <w:r>
        <w:t xml:space="preserve"> </w:t>
      </w:r>
      <w:r>
        <w:t xml:space="preserve">offer the option of online registration in case of a newly created legal form.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As detailed in the IA study and Annex 10, 24 EU Member States already have dedicated</w:t>
      </w:r>
      <w:r>
        <w:t xml:space="preserve"> </w:t>
      </w:r>
      <w:r>
        <w:t xml:space="preserve">registers154 in place (except for Ireland, Denmark, and Sweden). Member States without a</w:t>
      </w:r>
      <w:r>
        <w:t xml:space="preserve"> </w:t>
      </w:r>
      <w:r>
        <w:t xml:space="preserve">dedicated register (Sweden, Denmark, and Ireland), may decide to set-up a dedicated register</w:t>
      </w:r>
      <w:r>
        <w:t xml:space="preserve"> </w:t>
      </w:r>
      <w:r>
        <w:t xml:space="preserve">for cross-border associations or adapt existing registers used for associations. For instance, in</w:t>
      </w:r>
      <w:r>
        <w:t xml:space="preserve"> </w:t>
      </w:r>
      <w:r>
        <w:t xml:space="preserve">Denmark, associations must register with the Danish Business Authority to obtain a unique</w:t>
      </w:r>
      <w:r>
        <w:t xml:space="preserve"> </w:t>
      </w:r>
      <w:r>
        <w:t xml:space="preserve">‘CVR-number’ if they conduct commercial activities or wish to obtain public subsidies.</w:t>
      </w:r>
      <w:r>
        <w:t xml:space="preserve"> </w:t>
      </w:r>
      <w:r>
        <w:t xml:space="preserve">Similarly, the same practice takes place in Sweden for non-profit associations. This means that</w:t>
      </w:r>
      <w:r>
        <w:t xml:space="preserve"> </w:t>
      </w:r>
      <w:r>
        <w:t xml:space="preserve">also in countries where no association-specific register is established, mechanisms exist already</w:t>
      </w:r>
      <w:r>
        <w:t xml:space="preserve"> </w:t>
      </w:r>
      <w:r>
        <w:t xml:space="preserve">to allow associations to register. Consequently, also for these Member States, the obligation to</w:t>
      </w:r>
      <w:r>
        <w:t xml:space="preserve"> </w:t>
      </w:r>
      <w:r>
        <w:t xml:space="preserve">register the new legal forms (in case of PO1 and PO3) is likely to have non-significant costs.</w:t>
      </w:r>
      <w:r>
        <w:br/>
      </w:r>
      <w:r>
        <w:t xml:space="preserve">To conclude that legislative changes would lead to the adjustment of existing, rather than the</w:t>
      </w:r>
      <w:r>
        <w:t xml:space="preserve"> </w:t>
      </w:r>
      <w:r>
        <w:t xml:space="preserve">creation of a completely new155 system. The IA study substantiates that policy options creating</w:t>
      </w:r>
      <w:r>
        <w:t xml:space="preserve"> </w:t>
      </w:r>
      <w:r>
        <w:t xml:space="preserve">a need to adapt registers (PO1 and PO3, and PO2 to a lesser extent) implies minor adjustments,</w:t>
      </w:r>
      <w:r>
        <w:t xml:space="preserve"> </w:t>
      </w:r>
      <w:r>
        <w:t xml:space="preserve">including adding a separate section or entry to the existing registers. Consequently, this is not</w:t>
      </w:r>
      <w:r>
        <w:t xml:space="preserve"> </w:t>
      </w:r>
      <w:r>
        <w:t xml:space="preserve">deemed to be particularly burdensome, since once this adjustment is implemented, the public</w:t>
      </w:r>
      <w:r>
        <w:t xml:space="preserve"> </w:t>
      </w:r>
      <w:r>
        <w:t xml:space="preserve">authority is expected to return to its business as usual. Hence, no significant additional annual</w:t>
      </w:r>
      <w:r>
        <w:t xml:space="preserve"> </w:t>
      </w:r>
      <w:r>
        <w:t xml:space="preserve">running costs can be expected.</w:t>
      </w:r>
      <w:r>
        <w:t xml:space="preserve"> </w:t>
      </w:r>
      <w:r>
        <w:t xml:space="preserve">In cases where registers need to be established (Ireland, Denmark and Sweden), converted or</w:t>
      </w:r>
      <w:r>
        <w:t xml:space="preserve"> </w:t>
      </w:r>
      <w:r>
        <w:t xml:space="preserve">a new “registration line” should be created in an existing register, it is anyhow recommendable</w:t>
      </w:r>
      <w:r>
        <w:t xml:space="preserve"> </w:t>
      </w:r>
      <w:r>
        <w:t xml:space="preserve">to promote digital registers, as a 2017 study shows that “e-procedures” could reduce costs by</w:t>
      </w:r>
      <w:r>
        <w:t xml:space="preserve"> </w:t>
      </w:r>
      <w:r>
        <w:t xml:space="preserve">yearly EUR 19 million for cross-border businesses and EUR 810 million for domestic</w:t>
      </w:r>
      <w:r>
        <w:t xml:space="preserve"> </w:t>
      </w:r>
      <w:r>
        <w:t xml:space="preserve">businesses. Moreover, research has shown that digital registration processes are less subject to</w:t>
      </w:r>
      <w:r>
        <w:t xml:space="preserve"> </w:t>
      </w:r>
      <w:r>
        <w:t xml:space="preserve">fraud because of harmonised safeguards on electronic identification. As shown by the Danish</w:t>
      </w:r>
      <w:r>
        <w:t xml:space="preserve"> </w:t>
      </w:r>
      <w:r>
        <w:t xml:space="preserve">conversion towards digital business registers: between 2011-2015 the average time for case</w:t>
      </w:r>
      <w:r>
        <w:t xml:space="preserve"> </w:t>
      </w:r>
      <w:r>
        <w:t xml:space="preserve">handling decreased by 69% and the average ramp-up time for a new employee decreased by</w:t>
      </w:r>
      <w:r>
        <w:t xml:space="preserve"> </w:t>
      </w:r>
      <w:r>
        <w:t xml:space="preserve">90%.156</w:t>
      </w:r>
      <w:r>
        <w:t xml:space="preserve"> </w:t>
      </w:r>
      <w:r>
        <w:t xml:space="preserve">To make an estimation of costs of online registration (assuming a register already exists), an</w:t>
      </w:r>
      <w:r>
        <w:t xml:space="preserve"> </w:t>
      </w:r>
      <w:r>
        <w:t xml:space="preserve">indication can be offered by the assessed costs for setting up an online registration possibility</w:t>
      </w:r>
      <w:r>
        <w:t xml:space="preserve"> </w:t>
      </w:r>
      <w:r>
        <w:t xml:space="preserve">for limited liability companies.157 For Member States the set-up costs for such an online</w:t>
      </w:r>
      <w:r>
        <w:t xml:space="preserve"> </w:t>
      </w:r>
      <w:r>
        <w:t xml:space="preserve">registration tool varied from EUR 42 000 in Ireland to EUR 100 000 in Poland, or around</w:t>
      </w:r>
    </w:p>
    <w:p>
      <w:pPr>
        <w:pStyle w:val="BodyText"/>
      </w:pPr>
      <w:r>
        <w:t xml:space="preserve">154 That can be a specific register for associations.</w:t>
      </w:r>
      <w:r>
        <w:br/>
      </w:r>
      <w:r>
        <w:t xml:space="preserve">155 In the event of a new register to be established, few data for the actual costs are available, as many organisation</w:t>
      </w:r>
      <w:r>
        <w:t xml:space="preserve"> </w:t>
      </w:r>
      <w:r>
        <w:t xml:space="preserve">of business registers were setup decades ago and evolved over time. Looking at comparable EU initiatives (in</w:t>
      </w:r>
      <w:r>
        <w:t xml:space="preserve"> </w:t>
      </w:r>
      <w:r>
        <w:t xml:space="preserve">terms of prescribed need to establish a register) can provide some perspective. (i) The impact assessment</w:t>
      </w:r>
      <w:r>
        <w:t xml:space="preserve"> </w:t>
      </w:r>
      <w:r>
        <w:t xml:space="preserve">accompanying the Proposal amending Directive (EU) 2015/849 estimates the costs for setting up a public registry</w:t>
      </w:r>
      <w:r>
        <w:t xml:space="preserve"> </w:t>
      </w:r>
      <w:r>
        <w:t xml:space="preserve">for national authorities to be limited (EUR 28 000 for IT/software setup, one-off cost). Hence, this datapoint might</w:t>
      </w:r>
      <w:r>
        <w:t xml:space="preserve"> </w:t>
      </w:r>
      <w:r>
        <w:t xml:space="preserve">present an underestimation of the true set-up costs as it is less numerous and expected to be less complex than for</w:t>
      </w:r>
      <w:r>
        <w:t xml:space="preserve"> </w:t>
      </w:r>
      <w:r>
        <w:t xml:space="preserve">associations.</w:t>
      </w:r>
      <w:r>
        <w:br/>
      </w:r>
      <w:r>
        <w:t xml:space="preserve">156 European Commerce Registers’ Forum report, 2017, p. 45 and 56, as referred to in the Commission SWD:</w:t>
      </w:r>
      <w:r>
        <w:t xml:space="preserve"> </w:t>
      </w:r>
      <w:r>
        <w:t xml:space="preserve">Impact Assessment - Proposal for a Directive of the European Parliament and of the Council amending Directive</w:t>
      </w:r>
      <w:r>
        <w:t xml:space="preserve"> </w:t>
      </w:r>
      <w:r>
        <w:t xml:space="preserve">(EU) 2017/1132 as regards the use of digital tools and processes in company law, p. 17.</w:t>
      </w:r>
      <w:r>
        <w:br/>
      </w:r>
      <w:r>
        <w:t xml:space="preserve">157 It is to be noted that all MS already provide for electronic business registers since 2007 following a requirement</w:t>
      </w:r>
      <w:r>
        <w:t xml:space="preserve"> </w:t>
      </w:r>
      <w:r>
        <w:t xml:space="preserve">introduced into EU law at the time. Directive 2003/58/EC of the European Parliament and of the Council of 15</w:t>
      </w:r>
      <w:r>
        <w:t xml:space="preserve"> </w:t>
      </w:r>
      <w:r>
        <w:t xml:space="preserve">July 2003 amending Council Directive 68/151/EEC, as regards disclosure requirements in respect of certain types</w:t>
      </w:r>
      <w:r>
        <w:t xml:space="preserve"> </w:t>
      </w:r>
      <w:r>
        <w:t xml:space="preserve">of companies, OJ L 221, 4.9.2003, p. 13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EUR 120 000 in Latvia.158 For those policy options (PO1 and PO3) that concern setting up a</w:t>
      </w:r>
      <w:r>
        <w:t xml:space="preserve"> </w:t>
      </w:r>
      <w:r>
        <w:t xml:space="preserve">new legal form, the provision of the option of online registration would become compulsory,</w:t>
      </w:r>
      <w:r>
        <w:t xml:space="preserve"> </w:t>
      </w:r>
      <w:r>
        <w:t xml:space="preserve">while for harmonising minimum standards (PO2), it could be encouraged. In the short to</w:t>
      </w:r>
      <w:r>
        <w:t xml:space="preserve"> </w:t>
      </w:r>
      <w:r>
        <w:t xml:space="preserve">medium term, competent authorities may be required to invest in acquisition of such tools and</w:t>
      </w:r>
      <w:r>
        <w:t xml:space="preserve"> </w:t>
      </w:r>
      <w:r>
        <w:t xml:space="preserve">adjust processes including training of staff. Considering annual maintenance for digital</w:t>
      </w:r>
      <w:r>
        <w:t xml:space="preserve"> </w:t>
      </w:r>
      <w:r>
        <w:t xml:space="preserve">registries in Member States are found to be non-significant.159</w:t>
      </w:r>
      <w:r>
        <w:t xml:space="preserve"> </w:t>
      </w:r>
      <w:r>
        <w:t xml:space="preserve">Consequently, the European Commission may encourage or mandate interoperability of</w:t>
      </w:r>
      <w:r>
        <w:t xml:space="preserve"> </w:t>
      </w:r>
      <w:r>
        <w:t xml:space="preserve">national registers with an EU level platform/portal either to be established or building on</w:t>
      </w:r>
      <w:r>
        <w:t xml:space="preserve"> </w:t>
      </w:r>
      <w:r>
        <w:t xml:space="preserve">existing initiatives, such as the Single Digital Gateway to allow for automated data access and</w:t>
      </w:r>
      <w:r>
        <w:t xml:space="preserve"> </w:t>
      </w:r>
      <w:r>
        <w:t xml:space="preserve">exchange, and/or the use of agreed (minimum) standards to ensure comparability of data.</w:t>
      </w:r>
      <w:r>
        <w:br/>
      </w:r>
      <w:r>
        <w:t xml:space="preserve">Besides the elements above, other (in)direct economic impacts for Member States can be</w:t>
      </w:r>
      <w:r>
        <w:t xml:space="preserve"> </w:t>
      </w:r>
      <w:r>
        <w:t xml:space="preserve">expected for all policy options:</w:t>
      </w:r>
      <w:r>
        <w:br/>
      </w:r>
      <w:r>
        <w:t xml:space="preserve">• Increased service and product offer in the national markets as well as cooperation and</w:t>
      </w:r>
      <w:r>
        <w:t xml:space="preserve"> </w:t>
      </w:r>
      <w:r>
        <w:t xml:space="preserve">competition in critical sectors of high public relevance (e.g. healthcare and social services,</w:t>
      </w:r>
      <w:r>
        <w:t xml:space="preserve"> </w:t>
      </w:r>
      <w:r>
        <w:t xml:space="preserve">social work, work integration, training and education services, employment services and</w:t>
      </w:r>
      <w:r>
        <w:t xml:space="preserve"> </w:t>
      </w:r>
      <w:r>
        <w:t xml:space="preserve">research and development). This includes increased presence of service providers in public</w:t>
      </w:r>
      <w:r>
        <w:t xml:space="preserve"> </w:t>
      </w:r>
      <w:r>
        <w:t xml:space="preserve">markets as well as influx of specific know-how improving quality and capacity.</w:t>
      </w:r>
      <w:r>
        <w:t xml:space="preserve"> </w:t>
      </w:r>
      <w:r>
        <w:t xml:space="preserve">• Indirect Revenues: the reduced need for full establishment in all Member States where the</w:t>
      </w:r>
      <w:r>
        <w:t xml:space="preserve"> </w:t>
      </w:r>
      <w:r>
        <w:t xml:space="preserve">association is active, certainly for PO1 and PO3, is likely to have a negative impact on</w:t>
      </w:r>
      <w:r>
        <w:t xml:space="preserve"> </w:t>
      </w:r>
      <w:r>
        <w:t xml:space="preserve">direct revenues of authorities as overall less registrations will be needed (with</w:t>
      </w:r>
      <w:r>
        <w:t xml:space="preserve"> </w:t>
      </w:r>
      <w:r>
        <w:t xml:space="preserve">corresponding loss of fee income).160 However, such impacts are expected to have a low</w:t>
      </w:r>
      <w:r>
        <w:t xml:space="preserve"> </w:t>
      </w:r>
      <w:r>
        <w:t xml:space="preserve">magnitude (e.g. fees are largely used to compensate the administrative procedure and are</w:t>
      </w:r>
      <w:r>
        <w:t xml:space="preserve"> </w:t>
      </w:r>
      <w:r>
        <w:t xml:space="preserve">not considered as a revenue) and are likely to be offset by the increased indirect revenues</w:t>
      </w:r>
      <w:r>
        <w:t xml:space="preserve"> </w:t>
      </w:r>
      <w:r>
        <w:t xml:space="preserve">by new market players. While individual associations might be inclined to move their seat</w:t>
      </w:r>
      <w:r>
        <w:t xml:space="preserve"> </w:t>
      </w:r>
      <w:r>
        <w:t xml:space="preserve">for these reasons, interviews and the very nature of associations suggest that they are often-</w:t>
      </w:r>
      <w:r>
        <w:t xml:space="preserve"> </w:t>
      </w:r>
      <w:r>
        <w:t xml:space="preserve">times deeply rooted in their regional or national contexts.</w:t>
      </w:r>
      <w:r>
        <w:br/>
      </w:r>
      <w:r>
        <w:t xml:space="preserve">Impacts on individual Member States are hard to predict as many factors play in the</w:t>
      </w:r>
      <w:r>
        <w:t xml:space="preserve"> </w:t>
      </w:r>
      <w:r>
        <w:t xml:space="preserve">decisions of individual associations where to establish (favourable local environment, cultural</w:t>
      </w:r>
      <w:r>
        <w:t xml:space="preserve"> </w:t>
      </w:r>
      <w:r>
        <w:t xml:space="preserve">links, and roots, ambitions of scale and roll out of operations). For ‘pan-European’ or</w:t>
      </w:r>
      <w:r>
        <w:t xml:space="preserve"> </w:t>
      </w:r>
      <w:r>
        <w:t xml:space="preserve">international associations, it might be argued that Member States hosting many International</w:t>
      </w:r>
      <w:r>
        <w:t xml:space="preserve"> </w:t>
      </w:r>
      <w:r>
        <w:t xml:space="preserve">or inter-governmental Institutions (e.g. France, Germany, Netherlands, Luxemburg, and</w:t>
      </w:r>
      <w:r>
        <w:t xml:space="preserve"> </w:t>
      </w:r>
      <w:r>
        <w:t xml:space="preserve">Belgium) will be more likely to become the main location for associations following the rules</w:t>
      </w:r>
      <w:r>
        <w:t xml:space="preserve"> </w:t>
      </w:r>
      <w:r>
        <w:t xml:space="preserve">proposed in the context of this initiative. Additional pull- and push factors might influence the</w:t>
      </w:r>
      <w:r>
        <w:t xml:space="preserve"> </w:t>
      </w:r>
      <w:r>
        <w:t xml:space="preserve">decisions of associations to optimise their basis of operations. Amongst others, these could be</w:t>
      </w:r>
    </w:p>
    <w:p>
      <w:pPr>
        <w:pStyle w:val="BodyText"/>
      </w:pPr>
      <w:r>
        <w:t xml:space="preserve">158 Commission SWD: Impact Assessment - Proposal for a Directive of the European Parliament and of the</w:t>
      </w:r>
      <w:r>
        <w:t xml:space="preserve"> </w:t>
      </w:r>
      <w:r>
        <w:t xml:space="preserve">Council amending Directive (EU) 2017/1132 as regards the use of digital tools and processes in company law. A</w:t>
      </w:r>
      <w:r>
        <w:t xml:space="preserve"> </w:t>
      </w:r>
      <w:r>
        <w:t xml:space="preserve">DK government position paper addressed to the Danish Parliament regarding the same proposal estimates that</w:t>
      </w:r>
      <w:r>
        <w:t xml:space="preserve"> </w:t>
      </w:r>
      <w:r>
        <w:t xml:space="preserve">changes in the Danish Business Authority’s IT systems, are estimated at DKK 2 million (approx. EUR 270 000).</w:t>
      </w:r>
      <w:r>
        <w:br/>
      </w:r>
      <w:r>
        <w:t xml:space="preserve">159 As indicated by a Danish Government position paper assessing the costs of maintenance for the Central</w:t>
      </w:r>
      <w:r>
        <w:t xml:space="preserve"> </w:t>
      </w:r>
      <w:r>
        <w:t xml:space="preserve">Business Register (CVR), estimating EUR 40 000 on annual basis in relation to implementing Directive</w:t>
      </w:r>
      <w:r>
        <w:t xml:space="preserve"> </w:t>
      </w:r>
      <w:r>
        <w:t xml:space="preserve">COM/2018/239.</w:t>
      </w:r>
      <w:r>
        <w:t xml:space="preserve"> </w:t>
      </w:r>
      <w:r>
        <w:t xml:space="preserve">160 This impact will favour potentially those Member States with international political institutions and well-</w:t>
      </w:r>
      <w:r>
        <w:t xml:space="preserve"> </w:t>
      </w:r>
      <w:r>
        <w:t xml:space="preserve">developed international communities.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economic (e.g. tax optimisation, market demands), legal, or political (e.g. to safeguard</w:t>
      </w:r>
      <w:r>
        <w:t xml:space="preserve"> </w:t>
      </w:r>
      <w:r>
        <w:t xml:space="preserve">activities against political pressure). The factors that might affect the decisions of associations</w:t>
      </w:r>
      <w:r>
        <w:t xml:space="preserve"> </w:t>
      </w:r>
      <w:r>
        <w:t xml:space="preserve">to maintain or move their seat are manifold and complex, which could lead to different results.</w:t>
      </w:r>
      <w:r>
        <w:t xml:space="preserve"> </w:t>
      </w:r>
      <w:r>
        <w:t xml:space="preserve">Therefore, it is not possible to judge the direction of these decisions and identify clear-cut</w:t>
      </w:r>
      <w:r>
        <w:t xml:space="preserve"> </w:t>
      </w:r>
      <w:r>
        <w:t xml:space="preserve">patterns or trends for different groups of Member States.161 Other elements are related to</w:t>
      </w:r>
      <w:r>
        <w:t xml:space="preserve"> </w:t>
      </w:r>
      <w:r>
        <w:t xml:space="preserve">neighbouring countries and border regions that might have more cross-border activity amongst</w:t>
      </w:r>
      <w:r>
        <w:t xml:space="preserve"> </w:t>
      </w:r>
      <w:r>
        <w:t xml:space="preserve">associations, for example those Member States that share the same language, host minority</w:t>
      </w:r>
      <w:r>
        <w:t xml:space="preserve"> </w:t>
      </w:r>
      <w:r>
        <w:t xml:space="preserve">populations of a neighbouring country or have traditionally strong cross-border civil society</w:t>
      </w:r>
      <w:r>
        <w:t xml:space="preserve"> </w:t>
      </w:r>
      <w:r>
        <w:t xml:space="preserve">ties.</w:t>
      </w:r>
      <w:r>
        <w:br/>
      </w:r>
      <w:r>
        <w:t xml:space="preserve">To conclude, and considering the elements mentioned above, in the short-term162 non-</w:t>
      </w:r>
      <w:r>
        <w:t xml:space="preserve"> </w:t>
      </w:r>
      <w:r>
        <w:t xml:space="preserve">significant adaptation costs may occur for competent authorities. However, all POs are</w:t>
      </w:r>
      <w:r>
        <w:t xml:space="preserve"> </w:t>
      </w:r>
      <w:r>
        <w:t xml:space="preserve">expected to reduce in the long run recurrent costs for competent authorities related to</w:t>
      </w:r>
      <w:r>
        <w:t xml:space="preserve"> </w:t>
      </w:r>
      <w:r>
        <w:t xml:space="preserve">compliance and monitoring of cross-border activities and mobility of associations (such as for</w:t>
      </w:r>
      <w:r>
        <w:t xml:space="preserve"> </w:t>
      </w:r>
      <w:r>
        <w:t xml:space="preserve">the creation of legal personality, registration, merger, monitoring, informing associations and</w:t>
      </w:r>
      <w:r>
        <w:t xml:space="preserve"> </w:t>
      </w:r>
      <w:r>
        <w:t xml:space="preserve">establishment procedure costs). Significant extra costs are not expected for competent</w:t>
      </w:r>
      <w:r>
        <w:t xml:space="preserve"> </w:t>
      </w:r>
      <w:r>
        <w:t xml:space="preserve">authorities, as the volume of operations will be either similar to the already existing procedures</w:t>
      </w:r>
      <w:r>
        <w:t xml:space="preserve"> </w:t>
      </w:r>
      <w:r>
        <w:t xml:space="preserve">or even lighter as more simplified (and digitalised) procedures will be in place for cross-border</w:t>
      </w:r>
      <w:r>
        <w:t xml:space="preserve"> </w:t>
      </w:r>
      <w:r>
        <w:t xml:space="preserve">associations and overall, less registrations will be needed. As argued, predicting differences</w:t>
      </w:r>
      <w:r>
        <w:t xml:space="preserve"> </w:t>
      </w:r>
      <w:r>
        <w:t xml:space="preserve">between Member States is highly speculative, as many different direct and indirect factors are</w:t>
      </w:r>
      <w:r>
        <w:t xml:space="preserve"> </w:t>
      </w:r>
      <w:r>
        <w:t xml:space="preserve">at stake as well as very contextual elements in relation to cross-border relationships of</w:t>
      </w:r>
      <w:r>
        <w:t xml:space="preserve"> </w:t>
      </w:r>
      <w:r>
        <w:t xml:space="preserve">associations in neighbouring regions.</w:t>
      </w:r>
    </w:p>
    <w:p>
      <w:pPr>
        <w:pStyle w:val="Compact"/>
        <w:numPr>
          <w:ilvl w:val="0"/>
          <w:numId w:val="1005"/>
        </w:numPr>
      </w:pPr>
      <w:r>
        <w:t xml:space="preserve">Potential economic benefits</w:t>
      </w:r>
      <w:r>
        <w:t xml:space="preserve"> </w:t>
      </w:r>
      <w:r>
        <w:t xml:space="preserve">To estimate to what extent each policy option can be expected to unlock the maximum</w:t>
      </w:r>
      <w:r>
        <w:t xml:space="preserve"> </w:t>
      </w:r>
      <w:r>
        <w:t xml:space="preserve">potential of 185 000163 associations, 75 000 jobs and 4.2 billion GDP164 contribution, an</w:t>
      </w:r>
      <w:r>
        <w:t xml:space="preserve"> </w:t>
      </w:r>
      <w:r>
        <w:t xml:space="preserve">“unlocking percentage” is estimated for each policy option, corresponding to the anticipated</w:t>
      </w:r>
      <w:r>
        <w:t xml:space="preserve"> </w:t>
      </w:r>
      <w:r>
        <w:t xml:space="preserve">uptake of the policy option over a 15-year time frame. This percentage is based on surveys,</w:t>
      </w:r>
    </w:p>
    <w:p>
      <w:pPr>
        <w:pStyle w:val="FirstParagraph"/>
      </w:pPr>
      <w:r>
        <w:t xml:space="preserve">161 IA study</w:t>
      </w:r>
      <w:r>
        <w:t xml:space="preserve"> </w:t>
      </w:r>
      <w:r>
        <w:t xml:space="preserve">162 Short term adaptation costs (one-off) are found to be as non-significant by the IA study. E.g. most Member</w:t>
      </w:r>
      <w:r>
        <w:t xml:space="preserve"> </w:t>
      </w:r>
      <w:r>
        <w:t xml:space="preserve">States have already have a (digital) register for associations or register associations in more generic registers (e.g. </w:t>
      </w:r>
      <w:r>
        <w:t xml:space="preserve"> </w:t>
      </w:r>
      <w:r>
        <w:t xml:space="preserve">NL) and have already acceptance and monitoring procedures in place that can be adapted with minimum costs.</w:t>
      </w:r>
      <w:r>
        <w:t xml:space="preserve"> </w:t>
      </w:r>
      <w:r>
        <w:t xml:space="preserve">DK, IE, and SE do not have a register for associations. In the case of DK associations are required to register in</w:t>
      </w:r>
      <w:r>
        <w:t xml:space="preserve"> </w:t>
      </w:r>
      <w:r>
        <w:t xml:space="preserve">the Central Business Register (CVR), which collects primary data on businesses in Denmark regardless of</w:t>
      </w:r>
      <w:r>
        <w:t xml:space="preserve"> </w:t>
      </w:r>
      <w:r>
        <w:t xml:space="preserve">economic and organizational structure, including associations under certain cases. In the case of SE, non-profit</w:t>
      </w:r>
      <w:r>
        <w:t xml:space="preserve"> </w:t>
      </w:r>
      <w:r>
        <w:t xml:space="preserve">associations are required to register in the Swedish Companies Register, if they conduct commercial business</w:t>
      </w:r>
      <w:r>
        <w:t xml:space="preserve"> </w:t>
      </w:r>
      <w:r>
        <w:t xml:space="preserve">activity, exceed certain thresholds in terms of number of employees, balance sheet total and net turnover.</w:t>
      </w:r>
      <w:r>
        <w:t xml:space="preserve"> </w:t>
      </w:r>
      <w:r>
        <w:t xml:space="preserve">163 See market context and problem definition Sections: After having estimated the theoretic maximum potential</w:t>
      </w:r>
      <w:r>
        <w:t xml:space="preserve"> </w:t>
      </w:r>
      <w:r>
        <w:t xml:space="preserve">(350 000), the maximum potential of policy intervention is the basis to calculate potential benefits under scenario</w:t>
      </w:r>
      <w:r>
        <w:t xml:space="preserve"> </w:t>
      </w:r>
      <w:r>
        <w:t xml:space="preserve">A (185 000).</w:t>
      </w:r>
      <w:r>
        <w:br/>
      </w:r>
      <w:r>
        <w:t xml:space="preserve">164 The estimates for job creation and GDP are linked to the number of associations that would be unlocked due</w:t>
      </w:r>
      <w:r>
        <w:t xml:space="preserve"> </w:t>
      </w:r>
      <w:r>
        <w:t xml:space="preserve">to a given policy intervention. Job creation was then calculated assuming an equal employment need for new cross</w:t>
      </w:r>
      <w:r>
        <w:t xml:space="preserve"> </w:t>
      </w:r>
      <w:r>
        <w:t xml:space="preserve">border associations in comparison to the given ones. Constant estimates for currently operating cross border</w:t>
      </w:r>
      <w:r>
        <w:t xml:space="preserve"> </w:t>
      </w:r>
      <w:r>
        <w:t xml:space="preserve">associations are applied to the newly unlocked by the policy option (i.e. a constant FTEs/ (current) cross-border</w:t>
      </w:r>
      <w:r>
        <w:t xml:space="preserve"> </w:t>
      </w:r>
      <w:r>
        <w:t xml:space="preserve">association ratio was applied to the new ones).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expert interviews and legal analysis.165 Despite this approach, a potential overestimation cannot</w:t>
      </w:r>
      <w:r>
        <w:t xml:space="preserve"> </w:t>
      </w:r>
      <w:r>
        <w:t xml:space="preserve">be excluded, given the uncertainties of these unlocking percentages. To mitigate this risk, a 10</w:t>
      </w:r>
      <w:r>
        <w:t xml:space="preserve"> </w:t>
      </w:r>
      <w:r>
        <w:t xml:space="preserve">p.p. lower scenario was introduced (resulting in an A and B scenario of potential cross -border</w:t>
      </w:r>
      <w:r>
        <w:t xml:space="preserve"> </w:t>
      </w:r>
      <w:r>
        <w:t xml:space="preserve">associations, see also Section 2). A second element to anticipate uncertainty is the use of a</w:t>
      </w:r>
      <w:r>
        <w:t xml:space="preserve"> </w:t>
      </w:r>
      <w:r>
        <w:t xml:space="preserve">range with an upper and lower bound for each potential benefit (- 5p.p and + 5 p.p. to the central</w:t>
      </w:r>
      <w:r>
        <w:t xml:space="preserve"> </w:t>
      </w:r>
      <w:r>
        <w:t xml:space="preserve">estimate per policy option, resulting in ranges of potential benefits.166</w:t>
      </w:r>
      <w:r>
        <w:t xml:space="preserve"> </w:t>
      </w:r>
      <w:r>
        <w:t xml:space="preserve">SCENARIO A</w:t>
      </w:r>
      <w:r>
        <w:br/>
      </w:r>
      <w:r>
        <w:t xml:space="preserve">Table 8: Estimated economic benefits regarding the unlocking potential of cross-border activity of associations167</w:t>
      </w:r>
      <w:r>
        <w:t xml:space="preserve"> </w:t>
      </w:r>
      <w:r>
        <w:t xml:space="preserve">Estimated benefits</w:t>
      </w:r>
      <w:r>
        <w:t xml:space="preserve"> </w:t>
      </w:r>
      <w:r>
        <w:t xml:space="preserve">Scenario A</w:t>
      </w:r>
    </w:p>
    <w:p>
      <w:pPr>
        <w:pStyle w:val="BodyText"/>
      </w:pPr>
      <w:r>
        <w:t xml:space="preserve">Estimated PO /</w:t>
      </w:r>
      <w:r>
        <w:t xml:space="preserve"> </w:t>
      </w:r>
      <w:r>
        <w:t xml:space="preserve">scenario</w:t>
      </w:r>
    </w:p>
    <w:p>
      <w:pPr>
        <w:pStyle w:val="BodyText"/>
      </w:pPr>
      <w:r>
        <w:t xml:space="preserve">Additional n. of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associations</w:t>
      </w:r>
    </w:p>
    <w:p>
      <w:pPr>
        <w:pStyle w:val="BodyText"/>
      </w:pPr>
      <w:r>
        <w:t xml:space="preserve">Additional</w:t>
      </w:r>
      <w:r>
        <w:t xml:space="preserve"> </w:t>
      </w:r>
      <w:r>
        <w:t xml:space="preserve">annual GDP in</w:t>
      </w:r>
      <w:r>
        <w:t xml:space="preserve"> </w:t>
      </w:r>
      <w:r>
        <w:t xml:space="preserve">EUR billions</w:t>
      </w:r>
      <w:r>
        <w:br/>
      </w:r>
      <w:r>
        <w:t xml:space="preserve">Additional</w:t>
      </w:r>
      <w:r>
        <w:t xml:space="preserve"> </w:t>
      </w:r>
      <w:r>
        <w:t xml:space="preserve">employment</w:t>
      </w:r>
      <w:r>
        <w:br/>
      </w:r>
      <w:r>
        <w:t xml:space="preserve">70% - 80% policy</w:t>
      </w:r>
      <w:r>
        <w:t xml:space="preserve"> </w:t>
      </w:r>
      <w:r>
        <w:t xml:space="preserve">uptake</w:t>
      </w:r>
      <w:r>
        <w:t xml:space="preserve"> </w:t>
      </w:r>
      <w:r>
        <w:t xml:space="preserve">PO1 &amp; PO2 =</w:t>
      </w:r>
      <w:r>
        <w:t xml:space="preserve"> </w:t>
      </w:r>
      <w:r>
        <w:t xml:space="preserve">central</w:t>
      </w:r>
      <w:r>
        <w:t xml:space="preserve"> </w:t>
      </w:r>
      <w:r>
        <w:t xml:space="preserve">estimate</w:t>
      </w:r>
      <w:r>
        <w:t xml:space="preserve"> </w:t>
      </w:r>
      <w:r>
        <w:t xml:space="preserve">75%</w:t>
      </w:r>
      <w:r>
        <w:t xml:space="preserve"> </w:t>
      </w:r>
      <w:r>
        <w:t xml:space="preserve">130 000</w:t>
      </w:r>
      <w:r>
        <w:br/>
      </w:r>
      <w:r>
        <w:t xml:space="preserve">149 000</w:t>
      </w:r>
      <w:r>
        <w:t xml:space="preserve"> </w:t>
      </w:r>
      <w:r>
        <w:t xml:space="preserve">2.9</w:t>
      </w:r>
      <w:r>
        <w:br/>
      </w:r>
      <w:r>
        <w:t xml:space="preserve">3.4</w:t>
      </w:r>
      <w:r>
        <w:t xml:space="preserve"> </w:t>
      </w:r>
      <w:r>
        <w:t xml:space="preserve">53 000</w:t>
      </w:r>
      <w:r>
        <w:br/>
      </w:r>
      <w:r>
        <w:t xml:space="preserve">60 000</w:t>
      </w:r>
      <w:r>
        <w:t xml:space="preserve"> </w:t>
      </w:r>
      <w:r>
        <w:t xml:space="preserve">85% - 95% policy</w:t>
      </w:r>
      <w:r>
        <w:t xml:space="preserve"> </w:t>
      </w:r>
      <w:r>
        <w:t xml:space="preserve">uptake</w:t>
      </w:r>
      <w:r>
        <w:t xml:space="preserve"> </w:t>
      </w:r>
      <w:r>
        <w:t xml:space="preserve">PO3</w:t>
      </w:r>
      <w:r>
        <w:t xml:space="preserve"> </w:t>
      </w:r>
      <w:r>
        <w:t xml:space="preserve">=</w:t>
      </w:r>
      <w:r>
        <w:t xml:space="preserve"> </w:t>
      </w:r>
      <w:r>
        <w:t xml:space="preserve">central</w:t>
      </w:r>
      <w:r>
        <w:t xml:space="preserve"> </w:t>
      </w:r>
      <w:r>
        <w:t xml:space="preserve">estimate 90%</w:t>
      </w:r>
      <w:r>
        <w:t xml:space="preserve"> </w:t>
      </w:r>
      <w:r>
        <w:t xml:space="preserve">157 000</w:t>
      </w:r>
      <w:r>
        <w:t xml:space="preserve"> </w:t>
      </w:r>
      <w:r>
        <w:t xml:space="preserve">176 000</w:t>
      </w:r>
      <w:r>
        <w:t xml:space="preserve"> </w:t>
      </w:r>
      <w:r>
        <w:t xml:space="preserve">3.57</w:t>
      </w:r>
      <w:r>
        <w:t xml:space="preserve"> </w:t>
      </w:r>
      <w:r>
        <w:t xml:space="preserve">4</w:t>
      </w:r>
      <w:r>
        <w:t xml:space="preserve"> </w:t>
      </w:r>
      <w:r>
        <w:t xml:space="preserve">64 000</w:t>
      </w:r>
      <w:r>
        <w:t xml:space="preserve"> </w:t>
      </w:r>
      <w:r>
        <w:t xml:space="preserve">71 000</w:t>
      </w:r>
      <w:r>
        <w:t xml:space="preserve"> </w:t>
      </w:r>
      <w:r>
        <w:t xml:space="preserve">Maximum potential</w:t>
      </w:r>
      <w:r>
        <w:t xml:space="preserve"> </w:t>
      </w:r>
      <w:r>
        <w:t xml:space="preserve">of</w:t>
      </w:r>
      <w:r>
        <w:t xml:space="preserve"> </w:t>
      </w:r>
      <w:r>
        <w:t xml:space="preserve">policy</w:t>
      </w:r>
      <w:r>
        <w:t xml:space="preserve"> </w:t>
      </w:r>
      <w:r>
        <w:t xml:space="preserve">intervention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185 000</w:t>
      </w:r>
      <w:r>
        <w:t xml:space="preserve"> </w:t>
      </w:r>
      <w:r>
        <w:t xml:space="preserve">4.2</w:t>
      </w:r>
      <w:r>
        <w:br/>
      </w:r>
      <w:r>
        <w:t xml:space="preserve">75 000</w:t>
      </w:r>
    </w:p>
    <w:p>
      <w:pPr>
        <w:pStyle w:val="BodyText"/>
      </w:pPr>
      <w:r>
        <w:t xml:space="preserve">A second scenario is added mitigating a possible overestimation of the maximum potential</w:t>
      </w:r>
      <w:r>
        <w:t xml:space="preserve"> </w:t>
      </w:r>
      <w:r>
        <w:t xml:space="preserve">explained above. This is based on 155 000 associations as maximum unlocked potential by</w:t>
      </w:r>
      <w:r>
        <w:t xml:space="preserve"> </w:t>
      </w:r>
      <w:r>
        <w:t xml:space="preserve">policy intervention (10 p.p. lower scenario168 as regards scenario A see also Section 2) and</w:t>
      </w:r>
      <w:r>
        <w:t xml:space="preserve"> </w:t>
      </w:r>
      <w:r>
        <w:t xml:space="preserve">gives the following range of potential benefits.</w:t>
      </w:r>
      <w:r>
        <w:t xml:space="preserve"> </w:t>
      </w:r>
      <w:r>
        <w:t xml:space="preserve">SCENARIO B</w:t>
      </w:r>
      <w:r>
        <w:t xml:space="preserve"> </w:t>
      </w:r>
      <w:r>
        <w:t xml:space="preserve">Table 9: Estimated economic benefits regarding the unlocking potential of cross-border activity of associations.</w:t>
      </w:r>
    </w:p>
    <w:p>
      <w:pPr>
        <w:pStyle w:val="BodyText"/>
      </w:pPr>
      <w:r>
        <w:t xml:space="preserve">165 Responses from the IA study survey are used as a starting base, which then were validated in the IA study with</w:t>
      </w:r>
      <w:r>
        <w:t xml:space="preserve"> </w:t>
      </w:r>
      <w:r>
        <w:t xml:space="preserve">responses of in-depth interviews and the legal analysis and translated into percentages. More detail on the</w:t>
      </w:r>
      <w:r>
        <w:t xml:space="preserve"> </w:t>
      </w:r>
      <w:r>
        <w:t xml:space="preserve">justification of the percentages is included in the methodological Annex 4 (Section 4.4).</w:t>
      </w:r>
      <w:r>
        <w:t xml:space="preserve"> </w:t>
      </w:r>
      <w:r>
        <w:t xml:space="preserve">166 Figures for both scenarios A and B based on a policy uptake range corresponding to a 5p.p. margin to the</w:t>
      </w:r>
      <w:r>
        <w:t xml:space="preserve"> </w:t>
      </w:r>
      <w:r>
        <w:t xml:space="preserve">central estimate (75% for PO1 and PO2 and 90% for PO3) as suggested by the IA study. Central estimate based</w:t>
      </w:r>
      <w:r>
        <w:t xml:space="preserve"> </w:t>
      </w:r>
      <w:r>
        <w:t xml:space="preserve">on targeted survey and in-depth interviews, as well as legal analysis.</w:t>
      </w:r>
      <w:r>
        <w:br/>
      </w:r>
      <w:r>
        <w:t xml:space="preserve">167 See annex 4 (Section 3.2) for more details.</w:t>
      </w:r>
      <w:r>
        <w:t xml:space="preserve"> </w:t>
      </w:r>
      <w:r>
        <w:t xml:space="preserve">168 Scenario B corresponds to 50% of current cross border associations (310 000) instead of 60% (scenario A).</w:t>
      </w:r>
      <w:r>
        <w:t xml:space="preserve"> </w:t>
      </w:r>
      <w:r>
        <w:t xml:space="preserve">See also Annex 4 (Section 2.5) for details.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Estimated benefits</w:t>
      </w:r>
      <w:r>
        <w:t xml:space="preserve"> </w:t>
      </w:r>
      <w:r>
        <w:t xml:space="preserve">Scenario B</w:t>
      </w:r>
    </w:p>
    <w:p>
      <w:pPr>
        <w:pStyle w:val="BodyText"/>
      </w:pPr>
      <w:r>
        <w:t xml:space="preserve">Estimated PO /</w:t>
      </w:r>
      <w:r>
        <w:t xml:space="preserve"> </w:t>
      </w:r>
      <w:r>
        <w:t xml:space="preserve">scenario</w:t>
      </w:r>
    </w:p>
    <w:p>
      <w:pPr>
        <w:pStyle w:val="BodyText"/>
      </w:pPr>
      <w:r>
        <w:t xml:space="preserve">Additional n. of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associations</w:t>
      </w:r>
      <w:r>
        <w:t xml:space="preserve"> </w:t>
      </w:r>
      <w:r>
        <w:t xml:space="preserve">Additional</w:t>
      </w:r>
      <w:r>
        <w:t xml:space="preserve"> </w:t>
      </w:r>
      <w:r>
        <w:t xml:space="preserve">annual GDP in</w:t>
      </w:r>
      <w:r>
        <w:t xml:space="preserve"> </w:t>
      </w:r>
      <w:r>
        <w:t xml:space="preserve">EUR billions</w:t>
      </w:r>
      <w:r>
        <w:br/>
      </w:r>
      <w:r>
        <w:t xml:space="preserve">Additional</w:t>
      </w:r>
      <w:r>
        <w:t xml:space="preserve"> </w:t>
      </w:r>
      <w:r>
        <w:t xml:space="preserve">employment</w:t>
      </w:r>
      <w:r>
        <w:br/>
      </w:r>
      <w:r>
        <w:t xml:space="preserve">70% - 80% policy</w:t>
      </w:r>
      <w:r>
        <w:t xml:space="preserve"> </w:t>
      </w:r>
      <w:r>
        <w:t xml:space="preserve">uptake</w:t>
      </w:r>
      <w:r>
        <w:t xml:space="preserve"> </w:t>
      </w:r>
      <w:r>
        <w:t xml:space="preserve">PO1 &amp; PO2 =</w:t>
      </w:r>
      <w:r>
        <w:t xml:space="preserve"> </w:t>
      </w:r>
      <w:r>
        <w:t xml:space="preserve">central</w:t>
      </w:r>
      <w:r>
        <w:t xml:space="preserve"> </w:t>
      </w:r>
      <w:r>
        <w:t xml:space="preserve">estimate</w:t>
      </w:r>
      <w:r>
        <w:br/>
      </w:r>
      <w:r>
        <w:t xml:space="preserve">75%</w:t>
      </w:r>
      <w:r>
        <w:t xml:space="preserve"> </w:t>
      </w:r>
      <w:r>
        <w:t xml:space="preserve">108 000</w:t>
      </w:r>
      <w:r>
        <w:br/>
      </w:r>
      <w:r>
        <w:t xml:space="preserve">124 000</w:t>
      </w:r>
      <w:r>
        <w:t xml:space="preserve"> </w:t>
      </w:r>
      <w:r>
        <w:t xml:space="preserve">2.4</w:t>
      </w:r>
      <w:r>
        <w:br/>
      </w:r>
      <w:r>
        <w:t xml:space="preserve">2.8</w:t>
      </w:r>
      <w:r>
        <w:t xml:space="preserve"> </w:t>
      </w:r>
      <w:r>
        <w:t xml:space="preserve">44 000</w:t>
      </w:r>
      <w:r>
        <w:t xml:space="preserve"> </w:t>
      </w:r>
      <w:r>
        <w:t xml:space="preserve">50 000</w:t>
      </w:r>
      <w:r>
        <w:t xml:space="preserve"> </w:t>
      </w:r>
      <w:r>
        <w:t xml:space="preserve">85% - 95% policy</w:t>
      </w:r>
      <w:r>
        <w:t xml:space="preserve"> </w:t>
      </w:r>
      <w:r>
        <w:t xml:space="preserve">uptake</w:t>
      </w:r>
      <w:r>
        <w:t xml:space="preserve"> </w:t>
      </w:r>
      <w:r>
        <w:t xml:space="preserve">PO3</w:t>
      </w:r>
      <w:r>
        <w:t xml:space="preserve"> </w:t>
      </w:r>
      <w:r>
        <w:t xml:space="preserve">=</w:t>
      </w:r>
      <w:r>
        <w:t xml:space="preserve"> </w:t>
      </w:r>
      <w:r>
        <w:t xml:space="preserve">central</w:t>
      </w:r>
      <w:r>
        <w:t xml:space="preserve"> </w:t>
      </w:r>
      <w:r>
        <w:t xml:space="preserve">estimate 90%</w:t>
      </w:r>
      <w:r>
        <w:t xml:space="preserve"> </w:t>
      </w:r>
      <w:r>
        <w:t xml:space="preserve">132 000</w:t>
      </w:r>
      <w:r>
        <w:t xml:space="preserve"> </w:t>
      </w:r>
      <w:r>
        <w:t xml:space="preserve">147 000</w:t>
      </w:r>
      <w:r>
        <w:t xml:space="preserve"> </w:t>
      </w:r>
      <w:r>
        <w:t xml:space="preserve">3</w:t>
      </w:r>
      <w:r>
        <w:t xml:space="preserve"> </w:t>
      </w:r>
      <w:r>
        <w:t xml:space="preserve">3.3</w:t>
      </w:r>
      <w:r>
        <w:t xml:space="preserve"> </w:t>
      </w:r>
      <w:r>
        <w:t xml:space="preserve">54 000</w:t>
      </w:r>
      <w:r>
        <w:br/>
      </w:r>
      <w:r>
        <w:t xml:space="preserve">60 000</w:t>
      </w:r>
    </w:p>
    <w:p>
      <w:pPr>
        <w:pStyle w:val="BodyText"/>
      </w:pPr>
      <w:r>
        <w:t xml:space="preserve">Maximum potential</w:t>
      </w:r>
      <w:r>
        <w:t xml:space="preserve"> </w:t>
      </w:r>
      <w:r>
        <w:t xml:space="preserve">of</w:t>
      </w:r>
      <w:r>
        <w:t xml:space="preserve"> </w:t>
      </w:r>
      <w:r>
        <w:t xml:space="preserve">policy</w:t>
      </w:r>
      <w:r>
        <w:t xml:space="preserve"> </w:t>
      </w:r>
      <w:r>
        <w:t xml:space="preserve">intervention</w:t>
      </w:r>
      <w:r>
        <w:t xml:space="preserve"> </w:t>
      </w:r>
      <w:r>
        <w:t xml:space="preserve">100%</w:t>
      </w:r>
      <w:r>
        <w:t xml:space="preserve"> </w:t>
      </w:r>
      <w:r>
        <w:t xml:space="preserve">155 000</w:t>
      </w:r>
      <w:r>
        <w:t xml:space="preserve"> </w:t>
      </w:r>
      <w:r>
        <w:t xml:space="preserve">3.5</w:t>
      </w:r>
      <w:r>
        <w:t xml:space="preserve"> </w:t>
      </w:r>
      <w:r>
        <w:t xml:space="preserve">63 000</w:t>
      </w:r>
    </w:p>
    <w:p>
      <w:pPr>
        <w:pStyle w:val="Compact"/>
        <w:numPr>
          <w:ilvl w:val="0"/>
          <w:numId w:val="1006"/>
        </w:numPr>
      </w:pPr>
      <w:r>
        <w:t xml:space="preserve">Environmental-, climate- and social impacts and fundamental rights</w:t>
      </w:r>
      <w:r>
        <w:br/>
      </w:r>
      <w:r>
        <w:t xml:space="preserve">In the context of this IA, the difficulty generally emerged to determine a causal relationship</w:t>
      </w:r>
      <w:r>
        <w:t xml:space="preserve"> </w:t>
      </w:r>
      <w:r>
        <w:t xml:space="preserve">between an EU intervention aiming at simplifying regulatory and administrative rules on cross-</w:t>
      </w:r>
      <w:r>
        <w:t xml:space="preserve"> </w:t>
      </w:r>
      <w:r>
        <w:t xml:space="preserve">border operations of associations, on the one hand, and the potential environmental,</w:t>
      </w:r>
      <w:r>
        <w:t xml:space="preserve"> </w:t>
      </w:r>
      <w:r>
        <w:t xml:space="preserve">fundamental rights and social impacts, on the other hand. It can, anyway, be assumed that an</w:t>
      </w:r>
      <w:r>
        <w:t xml:space="preserve"> </w:t>
      </w:r>
      <w:r>
        <w:t xml:space="preserve">EU intervention under the three policy options will trigger indirect and non-measurable</w:t>
      </w:r>
      <w:r>
        <w:t xml:space="preserve"> </w:t>
      </w:r>
      <w:r>
        <w:t xml:space="preserve">positive effects.169</w:t>
      </w:r>
      <w:r>
        <w:t xml:space="preserve"> </w:t>
      </w:r>
      <w:r>
        <w:t xml:space="preserve">Environmental and climate impact</w:t>
      </w:r>
      <w:r>
        <w:t xml:space="preserve"> </w:t>
      </w:r>
      <w:r>
        <w:t xml:space="preserve">In principle, the nature and objectives of the initiative are not expected to generate measurable</w:t>
      </w:r>
      <w:r>
        <w:t xml:space="preserve"> </w:t>
      </w:r>
      <w:r>
        <w:t xml:space="preserve">direct environmental and or climate impacts.</w:t>
      </w:r>
      <w:r>
        <w:t xml:space="preserve"> </w:t>
      </w:r>
      <w:r>
        <w:t xml:space="preserve">When looking at the potential indirect benefits, all policy options are expected to generate a</w:t>
      </w:r>
      <w:r>
        <w:t xml:space="preserve"> </w:t>
      </w:r>
      <w:r>
        <w:t xml:space="preserve">positive impact by improving the position and presence of cross-border associations active in</w:t>
      </w:r>
      <w:r>
        <w:t xml:space="preserve"> </w:t>
      </w:r>
      <w:r>
        <w:t xml:space="preserve">the environmental and climate change sphere170, such as promotion of biodiversity, nature</w:t>
      </w:r>
      <w:r>
        <w:t xml:space="preserve"> </w:t>
      </w:r>
      <w:r>
        <w:t xml:space="preserve">preservation and the fight against climate change.</w:t>
      </w:r>
    </w:p>
    <w:p>
      <w:pPr>
        <w:pStyle w:val="FirstParagraph"/>
      </w:pPr>
      <w:r>
        <w:t xml:space="preserve">Social impact</w:t>
      </w:r>
    </w:p>
    <w:p>
      <w:pPr>
        <w:pStyle w:val="BodyText"/>
      </w:pPr>
      <w:r>
        <w:t xml:space="preserve">169 For example, by simplifying the creation of cross border alliances and partnerships between organisations,</w:t>
      </w:r>
      <w:r>
        <w:t xml:space="preserve"> </w:t>
      </w:r>
      <w:r>
        <w:t xml:space="preserve">mobilising volunteers, improving the representation at EU level and having a more efficient outreach in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170 E.g. on climate, quality of natural resources (water, soil, air etc.), biodiversity (including flora, fauna,</w:t>
      </w:r>
      <w:r>
        <w:t xml:space="preserve"> </w:t>
      </w:r>
      <w:r>
        <w:t xml:space="preserve">ecosystems, and landscapes), animal welfare, sustainable consumption and production, efficient use of resources,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Similar potential benefits will occur for all POs in terms of social impacts. More precisely by</w:t>
      </w:r>
      <w:r>
        <w:t xml:space="preserve"> </w:t>
      </w:r>
      <w:r>
        <w:t xml:space="preserve">improving the access for citizens in sectors offering social services across Member States (e.g. </w:t>
      </w:r>
      <w:r>
        <w:t xml:space="preserve"> </w:t>
      </w:r>
      <w:r>
        <w:t xml:space="preserve">health, care and -services, community service social work, education and training, employment</w:t>
      </w:r>
      <w:r>
        <w:t xml:space="preserve"> </w:t>
      </w:r>
      <w:r>
        <w:t xml:space="preserve">services, etc.). Consequently, this impact will foster convergence between the different models</w:t>
      </w:r>
      <w:r>
        <w:t xml:space="preserve"> </w:t>
      </w:r>
      <w:r>
        <w:t xml:space="preserve">and offers in the Member States, including mainstreaming of innovation, leading to an overall</w:t>
      </w:r>
      <w:r>
        <w:t xml:space="preserve"> </w:t>
      </w:r>
      <w:r>
        <w:t xml:space="preserve">enhanced quality and offer of such services in the EU. Given the strong presence of associations</w:t>
      </w:r>
      <w:r>
        <w:t xml:space="preserve"> </w:t>
      </w:r>
      <w:r>
        <w:t xml:space="preserve">in areas described above, PO2 is expected to foster positively the access to those services</w:t>
      </w:r>
      <w:r>
        <w:t xml:space="preserve"> </w:t>
      </w:r>
      <w:r>
        <w:t xml:space="preserve">offered by smaller organisations which, for instance, could be offered without the need for</w:t>
      </w:r>
      <w:r>
        <w:t xml:space="preserve"> </w:t>
      </w:r>
      <w:r>
        <w:t xml:space="preserve">establishment. Finally, all POs are expected to foster participatory and citizen oriented civic</w:t>
      </w:r>
      <w:r>
        <w:t xml:space="preserve"> </w:t>
      </w:r>
      <w:r>
        <w:t xml:space="preserve">space (e.g. participation in civil society, sports, arts and culture) potentially being interlinked</w:t>
      </w:r>
      <w:r>
        <w:t xml:space="preserve"> </w:t>
      </w:r>
      <w:r>
        <w:t xml:space="preserve">across borders.</w:t>
      </w:r>
      <w:r>
        <w:t xml:space="preserve"> </w:t>
      </w:r>
      <w:r>
        <w:t xml:space="preserve">Looking at different options, PO1 (and to certain extent PO3) would be likely to benefit</w:t>
      </w:r>
      <w:r>
        <w:t xml:space="preserve"> </w:t>
      </w:r>
      <w:r>
        <w:t xml:space="preserve">associations with an explicit social impact mission and organised at EU level with action in all</w:t>
      </w:r>
      <w:r>
        <w:t xml:space="preserve"> </w:t>
      </w:r>
      <w:r>
        <w:t xml:space="preserve">(or multiple) Member States (e.g. social enterprises, social service providers, health, care and</w:t>
      </w:r>
      <w:r>
        <w:t xml:space="preserve"> </w:t>
      </w:r>
      <w:r>
        <w:t xml:space="preserve">household service, social protection and rights). In this sense, PO1 and PO3 would strengthen</w:t>
      </w:r>
      <w:r>
        <w:t xml:space="preserve"> </w:t>
      </w:r>
      <w:r>
        <w:t xml:space="preserve">the right to freedom of assembly and association in a non-discriminatory manner, as</w:t>
      </w:r>
      <w:r>
        <w:t xml:space="preserve"> </w:t>
      </w:r>
      <w:r>
        <w:t xml:space="preserve">associations using the new legal forms would be treated in an equal manner with associations</w:t>
      </w:r>
      <w:r>
        <w:t xml:space="preserve"> </w:t>
      </w:r>
      <w:r>
        <w:t xml:space="preserve">that already exist under national laws, albeit by automatic recognition under PO1 as opposed</w:t>
      </w:r>
      <w:r>
        <w:t xml:space="preserve"> </w:t>
      </w:r>
      <w:r>
        <w:t xml:space="preserve">to mutual recognition in PO3. Still, at Member State level, limitations to the type of activities</w:t>
      </w:r>
      <w:r>
        <w:t xml:space="preserve"> </w:t>
      </w:r>
      <w:r>
        <w:t xml:space="preserve">performed by the associations may occur when the association is not established. For example,</w:t>
      </w:r>
      <w:r>
        <w:t xml:space="preserve"> </w:t>
      </w:r>
      <w:r>
        <w:t xml:space="preserve">in case such activities may be subject to specific national legislation (e.g. labour law, social</w:t>
      </w:r>
      <w:r>
        <w:t xml:space="preserve"> </w:t>
      </w:r>
      <w:r>
        <w:t xml:space="preserve">security, taxation rules, etc.) implicitly requiring establishment.</w:t>
      </w:r>
      <w:r>
        <w:br/>
      </w:r>
      <w:r>
        <w:t xml:space="preserve">Fundamental rights</w:t>
      </w:r>
      <w:r>
        <w:t xml:space="preserve"> </w:t>
      </w:r>
      <w:r>
        <w:t xml:space="preserve">Although this initiative is centred on the functioning of the single market for non-profit</w:t>
      </w:r>
      <w:r>
        <w:t xml:space="preserve"> </w:t>
      </w:r>
      <w:r>
        <w:t xml:space="preserve">associations, all POs would have an indirect positive effect on the protection and promotion of</w:t>
      </w:r>
      <w:r>
        <w:t xml:space="preserve"> </w:t>
      </w:r>
      <w:r>
        <w:t xml:space="preserve">fundamental rights. For instance, by improving the conditions for associations to operate in the</w:t>
      </w:r>
      <w:r>
        <w:t xml:space="preserve"> </w:t>
      </w:r>
      <w:r>
        <w:t xml:space="preserve">single market, they will strengthen the enjoyment of the right to freedom of expression and</w:t>
      </w:r>
      <w:r>
        <w:t xml:space="preserve"> </w:t>
      </w:r>
      <w:r>
        <w:t xml:space="preserve">information (Article 11 of the Charter) and right to freedom of peaceful assembly and to</w:t>
      </w:r>
      <w:r>
        <w:t xml:space="preserve"> </w:t>
      </w:r>
      <w:r>
        <w:t xml:space="preserve">association (Article 12 of the Charter) in the EU.</w:t>
      </w:r>
      <w:r>
        <w:t xml:space="preserve"> </w:t>
      </w:r>
      <w:r>
        <w:t xml:space="preserve">From this viewpoint, all POs would indirectly strengthen the civil society and mitigate the</w:t>
      </w:r>
      <w:r>
        <w:t xml:space="preserve"> </w:t>
      </w:r>
      <w:r>
        <w:t xml:space="preserve">overall shrinking civic space trends observed in Europe,171 by facilitating cross-border</w:t>
      </w:r>
      <w:r>
        <w:t xml:space="preserve"> </w:t>
      </w:r>
      <w:r>
        <w:t xml:space="preserve">activities and mobility of associations and enabling them to mobilise members, volunteers and</w:t>
      </w:r>
      <w:r>
        <w:t xml:space="preserve"> </w:t>
      </w:r>
      <w:r>
        <w:t xml:space="preserve">interest groups across different Member States. The options would ultimately have an indirect</w:t>
      </w:r>
      <w:r>
        <w:t xml:space="preserve"> </w:t>
      </w:r>
      <w:r>
        <w:t xml:space="preserve">positive impact on the EU democratic space.172</w:t>
      </w:r>
      <w:r>
        <w:br/>
      </w:r>
      <w:r>
        <w:t xml:space="preserve">When it comes to fundamental rights impacts of the different policy options, it has to be noted</w:t>
      </w:r>
      <w:r>
        <w:t xml:space="preserve"> </w:t>
      </w:r>
      <w:r>
        <w:t xml:space="preserve">that creating a new legal form at EU level (i.e. PO1 sub-options), according to desk research</w:t>
      </w:r>
    </w:p>
    <w:p>
      <w:pPr>
        <w:pStyle w:val="BodyText"/>
      </w:pPr>
      <w:r>
        <w:t xml:space="preserve">171 As observed by the reports/opinions by the Council of Europe (Resolution 2226 (2018). New restrictions on</w:t>
      </w:r>
      <w:r>
        <w:t xml:space="preserve"> </w:t>
      </w:r>
      <w:r>
        <w:t xml:space="preserve">NGO activities in Council of Europe member States of 27 June 2018), European Parliament (2021/2103 INI</w:t>
      </w:r>
      <w:r>
        <w:t xml:space="preserve"> </w:t>
      </w:r>
      <w:r>
        <w:t xml:space="preserve">resolution on the shrinking space for civil society in Europe of 8 March 2022), European Commission</w:t>
      </w:r>
      <w:r>
        <w:t xml:space="preserve"> </w:t>
      </w:r>
      <w:r>
        <w:t xml:space="preserve">(COM(2022) 716. “A thriving civic space for upholding fundamental rights in the EU 2022. Annual Report on</w:t>
      </w:r>
      <w:r>
        <w:t xml:space="preserve"> </w:t>
      </w:r>
      <w:r>
        <w:t xml:space="preserve">the Application of the EU Charter of Fundamental Rights of 6.12.2022)</w:t>
      </w:r>
      <w:r>
        <w:t xml:space="preserve"> </w:t>
      </w:r>
      <w:r>
        <w:t xml:space="preserve">172 Democracy Index 2021: less than half the world lives in a democracy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and Public Consultation results173, is considered as a strong contribution to the Europeanisation</w:t>
      </w:r>
      <w:r>
        <w:t xml:space="preserve"> </w:t>
      </w:r>
      <w:r>
        <w:t xml:space="preserve">of the civic space.174 The effects of PO2 are not expected to be as pronounced as those of PO1</w:t>
      </w:r>
      <w:r>
        <w:t xml:space="preserve"> </w:t>
      </w:r>
      <w:r>
        <w:t xml:space="preserve">and PO3, as it would only harmonise certain national rules (listed in Section 5). Similarly to</w:t>
      </w:r>
      <w:r>
        <w:t xml:space="preserve"> </w:t>
      </w:r>
      <w:r>
        <w:t xml:space="preserve">PO1, PO3 would be expected to have a strong positive - although indirect - impact in terms of</w:t>
      </w:r>
      <w:r>
        <w:t xml:space="preserve"> </w:t>
      </w:r>
      <w:r>
        <w:t xml:space="preserve">safeguarding the fundamental right to freedom of assembly and association and right to</w:t>
      </w:r>
      <w:r>
        <w:t xml:space="preserve"> </w:t>
      </w:r>
      <w:r>
        <w:t xml:space="preserve">freedom of expression and information of associations and their members. It will in fact allow</w:t>
      </w:r>
      <w:r>
        <w:t xml:space="preserve"> </w:t>
      </w:r>
      <w:r>
        <w:t xml:space="preserve">associations with cross-border ambitions to effectively expand and conduct their activities in</w:t>
      </w:r>
      <w:r>
        <w:t xml:space="preserve"> </w:t>
      </w:r>
      <w:r>
        <w:t xml:space="preserve">other Member States, thereby also contributing to the exercise of fundamental rights that they</w:t>
      </w:r>
      <w:r>
        <w:t xml:space="preserve"> </w:t>
      </w:r>
      <w:r>
        <w:t xml:space="preserve">advance through their activities, by benefitting from a uniform and sufficiently complete legal</w:t>
      </w:r>
      <w:r>
        <w:t xml:space="preserve"> </w:t>
      </w:r>
      <w:r>
        <w:t xml:space="preserve">framework which, differently from PO1 sub-options, would not neglect the national</w:t>
      </w:r>
      <w:r>
        <w:t xml:space="preserve"> </w:t>
      </w:r>
      <w:r>
        <w:t xml:space="preserve">specificities. The new rules would however not be applicable to pre-existing associations,</w:t>
      </w:r>
      <w:r>
        <w:t xml:space="preserve"> </w:t>
      </w:r>
      <w:r>
        <w:t xml:space="preserve">unless they convert to the new form, which would create minor negative effects from the</w:t>
      </w:r>
      <w:r>
        <w:t xml:space="preserve"> </w:t>
      </w:r>
      <w:r>
        <w:t xml:space="preserve">perspective of equality among associations.</w:t>
      </w:r>
      <w:r>
        <w:br/>
      </w:r>
      <w:r>
        <w:t xml:space="preserve">PO2 and PO3 might not as directly favour a “European brand” through a “European legal form”</w:t>
      </w:r>
      <w:r>
        <w:t xml:space="preserve"> </w:t>
      </w:r>
      <w:r>
        <w:t xml:space="preserve">(in comparison with PO1), however they would still simplify procedures in the single market</w:t>
      </w:r>
      <w:r>
        <w:t xml:space="preserve"> </w:t>
      </w:r>
      <w:r>
        <w:t xml:space="preserve">by reducing administrative burden and costs for cross-border associations, indirectly</w:t>
      </w:r>
      <w:r>
        <w:t xml:space="preserve"> </w:t>
      </w:r>
      <w:r>
        <w:t xml:space="preserve">benefitting those associations active in the area of fundamental rights at pan European scale.</w:t>
      </w:r>
      <w:r>
        <w:br/>
      </w:r>
      <w:r>
        <w:t xml:space="preserve">Taking into account the objectives and scope of the initiative, the specific and significant</w:t>
      </w:r>
      <w:r>
        <w:t xml:space="preserve"> </w:t>
      </w:r>
      <w:r>
        <w:t xml:space="preserve">impacts per policy option are described as follows:</w:t>
      </w:r>
      <w:r>
        <w:br/>
      </w:r>
      <w:r>
        <w:t xml:space="preserve">6.1 PO1a and PO1b: Establish an EU-level legal form of association: ‘the European</w:t>
      </w:r>
      <w:r>
        <w:t xml:space="preserve"> </w:t>
      </w:r>
      <w:r>
        <w:t xml:space="preserve">Association’ (PO1a)” or ‘The European cross-border Association’ (PO1b)</w:t>
      </w:r>
      <w:r>
        <w:t xml:space="preserve"> </w:t>
      </w:r>
      <w:r>
        <w:t xml:space="preserve">This section will first discuss the impacts that are equal for both PO1a and PO1b, as outlined</w:t>
      </w:r>
      <w:r>
        <w:t xml:space="preserve"> </w:t>
      </w:r>
      <w:r>
        <w:t xml:space="preserve">in Section 5. Consequently, when “PO1” is used this refers to both sub-options, unless stated</w:t>
      </w:r>
      <w:r>
        <w:t xml:space="preserve"> </w:t>
      </w:r>
      <w:r>
        <w:t xml:space="preserve">otherwise. Under Section 6.1.4 only specific impacts for PO1b will be discussed.</w:t>
      </w:r>
      <w:r>
        <w:t xml:space="preserve"> </w:t>
      </w:r>
      <w:r>
        <w:t xml:space="preserve">Overall, PO1 would introduce a supranational legal form of association facilitating operations</w:t>
      </w:r>
      <w:r>
        <w:t xml:space="preserve"> </w:t>
      </w:r>
      <w:r>
        <w:t xml:space="preserve">across borders that would co-exist with other legal forms in the Member States. Once a</w:t>
      </w:r>
      <w:r>
        <w:t xml:space="preserve"> </w:t>
      </w:r>
      <w:r>
        <w:t xml:space="preserve">European Association would be established and registered, it would be automatically</w:t>
      </w:r>
      <w:r>
        <w:t xml:space="preserve"> </w:t>
      </w:r>
      <w:r>
        <w:t xml:space="preserve">recognised in all Member States, and it should be treated the same as associations incorporated</w:t>
      </w:r>
      <w:r>
        <w:t xml:space="preserve"> </w:t>
      </w:r>
      <w:r>
        <w:t xml:space="preserve">under their national laws (principle of non-discrimination). Associations not using the new</w:t>
      </w:r>
      <w:r>
        <w:t xml:space="preserve"> </w:t>
      </w:r>
      <w:r>
        <w:t xml:space="preserve">legal form remain unaffected.</w:t>
      </w:r>
      <w:r>
        <w:t xml:space="preserve"> </w:t>
      </w:r>
      <w:r>
        <w:t xml:space="preserve">The legal instrument for both PO1a and PO1b would be a regulation. It is the only legal</w:t>
      </w:r>
      <w:r>
        <w:t xml:space="preserve"> </w:t>
      </w:r>
      <w:r>
        <w:t xml:space="preserve">instrument available for creating a new legal form at EU level, as confirmed by the CJEU. The</w:t>
      </w:r>
      <w:r>
        <w:t xml:space="preserve"> </w:t>
      </w:r>
      <w:r>
        <w:t xml:space="preserve">benefit of this instrument is legal clarity resulting from its direct applicability and uniformity</w:t>
      </w:r>
      <w:r>
        <w:t xml:space="preserve"> </w:t>
      </w:r>
      <w:r>
        <w:t xml:space="preserve">in content across the Union. However, creating a new legal form in this way may generate</w:t>
      </w:r>
      <w:r>
        <w:t xml:space="preserve"> </w:t>
      </w:r>
      <w:r>
        <w:t xml:space="preserve">unwanted effects, not be entirely proportionate to the scale and nature of the identified</w:t>
      </w:r>
      <w:r>
        <w:t xml:space="preserve"> </w:t>
      </w:r>
      <w:r>
        <w:t xml:space="preserve">problems, , given that Member States would not able to adapt the requirements to their national</w:t>
      </w:r>
    </w:p>
    <w:p>
      <w:pPr>
        <w:pStyle w:val="BodyText"/>
      </w:pPr>
      <w:r>
        <w:t xml:space="preserve">173 Among the respondents’ preferred choice of the envisaged policy options 36% (22 out of 64) of respondents</w:t>
      </w:r>
      <w:r>
        <w:t xml:space="preserve"> </w:t>
      </w:r>
      <w:r>
        <w:t xml:space="preserve">indicated that their preferred policy option would be a new legal form for associations.</w:t>
      </w:r>
      <w:r>
        <w:t xml:space="preserve"> </w:t>
      </w:r>
      <w:r>
        <w:t xml:space="preserve">174 It would “provide the most democratic and citizen-powered kind of association”.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settings and tradition. At the outset, the said unfamiliarity could involve adjustment costs and</w:t>
      </w:r>
      <w:r>
        <w:t xml:space="preserve"> </w:t>
      </w:r>
      <w:r>
        <w:t xml:space="preserve">may raise the threshold to take up this form.</w:t>
      </w:r>
      <w:r>
        <w:br/>
      </w:r>
      <w:r>
        <w:t xml:space="preserve">The consequence (and downside) is that PO1 requires from already established associations</w:t>
      </w:r>
      <w:r>
        <w:t xml:space="preserve"> </w:t>
      </w:r>
      <w:r>
        <w:t xml:space="preserve">wishing to benefit to take the new legal entity, with all related administrative implications and</w:t>
      </w:r>
      <w:r>
        <w:t xml:space="preserve"> </w:t>
      </w:r>
      <w:r>
        <w:t xml:space="preserve">cost. The creation of a new legal form has, therefore, uncertainty of uptake and might create</w:t>
      </w:r>
      <w:r>
        <w:t xml:space="preserve"> </w:t>
      </w:r>
      <w:r>
        <w:t xml:space="preserve">potential confusion for stakeholders as more legal forms will exist in parallel. Furthermore, it</w:t>
      </w:r>
      <w:r>
        <w:t xml:space="preserve"> </w:t>
      </w:r>
      <w:r>
        <w:t xml:space="preserve">can create ‘competition’ between existing legal forms for associations in the Member States</w:t>
      </w:r>
      <w:r>
        <w:t xml:space="preserve"> </w:t>
      </w:r>
      <w:r>
        <w:t xml:space="preserve">and the new legal form prescribed and regulated by EU law.</w:t>
      </w:r>
      <w:r>
        <w:t xml:space="preserve"> </w:t>
      </w:r>
      <w:r>
        <w:t xml:space="preserve">6.1.1 Economic impacts on associations</w:t>
      </w:r>
      <w:r>
        <w:t xml:space="preserve"> </w:t>
      </w:r>
      <w:r>
        <w:t xml:space="preserve">The overall impact on the costs of cross-border operations is expected to be significant,</w:t>
      </w:r>
      <w:r>
        <w:t xml:space="preserve"> </w:t>
      </w:r>
      <w:r>
        <w:t xml:space="preserve">allowing associations active cross-border to substantially reduce their cost of compliance and</w:t>
      </w:r>
      <w:r>
        <w:t xml:space="preserve"> </w:t>
      </w:r>
      <w:r>
        <w:t xml:space="preserve">administrative burden. Moreover, it is expected that the reduced barriers to entry will unlock a</w:t>
      </w:r>
      <w:r>
        <w:t xml:space="preserve"> </w:t>
      </w:r>
      <w:r>
        <w:t xml:space="preserve">significant share of associations interested in operating cross-border. In particular:</w:t>
      </w:r>
    </w:p>
    <w:p>
      <w:pPr>
        <w:pStyle w:val="Compact"/>
        <w:numPr>
          <w:ilvl w:val="0"/>
          <w:numId w:val="1007"/>
        </w:numPr>
      </w:pPr>
      <w:r>
        <w:t xml:space="preserve">Associations already active cross-border: when transforming to the new legal form,</w:t>
      </w:r>
      <w:r>
        <w:t xml:space="preserve"> </w:t>
      </w:r>
      <w:r>
        <w:t xml:space="preserve">substantial simplification in terms of compliance cost and administrative burden can be</w:t>
      </w:r>
      <w:r>
        <w:t xml:space="preserve"> </w:t>
      </w:r>
      <w:r>
        <w:t xml:space="preserve">expected in terms of running cost of operating cross-border;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Associations interested in launching cross-border operations, but hesitating due to</w:t>
      </w:r>
      <w:r>
        <w:t xml:space="preserve"> </w:t>
      </w:r>
      <w:r>
        <w:t xml:space="preserve">existing barriers: in addition to the significantly reduced cost of operating cross-border</w:t>
      </w:r>
      <w:r>
        <w:t xml:space="preserve"> </w:t>
      </w:r>
      <w:r>
        <w:t xml:space="preserve">also the need for establishment and the activities to be undertaken to act cross-border</w:t>
      </w:r>
      <w:r>
        <w:t xml:space="preserve"> </w:t>
      </w:r>
      <w:r>
        <w:t xml:space="preserve">for those making use of the new legal form will be significantly reduced;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Associations not interested in launching cross-border operations: this policy option</w:t>
      </w:r>
      <w:r>
        <w:t xml:space="preserve"> </w:t>
      </w:r>
      <w:r>
        <w:t xml:space="preserve">does not affect such associations as they are not obliged to transform.</w:t>
      </w:r>
    </w:p>
    <w:p>
      <w:pPr>
        <w:pStyle w:val="FirstParagraph"/>
      </w:pPr>
      <w:r>
        <w:t xml:space="preserve">This would be particularly beneficial for associations whose scope extends over the territory</w:t>
      </w:r>
      <w:r>
        <w:t xml:space="preserve"> </w:t>
      </w:r>
      <w:r>
        <w:t xml:space="preserve">of several or all Member States. The voluntary nature of using the EU legal forms (PO1a and</w:t>
      </w:r>
      <w:r>
        <w:t xml:space="preserve"> </w:t>
      </w:r>
      <w:r>
        <w:t xml:space="preserve">PO1b) means that it would not impose any additional compliance costs on associations that do</w:t>
      </w:r>
      <w:r>
        <w:t xml:space="preserve"> </w:t>
      </w:r>
      <w:r>
        <w:t xml:space="preserve">not want to obtain them.</w:t>
      </w:r>
      <w:r>
        <w:t xml:space="preserve"> </w:t>
      </w:r>
      <w:r>
        <w:t xml:space="preserve">Costs of operating cross-border (recurring) for associations active cross borders (310</w:t>
      </w:r>
      <w:r>
        <w:t xml:space="preserve"> </w:t>
      </w:r>
      <w:r>
        <w:t xml:space="preserve">000): PO1 has the potential to significantly reduce costs for associations using the EU legal</w:t>
      </w:r>
      <w:r>
        <w:t xml:space="preserve"> </w:t>
      </w:r>
      <w:r>
        <w:t xml:space="preserve">form and thus simplifying gathering information, less internal staff working on compliance and</w:t>
      </w:r>
      <w:r>
        <w:t xml:space="preserve"> </w:t>
      </w:r>
      <w:r>
        <w:t xml:space="preserve">less needs for regular external advisory support. The extent to which such benefits materialise</w:t>
      </w:r>
      <w:r>
        <w:t xml:space="preserve"> </w:t>
      </w:r>
      <w:r>
        <w:t xml:space="preserve">depends, however, on the extent of uptake of the new legal forms (PO1a or PO1b). As a</w:t>
      </w:r>
      <w:r>
        <w:t xml:space="preserve"> </w:t>
      </w:r>
      <w:r>
        <w:t xml:space="preserve">potential cost reduction, the IA study estimates an order of magnitude leading to up to</w:t>
      </w:r>
      <w:r>
        <w:t xml:space="preserve"> </w:t>
      </w:r>
      <w:r>
        <w:t xml:space="preserve">EUR 770 million per year (for the assessed timeframe of 15 years), see Annex 4 for</w:t>
      </w:r>
      <w:r>
        <w:t xml:space="preserve"> </w:t>
      </w:r>
      <w:r>
        <w:t xml:space="preserve">calculations).175</w:t>
      </w:r>
    </w:p>
    <w:p>
      <w:pPr>
        <w:pStyle w:val="BodyText"/>
      </w:pPr>
      <w:r>
        <w:t xml:space="preserve">175 This cost reduction is not applicable to those associations not acting across borders or without the ambition to</w:t>
      </w:r>
      <w:r>
        <w:t xml:space="preserve"> </w:t>
      </w:r>
      <w:r>
        <w:t xml:space="preserve">develop such initiatives in future. The basis for calculations are those associations estimated to be already active</w:t>
      </w:r>
      <w:r>
        <w:t xml:space="preserve"> </w:t>
      </w:r>
      <w:r>
        <w:t xml:space="preserve">cross borders (310 000). For detailed calculations see annex 4 (Section 2.5). The main source of information for</w:t>
      </w:r>
      <w:r>
        <w:t xml:space="preserve"> </w:t>
      </w:r>
      <w:r>
        <w:t xml:space="preserve">the assessment of the operation costs was primary data collection, via the targeted survey and in-depth interviews,</w:t>
      </w:r>
      <w:r>
        <w:t xml:space="preserve"> </w:t>
      </w:r>
      <w:r>
        <w:t xml:space="preserve">which also focused on costs assessment. Costs were also assessed against available secondary data (IA study).</w:t>
      </w:r>
      <w:r>
        <w:t xml:space="preserve"> </w:t>
      </w:r>
      <w:r>
        <w:t xml:space="preserve">However, it is not likely to expect such effect to materialise from year one. We can assume a lag effect of one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Table 10: Excess cost reduction per year (for the assessed timeframe of 15 years).</w:t>
      </w:r>
    </w:p>
    <w:p>
      <w:pPr>
        <w:pStyle w:val="BodyText"/>
      </w:pPr>
      <w:r>
        <w:t xml:space="preserve">Max cost reduction per year for PO1 (relative to the baseline)</w:t>
      </w:r>
      <w:r>
        <w:t xml:space="preserve"> </w:t>
      </w:r>
      <w:r>
        <w:t xml:space="preserve">Information cost (internal staff)</w:t>
      </w:r>
      <w:r>
        <w:t xml:space="preserve"> </w:t>
      </w:r>
      <w:r>
        <w:t xml:space="preserve">~EUR 350 million</w:t>
      </w:r>
      <w:r>
        <w:t xml:space="preserve"> </w:t>
      </w:r>
      <w:r>
        <w:t xml:space="preserve">Compliance cost (internal staff)</w:t>
      </w:r>
      <w:r>
        <w:t xml:space="preserve"> </w:t>
      </w:r>
      <w:r>
        <w:t xml:space="preserve">~EUR 190 million</w:t>
      </w:r>
      <w:r>
        <w:t xml:space="preserve"> </w:t>
      </w:r>
      <w:r>
        <w:t xml:space="preserve">Direct cost / External advisory cost (External</w:t>
      </w:r>
      <w:r>
        <w:t xml:space="preserve"> </w:t>
      </w:r>
      <w:r>
        <w:t xml:space="preserve">running cost)</w:t>
      </w:r>
      <w:r>
        <w:t xml:space="preserve"> </w:t>
      </w:r>
      <w:r>
        <w:t xml:space="preserve">~EUR 230 million</w:t>
      </w:r>
    </w:p>
    <w:p>
      <w:pPr>
        <w:pStyle w:val="BodyText"/>
      </w:pPr>
      <w:r>
        <w:t xml:space="preserve">As additional impacts, for future cross-border operations of associations (associations not yet</w:t>
      </w:r>
      <w:r>
        <w:t xml:space="preserve"> </w:t>
      </w:r>
      <w:r>
        <w:t xml:space="preserve">active cross-border but potentially interested to do so, if barriers are removed), the launch cost</w:t>
      </w:r>
      <w:r>
        <w:t xml:space="preserve"> </w:t>
      </w:r>
      <w:r>
        <w:t xml:space="preserve">is estimated at EUR 3 500, which is a cost reduction of EUR 2 150 per launch176, compared</w:t>
      </w:r>
      <w:r>
        <w:t xml:space="preserve"> </w:t>
      </w:r>
      <w:r>
        <w:t xml:space="preserve">to the baseline of EUR 5 650 (for detailed overview see Annex 4). 177 Within the assessed 15-</w:t>
      </w:r>
      <w:r>
        <w:t xml:space="preserve"> </w:t>
      </w:r>
      <w:r>
        <w:t xml:space="preserve">year time frame, this excess cost reduction could potentially range between EUR 278 million</w:t>
      </w:r>
      <w:r>
        <w:t xml:space="preserve"> </w:t>
      </w:r>
      <w:r>
        <w:t xml:space="preserve">and EUR 318 million, in case of scenario A, and between EUR 233 million and EUR 267</w:t>
      </w:r>
      <w:r>
        <w:t xml:space="preserve"> </w:t>
      </w:r>
      <w:r>
        <w:t xml:space="preserve">million, in case of scenario B178 (for detailed information about the two scenarios see</w:t>
      </w:r>
      <w:r>
        <w:t xml:space="preserve"> </w:t>
      </w:r>
      <w:r>
        <w:t xml:space="preserve">introduction section 6).</w:t>
      </w:r>
    </w:p>
    <w:p>
      <w:pPr>
        <w:pStyle w:val="BodyText"/>
      </w:pPr>
      <w:r>
        <w:t xml:space="preserve">6.1.2 Indirect economic effects</w:t>
      </w:r>
      <w:r>
        <w:t xml:space="preserve"> </w:t>
      </w:r>
      <w:r>
        <w:t xml:space="preserve">Given the fact that both legal forms under PO1 are expected to significantly lower the barrier</w:t>
      </w:r>
      <w:r>
        <w:t xml:space="preserve"> </w:t>
      </w:r>
      <w:r>
        <w:t xml:space="preserve">for cross-border associations active in multiple Member States, it is expected that particularly</w:t>
      </w:r>
      <w:r>
        <w:t xml:space="preserve"> </w:t>
      </w:r>
      <w:r>
        <w:t xml:space="preserve">large associations will make use of the European legal forms. The extent to which it trickles</w:t>
      </w:r>
      <w:r>
        <w:t xml:space="preserve"> </w:t>
      </w:r>
      <w:r>
        <w:t xml:space="preserve">down to smaller associations will depend on the complexity of transforming a national legal</w:t>
      </w:r>
      <w:r>
        <w:t xml:space="preserve"> </w:t>
      </w:r>
      <w:r>
        <w:t xml:space="preserve">form into one of the two legal forms under PO1 prescribed fully or partially by EU law.</w:t>
      </w:r>
      <w:r>
        <w:br/>
      </w:r>
      <w:r>
        <w:t xml:space="preserve">As described in tables 7 and 8, for this PO1 estimated benefits range as follows: number of</w:t>
      </w:r>
      <w:r>
        <w:t xml:space="preserve"> </w:t>
      </w:r>
      <w:r>
        <w:t xml:space="preserve">additional cross-border associations between 130 000 – 149 000 for scenario A and 108 000 –</w:t>
      </w:r>
      <w:r>
        <w:t xml:space="preserve"> </w:t>
      </w:r>
      <w:r>
        <w:t xml:space="preserve">124 000 for scenario B; additional GDP between EUR 2.9 billion - EUR 3.4 billion for scenario</w:t>
      </w:r>
      <w:r>
        <w:t xml:space="preserve"> </w:t>
      </w:r>
      <w:r>
        <w:t xml:space="preserve">A and EUR 2.4 - EUR 2.8 billion for scenario B; and additional employment GDP between</w:t>
      </w:r>
    </w:p>
    <w:p>
      <w:pPr>
        <w:pStyle w:val="BodyText"/>
      </w:pPr>
      <w:r>
        <w:t xml:space="preserve">year where no effects can be observed, due to the time to effectively implement the appropriate policy intervention</w:t>
      </w:r>
      <w:r>
        <w:t xml:space="preserve"> </w:t>
      </w:r>
      <w:r>
        <w:t xml:space="preserve">and produce the desired effects on relevant stakeholders (e.g. stakeholders to familiarise with new legislation).</w:t>
      </w:r>
      <w:r>
        <w:t xml:space="preserve"> </w:t>
      </w:r>
      <w:r>
        <w:t xml:space="preserve">Therefore, starting from year one, we can expect a linear increase from the current situation to the full cost</w:t>
      </w:r>
      <w:r>
        <w:t xml:space="preserve"> </w:t>
      </w:r>
      <w:r>
        <w:t xml:space="preserve">reduction potential (i.e. EUR 770 million per year) until year five. As of year five, we can expect the policy</w:t>
      </w:r>
      <w:r>
        <w:t xml:space="preserve"> </w:t>
      </w:r>
      <w:r>
        <w:t xml:space="preserve">intervention to be fully effective and to produce the maximum expected results.</w:t>
      </w:r>
      <w:r>
        <w:br/>
      </w:r>
      <w:r>
        <w:t xml:space="preserve">176 IA study. Estimates based on association responses to the targeted survey and in-depth interviews.</w:t>
      </w:r>
      <w:r>
        <w:br/>
      </w:r>
      <w:r>
        <w:t xml:space="preserve">Internal setup cost (compliance cost): EUR 1 500 and external advisory cost (direct cost): EUR 650</w:t>
      </w:r>
    </w:p>
    <w:p>
      <w:pPr>
        <w:pStyle w:val="BodyText"/>
      </w:pPr>
      <w:r>
        <w:t xml:space="preserve">177 In case the legal form allows associations to operate in other Member States (without establishment) this saved</w:t>
      </w:r>
      <w:r>
        <w:t xml:space="preserve"> </w:t>
      </w:r>
      <w:r>
        <w:t xml:space="preserve">costs would be multipliable by the amount of Member States where a registration had to be done under the baseline</w:t>
      </w:r>
      <w:r>
        <w:t xml:space="preserve"> </w:t>
      </w:r>
      <w:r>
        <w:t xml:space="preserve">scenario.</w:t>
      </w:r>
      <w:r>
        <w:br/>
      </w:r>
      <w:r>
        <w:t xml:space="preserve">178 Applying this excess cost estimate (2 150) to the estimate range (considering both scenario A and scenario B)</w:t>
      </w:r>
      <w:r>
        <w:t xml:space="preserve"> </w:t>
      </w:r>
      <w:r>
        <w:t xml:space="preserve">of new associations that are expected to launch cross-border given this policy option.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53 000 – 60 000 for scenario A and 44 000 – 50 000 for scenario B.179 In terms of the speed</w:t>
      </w:r>
      <w:r>
        <w:t xml:space="preserve"> </w:t>
      </w:r>
      <w:r>
        <w:t xml:space="preserve">of uptake, an exponential growth rate can be expected with some associations being ‘early</w:t>
      </w:r>
      <w:r>
        <w:t xml:space="preserve"> </w:t>
      </w:r>
      <w:r>
        <w:t xml:space="preserve">birds’ and others hesitating and waiting to see the ‘proof of concept’. Another element which</w:t>
      </w:r>
      <w:r>
        <w:t xml:space="preserve"> </w:t>
      </w:r>
      <w:r>
        <w:t xml:space="preserve">will play a role in the uptake depends greatly on what type of activities will be deployed. For</w:t>
      </w:r>
      <w:r>
        <w:t xml:space="preserve"> </w:t>
      </w:r>
      <w:r>
        <w:t xml:space="preserve">example, in case local staff would be hired or in case non-tax exempt services are offered (of</w:t>
      </w:r>
      <w:r>
        <w:t xml:space="preserve"> </w:t>
      </w:r>
      <w:r>
        <w:t xml:space="preserve">an otherwise need for a local presence), the need for registration or establishment in some form</w:t>
      </w:r>
      <w:r>
        <w:t xml:space="preserve"> </w:t>
      </w:r>
      <w:r>
        <w:t xml:space="preserve">will at least partially remain.180 A counter example is, when services are offered in a digital</w:t>
      </w:r>
      <w:r>
        <w:t xml:space="preserve"> </w:t>
      </w:r>
      <w:r>
        <w:t xml:space="preserve">context, it is likely that registration in each Member State will not be needed and this PO1</w:t>
      </w:r>
      <w:r>
        <w:t xml:space="preserve"> </w:t>
      </w:r>
      <w:r>
        <w:t xml:space="preserve">could have a very positive effect.</w:t>
      </w:r>
    </w:p>
    <w:p>
      <w:pPr>
        <w:pStyle w:val="BodyText"/>
      </w:pPr>
      <w:r>
        <w:t xml:space="preserve">6.1.3 Impacts on Member States</w:t>
      </w:r>
      <w:r>
        <w:br/>
      </w:r>
      <w:r>
        <w:t xml:space="preserve">As explained in the first past of this Section, the magnitude of the cost for all policy options is</w:t>
      </w:r>
      <w:r>
        <w:t xml:space="preserve"> </w:t>
      </w:r>
      <w:r>
        <w:t xml:space="preserve">not expected to constitute a significant cost for competent authorities at Member State level.</w:t>
      </w:r>
      <w:r>
        <w:t xml:space="preserve"> </w:t>
      </w:r>
      <w:r>
        <w:t xml:space="preserve">This Section will, however, provide a short overview of different costs and benefits for PO1.</w:t>
      </w:r>
      <w:r>
        <w:br/>
      </w:r>
      <w:r>
        <w:t xml:space="preserve">Information costs: the EU and/or competent authorities will likely need to set up awareness-</w:t>
      </w:r>
      <w:r>
        <w:t xml:space="preserve"> </w:t>
      </w:r>
      <w:r>
        <w:t xml:space="preserve">raising activities to make the new legal form better known among associations.</w:t>
      </w:r>
      <w:r>
        <w:br/>
      </w:r>
      <w:r>
        <w:t xml:space="preserve">Adjustment costs (monitoring and supervision): the creation of an additional form at EU level</w:t>
      </w:r>
      <w:r>
        <w:t xml:space="preserve"> </w:t>
      </w:r>
      <w:r>
        <w:t xml:space="preserve">can increase the complexity for authorities’ monitoring and supervision, as different regimes</w:t>
      </w:r>
      <w:r>
        <w:t xml:space="preserve"> </w:t>
      </w:r>
      <w:r>
        <w:t xml:space="preserve">will exist next to each other. However, as assessed in the introduction of Section 6, it is</w:t>
      </w:r>
      <w:r>
        <w:t xml:space="preserve"> </w:t>
      </w:r>
      <w:r>
        <w:t xml:space="preserve">expected that this should be a low one-off investment. In the medium and long term, depending</w:t>
      </w:r>
      <w:r>
        <w:t xml:space="preserve"> </w:t>
      </w:r>
      <w:r>
        <w:t xml:space="preserve">on the uptake of the legal form, PO1 will require minimal additional costs related to mainly</w:t>
      </w:r>
      <w:r>
        <w:t xml:space="preserve"> </w:t>
      </w:r>
      <w:r>
        <w:t xml:space="preserve">legal and administrative monitoring and supervision of the newly established associations</w:t>
      </w:r>
      <w:r>
        <w:t xml:space="preserve"> </w:t>
      </w:r>
      <w:r>
        <w:t xml:space="preserve">under the EU legal form (e.g. the registration and establishment procedures, fiscal</w:t>
      </w:r>
      <w:r>
        <w:t xml:space="preserve"> </w:t>
      </w:r>
      <w:r>
        <w:t xml:space="preserve">declarations). Differences might occur between Member States, e.g. those Member States</w:t>
      </w:r>
      <w:r>
        <w:t xml:space="preserve"> </w:t>
      </w:r>
      <w:r>
        <w:t xml:space="preserve">(mainly Belgium, France, Luxembourg, Netherlands, and Germany)181 with many international</w:t>
      </w:r>
      <w:r>
        <w:t xml:space="preserve"> </w:t>
      </w:r>
      <w:r>
        <w:t xml:space="preserve">institutions might have a better uptake compared to others.</w:t>
      </w:r>
      <w:r>
        <w:t xml:space="preserve"> </w:t>
      </w:r>
      <w:r>
        <w:t xml:space="preserve">Adjustment costs (registration): an EU legal form would require the creation of a framework</w:t>
      </w:r>
      <w:r>
        <w:t xml:space="preserve"> </w:t>
      </w:r>
      <w:r>
        <w:t xml:space="preserve">for registration in the Member States. Please note that impacts relating to the creation or</w:t>
      </w:r>
      <w:r>
        <w:t xml:space="preserve"> </w:t>
      </w:r>
      <w:r>
        <w:t xml:space="preserve">adaptation of national (online) registers under all options are presented in the first part of</w:t>
      </w:r>
      <w:r>
        <w:t xml:space="preserve"> </w:t>
      </w:r>
      <w:r>
        <w:t xml:space="preserve">Section 6.</w:t>
      </w:r>
      <w:r>
        <w:t xml:space="preserve"> </w:t>
      </w:r>
      <w:r>
        <w:t xml:space="preserve">6.1.4 Stakeholders’ views on policy option 1</w:t>
      </w:r>
      <w:r>
        <w:t xml:space="preserve"> </w:t>
      </w:r>
      <w:r>
        <w:t xml:space="preserve">PO1 would be particularly favoured by associations established in more than one Member</w:t>
      </w:r>
      <w:r>
        <w:t xml:space="preserve"> </w:t>
      </w:r>
      <w:r>
        <w:t xml:space="preserve">States or with activities at a pan- European level (multiple Member States). In terms of its</w:t>
      </w:r>
    </w:p>
    <w:p>
      <w:pPr>
        <w:pStyle w:val="BodyText"/>
      </w:pPr>
      <w:r>
        <w:t xml:space="preserve">179 Figures for both scenario’s A and B based on a policy uptake range between 85% and 95%. This range</w:t>
      </w:r>
      <w:r>
        <w:t xml:space="preserve"> </w:t>
      </w:r>
      <w:r>
        <w:t xml:space="preserve">corresponds to a central estimate 75% uptake of the policy intervention as suggested by the IA study based on</w:t>
      </w:r>
      <w:r>
        <w:t xml:space="preserve"> </w:t>
      </w:r>
      <w:r>
        <w:t xml:space="preserve">targeted survey and in-depth interviews, as well as legal analysis.</w:t>
      </w:r>
      <w:r>
        <w:t xml:space="preserve"> </w:t>
      </w:r>
      <w:r>
        <w:t xml:space="preserve">180 Although in most countries employers are obliged to register in that country for tax purposes when hiring</w:t>
      </w:r>
      <w:r>
        <w:t xml:space="preserve"> </w:t>
      </w:r>
      <w:r>
        <w:t xml:space="preserve">employees, it is not always required to establish a legal entity. There are, however, quite a few countries where</w:t>
      </w:r>
      <w:r>
        <w:t xml:space="preserve"> </w:t>
      </w:r>
      <w:r>
        <w:t xml:space="preserve">no separate legal entity is to be established for the purpose of hiring employees, but a branch office is to be opened</w:t>
      </w:r>
      <w:r>
        <w:t xml:space="preserve"> </w:t>
      </w:r>
      <w:r>
        <w:t xml:space="preserve">instead. International Employment Law Guide (deloitte.com).</w:t>
      </w:r>
      <w:r>
        <w:br/>
      </w:r>
      <w:r>
        <w:t xml:space="preserve">181 Study_StatuteforEuropeancross-borderassociationsandnon-profitorganisations_EN.pdf (europa.eu).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effectiveness in facilitating associations establishing operations in another Member State, this</w:t>
      </w:r>
      <w:r>
        <w:t xml:space="preserve"> </w:t>
      </w:r>
      <w:r>
        <w:t xml:space="preserve">policy option was ranked the highest in the targeted survey conducted for the IA study (on</w:t>
      </w:r>
      <w:r>
        <w:t xml:space="preserve"> </w:t>
      </w:r>
      <w:r>
        <w:t xml:space="preserve">average 4 out of 5).182 Results from the Public Consultation show that 36% (22 out of 64) of</w:t>
      </w:r>
      <w:r>
        <w:t xml:space="preserve"> </w:t>
      </w:r>
      <w:r>
        <w:t xml:space="preserve">respondents indicated that their preferred policy option would be a new legal form for associations.</w:t>
      </w:r>
      <w:r>
        <w:t xml:space="preserve"> </w:t>
      </w:r>
      <w:r>
        <w:t xml:space="preserve">Among the 38 respondents who defined themselves under the legal form of association, 42%</w:t>
      </w:r>
      <w:r>
        <w:t xml:space="preserve"> </w:t>
      </w:r>
      <w:r>
        <w:t xml:space="preserve">(16 out of 38) favoured “a new legal form for associations”.</w:t>
      </w:r>
      <w:r>
        <w:t xml:space="preserve"> </w:t>
      </w:r>
      <w:r>
        <w:t xml:space="preserve">6.1.5 Specific impacts related to Policy option 1b: EU level legal form covering cross-border</w:t>
      </w:r>
      <w:r>
        <w:t xml:space="preserve"> </w:t>
      </w:r>
      <w:r>
        <w:t xml:space="preserve">aspects: ‘The European cross-border Association’</w:t>
      </w:r>
      <w:r>
        <w:br/>
      </w:r>
      <w:r>
        <w:t xml:space="preserve">The technique of creating a legal form at EU level by partially prescribing applicable rules and</w:t>
      </w:r>
      <w:r>
        <w:t xml:space="preserve"> </w:t>
      </w:r>
      <w:r>
        <w:t xml:space="preserve">otherwise relying on Member State law has both advantages and disadvantages. In that sense,</w:t>
      </w:r>
      <w:r>
        <w:t xml:space="preserve"> </w:t>
      </w:r>
      <w:r>
        <w:t xml:space="preserve">this sub-option represents a limited variation of PO1a, prescribing at EU level only cross-</w:t>
      </w:r>
      <w:r>
        <w:t xml:space="preserve"> </w:t>
      </w:r>
      <w:r>
        <w:t xml:space="preserve">border aspects and main features of the new legal form to the extent needed for coherence.</w:t>
      </w:r>
      <w:r>
        <w:t xml:space="preserve"> </w:t>
      </w:r>
      <w:r>
        <w:t xml:space="preserve">Otherwise, it would refer to existing Member State law.183 Just like PO1a, this sub-option</w:t>
      </w:r>
      <w:r>
        <w:t xml:space="preserve"> </w:t>
      </w:r>
      <w:r>
        <w:t xml:space="preserve">would be directly applicable without transposition. Therefore, it would be uniform in content</w:t>
      </w:r>
      <w:r>
        <w:t xml:space="preserve"> </w:t>
      </w:r>
      <w:r>
        <w:t xml:space="preserve">across the Union regarding the elements it prescribes. Implementation would require Member</w:t>
      </w:r>
      <w:r>
        <w:t xml:space="preserve"> </w:t>
      </w:r>
      <w:r>
        <w:t xml:space="preserve">States to make necessary provisions to ensure effective application (for example, in cases</w:t>
      </w:r>
      <w:r>
        <w:t xml:space="preserve"> </w:t>
      </w:r>
      <w:r>
        <w:t xml:space="preserve">where they lack relevant provisions in national law) and designating a competent authority.</w:t>
      </w:r>
      <w:r>
        <w:t xml:space="preserve"> </w:t>
      </w:r>
      <w:r>
        <w:t xml:space="preserve">Like for PO1a, the legal instrument would be a regulation, with similar benefits as described</w:t>
      </w:r>
      <w:r>
        <w:t xml:space="preserve"> </w:t>
      </w:r>
      <w:r>
        <w:t xml:space="preserve">for PO1a with regard to its uniform application and the additional benefit that the scope would</w:t>
      </w:r>
      <w:r>
        <w:t xml:space="preserve"> </w:t>
      </w:r>
      <w:r>
        <w:t xml:space="preserve">be smaller (limited to cross-border aspects), meaning that this sub-option responds better to</w:t>
      </w:r>
      <w:r>
        <w:t xml:space="preserve"> </w:t>
      </w:r>
      <w:r>
        <w:t xml:space="preserve">the criteria of subsidiarity and proportionality, compared to PO1a. Compared to PO3, PO1b</w:t>
      </w:r>
      <w:r>
        <w:t xml:space="preserve"> </w:t>
      </w:r>
      <w:r>
        <w:t xml:space="preserve">would likely be roughly equally effective, efficient, and coherent. However, due to the choice</w:t>
      </w:r>
      <w:r>
        <w:t xml:space="preserve"> </w:t>
      </w:r>
      <w:r>
        <w:t xml:space="preserve">of legal instrument and the introduction of the new legal form at EU level, PO1b would be</w:t>
      </w:r>
      <w:r>
        <w:t xml:space="preserve"> </w:t>
      </w:r>
      <w:r>
        <w:t xml:space="preserve">slightly less proportionate, given that it does not allow Member States to adapt the legal form</w:t>
      </w:r>
      <w:r>
        <w:t xml:space="preserve"> </w:t>
      </w:r>
      <w:r>
        <w:t xml:space="preserve">to their national specificities through transposition. Moreover, its impact in terms of legal</w:t>
      </w:r>
      <w:r>
        <w:t xml:space="preserve"> </w:t>
      </w:r>
      <w:r>
        <w:t xml:space="preserve">clarity is not straightforward.. Stakeholder feedback shows that this technique adds complexity</w:t>
      </w:r>
      <w:r>
        <w:t xml:space="preserve"> </w:t>
      </w:r>
      <w:r>
        <w:t xml:space="preserve">for those using such legal form created at EU level and may have a negative effect on uptake,</w:t>
      </w:r>
      <w:r>
        <w:t xml:space="preserve"> </w:t>
      </w:r>
      <w:r>
        <w:t xml:space="preserve">as shown in the input to consultations concerning the evaluation of the European Cooperative</w:t>
      </w:r>
      <w:r>
        <w:t xml:space="preserve"> </w:t>
      </w:r>
      <w:r>
        <w:t xml:space="preserve">Society..</w:t>
      </w:r>
      <w:r>
        <w:t xml:space="preserve"> </w:t>
      </w:r>
      <w:r>
        <w:t xml:space="preserve">While this sub-option is more targeted and proportionate compared to PO1a, it can be expected</w:t>
      </w:r>
      <w:r>
        <w:t xml:space="preserve"> </w:t>
      </w:r>
      <w:r>
        <w:t xml:space="preserve">to have similar effects as the broader PO1a regarding the key cost-benefit indicators of cross-</w:t>
      </w:r>
      <w:r>
        <w:t xml:space="preserve"> </w:t>
      </w:r>
      <w:r>
        <w:t xml:space="preserve">border operation.</w:t>
      </w:r>
      <w:r>
        <w:br/>
      </w:r>
      <w:r>
        <w:t xml:space="preserve">Consequently, the impact on operating costs for individual associations is expected to be</w:t>
      </w:r>
      <w:r>
        <w:t xml:space="preserve"> </w:t>
      </w:r>
      <w:r>
        <w:t xml:space="preserve">similar to PO1a and PO3 (as this IA makes the theoretical assumption that PO1 and PO3 have</w:t>
      </w:r>
      <w:r>
        <w:t xml:space="preserve"> </w:t>
      </w:r>
      <w:r>
        <w:t xml:space="preserve">similar impacts in terms of operating costs for associations).</w:t>
      </w:r>
    </w:p>
    <w:p>
      <w:pPr>
        <w:pStyle w:val="BodyText"/>
      </w:pPr>
      <w:r>
        <w:t xml:space="preserve">182 IA study.</w:t>
      </w:r>
      <w:r>
        <w:t xml:space="preserve"> </w:t>
      </w:r>
      <w:r>
        <w:t xml:space="preserve">183 Inspiration regarding the level of detail and material scope could be taken from the regulatory approach of the</w:t>
      </w:r>
      <w:r>
        <w:t xml:space="preserve"> </w:t>
      </w:r>
      <w:r>
        <w:t xml:space="preserve">European Cooperative Society, but stretched in a way that references to Member State law cover major elements</w:t>
      </w:r>
      <w:r>
        <w:t xml:space="preserve"> </w:t>
      </w:r>
      <w:r>
        <w:t xml:space="preserve">and provisions prescribed at EU level cover only what is essential for cross-border purposes.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When it comes to the launch cost, the excess cost reduction per launch could also be assumed</w:t>
      </w:r>
      <w:r>
        <w:t xml:space="preserve"> </w:t>
      </w:r>
      <w:r>
        <w:t xml:space="preserve">to be similar as for PO1a and PO3 (EUR 2 150). However, there is more uncertainty as regards</w:t>
      </w:r>
      <w:r>
        <w:t xml:space="preserve"> </w:t>
      </w:r>
      <w:r>
        <w:t xml:space="preserve">the overall total impacts, as this depends on the potential uptake of both policy options.</w:t>
      </w:r>
      <w:r>
        <w:br/>
      </w:r>
      <w:r>
        <w:t xml:space="preserve">Assuming that the estimated potential uptake is higher for PO3 than for PO1, PO1.b would</w:t>
      </w:r>
      <w:r>
        <w:t xml:space="preserve"> </w:t>
      </w:r>
      <w:r>
        <w:t xml:space="preserve">result in a lower total estimated excess cost reduction for launching operations over a 15-year</w:t>
      </w:r>
      <w:r>
        <w:t xml:space="preserve"> </w:t>
      </w:r>
      <w:r>
        <w:t xml:space="preserve">time frame compared to PO3.</w:t>
      </w:r>
      <w:r>
        <w:t xml:space="preserve"> </w:t>
      </w:r>
      <w:r>
        <w:t xml:space="preserve">It should be noted that, given the similarities in how PO1b and PO3 address the cross-border</w:t>
      </w:r>
      <w:r>
        <w:t xml:space="preserve"> </w:t>
      </w:r>
      <w:r>
        <w:t xml:space="preserve">barriers in terms of scope and magnitude (given that PO1b and PO3 essentially regulate the</w:t>
      </w:r>
      <w:r>
        <w:t xml:space="preserve"> </w:t>
      </w:r>
      <w:r>
        <w:t xml:space="preserve">same cross-border aspects), it is plausible to assume that the uptake for PO1b might reach</w:t>
      </w:r>
      <w:r>
        <w:t xml:space="preserve"> </w:t>
      </w:r>
      <w:r>
        <w:t xml:space="preserve">similar levels and thus approach potentially the uptake of PO3, which would be higher than for</w:t>
      </w:r>
      <w:r>
        <w:t xml:space="preserve"> </w:t>
      </w:r>
      <w:r>
        <w:t xml:space="preserve">PO1.a. Consequently, this would result in higher reduction of excess launch cost for PO1b,</w:t>
      </w:r>
      <w:r>
        <w:t xml:space="preserve"> </w:t>
      </w:r>
      <w:r>
        <w:t xml:space="preserve">compared to PO1a, and similar launch cost to PO3. However, as the targeted stakeholder</w:t>
      </w:r>
      <w:r>
        <w:t xml:space="preserve"> </w:t>
      </w:r>
      <w:r>
        <w:t xml:space="preserve">consultation for this IA did not include a specific question for PO1b to test this plausibility,</w:t>
      </w:r>
      <w:r>
        <w:t xml:space="preserve"> </w:t>
      </w:r>
      <w:r>
        <w:t xml:space="preserve">this IA will hold the most prudent approach which assumes a similar policy uptake (and the</w:t>
      </w:r>
      <w:r>
        <w:t xml:space="preserve"> </w:t>
      </w:r>
      <w:r>
        <w:t xml:space="preserve">excess cost reduction of launch costs) of PO1b and PO1a. The same reasoning could be made</w:t>
      </w:r>
      <w:r>
        <w:t xml:space="preserve"> </w:t>
      </w:r>
      <w:r>
        <w:t xml:space="preserve">for potential benefits in terms of GDP and job creation. Another element defending the more</w:t>
      </w:r>
      <w:r>
        <w:t xml:space="preserve"> </w:t>
      </w:r>
      <w:r>
        <w:t xml:space="preserve">conservative approach is that PO1b does not provide harmonisation for the more ‘occasional’</w:t>
      </w:r>
      <w:r>
        <w:t xml:space="preserve"> </w:t>
      </w:r>
      <w:r>
        <w:t xml:space="preserve">cross border activities and therefore will not be equally effective.</w:t>
      </w:r>
      <w:r>
        <w:t xml:space="preserve"> </w:t>
      </w:r>
      <w:r>
        <w:t xml:space="preserve">The expected result is that particularly larger associations eager to operate at international level</w:t>
      </w:r>
      <w:r>
        <w:t xml:space="preserve"> </w:t>
      </w:r>
      <w:r>
        <w:t xml:space="preserve">will make use and benefit from such a new legal form, similarly to PO1a. As argued before,</w:t>
      </w:r>
      <w:r>
        <w:t xml:space="preserve"> </w:t>
      </w:r>
      <w:r>
        <w:t xml:space="preserve">PO1b has a more proportionate character than PO1a, but still remains an EU legal form. The</w:t>
      </w:r>
      <w:r>
        <w:t xml:space="preserve"> </w:t>
      </w:r>
      <w:r>
        <w:t xml:space="preserve">extent to which these benefits will trickle down to smaller associations will depend on the</w:t>
      </w:r>
      <w:r>
        <w:t xml:space="preserve"> </w:t>
      </w:r>
      <w:r>
        <w:t xml:space="preserve">complexity and cost of converting into such a legal form, or, for newly established associations,</w:t>
      </w:r>
      <w:r>
        <w:t xml:space="preserve"> </w:t>
      </w:r>
      <w:r>
        <w:t xml:space="preserve">the extent to which this is more complex than using national legal forms. Stakeholder feedback</w:t>
      </w:r>
      <w:r>
        <w:t xml:space="preserve"> </w:t>
      </w:r>
      <w:r>
        <w:t xml:space="preserve">on comparable precedents shows that this kind of technique adds complexity for those using</w:t>
      </w:r>
      <w:r>
        <w:t xml:space="preserve"> </w:t>
      </w:r>
      <w:r>
        <w:t xml:space="preserve">such legal form, given that it requires relying on an EU Regulation in part and on national law</w:t>
      </w:r>
      <w:r>
        <w:t xml:space="preserve"> </w:t>
      </w:r>
      <w:r>
        <w:t xml:space="preserve">otherwise, which may have a negative effect on uptake.184 Hence, in summary, due to lack of</w:t>
      </w:r>
      <w:r>
        <w:t xml:space="preserve"> </w:t>
      </w:r>
      <w:r>
        <w:t xml:space="preserve">specific evidence that would point otherwise, and the assumed similarity in the uptake potential</w:t>
      </w:r>
      <w:r>
        <w:t xml:space="preserve"> </w:t>
      </w:r>
      <w:r>
        <w:t xml:space="preserve">between PO1a and PO1b, the long-term estimated impacts of PO1b are not likely to differ from</w:t>
      </w:r>
      <w:r>
        <w:t xml:space="preserve"> </w:t>
      </w:r>
      <w:r>
        <w:t xml:space="preserve">PO1a.</w:t>
      </w:r>
      <w:r>
        <w:t xml:space="preserve"> </w:t>
      </w:r>
      <w:r>
        <w:t xml:space="preserve">Considering impacts on Member States, they are largely the same as under PO1a: limited costs</w:t>
      </w:r>
      <w:r>
        <w:t xml:space="preserve"> </w:t>
      </w:r>
      <w:r>
        <w:t xml:space="preserve">can be expected arising from the need to introduce a new legal form and allow for registration</w:t>
      </w:r>
      <w:r>
        <w:t xml:space="preserve"> </w:t>
      </w:r>
      <w:r>
        <w:t xml:space="preserve">and monitoring of this legal form. In this sub-option, such cost should however be somewhat</w:t>
      </w:r>
      <w:r>
        <w:t xml:space="preserve"> </w:t>
      </w:r>
      <w:r>
        <w:t xml:space="preserve">lower than in PO1a, given its scope limited to cross-border aspects requiring adaptation and</w:t>
      </w:r>
      <w:r>
        <w:t xml:space="preserve"> </w:t>
      </w:r>
      <w:r>
        <w:t xml:space="preserve">information costs of small scale. Differences arise concerning the elements that are not</w:t>
      </w:r>
      <w:r>
        <w:t xml:space="preserve"> </w:t>
      </w:r>
      <w:r>
        <w:t xml:space="preserve">prescribed at EU level, but which rather refer to Member State law concerning comparable</w:t>
      </w:r>
      <w:r>
        <w:t xml:space="preserve"> </w:t>
      </w:r>
      <w:r>
        <w:t xml:space="preserve">entities. Some Member States might still need to create some additional legislation for these</w:t>
      </w:r>
      <w:r>
        <w:t xml:space="preserve"> </w:t>
      </w:r>
      <w:r>
        <w:t xml:space="preserve">elements, given that not all Member States currently comprehensively regulate on association</w:t>
      </w:r>
      <w:r>
        <w:t xml:space="preserve"> </w:t>
      </w:r>
      <w:r>
        <w:t xml:space="preserve">law.</w:t>
      </w:r>
    </w:p>
    <w:p>
      <w:pPr>
        <w:pStyle w:val="BodyText"/>
      </w:pPr>
      <w:r>
        <w:t xml:space="preserve">184 As shown by consultations concerning the evaluation of the European Cooperative Society.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6.1 PO2: Harmonisation regarding common minimum standards for cross-border</w:t>
      </w:r>
      <w:r>
        <w:t xml:space="preserve"> </w:t>
      </w:r>
      <w:r>
        <w:t xml:space="preserve">activities of associations</w:t>
      </w:r>
      <w:r>
        <w:t xml:space="preserve"> </w:t>
      </w:r>
      <w:r>
        <w:t xml:space="preserve">As PO2 would harmonise national association laws (see Section 5.2.2 for an overview of</w:t>
      </w:r>
      <w:r>
        <w:t xml:space="preserve"> </w:t>
      </w:r>
      <w:r>
        <w:t xml:space="preserve">standards identified to be subject of the harmonisation), it would have the main advantage</w:t>
      </w:r>
      <w:r>
        <w:t xml:space="preserve"> </w:t>
      </w:r>
      <w:r>
        <w:t xml:space="preserve">(unlike PO1 and PO3) of not requiring setting up a new legal form for cross-border operations.</w:t>
      </w:r>
      <w:r>
        <w:t xml:space="preserve"> </w:t>
      </w:r>
      <w:r>
        <w:t xml:space="preserve">It would address barriers by setting common minimum standards for cross border aspects.</w:t>
      </w:r>
      <w:r>
        <w:br/>
      </w:r>
      <w:r>
        <w:t xml:space="preserve">The legal instrument would be a directive. The benefit of this legal instrument is that it allows</w:t>
      </w:r>
      <w:r>
        <w:t xml:space="preserve"> </w:t>
      </w:r>
      <w:r>
        <w:t xml:space="preserve">for adapting the prescribed rules to national settings, which may also facilitate uptake and</w:t>
      </w:r>
      <w:r>
        <w:t xml:space="preserve"> </w:t>
      </w:r>
      <w:r>
        <w:t xml:space="preserve">reduce adjustment costs, given the general lack of resources associations are facing. This is</w:t>
      </w:r>
      <w:r>
        <w:t xml:space="preserve"> </w:t>
      </w:r>
      <w:r>
        <w:t xml:space="preserve">also very much compliant with the principle of subsidiarity. The downside concerns the risk of</w:t>
      </w:r>
      <w:r>
        <w:t xml:space="preserve"> </w:t>
      </w:r>
      <w:r>
        <w:t xml:space="preserve">fragmentation resulting from divergent application among the Member States, as well as</w:t>
      </w:r>
      <w:r>
        <w:t xml:space="preserve"> </w:t>
      </w:r>
      <w:r>
        <w:t xml:space="preserve">administrative burden for the Member States, as a result of the transposition process. This may</w:t>
      </w:r>
      <w:r>
        <w:t xml:space="preserve"> </w:t>
      </w:r>
      <w:r>
        <w:t xml:space="preserve">be mitigated through the overall level of precision of the proposed instrument, which may</w:t>
      </w:r>
      <w:r>
        <w:t xml:space="preserve"> </w:t>
      </w:r>
      <w:r>
        <w:t xml:space="preserve">promote legal clarity regarding the prescribed rules and their application . Given the intended</w:t>
      </w:r>
      <w:r>
        <w:t xml:space="preserve"> </w:t>
      </w:r>
      <w:r>
        <w:t xml:space="preserve">content, it is likely that a directive is the only available legal instrument for this policy option.</w:t>
      </w:r>
      <w:r>
        <w:t xml:space="preserve"> </w:t>
      </w:r>
      <w:r>
        <w:t xml:space="preserve">The most significant impact of PO2 would stem from a partial harmonisation leading to</w:t>
      </w:r>
      <w:r>
        <w:t xml:space="preserve"> </w:t>
      </w:r>
      <w:r>
        <w:t xml:space="preserve">simplification of recurring activities for associations (e.g. gathering information, compliance</w:t>
      </w:r>
      <w:r>
        <w:t xml:space="preserve"> </w:t>
      </w:r>
      <w:r>
        <w:t xml:space="preserve">and need for regular external advisory support in cross-border contexts, such as registrations).</w:t>
      </w:r>
      <w:r>
        <w:t xml:space="preserve"> </w:t>
      </w:r>
      <w:r>
        <w:t xml:space="preserve">Consequently, PO2 would impact all associations to the extent that the new requirements differ</w:t>
      </w:r>
      <w:r>
        <w:t xml:space="preserve"> </w:t>
      </w:r>
      <w:r>
        <w:t xml:space="preserve">from the current national settings (baseline scenario).</w:t>
      </w:r>
      <w:r>
        <w:br/>
      </w:r>
      <w:r>
        <w:t xml:space="preserve">Yet, the impact on associations not interested in operating cross-border is expected to be non-</w:t>
      </w:r>
      <w:r>
        <w:t xml:space="preserve"> </w:t>
      </w:r>
      <w:r>
        <w:t xml:space="preserve">significant, as the changed requirements are in principle only tackling elements relevant for</w:t>
      </w:r>
      <w:r>
        <w:t xml:space="preserve"> </w:t>
      </w:r>
      <w:r>
        <w:t xml:space="preserve">cross-border activities, given the targeted scope of harmonisation under this option.</w:t>
      </w:r>
      <w:r>
        <w:t xml:space="preserve"> </w:t>
      </w:r>
      <w:r>
        <w:t xml:space="preserve">For associations operating cross border, PO2 would lift the identified obstacles that they face</w:t>
      </w:r>
      <w:r>
        <w:t xml:space="preserve"> </w:t>
      </w:r>
      <w:r>
        <w:t xml:space="preserve">when operating across borders and would allow for a mechanism for mutual recognition of</w:t>
      </w:r>
      <w:r>
        <w:t xml:space="preserve"> </w:t>
      </w:r>
      <w:r>
        <w:t xml:space="preserve">legal personalities. Harmonisation would not address taxation or labour law and in this respect,</w:t>
      </w:r>
      <w:r>
        <w:t xml:space="preserve"> </w:t>
      </w:r>
      <w:r>
        <w:t xml:space="preserve">barriers will essentially remain. Also, administrative burden will not entirely be prevented. For</w:t>
      </w:r>
      <w:r>
        <w:t xml:space="preserve"> </w:t>
      </w:r>
      <w:r>
        <w:t xml:space="preserve">example, specific registration requirements could still exist for associations that want to operate</w:t>
      </w:r>
      <w:r>
        <w:t xml:space="preserve"> </w:t>
      </w:r>
      <w:r>
        <w:t xml:space="preserve">cross-border (e.g. linked to national requirements concerning taxation, employment), but they</w:t>
      </w:r>
      <w:r>
        <w:t xml:space="preserve"> </w:t>
      </w:r>
      <w:r>
        <w:t xml:space="preserve">should serve justified purposes and be reasonable in terms of burden.</w:t>
      </w:r>
      <w:r>
        <w:br/>
      </w:r>
      <w:r>
        <w:t xml:space="preserve">At the level of the Member States, PO2 would directly generate impacts in terms of adaptation</w:t>
      </w:r>
      <w:r>
        <w:t xml:space="preserve"> </w:t>
      </w:r>
      <w:r>
        <w:t xml:space="preserve">(e.g. they would be required to take specific action by making the relevant amendments to their</w:t>
      </w:r>
      <w:r>
        <w:t xml:space="preserve"> </w:t>
      </w:r>
      <w:r>
        <w:t xml:space="preserve">national laws). Harmonisation may imply removing or adjusting existing provisions or</w:t>
      </w:r>
      <w:r>
        <w:t xml:space="preserve"> </w:t>
      </w:r>
      <w:r>
        <w:t xml:space="preserve">introducing provisions that are absent. Only a few Member States already have provisions or a</w:t>
      </w:r>
      <w:r>
        <w:t xml:space="preserve"> </w:t>
      </w:r>
      <w:r>
        <w:t xml:space="preserve">separate legal form for cross-border associations, while most do not have established provisions</w:t>
      </w:r>
      <w:r>
        <w:t xml:space="preserve"> </w:t>
      </w:r>
      <w:r>
        <w:t xml:space="preserve">tackling cross-border aspects, as mentioned in previous Sections of the IA.</w:t>
      </w:r>
      <w:r>
        <w:t xml:space="preserve"> </w:t>
      </w:r>
      <w:r>
        <w:t xml:space="preserve">6.2.1 Economic impacts on associations</w:t>
      </w:r>
      <w:r>
        <w:t xml:space="preserve"> </w:t>
      </w:r>
      <w:r>
        <w:t xml:space="preserve">Under PO2, the direct economic costs of cross-border operations are expected to be</w:t>
      </w:r>
      <w:r>
        <w:t xml:space="preserve"> </w:t>
      </w:r>
      <w:r>
        <w:t xml:space="preserve">significantly reduced compared to the baseline. In particular:</w:t>
      </w:r>
    </w:p>
    <w:p>
      <w:pPr>
        <w:pStyle w:val="BodyText"/>
      </w:pPr>
      <w:r>
        <w:t xml:space="preserve">66</w:t>
      </w:r>
    </w:p>
    <w:p>
      <w:pPr>
        <w:pStyle w:val="Compact"/>
        <w:numPr>
          <w:ilvl w:val="0"/>
          <w:numId w:val="1008"/>
        </w:numPr>
      </w:pPr>
      <w:r>
        <w:t xml:space="preserve">Associations already active cross-border: harmonisation of rules in the single market</w:t>
      </w:r>
      <w:r>
        <w:t xml:space="preserve"> </w:t>
      </w:r>
      <w:r>
        <w:t xml:space="preserve">leading to substantial simplification in terms of compliance cost and administrative</w:t>
      </w:r>
      <w:r>
        <w:t xml:space="preserve"> </w:t>
      </w:r>
      <w:r>
        <w:t xml:space="preserve">burden for the running cost of operating cross-border;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Associations interested in launching cross-border operations but hesitating due to</w:t>
      </w:r>
      <w:r>
        <w:t xml:space="preserve"> </w:t>
      </w:r>
      <w:r>
        <w:t xml:space="preserve">existing barriers: barriers to entry are significantly reduced thanks to harmonisation of</w:t>
      </w:r>
      <w:r>
        <w:t xml:space="preserve"> </w:t>
      </w:r>
      <w:r>
        <w:t xml:space="preserve">rules in the single market. No need to convert into a new legal form. Particularly</w:t>
      </w:r>
      <w:r>
        <w:t xml:space="preserve"> </w:t>
      </w:r>
      <w:r>
        <w:t xml:space="preserve">beneficial for small associations or those aiming to occasionally work across borders</w:t>
      </w:r>
      <w:r>
        <w:t xml:space="preserve"> </w:t>
      </w:r>
      <w:r>
        <w:t xml:space="preserve">as no costs of converting into a new legal form;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Associations not interested in launching cross-border operations: may be affected by</w:t>
      </w:r>
      <w:r>
        <w:t xml:space="preserve"> </w:t>
      </w:r>
      <w:r>
        <w:t xml:space="preserve">the adaptation of national rules on associations, depending on the transposition of the</w:t>
      </w:r>
      <w:r>
        <w:t xml:space="preserve"> </w:t>
      </w:r>
      <w:r>
        <w:t xml:space="preserve">legal instrument by the Member States.</w:t>
      </w:r>
    </w:p>
    <w:p>
      <w:pPr>
        <w:pStyle w:val="FirstParagraph"/>
      </w:pPr>
      <w:r>
        <w:t xml:space="preserve">Costs of operating cross-border (recurring) for associations already active cross-border</w:t>
      </w:r>
      <w:r>
        <w:t xml:space="preserve"> </w:t>
      </w:r>
      <w:r>
        <w:t xml:space="preserve">(310 000): PO2 has the potential to significantly reduce excess costs of operation compared to</w:t>
      </w:r>
      <w:r>
        <w:t xml:space="preserve"> </w:t>
      </w:r>
      <w:r>
        <w:t xml:space="preserve">the baseline due to its harmonisation effect and thus simplifying gathering information, less</w:t>
      </w:r>
      <w:r>
        <w:t xml:space="preserve"> </w:t>
      </w:r>
      <w:r>
        <w:t xml:space="preserve">internal staff working on compliance and less needs for regular external advisory support. The</w:t>
      </w:r>
      <w:r>
        <w:t xml:space="preserve"> </w:t>
      </w:r>
      <w:r>
        <w:t xml:space="preserve">potential cost reduction is estimated at an order of magnitude of up to EUR 465 million per</w:t>
      </w:r>
      <w:r>
        <w:t xml:space="preserve"> </w:t>
      </w:r>
      <w:r>
        <w:t xml:space="preserve">year (for the assessed timeframe of 15 years), see Annex 4 for calculations).185.</w:t>
      </w:r>
    </w:p>
    <w:p>
      <w:pPr>
        <w:pStyle w:val="BodyText"/>
      </w:pPr>
      <w:r>
        <w:t xml:space="preserve">Table 11: Excess cost reduction per year (for the assessed timeframe of 15 years).</w:t>
      </w:r>
    </w:p>
    <w:p>
      <w:pPr>
        <w:pStyle w:val="BodyText"/>
      </w:pPr>
      <w:r>
        <w:t xml:space="preserve">Max cost reduction per year for PO2</w:t>
      </w:r>
      <w:r>
        <w:br/>
      </w:r>
      <w:r>
        <w:t xml:space="preserve">Information cost (internal staff)</w:t>
      </w:r>
      <w:r>
        <w:t xml:space="preserve"> </w:t>
      </w:r>
      <w:r>
        <w:t xml:space="preserve">~EUR 210 million</w:t>
      </w:r>
      <w:r>
        <w:t xml:space="preserve"> </w:t>
      </w:r>
      <w:r>
        <w:t xml:space="preserve">Compliance cost (internal staff)</w:t>
      </w:r>
      <w:r>
        <w:t xml:space="preserve"> </w:t>
      </w:r>
      <w:r>
        <w:t xml:space="preserve">~EUR 115 million</w:t>
      </w:r>
      <w:r>
        <w:t xml:space="preserve"> </w:t>
      </w:r>
      <w:r>
        <w:t xml:space="preserve">Direct cost/External advisory cost</w:t>
      </w:r>
      <w:r>
        <w:t xml:space="preserve"> </w:t>
      </w:r>
      <w:r>
        <w:t xml:space="preserve">(External running cost)</w:t>
      </w:r>
      <w:r>
        <w:t xml:space="preserve"> </w:t>
      </w:r>
      <w:r>
        <w:t xml:space="preserve">~EUR 140 million</w:t>
      </w:r>
    </w:p>
    <w:p>
      <w:pPr>
        <w:pStyle w:val="BodyText"/>
      </w:pPr>
      <w:r>
        <w:t xml:space="preserve">It should be stressed that this cost reduction is not applicable to associations not acting across</w:t>
      </w:r>
      <w:r>
        <w:t xml:space="preserve"> </w:t>
      </w:r>
      <w:r>
        <w:t xml:space="preserve">borders or without the ambition to develop such operations.</w:t>
      </w:r>
    </w:p>
    <w:p>
      <w:pPr>
        <w:pStyle w:val="BodyText"/>
      </w:pPr>
      <w:r>
        <w:t xml:space="preserve">For future cross-border operations of associations, the launch cost is estimated at EUR 3 800</w:t>
      </w:r>
      <w:r>
        <w:t xml:space="preserve"> </w:t>
      </w:r>
      <w:r>
        <w:t xml:space="preserve">which is a cost reduction of EUR 1 850 per launch186, compared to the baseline of EUR 5 650</w:t>
      </w:r>
    </w:p>
    <w:p>
      <w:pPr>
        <w:pStyle w:val="BodyText"/>
      </w:pPr>
      <w:r>
        <w:t xml:space="preserve">185 This cost reduction is not applicable to those associations not acting across borders or without the ambition to</w:t>
      </w:r>
      <w:r>
        <w:t xml:space="preserve"> </w:t>
      </w:r>
      <w:r>
        <w:t xml:space="preserve">develop such initiatives in future. The basis for calculations are those associations estimated to be already active</w:t>
      </w:r>
      <w:r>
        <w:t xml:space="preserve"> </w:t>
      </w:r>
      <w:r>
        <w:t xml:space="preserve">cross borders (310 000). For detailed calculations see Annex 4 (Section 2.5). The main source of information for</w:t>
      </w:r>
      <w:r>
        <w:t xml:space="preserve"> </w:t>
      </w:r>
      <w:r>
        <w:t xml:space="preserve">the assessment of the operation costs was primary data collection, via the targeted survey and in-depth interviews,</w:t>
      </w:r>
      <w:r>
        <w:t xml:space="preserve"> </w:t>
      </w:r>
      <w:r>
        <w:t xml:space="preserve">which also focused on costs assessment. Costs were also assessed against available secondary data (IA study).</w:t>
      </w:r>
      <w:r>
        <w:t xml:space="preserve"> </w:t>
      </w:r>
      <w:r>
        <w:t xml:space="preserve">However, it is not likely to expect such effect to materialise from year one. We can assume a lag effect of one</w:t>
      </w:r>
      <w:r>
        <w:t xml:space="preserve"> </w:t>
      </w:r>
      <w:r>
        <w:t xml:space="preserve">year where no effects can be observed, due to the time to effectively implement the appropriate policy intervention</w:t>
      </w:r>
      <w:r>
        <w:t xml:space="preserve"> </w:t>
      </w:r>
      <w:r>
        <w:t xml:space="preserve">and produce the desired effects on relevant stakeholders (e.g. delay of uptake that can be expected due to the</w:t>
      </w:r>
      <w:r>
        <w:t xml:space="preserve"> </w:t>
      </w:r>
      <w:r>
        <w:t xml:space="preserve">transposition timeframe of the Directive). Therefore, starting from year one, we can expect a linear increase from</w:t>
      </w:r>
      <w:r>
        <w:t xml:space="preserve"> </w:t>
      </w:r>
      <w:r>
        <w:t xml:space="preserve">the current situation to the full cost reduction potential (i.e. EUR 465 million per year) until year five. As of year</w:t>
      </w:r>
      <w:r>
        <w:t xml:space="preserve"> </w:t>
      </w:r>
      <w:r>
        <w:t xml:space="preserve">five, we can expect the policy intervention to be fully effective and to produce the maximum expected results.</w:t>
      </w:r>
      <w:r>
        <w:t xml:space="preserve"> </w:t>
      </w:r>
      <w:r>
        <w:t xml:space="preserve">186 IA study. Estimates based on association responses to the targeted survey and in-depth interviews.</w:t>
      </w:r>
      <w:r>
        <w:br/>
      </w:r>
      <w:r>
        <w:t xml:space="preserve">Internal setup cost (compliance cost): EUR 1 200 and external advisory cost (direct cost): EUR 650.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(for detailed overview see Annex 4).187 Within the assessed 15-year time frame, this excess</w:t>
      </w:r>
      <w:r>
        <w:t xml:space="preserve"> </w:t>
      </w:r>
      <w:r>
        <w:t xml:space="preserve">cost reduction could potentially range between EUR 240 million and EUR 274 million, in case</w:t>
      </w:r>
      <w:r>
        <w:t xml:space="preserve"> </w:t>
      </w:r>
      <w:r>
        <w:t xml:space="preserve">of scenario A and between EUR 201 million and EUR 229 million, in case of scenario B.188</w:t>
      </w:r>
      <w:r>
        <w:t xml:space="preserve"> </w:t>
      </w:r>
      <w:r>
        <w:t xml:space="preserve">6.2.2 Indirect economic effects</w:t>
      </w:r>
      <w:r>
        <w:t xml:space="preserve"> </w:t>
      </w:r>
      <w:r>
        <w:t xml:space="preserve">PO2 is expected to significantly lower the barrier to launch cross-border operations as it would</w:t>
      </w:r>
      <w:r>
        <w:t xml:space="preserve"> </w:t>
      </w:r>
      <w:r>
        <w:t xml:space="preserve">benefit also associations that only occasionally are interested in cross-border activities. This</w:t>
      </w:r>
      <w:r>
        <w:t xml:space="preserve"> </w:t>
      </w:r>
      <w:r>
        <w:t xml:space="preserve">could be often smaller associations (small number of paid employees or budget), which account</w:t>
      </w:r>
      <w:r>
        <w:t xml:space="preserve"> </w:t>
      </w:r>
      <w:r>
        <w:t xml:space="preserve">for by far the largest share of associations overall.</w:t>
      </w:r>
      <w:r>
        <w:t xml:space="preserve"> </w:t>
      </w:r>
      <w:r>
        <w:t xml:space="preserve">As described in tables 7 and 8, for this PO2, the estimated number of additional cross-border</w:t>
      </w:r>
      <w:r>
        <w:t xml:space="preserve"> </w:t>
      </w:r>
      <w:r>
        <w:t xml:space="preserve">associations range between 130 000 – 149 000 for scenario A and 108 000 – 124 000 for</w:t>
      </w:r>
      <w:r>
        <w:t xml:space="preserve"> </w:t>
      </w:r>
      <w:r>
        <w:t xml:space="preserve">scenario B, additional GDP range between EUR 2.9 billion – EUR 3.4 billion for scenario A</w:t>
      </w:r>
      <w:r>
        <w:t xml:space="preserve"> </w:t>
      </w:r>
      <w:r>
        <w:t xml:space="preserve">and EUR 2.4 billion – EUR 2.8 billion for scenario B and additional employment GDP range</w:t>
      </w:r>
      <w:r>
        <w:t xml:space="preserve"> </w:t>
      </w:r>
      <w:r>
        <w:t xml:space="preserve">between 53 000 – 60 000 for scenario A and 44 000 – 50 000 for scenario B.189</w:t>
      </w:r>
      <w:r>
        <w:br/>
      </w:r>
      <w:r>
        <w:t xml:space="preserve">6.2.3 Impacts on Member States</w:t>
      </w:r>
      <w:r>
        <w:t xml:space="preserve"> </w:t>
      </w:r>
      <w:r>
        <w:t xml:space="preserve">In general, PO2 is expected to have the strongest impact on Member States as it would require</w:t>
      </w:r>
      <w:r>
        <w:t xml:space="preserve"> </w:t>
      </w:r>
      <w:r>
        <w:t xml:space="preserve">adaptation of the national rules on associations. This said, and as illustrated in the first part of</w:t>
      </w:r>
      <w:r>
        <w:t xml:space="preserve"> </w:t>
      </w:r>
      <w:r>
        <w:t xml:space="preserve">this Section, the magnitude of the cost is not such that it constitutes a significant cost for</w:t>
      </w:r>
      <w:r>
        <w:t xml:space="preserve"> </w:t>
      </w:r>
      <w:r>
        <w:t xml:space="preserve">competent authorities at Member State level.190</w:t>
      </w:r>
      <w:r>
        <w:br/>
      </w:r>
      <w:r>
        <w:t xml:space="preserve">This section will, however, provide a short overview of different costs and benefits.</w:t>
      </w:r>
      <w:r>
        <w:br/>
      </w:r>
      <w:r>
        <w:t xml:space="preserve">Information costs: all associations with or without cross-border activities will need to be</w:t>
      </w:r>
      <w:r>
        <w:t xml:space="preserve"> </w:t>
      </w:r>
      <w:r>
        <w:t xml:space="preserve">informed about changes in the legislation and subsequent compliance. Differences between</w:t>
      </w:r>
      <w:r>
        <w:t xml:space="preserve"> </w:t>
      </w:r>
      <w:r>
        <w:t xml:space="preserve">Member States will greatly depend on the degree to which existing legislation should be</w:t>
      </w:r>
      <w:r>
        <w:t xml:space="preserve"> </w:t>
      </w:r>
      <w:r>
        <w:t xml:space="preserve">adapted to guarantee a homogeneous way of introducing the new provisions in the respective</w:t>
      </w:r>
      <w:r>
        <w:t xml:space="preserve"> </w:t>
      </w:r>
      <w:r>
        <w:t xml:space="preserve">legal systems of Member States (for example when introducing new rules on cross-border</w:t>
      </w:r>
      <w:r>
        <w:t xml:space="preserve"> </w:t>
      </w:r>
      <w:r>
        <w:t xml:space="preserve">aspects or amending existing one, when there is not yet a register, or the registration processes</w:t>
      </w:r>
      <w:r>
        <w:t xml:space="preserve"> </w:t>
      </w:r>
      <w:r>
        <w:t xml:space="preserve">needs to be fully or partially adapted). The information “weight” (complexity of changes) is</w:t>
      </w:r>
      <w:r>
        <w:t xml:space="preserve"> </w:t>
      </w:r>
      <w:r>
        <w:t xml:space="preserve">expected to be relatively higher than for PO1 and PO3 as it would imply informing all</w:t>
      </w:r>
      <w:r>
        <w:t xml:space="preserve"> </w:t>
      </w:r>
      <w:r>
        <w:t xml:space="preserve">associations about changes made in the national framework for associations, despite the</w:t>
      </w:r>
      <w:r>
        <w:t xml:space="preserve"> </w:t>
      </w:r>
      <w:r>
        <w:t xml:space="preserve">targeted elements of compliance (those harmonised) of potential interest for those associations</w:t>
      </w:r>
      <w:r>
        <w:t xml:space="preserve"> </w:t>
      </w:r>
      <w:r>
        <w:t xml:space="preserve">with cross-border needs.</w:t>
      </w:r>
    </w:p>
    <w:p>
      <w:pPr>
        <w:pStyle w:val="BodyText"/>
      </w:pPr>
      <w:r>
        <w:t xml:space="preserve">187 In case the legal form allows associations to operate in other Member States (without establishment) this saved</w:t>
      </w:r>
      <w:r>
        <w:t xml:space="preserve"> </w:t>
      </w:r>
      <w:r>
        <w:t xml:space="preserve">costs would be multipliable by the amount of Member States where a registration had to be done under the baseline</w:t>
      </w:r>
      <w:r>
        <w:t xml:space="preserve"> </w:t>
      </w:r>
      <w:r>
        <w:t xml:space="preserve">scenario.</w:t>
      </w:r>
      <w:r>
        <w:br/>
      </w:r>
      <w:r>
        <w:t xml:space="preserve">188 Applying this cost estimate to the estimate range (considering both scenario A and scenario B) of new</w:t>
      </w:r>
      <w:r>
        <w:t xml:space="preserve"> </w:t>
      </w:r>
      <w:r>
        <w:t xml:space="preserve">associations that are expected to launch cross-border given this policy option.</w:t>
      </w:r>
      <w:r>
        <w:br/>
      </w:r>
      <w:r>
        <w:t xml:space="preserve">189 Figures for both scenarios A and B based on a policy uptake range between 85% and 95%. This range</w:t>
      </w:r>
      <w:r>
        <w:t xml:space="preserve"> </w:t>
      </w:r>
      <w:r>
        <w:t xml:space="preserve">corresponds to a central estimate 75% uptake of the policy intervention as suggested by the IA study based on</w:t>
      </w:r>
      <w:r>
        <w:t xml:space="preserve"> </w:t>
      </w:r>
      <w:r>
        <w:t xml:space="preserve">targeted survey and in-depth interviews, as well as legal analysis.</w:t>
      </w:r>
      <w:r>
        <w:t xml:space="preserve"> </w:t>
      </w:r>
      <w:r>
        <w:t xml:space="preserve">190 IA study.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Adjustment costs (monitoring and supervision): PO2 will impact competent authorities as</w:t>
      </w:r>
      <w:r>
        <w:t xml:space="preserve"> </w:t>
      </w:r>
      <w:r>
        <w:t xml:space="preserve">adjustment costs related to monitoring and supervision framework are to be expected in this</w:t>
      </w:r>
      <w:r>
        <w:t xml:space="preserve"> </w:t>
      </w:r>
      <w:r>
        <w:t xml:space="preserve">respect, given that new procedures concerning mutual recognition may be established. This, in</w:t>
      </w:r>
      <w:r>
        <w:t xml:space="preserve"> </w:t>
      </w:r>
      <w:r>
        <w:t xml:space="preserve">turn, may give rise to an increased number of associations to monitor and supervise. On the</w:t>
      </w:r>
      <w:r>
        <w:t xml:space="preserve"> </w:t>
      </w:r>
      <w:r>
        <w:t xml:space="preserve">other hand, with improved possibilities to recognise the legal personality for cross-border</w:t>
      </w:r>
      <w:r>
        <w:t xml:space="preserve"> </w:t>
      </w:r>
      <w:r>
        <w:t xml:space="preserve">associations, therefore less procedures in terms of full establishment (setting up new legal</w:t>
      </w:r>
      <w:r>
        <w:t xml:space="preserve"> </w:t>
      </w:r>
      <w:r>
        <w:t xml:space="preserve">entities or establishing branches) will need to be managed by the supervising authority in the</w:t>
      </w:r>
      <w:r>
        <w:t xml:space="preserve"> </w:t>
      </w:r>
      <w:r>
        <w:t xml:space="preserve">long run (less costs).</w:t>
      </w:r>
      <w:r>
        <w:br/>
      </w:r>
      <w:r>
        <w:t xml:space="preserve">Adjustment costs (registration): in the short term, considering adjustment costs for authorities</w:t>
      </w:r>
      <w:r>
        <w:t xml:space="preserve"> </w:t>
      </w:r>
      <w:r>
        <w:t xml:space="preserve">related to the registration of associations, PO2 will require the adaptation of current registers</w:t>
      </w:r>
      <w:r>
        <w:t xml:space="preserve"> </w:t>
      </w:r>
      <w:r>
        <w:t xml:space="preserve">(or for those without a register: create a register or adapt another existing register) to the</w:t>
      </w:r>
      <w:r>
        <w:t xml:space="preserve"> </w:t>
      </w:r>
      <w:r>
        <w:t xml:space="preserve">common standards allowing recognition and equal treatment across borders.191 Please note that</w:t>
      </w:r>
      <w:r>
        <w:t xml:space="preserve"> </w:t>
      </w:r>
      <w:r>
        <w:t xml:space="preserve">impacts relating to the creation or adaptation of national online registers under all options are</w:t>
      </w:r>
      <w:r>
        <w:t xml:space="preserve"> </w:t>
      </w:r>
      <w:r>
        <w:t xml:space="preserve">presented in the first part of the section 6.</w:t>
      </w:r>
      <w:r>
        <w:t xml:space="preserve"> </w:t>
      </w:r>
      <w:r>
        <w:t xml:space="preserve">6.2.4 Stakeholders’ views on policy option 2</w:t>
      </w:r>
      <w:r>
        <w:t xml:space="preserve"> </w:t>
      </w:r>
      <w:r>
        <w:t xml:space="preserve">In terms of its effectiveness in facilitating associations to establish operations in another</w:t>
      </w:r>
      <w:r>
        <w:t xml:space="preserve"> </w:t>
      </w:r>
      <w:r>
        <w:t xml:space="preserve">Member State, this policy option received on average a score of 3.4 of 5 in the targeted survey.</w:t>
      </w:r>
      <w:r>
        <w:t xml:space="preserve"> </w:t>
      </w:r>
      <w:r>
        <w:t xml:space="preserve">Results from the Public Consultation show that 32% (12 out of 38) of the respondents who</w:t>
      </w:r>
      <w:r>
        <w:t xml:space="preserve"> </w:t>
      </w:r>
      <w:r>
        <w:t xml:space="preserve">identified themselves under the legal form of associations chose ‘harmonisation of some</w:t>
      </w:r>
      <w:r>
        <w:t xml:space="preserve"> </w:t>
      </w:r>
      <w:r>
        <w:t xml:space="preserve">common minimum standards’ as their preferred policy option. And 42% (26 out of 64) of all</w:t>
      </w:r>
      <w:r>
        <w:t xml:space="preserve"> </w:t>
      </w:r>
      <w:r>
        <w:t xml:space="preserve">of respondents to the Public Consultation indicated as preferred option the harmonisation of</w:t>
      </w:r>
      <w:r>
        <w:t xml:space="preserve"> </w:t>
      </w:r>
      <w:r>
        <w:t xml:space="preserve">common minimum standards for cross-border operations in the EU.</w:t>
      </w:r>
      <w:r>
        <w:t xml:space="preserve"> </w:t>
      </w:r>
      <w:r>
        <w:t xml:space="preserve">6.3 PO3: Creation of an additional national legal form of association designed for a</w:t>
      </w:r>
      <w:r>
        <w:t xml:space="preserve"> </w:t>
      </w:r>
      <w:r>
        <w:t xml:space="preserve">cross-border membership and/or cross-border purposes or activities</w:t>
      </w:r>
      <w:r>
        <w:br/>
      </w:r>
      <w:r>
        <w:t xml:space="preserve">This policy option would require Member States to introduce in their legal systems a legal form</w:t>
      </w:r>
      <w:r>
        <w:t xml:space="preserve"> </w:t>
      </w:r>
      <w:r>
        <w:t xml:space="preserve">for associations specifically designed for cross-border membership and/or for cross-border</w:t>
      </w:r>
      <w:r>
        <w:t xml:space="preserve"> </w:t>
      </w:r>
      <w:r>
        <w:t xml:space="preserve">activities and/or purposes (‘cross-order association’). PO3 would be based on limited</w:t>
      </w:r>
      <w:r>
        <w:t xml:space="preserve"> </w:t>
      </w:r>
      <w:r>
        <w:t xml:space="preserve">provisions essential to cross-border activities and based on mutual recognition among Member</w:t>
      </w:r>
      <w:r>
        <w:t xml:space="preserve"> </w:t>
      </w:r>
      <w:r>
        <w:t xml:space="preserve">States (see Section 5.3.3), while respecting varying national traditions in association law (as it</w:t>
      </w:r>
      <w:r>
        <w:t xml:space="preserve"> </w:t>
      </w:r>
      <w:r>
        <w:t xml:space="preserve">leaves existing legislation in the Member States untouched). It offers a combination of PO1</w:t>
      </w:r>
      <w:r>
        <w:t xml:space="preserve"> </w:t>
      </w:r>
      <w:r>
        <w:t xml:space="preserve">and PO2, in that it creates an additional new legal form of association (similar to PO1), but</w:t>
      </w:r>
      <w:r>
        <w:t xml:space="preserve"> </w:t>
      </w:r>
      <w:r>
        <w:t xml:space="preserve">with provisions relevant to cross-border aspects, which Member States may adapt to their</w:t>
      </w:r>
      <w:r>
        <w:t xml:space="preserve"> </w:t>
      </w:r>
      <w:r>
        <w:t xml:space="preserve">respective national setting through transposition (similar to PO2), but without amending rules</w:t>
      </w:r>
      <w:r>
        <w:t xml:space="preserve"> </w:t>
      </w:r>
      <w:r>
        <w:t xml:space="preserve">on existing legal forms on associations in the Member States.</w:t>
      </w:r>
      <w:r>
        <w:br/>
      </w:r>
      <w:r>
        <w:t xml:space="preserve">The legal instrument would be a directive. The benefit of this legal instrument is that it allows</w:t>
      </w:r>
      <w:r>
        <w:t xml:space="preserve"> </w:t>
      </w:r>
      <w:r>
        <w:t xml:space="preserve">for adapting the prescribed rules to national settings, which may also facilitate uptake and</w:t>
      </w:r>
      <w:r>
        <w:t xml:space="preserve"> </w:t>
      </w:r>
      <w:r>
        <w:t xml:space="preserve">reduce adjustment costs, given the general lack of resources associations are facing. This is</w:t>
      </w:r>
      <w:r>
        <w:t xml:space="preserve"> </w:t>
      </w:r>
      <w:r>
        <w:t xml:space="preserve">also very much compliant with the principle of subsidiarity. The downside concerns the</w:t>
      </w:r>
    </w:p>
    <w:p>
      <w:pPr>
        <w:pStyle w:val="BodyText"/>
      </w:pPr>
      <w:r>
        <w:t xml:space="preserve">191 Those Member States without a register (such as Ireland, Denmark and Sweden), will need to establish one to</w:t>
      </w:r>
      <w:r>
        <w:t xml:space="preserve"> </w:t>
      </w:r>
      <w:r>
        <w:t xml:space="preserve">allow the mutual recognition or integrate it in existing registers (see also cost estimates in the intro of this Section).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possible risk of fragmentation resulting from divergent interpretation among the Member</w:t>
      </w:r>
      <w:r>
        <w:t xml:space="preserve"> </w:t>
      </w:r>
      <w:r>
        <w:t xml:space="preserve">States, as well as administrative burden for Member States, as a result of the transposition</w:t>
      </w:r>
      <w:r>
        <w:t xml:space="preserve"> </w:t>
      </w:r>
      <w:r>
        <w:t xml:space="preserve">process. This may be mitigated through the overall level of precision of the proposed</w:t>
      </w:r>
      <w:r>
        <w:t xml:space="preserve"> </w:t>
      </w:r>
      <w:r>
        <w:t xml:space="preserve">instrument, which may promote legal clarity with regard to prescribed rules and their</w:t>
      </w:r>
      <w:r>
        <w:t xml:space="preserve"> </w:t>
      </w:r>
      <w:r>
        <w:t xml:space="preserve">application. Given the intended content and appropriate legal basis, it is likely that a directive</w:t>
      </w:r>
      <w:r>
        <w:t xml:space="preserve"> </w:t>
      </w:r>
      <w:r>
        <w:t xml:space="preserve">is the only available legal instrument for this policy option.</w:t>
      </w:r>
      <w:r>
        <w:t xml:space="preserve"> </w:t>
      </w:r>
      <w:r>
        <w:t xml:space="preserve">Under PO3, no full streamlining of all administrative procedures for (cross-border and national)</w:t>
      </w:r>
      <w:r>
        <w:t xml:space="preserve"> </w:t>
      </w:r>
      <w:r>
        <w:t xml:space="preserve">associations will be achieved, as PO3 does not touch existing legislation. Finally, the creation</w:t>
      </w:r>
      <w:r>
        <w:t xml:space="preserve"> </w:t>
      </w:r>
      <w:r>
        <w:t xml:space="preserve">of an additional legal form (as for PO1) could create ‘competition’ between existing legal forms</w:t>
      </w:r>
      <w:r>
        <w:t xml:space="preserve"> </w:t>
      </w:r>
      <w:r>
        <w:t xml:space="preserve">for associations in the Member States and this new legal form may lead to a sort of ‘jurisdiction</w:t>
      </w:r>
      <w:r>
        <w:t xml:space="preserve"> </w:t>
      </w:r>
      <w:r>
        <w:t xml:space="preserve">shopping’ by the associations wishing to take up the new legal form. It is important to note that</w:t>
      </w:r>
      <w:r>
        <w:t xml:space="preserve"> </w:t>
      </w:r>
      <w:r>
        <w:t xml:space="preserve">PO3 will not affect associations that do not want to operate across borders.</w:t>
      </w:r>
      <w:r>
        <w:t xml:space="preserve"> </w:t>
      </w:r>
      <w:r>
        <w:t xml:space="preserve">6.3.1 Economic impacts on associations</w:t>
      </w:r>
      <w:r>
        <w:t xml:space="preserve"> </w:t>
      </w:r>
      <w:r>
        <w:t xml:space="preserve">Under PO3, the direct economic costs of cross-border operations are expected to be</w:t>
      </w:r>
      <w:r>
        <w:t xml:space="preserve"> </w:t>
      </w:r>
      <w:r>
        <w:t xml:space="preserve">significantly reduced compared to the baseline. In particular:</w:t>
      </w:r>
    </w:p>
    <w:p>
      <w:pPr>
        <w:pStyle w:val="Compact"/>
        <w:numPr>
          <w:ilvl w:val="0"/>
          <w:numId w:val="1009"/>
        </w:numPr>
      </w:pPr>
      <w:r>
        <w:t xml:space="preserve">Associations already active cross-border: if converting to the new legal form at</w:t>
      </w:r>
      <w:r>
        <w:t xml:space="preserve"> </w:t>
      </w:r>
      <w:r>
        <w:t xml:space="preserve">national level, substantial simplification in terms of compliance cost and</w:t>
      </w:r>
      <w:r>
        <w:t xml:space="preserve"> </w:t>
      </w:r>
      <w:r>
        <w:t xml:space="preserve">administrative burden can be expected.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Associations interested in launching cross-border operations, but hesitating due to</w:t>
      </w:r>
      <w:r>
        <w:t xml:space="preserve"> </w:t>
      </w:r>
      <w:r>
        <w:t xml:space="preserve">existing barriers: if converting to the new legal form at national level, significantly</w:t>
      </w:r>
      <w:r>
        <w:t xml:space="preserve"> </w:t>
      </w:r>
      <w:r>
        <w:t xml:space="preserve">reduced costs thanks to the recognition of new legal form among Member States, legal</w:t>
      </w:r>
      <w:r>
        <w:t xml:space="preserve"> </w:t>
      </w:r>
      <w:r>
        <w:t xml:space="preserve">certainty and reduced red tape;</w:t>
      </w:r>
    </w:p>
    <w:p>
      <w:pPr>
        <w:pStyle w:val="Compact"/>
        <w:numPr>
          <w:ilvl w:val="0"/>
          <w:numId w:val="1009"/>
        </w:numPr>
      </w:pPr>
      <w:r>
        <w:t xml:space="preserve">Associations not interested in launching cross-border operations: this policy option</w:t>
      </w:r>
      <w:r>
        <w:t xml:space="preserve"> </w:t>
      </w:r>
      <w:r>
        <w:t xml:space="preserve">does not affect these associations as they are not obliged to transform.</w:t>
      </w:r>
    </w:p>
    <w:p>
      <w:pPr>
        <w:pStyle w:val="FirstParagraph"/>
      </w:pPr>
      <w:r>
        <w:t xml:space="preserve">Consequently, the compliance and administrative burden will decrease. This is particularly</w:t>
      </w:r>
      <w:r>
        <w:t xml:space="preserve"> </w:t>
      </w:r>
      <w:r>
        <w:t xml:space="preserve">relevant for associations active in multiple or all Member States, though they would first have</w:t>
      </w:r>
      <w:r>
        <w:t xml:space="preserve"> </w:t>
      </w:r>
      <w:r>
        <w:t xml:space="preserve">to invest in their conversion to the new form to benefit (similar to PO1).</w:t>
      </w:r>
    </w:p>
    <w:p>
      <w:pPr>
        <w:pStyle w:val="BodyText"/>
      </w:pPr>
      <w:r>
        <w:t xml:space="preserve">Costs of operating cross-border (recurring) for associations active across borders (310</w:t>
      </w:r>
      <w:r>
        <w:t xml:space="preserve"> </w:t>
      </w:r>
      <w:r>
        <w:t xml:space="preserve">000): PO3 has the potential to reduce costs of operation particularly for associations operating</w:t>
      </w:r>
      <w:r>
        <w:t xml:space="preserve"> </w:t>
      </w:r>
      <w:r>
        <w:t xml:space="preserve">in multiple Member States, due to its harmonisation effect and simplification in terms of</w:t>
      </w:r>
      <w:r>
        <w:t xml:space="preserve"> </w:t>
      </w:r>
      <w:r>
        <w:t xml:space="preserve">gathering information, internal staff working on compliance and needs for regular external</w:t>
      </w:r>
      <w:r>
        <w:t xml:space="preserve"> </w:t>
      </w:r>
      <w:r>
        <w:t xml:space="preserve">advisory support. The extent to which such benefits materialise depends, however, largely on</w:t>
      </w:r>
      <w:r>
        <w:t xml:space="preserve"> </w:t>
      </w:r>
      <w:r>
        <w:t xml:space="preserve">the extent of uptake of the new legal form. The potential cost reduction is estimated at an order</w:t>
      </w:r>
      <w:r>
        <w:t xml:space="preserve"> </w:t>
      </w:r>
      <w:r>
        <w:t xml:space="preserve">of magnitude of up to 770 million per year (for the assessed timeframe of 15 years), see</w:t>
      </w:r>
      <w:r>
        <w:t xml:space="preserve"> </w:t>
      </w:r>
      <w:r>
        <w:t xml:space="preserve">Annex 4 for calculations.192</w:t>
      </w:r>
    </w:p>
    <w:p>
      <w:pPr>
        <w:pStyle w:val="BodyText"/>
      </w:pPr>
      <w:r>
        <w:t xml:space="preserve">192 This cost reduction is not applicable to those associations not acting across borders or without the ambition to</w:t>
      </w:r>
      <w:r>
        <w:t xml:space="preserve"> </w:t>
      </w:r>
      <w:r>
        <w:t xml:space="preserve">develop such initiatives in future. The basis for calculations are those associations estimated to be already active</w:t>
      </w:r>
      <w:r>
        <w:t xml:space="preserve"> </w:t>
      </w:r>
      <w:r>
        <w:t xml:space="preserve">cross borders (310 000). For detailed calculations see Annex 4 (Section 2.5). The main source of information for</w:t>
      </w:r>
      <w:r>
        <w:t xml:space="preserve"> </w:t>
      </w:r>
      <w:r>
        <w:t xml:space="preserve">the assessment of the operation costs was primary data collection, via the targeted survey and in-depth interviews,</w:t>
      </w:r>
      <w:r>
        <w:t xml:space="preserve"> </w:t>
      </w:r>
      <w:r>
        <w:t xml:space="preserve">which also focused on costs assessment. Costs were also assessed against available secondary data (IA study).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Table 12: Excess cost reduction per year (for the assessed timeframe of 15 years).</w:t>
      </w:r>
    </w:p>
    <w:p>
      <w:pPr>
        <w:pStyle w:val="BodyText"/>
      </w:pPr>
      <w:r>
        <w:t xml:space="preserve">Max cost reduction per year for PO3</w:t>
      </w:r>
      <w:r>
        <w:br/>
      </w:r>
      <w:r>
        <w:t xml:space="preserve">Information cost (internal staff)</w:t>
      </w:r>
      <w:r>
        <w:t xml:space="preserve"> </w:t>
      </w:r>
      <w:r>
        <w:t xml:space="preserve">~EUR 350 million</w:t>
      </w:r>
      <w:r>
        <w:t xml:space="preserve"> </w:t>
      </w:r>
      <w:r>
        <w:t xml:space="preserve">Compliance cost (internal staff)</w:t>
      </w:r>
      <w:r>
        <w:t xml:space="preserve"> </w:t>
      </w:r>
      <w:r>
        <w:t xml:space="preserve">~EUR 190 million</w:t>
      </w:r>
      <w:r>
        <w:t xml:space="preserve"> </w:t>
      </w:r>
      <w:r>
        <w:t xml:space="preserve">Direct cost/External advisory cost (External</w:t>
      </w:r>
      <w:r>
        <w:t xml:space="preserve"> </w:t>
      </w:r>
      <w:r>
        <w:t xml:space="preserve">running cost)</w:t>
      </w:r>
      <w:r>
        <w:t xml:space="preserve"> </w:t>
      </w:r>
      <w:r>
        <w:t xml:space="preserve">~EUR 230 million</w:t>
      </w:r>
    </w:p>
    <w:p>
      <w:pPr>
        <w:pStyle w:val="BodyText"/>
      </w:pPr>
      <w:r>
        <w:t xml:space="preserve">This cost reduction is not applicable to associations not acting across borders or without the</w:t>
      </w:r>
      <w:r>
        <w:t xml:space="preserve"> </w:t>
      </w:r>
      <w:r>
        <w:t xml:space="preserve">ambition to develop such initiatives in the future.</w:t>
      </w:r>
      <w:r>
        <w:t xml:space="preserve"> </w:t>
      </w:r>
      <w:r>
        <w:t xml:space="preserve">For future cross-border operations of associations, the launch cost is estimated at EUR 3 500</w:t>
      </w:r>
      <w:r>
        <w:t xml:space="preserve"> </w:t>
      </w:r>
      <w:r>
        <w:t xml:space="preserve">which is a cost reduction of EUR 2 150193 per launch compared to the baseline of EUR 5 650</w:t>
      </w:r>
      <w:r>
        <w:t xml:space="preserve"> </w:t>
      </w:r>
      <w:r>
        <w:t xml:space="preserve">(for detailed overview see Annex 4).194 Within the assessed 15-year time frame, this excess</w:t>
      </w:r>
      <w:r>
        <w:t xml:space="preserve"> </w:t>
      </w:r>
      <w:r>
        <w:t xml:space="preserve">cost reduction could potentially range between EUR 338 million and EUR 378 million, in case</w:t>
      </w:r>
      <w:r>
        <w:t xml:space="preserve"> </w:t>
      </w:r>
      <w:r>
        <w:t xml:space="preserve">of scenario A,195 and between EUR 283 million and EUR 317 million, in case of scenario B.196</w:t>
      </w:r>
      <w:r>
        <w:t xml:space="preserve"> </w:t>
      </w:r>
      <w:r>
        <w:t xml:space="preserve">6.3.2 Indirect economic impacts</w:t>
      </w:r>
      <w:r>
        <w:t xml:space="preserve"> </w:t>
      </w:r>
      <w:r>
        <w:t xml:space="preserve">PO3 is expected to significantly lower the barrier to launch cross-border operations for</w:t>
      </w:r>
      <w:r>
        <w:t xml:space="preserve"> </w:t>
      </w:r>
      <w:r>
        <w:t xml:space="preserve">associations that aim to establish in more than one Member States, but also for those that work</w:t>
      </w:r>
      <w:r>
        <w:t xml:space="preserve"> </w:t>
      </w:r>
      <w:r>
        <w:t xml:space="preserve">and act in border regions and may more occasionally operate cross border. The extent to which</w:t>
      </w:r>
      <w:r>
        <w:t xml:space="preserve"> </w:t>
      </w:r>
      <w:r>
        <w:t xml:space="preserve">associations interested in cross-border activities can be reached will lie on their capability of</w:t>
      </w:r>
      <w:r>
        <w:t xml:space="preserve"> </w:t>
      </w:r>
      <w:r>
        <w:t xml:space="preserve">transforming to the new legal form. However, it is important to note that, for PO3, the</w:t>
      </w:r>
      <w:r>
        <w:t xml:space="preserve"> </w:t>
      </w:r>
      <w:r>
        <w:t xml:space="preserve">effectiveness greatly depends on the harmonisation effect (see Section 5.2.3) and thus, on the</w:t>
      </w:r>
      <w:r>
        <w:t xml:space="preserve"> </w:t>
      </w:r>
      <w:r>
        <w:t xml:space="preserve">extent that barriers do not remain in areas that are not covered by this policy option.</w:t>
      </w:r>
      <w:r>
        <w:br/>
      </w:r>
      <w:r>
        <w:t xml:space="preserve">As described in tables 7 and 8, estimated benefits in terms of number of additional cross-border</w:t>
      </w:r>
      <w:r>
        <w:t xml:space="preserve"> </w:t>
      </w:r>
      <w:r>
        <w:t xml:space="preserve">associations range between 157 000 – 176 000 for scenario A and 132 000 -147 000 for</w:t>
      </w:r>
      <w:r>
        <w:t xml:space="preserve"> </w:t>
      </w:r>
      <w:r>
        <w:t xml:space="preserve">scenario B, additional GDP range between EUR 3.57 billion – EUR 4 billion for scenario A</w:t>
      </w:r>
      <w:r>
        <w:t xml:space="preserve"> </w:t>
      </w:r>
      <w:r>
        <w:t xml:space="preserve">and EUR 3 billion – EUR 3.3 billion for scenario B and additional employment range between</w:t>
      </w:r>
    </w:p>
    <w:p>
      <w:pPr>
        <w:pStyle w:val="BodyText"/>
      </w:pPr>
      <w:r>
        <w:t xml:space="preserve">However, it is not likely to expect such effect to materialise from year one. We can assume a lag effect of one</w:t>
      </w:r>
      <w:r>
        <w:t xml:space="preserve"> </w:t>
      </w:r>
      <w:r>
        <w:t xml:space="preserve">year where no effects can be observed, due to the time to effectively implement the appropriate policy intervention</w:t>
      </w:r>
      <w:r>
        <w:t xml:space="preserve"> </w:t>
      </w:r>
      <w:r>
        <w:t xml:space="preserve">and produce the desired effects on relevant stakeholders (e.g. introduction into national law). Therefore, starting</w:t>
      </w:r>
      <w:r>
        <w:t xml:space="preserve"> </w:t>
      </w:r>
      <w:r>
        <w:t xml:space="preserve">from year one, we can expect a linear increase from the current situation to the full cost reduction potential (i.e. </w:t>
      </w:r>
      <w:r>
        <w:t xml:space="preserve"> </w:t>
      </w:r>
      <w:r>
        <w:t xml:space="preserve">EUR 770 million per year) until year five. As of year five, we can expect the policy intervention to be fully</w:t>
      </w:r>
      <w:r>
        <w:t xml:space="preserve"> </w:t>
      </w:r>
      <w:r>
        <w:t xml:space="preserve">effective and to produce the maximum expected results.</w:t>
      </w:r>
      <w:r>
        <w:t xml:space="preserve"> </w:t>
      </w:r>
      <w:r>
        <w:t xml:space="preserve">193 IA study. Estimates based on association responses to the targeted survey and in-depth interviews.</w:t>
      </w:r>
      <w:r>
        <w:br/>
      </w:r>
      <w:r>
        <w:t xml:space="preserve">Internal setup cost (compliance cost): EUR 1 500 and external advisory cost (direct cost): EUR 650.</w:t>
      </w:r>
      <w:r>
        <w:t xml:space="preserve"> </w:t>
      </w:r>
      <w:r>
        <w:t xml:space="preserve">194 In case the legal form allows associations to operate in other Member States (without establishment) this saved</w:t>
      </w:r>
      <w:r>
        <w:t xml:space="preserve"> </w:t>
      </w:r>
      <w:r>
        <w:t xml:space="preserve">costs would be multipliable by the amount of Member States where a registration had to be done under the baseline</w:t>
      </w:r>
      <w:r>
        <w:t xml:space="preserve"> </w:t>
      </w:r>
      <w:r>
        <w:t xml:space="preserve">scenario.</w:t>
      </w:r>
      <w:r>
        <w:br/>
      </w:r>
      <w:r>
        <w:t xml:space="preserve">195 With a central value for this range of EUR 358 million.</w:t>
      </w:r>
      <w:r>
        <w:t xml:space="preserve"> </w:t>
      </w:r>
      <w:r>
        <w:t xml:space="preserve">196 Applying this cost estimate to the estimate range (considering both scenario A and scenario B) of new</w:t>
      </w:r>
      <w:r>
        <w:t xml:space="preserve"> </w:t>
      </w:r>
      <w:r>
        <w:t xml:space="preserve">associations that are expected to launch cross-border given this policy option.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64 000 – 71 000 for scenario A and 54 000 – 60 000 for scenario B.197 In terms of the speed</w:t>
      </w:r>
      <w:r>
        <w:t xml:space="preserve"> </w:t>
      </w:r>
      <w:r>
        <w:t xml:space="preserve">of uptake an exponential growth rate can be expected with some associations being ‘early birds’</w:t>
      </w:r>
      <w:r>
        <w:t xml:space="preserve"> </w:t>
      </w:r>
      <w:r>
        <w:t xml:space="preserve">and other hesitating and waiting to see the ‘proof of concept’.</w:t>
      </w:r>
      <w:r>
        <w:t xml:space="preserve"> </w:t>
      </w:r>
      <w:r>
        <w:t xml:space="preserve">6.3.3 Impacts on Member States</w:t>
      </w:r>
      <w:r>
        <w:t xml:space="preserve"> </w:t>
      </w:r>
      <w:r>
        <w:t xml:space="preserve">In general, and as illustrated in the first past of the Section, under PO3 the magnitude of the</w:t>
      </w:r>
      <w:r>
        <w:t xml:space="preserve"> </w:t>
      </w:r>
      <w:r>
        <w:t xml:space="preserve">cost is not such that it would not constitute a significant cost for competent authorities at</w:t>
      </w:r>
      <w:r>
        <w:t xml:space="preserve"> </w:t>
      </w:r>
      <w:r>
        <w:t xml:space="preserve">Member State level.</w:t>
      </w:r>
      <w:r>
        <w:br/>
      </w:r>
      <w:r>
        <w:t xml:space="preserve">This section will, however, provide a short overview of different costs and benefits.</w:t>
      </w:r>
      <w:r>
        <w:br/>
      </w:r>
      <w:r>
        <w:t xml:space="preserve">Information costs: associations would not be familiar with this new legal form. Member States</w:t>
      </w:r>
      <w:r>
        <w:t xml:space="preserve"> </w:t>
      </w:r>
      <w:r>
        <w:t xml:space="preserve">will need to set up awareness-raising activities to make the new legal form created at national</w:t>
      </w:r>
      <w:r>
        <w:t xml:space="preserve"> </w:t>
      </w:r>
      <w:r>
        <w:t xml:space="preserve">level better known. Information costs are expected to be similar to PO1 and less impactful than</w:t>
      </w:r>
      <w:r>
        <w:t xml:space="preserve"> </w:t>
      </w:r>
      <w:r>
        <w:t xml:space="preserve">PO2 as the creation of the new legal form is of interest to associations with cross-border</w:t>
      </w:r>
      <w:r>
        <w:t xml:space="preserve"> </w:t>
      </w:r>
      <w:r>
        <w:t xml:space="preserve">activities and ambitions.</w:t>
      </w:r>
      <w:r>
        <w:br/>
      </w:r>
      <w:r>
        <w:t xml:space="preserve">Adjustment costs (monitoring and supervision): will be equal as described in PO1.</w:t>
      </w:r>
      <w:r>
        <w:t xml:space="preserve"> </w:t>
      </w:r>
      <w:r>
        <w:t xml:space="preserve">Adjustment costs (registration): in the short term, considering adjustment costs for authorities</w:t>
      </w:r>
      <w:r>
        <w:t xml:space="preserve"> </w:t>
      </w:r>
      <w:r>
        <w:t xml:space="preserve">related to the registration of associations under the new legal form, PO3 would require the</w:t>
      </w:r>
      <w:r>
        <w:t xml:space="preserve"> </w:t>
      </w:r>
      <w:r>
        <w:t xml:space="preserve">adaptation of current registers or setting up a new register, in line with the newly created</w:t>
      </w:r>
      <w:r>
        <w:t xml:space="preserve"> </w:t>
      </w:r>
      <w:r>
        <w:t xml:space="preserve">common standards allowing for recognition and equal treatment of the new legal form across</w:t>
      </w:r>
      <w:r>
        <w:t xml:space="preserve"> </w:t>
      </w:r>
      <w:r>
        <w:t xml:space="preserve">borders. Please note that impacts relating to the creation or adaptation of national registers</w:t>
      </w:r>
      <w:r>
        <w:t xml:space="preserve"> </w:t>
      </w:r>
      <w:r>
        <w:t xml:space="preserve">under all options are presented in the first part of the Section.</w:t>
      </w:r>
      <w:r>
        <w:t xml:space="preserve"> </w:t>
      </w:r>
      <w:r>
        <w:t xml:space="preserve">6.3.4 Stakeholders’ views on policy option 3</w:t>
      </w:r>
      <w:r>
        <w:t xml:space="preserve"> </w:t>
      </w:r>
      <w:r>
        <w:t xml:space="preserve">In terms of effectiveness in facilitating associations to establish operations in another Member</w:t>
      </w:r>
      <w:r>
        <w:t xml:space="preserve"> </w:t>
      </w:r>
      <w:r>
        <w:t xml:space="preserve">State, this policy option received on average a score of 3.2 out of 5 in the targeted survey.</w:t>
      </w:r>
      <w:r>
        <w:t xml:space="preserve"> </w:t>
      </w:r>
      <w:r>
        <w:t xml:space="preserve">Results from the Public Consultation indicate that the most favoured policy option by</w:t>
      </w:r>
      <w:r>
        <w:t xml:space="preserve"> </w:t>
      </w:r>
      <w:r>
        <w:t xml:space="preserve">associations is a ‘new legal form for associations’ (out of the 38 respondents who defined</w:t>
      </w:r>
      <w:r>
        <w:t xml:space="preserve"> </w:t>
      </w:r>
      <w:r>
        <w:t xml:space="preserve">themselves under the legal form of association, 42% (16 out of 38) favoured the creation of ‘A</w:t>
      </w:r>
      <w:r>
        <w:t xml:space="preserve"> </w:t>
      </w:r>
      <w:r>
        <w:t xml:space="preserve">new legal form for associations’198, 32% respondents (12 out of 38) chose the “Harmonisation</w:t>
      </w:r>
      <w:r>
        <w:t xml:space="preserve"> </w:t>
      </w:r>
      <w:r>
        <w:t xml:space="preserve">of some common minimum standards”199 and 18% respondents (seven out of 38) showed</w:t>
      </w:r>
      <w:r>
        <w:t xml:space="preserve"> </w:t>
      </w:r>
      <w:r>
        <w:t xml:space="preserve">support for an “EU information campaign”.200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Based on the assessment of Section 6, the following table provides a comprehensive and</w:t>
      </w:r>
      <w:r>
        <w:t xml:space="preserve"> </w:t>
      </w:r>
      <w:r>
        <w:t xml:space="preserve">consistent overview on how the impacts of each policy option compare in detail relative to the</w:t>
      </w:r>
      <w:r>
        <w:t xml:space="preserve"> </w:t>
      </w:r>
      <w:r>
        <w:t xml:space="preserve">baseline:</w:t>
      </w:r>
    </w:p>
    <w:p>
      <w:pPr>
        <w:pStyle w:val="BodyText"/>
      </w:pPr>
      <w:r>
        <w:t xml:space="preserve">197 Figures for both scenario’s A and B based on a policy uptake range between 85% and 95%. This range</w:t>
      </w:r>
      <w:r>
        <w:t xml:space="preserve"> </w:t>
      </w:r>
      <w:r>
        <w:t xml:space="preserve">corresponds to a central estimate 90% uptake of the policy intervention as suggested by the IA study based on</w:t>
      </w:r>
      <w:r>
        <w:t xml:space="preserve"> </w:t>
      </w:r>
      <w:r>
        <w:t xml:space="preserve">targeted survey and in-depth interviews, as well as legal analysis.</w:t>
      </w:r>
      <w:r>
        <w:br/>
      </w:r>
      <w:r>
        <w:t xml:space="preserve">198 Option 1 in the Public Consultation questionnaire.</w:t>
      </w:r>
      <w:r>
        <w:t xml:space="preserve"> </w:t>
      </w:r>
      <w:r>
        <w:t xml:space="preserve">199 Option 2 in the Public Consultation questionnaire.</w:t>
      </w:r>
      <w:r>
        <w:t xml:space="preserve"> </w:t>
      </w:r>
      <w:r>
        <w:t xml:space="preserve">200 Option 3 in the Public Consultation questionnaire.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Table 13 Comparison of the impacts of each policy option relative to the baseline.</w:t>
      </w:r>
    </w:p>
    <w:p>
      <w:pPr>
        <w:pStyle w:val="BodyText"/>
      </w:pPr>
      <w:r>
        <w:t xml:space="preserve">Main impacts on:</w:t>
      </w:r>
      <w:r>
        <w:br/>
      </w:r>
      <w:r>
        <w:t xml:space="preserve">PO 1201: ‘the European</w:t>
      </w:r>
      <w:r>
        <w:t xml:space="preserve"> </w:t>
      </w:r>
      <w:r>
        <w:t xml:space="preserve">Association’ (PO 1a)” or</w:t>
      </w:r>
      <w:r>
        <w:br/>
      </w:r>
      <w:r>
        <w:t xml:space="preserve">‘The European cross-</w:t>
      </w:r>
      <w:r>
        <w:t xml:space="preserve"> </w:t>
      </w:r>
      <w:r>
        <w:t xml:space="preserve">border Association’</w:t>
      </w:r>
      <w:r>
        <w:t xml:space="preserve"> </w:t>
      </w:r>
      <w:r>
        <w:t xml:space="preserve">(PO1b)</w:t>
      </w:r>
      <w:r>
        <w:t xml:space="preserve"> </w:t>
      </w:r>
      <w:r>
        <w:t xml:space="preserve">PO 2: Harmonisation</w:t>
      </w:r>
      <w:r>
        <w:br/>
      </w:r>
      <w:r>
        <w:t xml:space="preserve">regarding common</w:t>
      </w:r>
      <w:r>
        <w:t xml:space="preserve"> </w:t>
      </w:r>
      <w:r>
        <w:t xml:space="preserve">minimum standards for</w:t>
      </w:r>
      <w:r>
        <w:t xml:space="preserve"> </w:t>
      </w:r>
      <w:r>
        <w:t xml:space="preserve">cross-border activities of</w:t>
      </w:r>
      <w:r>
        <w:t xml:space="preserve"> </w:t>
      </w:r>
      <w:r>
        <w:t xml:space="preserve">associations</w:t>
      </w:r>
      <w:r>
        <w:t xml:space="preserve"> </w:t>
      </w:r>
      <w:r>
        <w:t xml:space="preserve">PO 3: Creation of an</w:t>
      </w:r>
      <w:r>
        <w:t xml:space="preserve"> </w:t>
      </w:r>
      <w:r>
        <w:t xml:space="preserve">additional national legal</w:t>
      </w:r>
      <w:r>
        <w:t xml:space="preserve"> </w:t>
      </w:r>
      <w:r>
        <w:t xml:space="preserve">form of association designed</w:t>
      </w:r>
      <w:r>
        <w:t xml:space="preserve"> </w:t>
      </w:r>
      <w:r>
        <w:t xml:space="preserve">for a cross-border</w:t>
      </w:r>
      <w:r>
        <w:t xml:space="preserve"> </w:t>
      </w:r>
      <w:r>
        <w:t xml:space="preserve">membership and/or cross-</w:t>
      </w:r>
      <w:r>
        <w:t xml:space="preserve"> </w:t>
      </w:r>
      <w:r>
        <w:t xml:space="preserve">border purposes or activities</w:t>
      </w:r>
      <w:r>
        <w:t xml:space="preserve"> </w:t>
      </w:r>
      <w:r>
        <w:t xml:space="preserve">i. Associations active</w:t>
      </w:r>
      <w:r>
        <w:t xml:space="preserve"> </w:t>
      </w:r>
      <w:r>
        <w:t xml:space="preserve">cross border</w:t>
      </w:r>
      <w:r>
        <w:t xml:space="preserve"> </w:t>
      </w:r>
      <w:r>
        <w:t xml:space="preserve">Need to set up new legal</w:t>
      </w:r>
      <w:r>
        <w:t xml:space="preserve"> </w:t>
      </w:r>
      <w:r>
        <w:t xml:space="preserve">form (administrative</w:t>
      </w:r>
      <w:r>
        <w:t xml:space="preserve"> </w:t>
      </w:r>
      <w:r>
        <w:t xml:space="preserve">procedure and cost).</w:t>
      </w:r>
      <w:r>
        <w:t xml:space="preserve"> </w:t>
      </w:r>
      <w:r>
        <w:t xml:space="preserve">No need to change statutes or</w:t>
      </w:r>
      <w:r>
        <w:t xml:space="preserve"> </w:t>
      </w:r>
      <w:r>
        <w:t xml:space="preserve">legal form. Adaptation based</w:t>
      </w:r>
      <w:r>
        <w:t xml:space="preserve"> </w:t>
      </w:r>
      <w:r>
        <w:t xml:space="preserve">on familiarisation of new</w:t>
      </w:r>
      <w:r>
        <w:t xml:space="preserve"> </w:t>
      </w:r>
      <w:r>
        <w:t xml:space="preserve">rules, as transposed by the</w:t>
      </w:r>
      <w:r>
        <w:t xml:space="preserve"> </w:t>
      </w:r>
      <w:r>
        <w:t xml:space="preserve">relevant MS.</w:t>
      </w:r>
      <w:r>
        <w:br/>
      </w:r>
      <w:r>
        <w:t xml:space="preserve">Need to set up new legal form</w:t>
      </w:r>
      <w:r>
        <w:t xml:space="preserve"> </w:t>
      </w:r>
      <w:r>
        <w:t xml:space="preserve">(administrative procedure and</w:t>
      </w:r>
      <w:r>
        <w:t xml:space="preserve"> </w:t>
      </w:r>
      <w:r>
        <w:t xml:space="preserve">cost).</w:t>
      </w:r>
      <w:r>
        <w:br/>
      </w:r>
      <w:r>
        <w:t xml:space="preserve">Automatic recognition in</w:t>
      </w:r>
      <w:r>
        <w:t xml:space="preserve"> </w:t>
      </w:r>
      <w:r>
        <w:t xml:space="preserve">all MS (freedom of</w:t>
      </w:r>
      <w:r>
        <w:t xml:space="preserve"> </w:t>
      </w:r>
      <w:r>
        <w:t xml:space="preserve">establishment and mobility</w:t>
      </w:r>
      <w:r>
        <w:t xml:space="preserve"> </w:t>
      </w:r>
      <w:r>
        <w:t xml:space="preserve">in the single market).</w:t>
      </w:r>
      <w:r>
        <w:t xml:space="preserve"> </w:t>
      </w:r>
      <w:r>
        <w:t xml:space="preserve">Mutual recognition for</w:t>
      </w:r>
      <w:r>
        <w:t xml:space="preserve"> </w:t>
      </w:r>
      <w:r>
        <w:t xml:space="preserve">associations to enjoy freedom</w:t>
      </w:r>
      <w:r>
        <w:t xml:space="preserve"> </w:t>
      </w:r>
      <w:r>
        <w:t xml:space="preserve">of establishment and mobility</w:t>
      </w:r>
      <w:r>
        <w:t xml:space="preserve"> </w:t>
      </w:r>
      <w:r>
        <w:t xml:space="preserve">in the single market.</w:t>
      </w:r>
      <w:r>
        <w:t xml:space="preserve"> </w:t>
      </w:r>
      <w:r>
        <w:t xml:space="preserve">Mutual recognition for</w:t>
      </w:r>
      <w:r>
        <w:t xml:space="preserve"> </w:t>
      </w:r>
      <w:r>
        <w:t xml:space="preserve">associations to enjoy freedom</w:t>
      </w:r>
      <w:r>
        <w:t xml:space="preserve"> </w:t>
      </w:r>
      <w:r>
        <w:t xml:space="preserve">of establishment and mobility</w:t>
      </w:r>
      <w:r>
        <w:t xml:space="preserve"> </w:t>
      </w:r>
      <w:r>
        <w:t xml:space="preserve">in the single market.</w:t>
      </w:r>
      <w:r>
        <w:t xml:space="preserve"> </w:t>
      </w:r>
      <w:r>
        <w:t xml:space="preserve">After setting up a new legal</w:t>
      </w:r>
      <w:r>
        <w:t xml:space="preserve"> </w:t>
      </w:r>
      <w:r>
        <w:t xml:space="preserve">form, substantial</w:t>
      </w:r>
      <w:r>
        <w:t xml:space="preserve"> </w:t>
      </w:r>
      <w:r>
        <w:t xml:space="preserve">simplification in terms of</w:t>
      </w:r>
      <w:r>
        <w:t xml:space="preserve"> </w:t>
      </w:r>
      <w:r>
        <w:t xml:space="preserve">compliance cost and</w:t>
      </w:r>
      <w:r>
        <w:t xml:space="preserve"> </w:t>
      </w:r>
      <w:r>
        <w:t xml:space="preserve">administrative burden for</w:t>
      </w:r>
      <w:r>
        <w:t xml:space="preserve"> </w:t>
      </w:r>
      <w:r>
        <w:t xml:space="preserve">cross border activities.</w:t>
      </w:r>
      <w:r>
        <w:br/>
      </w:r>
      <w:r>
        <w:t xml:space="preserve">Substantial simplification in</w:t>
      </w:r>
      <w:r>
        <w:t xml:space="preserve"> </w:t>
      </w:r>
      <w:r>
        <w:t xml:space="preserve">terms of compliance cost and</w:t>
      </w:r>
      <w:r>
        <w:t xml:space="preserve"> </w:t>
      </w:r>
      <w:r>
        <w:t xml:space="preserve">administrative burden for the</w:t>
      </w:r>
      <w:r>
        <w:t xml:space="preserve"> </w:t>
      </w:r>
      <w:r>
        <w:t xml:space="preserve">running cost of operating</w:t>
      </w:r>
      <w:r>
        <w:t xml:space="preserve"> </w:t>
      </w:r>
      <w:r>
        <w:t xml:space="preserve">cross border, depending on</w:t>
      </w:r>
      <w:r>
        <w:t xml:space="preserve"> </w:t>
      </w:r>
      <w:r>
        <w:t xml:space="preserve">the extent of harmonisation</w:t>
      </w:r>
      <w:r>
        <w:t xml:space="preserve"> </w:t>
      </w:r>
      <w:r>
        <w:t xml:space="preserve">and the transposition.</w:t>
      </w:r>
      <w:r>
        <w:br/>
      </w:r>
      <w:r>
        <w:t xml:space="preserve">After setting up a new legal</w:t>
      </w:r>
      <w:r>
        <w:t xml:space="preserve"> </w:t>
      </w:r>
      <w:r>
        <w:t xml:space="preserve">form at national level,</w:t>
      </w:r>
      <w:r>
        <w:t xml:space="preserve"> </w:t>
      </w:r>
      <w:r>
        <w:t xml:space="preserve">substantial simplification in</w:t>
      </w:r>
      <w:r>
        <w:t xml:space="preserve"> </w:t>
      </w:r>
      <w:r>
        <w:t xml:space="preserve">terms of compliance cost and</w:t>
      </w:r>
      <w:r>
        <w:t xml:space="preserve"> </w:t>
      </w:r>
      <w:r>
        <w:t xml:space="preserve">administrative burden for</w:t>
      </w:r>
      <w:r>
        <w:t xml:space="preserve"> </w:t>
      </w:r>
      <w:r>
        <w:t xml:space="preserve">cross border activities.</w:t>
      </w:r>
    </w:p>
    <w:p>
      <w:pPr>
        <w:pStyle w:val="BodyText"/>
      </w:pPr>
      <w:r>
        <w:t xml:space="preserve">International and large</w:t>
      </w:r>
      <w:r>
        <w:t xml:space="preserve"> </w:t>
      </w:r>
      <w:r>
        <w:t xml:space="preserve">associations with presence</w:t>
      </w:r>
      <w:r>
        <w:t xml:space="preserve"> </w:t>
      </w:r>
      <w:r>
        <w:t xml:space="preserve">in several Member States</w:t>
      </w:r>
      <w:r>
        <w:t xml:space="preserve"> </w:t>
      </w:r>
      <w:r>
        <w:t xml:space="preserve">and an explicit European</w:t>
      </w:r>
      <w:r>
        <w:t xml:space="preserve"> </w:t>
      </w:r>
      <w:r>
        <w:t xml:space="preserve">character (PO1a) and</w:t>
      </w:r>
      <w:r>
        <w:t xml:space="preserve"> </w:t>
      </w:r>
      <w:r>
        <w:t xml:space="preserve">associations with targeted</w:t>
      </w:r>
      <w:r>
        <w:t xml:space="preserve"> </w:t>
      </w:r>
      <w:r>
        <w:t xml:space="preserve">cross-border needs and</w:t>
      </w:r>
      <w:r>
        <w:t xml:space="preserve"> </w:t>
      </w:r>
      <w:r>
        <w:t xml:space="preserve">ambitions (PO1b).</w:t>
      </w:r>
      <w:r>
        <w:br/>
      </w:r>
      <w:r>
        <w:t xml:space="preserve">Associations with only</w:t>
      </w:r>
      <w:r>
        <w:t xml:space="preserve"> </w:t>
      </w:r>
      <w:r>
        <w:t xml:space="preserve">occasional cross-border</w:t>
      </w:r>
      <w:r>
        <w:t xml:space="preserve"> </w:t>
      </w:r>
      <w:r>
        <w:t xml:space="preserve">needs or with interaction with</w:t>
      </w:r>
      <w:r>
        <w:t xml:space="preserve"> </w:t>
      </w:r>
      <w:r>
        <w:t xml:space="preserve">only a limited number of</w:t>
      </w:r>
      <w:r>
        <w:t xml:space="preserve"> </w:t>
      </w:r>
      <w:r>
        <w:t xml:space="preserve">Member States.</w:t>
      </w:r>
      <w:r>
        <w:br/>
      </w:r>
      <w:r>
        <w:t xml:space="preserve">International and large</w:t>
      </w:r>
      <w:r>
        <w:t xml:space="preserve"> </w:t>
      </w:r>
      <w:r>
        <w:t xml:space="preserve">associations with presence in</w:t>
      </w:r>
      <w:r>
        <w:t xml:space="preserve"> </w:t>
      </w:r>
      <w:r>
        <w:t xml:space="preserve">several Member States and an</w:t>
      </w:r>
      <w:r>
        <w:t xml:space="preserve"> </w:t>
      </w:r>
      <w:r>
        <w:t xml:space="preserve">explicit European character,</w:t>
      </w:r>
      <w:r>
        <w:t xml:space="preserve"> </w:t>
      </w:r>
      <w:r>
        <w:t xml:space="preserve">and associations with targeted</w:t>
      </w:r>
      <w:r>
        <w:t xml:space="preserve"> </w:t>
      </w:r>
      <w:r>
        <w:t xml:space="preserve">cross-border needs and</w:t>
      </w:r>
      <w:r>
        <w:t xml:space="preserve"> </w:t>
      </w:r>
      <w:r>
        <w:t xml:space="preserve">ambitions.</w:t>
      </w:r>
      <w:r>
        <w:br/>
      </w:r>
      <w:r>
        <w:t xml:space="preserve">Legal certainty about</w:t>
      </w:r>
      <w:r>
        <w:t xml:space="preserve"> </w:t>
      </w:r>
      <w:r>
        <w:t xml:space="preserve">freedom of establishment</w:t>
      </w:r>
      <w:r>
        <w:t xml:space="preserve"> </w:t>
      </w:r>
      <w:r>
        <w:t xml:space="preserve">and full mobility across</w:t>
      </w:r>
      <w:r>
        <w:t xml:space="preserve"> </w:t>
      </w:r>
      <w:r>
        <w:t xml:space="preserve">Member States when</w:t>
      </w:r>
      <w:r>
        <w:t xml:space="preserve"> </w:t>
      </w:r>
      <w:r>
        <w:t xml:space="preserve">converting into a ‘European</w:t>
      </w:r>
      <w:r>
        <w:t xml:space="preserve"> </w:t>
      </w:r>
      <w:r>
        <w:t xml:space="preserve">association’.</w:t>
      </w:r>
      <w:r>
        <w:br/>
      </w:r>
      <w:r>
        <w:t xml:space="preserve">Advantageous for small</w:t>
      </w:r>
      <w:r>
        <w:t xml:space="preserve"> </w:t>
      </w:r>
      <w:r>
        <w:t xml:space="preserve">associations or those aiming</w:t>
      </w:r>
      <w:r>
        <w:t xml:space="preserve"> </w:t>
      </w:r>
      <w:r>
        <w:t xml:space="preserve">to occasionally work across</w:t>
      </w:r>
      <w:r>
        <w:t xml:space="preserve"> </w:t>
      </w:r>
      <w:r>
        <w:t xml:space="preserve">borders as these would incur</w:t>
      </w:r>
      <w:r>
        <w:t xml:space="preserve"> </w:t>
      </w:r>
      <w:r>
        <w:t xml:space="preserve">otherwise a relatively high</w:t>
      </w:r>
      <w:r>
        <w:t xml:space="preserve"> </w:t>
      </w:r>
      <w:r>
        <w:t xml:space="preserve">one-time cost from setting up</w:t>
      </w:r>
      <w:r>
        <w:t xml:space="preserve"> </w:t>
      </w:r>
      <w:r>
        <w:t xml:space="preserve">a new legal form through</w:t>
      </w:r>
      <w:r>
        <w:t xml:space="preserve"> </w:t>
      </w:r>
      <w:r>
        <w:t xml:space="preserve">conversion.</w:t>
      </w:r>
      <w:r>
        <w:br/>
      </w:r>
      <w:r>
        <w:t xml:space="preserve">Legal certainty about freedom</w:t>
      </w:r>
      <w:r>
        <w:t xml:space="preserve"> </w:t>
      </w:r>
      <w:r>
        <w:t xml:space="preserve">of establishment and full</w:t>
      </w:r>
      <w:r>
        <w:t xml:space="preserve"> </w:t>
      </w:r>
      <w:r>
        <w:t xml:space="preserve">mobility across Member</w:t>
      </w:r>
      <w:r>
        <w:t xml:space="preserve"> </w:t>
      </w:r>
      <w:r>
        <w:t xml:space="preserve">States when converting into</w:t>
      </w:r>
      <w:r>
        <w:t xml:space="preserve"> </w:t>
      </w:r>
      <w:r>
        <w:t xml:space="preserve">the new legal form.</w:t>
      </w:r>
      <w:r>
        <w:br/>
      </w:r>
      <w:r>
        <w:t xml:space="preserve">ii. Associations</w:t>
      </w:r>
      <w:r>
        <w:t xml:space="preserve"> </w:t>
      </w:r>
      <w:r>
        <w:t xml:space="preserve">interested in</w:t>
      </w:r>
      <w:r>
        <w:t xml:space="preserve"> </w:t>
      </w:r>
      <w:r>
        <w:t xml:space="preserve">launching cross</w:t>
      </w:r>
      <w:r>
        <w:t xml:space="preserve"> </w:t>
      </w:r>
      <w:r>
        <w:t xml:space="preserve">border operations,</w:t>
      </w:r>
      <w:r>
        <w:t xml:space="preserve"> </w:t>
      </w:r>
      <w:r>
        <w:t xml:space="preserve">but hesitating due to</w:t>
      </w:r>
      <w:r>
        <w:t xml:space="preserve"> </w:t>
      </w:r>
      <w:r>
        <w:t xml:space="preserve">existing barriers</w:t>
      </w:r>
      <w:r>
        <w:br/>
      </w:r>
      <w:r>
        <w:t xml:space="preserve">Same as above</w:t>
      </w:r>
      <w:r>
        <w:br/>
      </w:r>
      <w:r>
        <w:t xml:space="preserve">Same as above</w:t>
      </w:r>
      <w:r>
        <w:t xml:space="preserve"> </w:t>
      </w:r>
      <w:r>
        <w:t xml:space="preserve">Same as above</w:t>
      </w:r>
    </w:p>
    <w:p>
      <w:pPr>
        <w:pStyle w:val="BodyText"/>
      </w:pPr>
      <w:r>
        <w:t xml:space="preserve">201 PO1 captures both the sub-options PO1a and PO1b.</w:t>
      </w:r>
    </w:p>
    <w:p>
      <w:pPr>
        <w:pStyle w:val="BodyText"/>
      </w:pPr>
      <w:r>
        <w:t xml:space="preserve">73</w:t>
      </w:r>
    </w:p>
    <w:p>
      <w:pPr>
        <w:pStyle w:val="Compact"/>
        <w:numPr>
          <w:ilvl w:val="0"/>
          <w:numId w:val="1010"/>
        </w:numPr>
      </w:pPr>
      <w:r>
        <w:t xml:space="preserve">Associations not</w:t>
      </w:r>
      <w:r>
        <w:t xml:space="preserve"> </w:t>
      </w:r>
      <w:r>
        <w:t xml:space="preserve">interested in</w:t>
      </w:r>
      <w:r>
        <w:t xml:space="preserve"> </w:t>
      </w:r>
      <w:r>
        <w:t xml:space="preserve">launching cross</w:t>
      </w:r>
      <w:r>
        <w:t xml:space="preserve"> </w:t>
      </w:r>
      <w:r>
        <w:t xml:space="preserve">border operations</w:t>
      </w:r>
      <w:r>
        <w:br/>
      </w:r>
      <w:r>
        <w:t xml:space="preserve">Not affected (as they are</w:t>
      </w:r>
      <w:r>
        <w:t xml:space="preserve"> </w:t>
      </w:r>
      <w:r>
        <w:t xml:space="preserve">not obliged to convert).</w:t>
      </w:r>
      <w:r>
        <w:br/>
      </w:r>
      <w:r>
        <w:t xml:space="preserve">Effects may occur depending</w:t>
      </w:r>
      <w:r>
        <w:t xml:space="preserve"> </w:t>
      </w:r>
      <w:r>
        <w:t xml:space="preserve">on the transposition (e.g. </w:t>
      </w:r>
      <w:r>
        <w:t xml:space="preserve"> </w:t>
      </w:r>
      <w:r>
        <w:t xml:space="preserve">should a MS wishes to update</w:t>
      </w:r>
      <w:r>
        <w:t xml:space="preserve"> </w:t>
      </w:r>
      <w:r>
        <w:t xml:space="preserve">its rules on a given element</w:t>
      </w:r>
      <w:r>
        <w:t xml:space="preserve"> </w:t>
      </w:r>
      <w:r>
        <w:t xml:space="preserve">overall). In case the</w:t>
      </w:r>
      <w:r>
        <w:t xml:space="preserve"> </w:t>
      </w:r>
      <w:r>
        <w:t xml:space="preserve">requirements change because</w:t>
      </w:r>
      <w:r>
        <w:t xml:space="preserve"> </w:t>
      </w:r>
      <w:r>
        <w:t xml:space="preserve">of the new harmonised rules</w:t>
      </w:r>
      <w:r>
        <w:t xml:space="preserve"> </w:t>
      </w:r>
      <w:r>
        <w:t xml:space="preserve">– then the existing</w:t>
      </w:r>
      <w:r>
        <w:t xml:space="preserve"> </w:t>
      </w:r>
      <w:r>
        <w:t xml:space="preserve">associations would also need</w:t>
      </w:r>
      <w:r>
        <w:t xml:space="preserve"> </w:t>
      </w:r>
      <w:r>
        <w:t xml:space="preserve">to adapt.</w:t>
      </w:r>
      <w:r>
        <w:t xml:space="preserve"> </w:t>
      </w:r>
      <w:r>
        <w:t xml:space="preserve">Not affected (as they are not</w:t>
      </w:r>
      <w:r>
        <w:t xml:space="preserve"> </w:t>
      </w:r>
      <w:r>
        <w:t xml:space="preserve">obliged to convert).</w:t>
      </w:r>
      <w:r>
        <w:br/>
      </w:r>
      <w:r>
        <w:t xml:space="preserve">Member States</w:t>
      </w:r>
      <w:r>
        <w:br/>
      </w:r>
      <w:r>
        <w:t xml:space="preserve">Need to introduce a new</w:t>
      </w:r>
      <w:r>
        <w:t xml:space="preserve"> </w:t>
      </w:r>
      <w:r>
        <w:t xml:space="preserve">legal form fully or partially</w:t>
      </w:r>
      <w:r>
        <w:t xml:space="preserve"> </w:t>
      </w:r>
      <w:r>
        <w:t xml:space="preserve">regulated by EU law and</w:t>
      </w:r>
      <w:r>
        <w:t xml:space="preserve"> </w:t>
      </w:r>
      <w:r>
        <w:t xml:space="preserve">allow for registration and</w:t>
      </w:r>
      <w:r>
        <w:t xml:space="preserve"> </w:t>
      </w:r>
      <w:r>
        <w:t xml:space="preserve">monitoring of such a form.</w:t>
      </w:r>
      <w:r>
        <w:t xml:space="preserve"> </w:t>
      </w:r>
      <w:r>
        <w:t xml:space="preserve">Need to adapt their current</w:t>
      </w:r>
      <w:r>
        <w:t xml:space="preserve"> </w:t>
      </w:r>
      <w:r>
        <w:t xml:space="preserve">national laws on associations</w:t>
      </w:r>
      <w:r>
        <w:t xml:space="preserve"> </w:t>
      </w:r>
      <w:r>
        <w:t xml:space="preserve">to new harmonised</w:t>
      </w:r>
      <w:r>
        <w:t xml:space="preserve"> </w:t>
      </w:r>
      <w:r>
        <w:t xml:space="preserve">requirements, for (all)</w:t>
      </w:r>
      <w:r>
        <w:t xml:space="preserve"> </w:t>
      </w:r>
      <w:r>
        <w:t xml:space="preserve">associations.</w:t>
      </w:r>
      <w:r>
        <w:br/>
      </w:r>
      <w:r>
        <w:t xml:space="preserve">Need to introduce a new legal</w:t>
      </w:r>
      <w:r>
        <w:t xml:space="preserve"> </w:t>
      </w:r>
      <w:r>
        <w:t xml:space="preserve">form within the national legal</w:t>
      </w:r>
      <w:r>
        <w:t xml:space="preserve"> </w:t>
      </w:r>
      <w:r>
        <w:t xml:space="preserve">framework partially regulated</w:t>
      </w:r>
      <w:r>
        <w:t xml:space="preserve"> </w:t>
      </w:r>
      <w:r>
        <w:t xml:space="preserve">by EU law and allow for</w:t>
      </w:r>
      <w:r>
        <w:t xml:space="preserve"> </w:t>
      </w:r>
      <w:r>
        <w:t xml:space="preserve">registration and monitoring of</w:t>
      </w:r>
      <w:r>
        <w:t xml:space="preserve"> </w:t>
      </w:r>
      <w:r>
        <w:t xml:space="preserve">such a form.</w:t>
      </w:r>
      <w:r>
        <w:br/>
      </w:r>
      <w:r>
        <w:t xml:space="preserve">Short-term cost increase,</w:t>
      </w:r>
      <w:r>
        <w:t xml:space="preserve"> </w:t>
      </w:r>
      <w:r>
        <w:t xml:space="preserve">adaptation of current</w:t>
      </w:r>
      <w:r>
        <w:t xml:space="preserve"> </w:t>
      </w:r>
      <w:r>
        <w:t xml:space="preserve">registers to common</w:t>
      </w:r>
      <w:r>
        <w:t xml:space="preserve"> </w:t>
      </w:r>
      <w:r>
        <w:t xml:space="preserve">standards and possible</w:t>
      </w:r>
      <w:r>
        <w:t xml:space="preserve"> </w:t>
      </w:r>
      <w:r>
        <w:t xml:space="preserve">reduction of revenues from</w:t>
      </w:r>
      <w:r>
        <w:t xml:space="preserve"> </w:t>
      </w:r>
      <w:r>
        <w:t xml:space="preserve">registrations.</w:t>
      </w:r>
      <w:r>
        <w:br/>
      </w:r>
      <w:r>
        <w:t xml:space="preserve">Long-term costs reduction</w:t>
      </w:r>
      <w:r>
        <w:t xml:space="preserve"> </w:t>
      </w:r>
      <w:r>
        <w:t xml:space="preserve">thanks to automatic</w:t>
      </w:r>
      <w:r>
        <w:t xml:space="preserve"> </w:t>
      </w:r>
      <w:r>
        <w:t xml:space="preserve">recognition of new legal</w:t>
      </w:r>
      <w:r>
        <w:t xml:space="preserve"> </w:t>
      </w:r>
      <w:r>
        <w:t xml:space="preserve">form and online registration</w:t>
      </w:r>
      <w:r>
        <w:t xml:space="preserve"> </w:t>
      </w:r>
      <w:r>
        <w:t xml:space="preserve">(digital registers).</w:t>
      </w:r>
      <w:r>
        <w:br/>
      </w:r>
      <w:r>
        <w:t xml:space="preserve">Information cost about</w:t>
      </w:r>
      <w:r>
        <w:t xml:space="preserve"> </w:t>
      </w:r>
      <w:r>
        <w:t xml:space="preserve">changes in the legislation and</w:t>
      </w:r>
      <w:r>
        <w:t xml:space="preserve"> </w:t>
      </w:r>
      <w:r>
        <w:t xml:space="preserve">subsequent compliance (in</w:t>
      </w:r>
      <w:r>
        <w:t xml:space="preserve"> </w:t>
      </w:r>
      <w:r>
        <w:t xml:space="preserve">terms of monitoring and</w:t>
      </w:r>
      <w:r>
        <w:t xml:space="preserve"> </w:t>
      </w:r>
      <w:r>
        <w:t xml:space="preserve">supervision).</w:t>
      </w:r>
      <w:r>
        <w:br/>
      </w:r>
      <w:r>
        <w:t xml:space="preserve">Short-term cost increase,</w:t>
      </w:r>
      <w:r>
        <w:t xml:space="preserve"> </w:t>
      </w:r>
      <w:r>
        <w:t xml:space="preserve">adaptation of current registers</w:t>
      </w:r>
      <w:r>
        <w:t xml:space="preserve"> </w:t>
      </w:r>
      <w:r>
        <w:t xml:space="preserve">to common standards.</w:t>
      </w:r>
      <w:r>
        <w:br/>
      </w:r>
      <w:r>
        <w:t xml:space="preserve">Short-term cost increase,</w:t>
      </w:r>
      <w:r>
        <w:t xml:space="preserve"> </w:t>
      </w:r>
      <w:r>
        <w:t xml:space="preserve">adaptation of current registers</w:t>
      </w:r>
      <w:r>
        <w:t xml:space="preserve"> </w:t>
      </w:r>
      <w:r>
        <w:t xml:space="preserve">to common standards and</w:t>
      </w:r>
      <w:r>
        <w:t xml:space="preserve"> </w:t>
      </w:r>
      <w:r>
        <w:t xml:space="preserve">possible reduction of revenues</w:t>
      </w:r>
      <w:r>
        <w:t xml:space="preserve"> </w:t>
      </w:r>
      <w:r>
        <w:t xml:space="preserve">from registrations.</w:t>
      </w:r>
      <w:r>
        <w:br/>
      </w:r>
      <w:r>
        <w:t xml:space="preserve">Long-term costs reduction</w:t>
      </w:r>
      <w:r>
        <w:t xml:space="preserve"> </w:t>
      </w:r>
      <w:r>
        <w:t xml:space="preserve">thanks to recognition of new</w:t>
      </w:r>
      <w:r>
        <w:t xml:space="preserve"> </w:t>
      </w:r>
      <w:r>
        <w:t xml:space="preserve">legal form and online</w:t>
      </w:r>
      <w:r>
        <w:t xml:space="preserve"> </w:t>
      </w:r>
      <w:r>
        <w:t xml:space="preserve">registration (digital registers).</w:t>
      </w:r>
      <w:r>
        <w:br/>
      </w:r>
      <w:r>
        <w:t xml:space="preserve">Citizens</w:t>
      </w:r>
      <w:r>
        <w:br/>
      </w:r>
      <w:r>
        <w:t xml:space="preserve">EU citizens would have the possibility to establish associations facilitating transnational</w:t>
      </w:r>
      <w:r>
        <w:t xml:space="preserve"> </w:t>
      </w:r>
      <w:r>
        <w:t xml:space="preserve">activities (including cross-border provision of services, cross-border collaboration among</w:t>
      </w:r>
      <w:r>
        <w:t xml:space="preserve"> </w:t>
      </w:r>
      <w:r>
        <w:t xml:space="preserve">associations from different MSs, tackling shared challenges across Member States and EU</w:t>
      </w:r>
      <w:r>
        <w:t xml:space="preserve"> </w:t>
      </w:r>
      <w:r>
        <w:t xml:space="preserve">regions etc.)</w:t>
      </w:r>
      <w:r>
        <w:br/>
      </w:r>
      <w:r>
        <w:t xml:space="preserve">EU citizens would enjoy improved access and offer, thanks to potential new service</w:t>
      </w:r>
      <w:r>
        <w:t xml:space="preserve"> </w:t>
      </w:r>
      <w:r>
        <w:t xml:space="preserve">providers from other Member States, especially in sectors where associations are most</w:t>
      </w:r>
      <w:r>
        <w:t xml:space="preserve"> </w:t>
      </w:r>
      <w:r>
        <w:t xml:space="preserve">present (e.g. social and health services).</w:t>
      </w:r>
      <w:r>
        <w:t xml:space="preserve"> </w:t>
      </w:r>
      <w:r>
        <w:t xml:space="preserve">Other entities which</w:t>
      </w:r>
      <w:r>
        <w:t xml:space="preserve"> </w:t>
      </w:r>
      <w:r>
        <w:t xml:space="preserve">are active in the</w:t>
      </w:r>
      <w:r>
        <w:t xml:space="preserve"> </w:t>
      </w:r>
      <w:r>
        <w:t xml:space="preserve">same</w:t>
      </w:r>
      <w:r>
        <w:t xml:space="preserve"> </w:t>
      </w:r>
      <w:r>
        <w:t xml:space="preserve">sectors/markets will</w:t>
      </w:r>
      <w:r>
        <w:t xml:space="preserve"> </w:t>
      </w:r>
      <w:r>
        <w:t xml:space="preserve">be impacted,</w:t>
      </w:r>
      <w:r>
        <w:t xml:space="preserve"> </w:t>
      </w:r>
      <w:r>
        <w:t xml:space="preserve">Other market actors active in the same sectors and markets as non-profit providers such as</w:t>
      </w:r>
      <w:r>
        <w:t xml:space="preserve"> </w:t>
      </w:r>
      <w:r>
        <w:t xml:space="preserve">associations will experience greater competition (given that would more easily offer their</w:t>
      </w:r>
      <w:r>
        <w:t xml:space="preserve"> </w:t>
      </w:r>
      <w:r>
        <w:t xml:space="preserve">services in the single market Member States). All policy options are expected to generate</w:t>
      </w:r>
      <w:r>
        <w:t xml:space="preserve"> </w:t>
      </w:r>
      <w:r>
        <w:t xml:space="preserve">a positive impact in intensifying competition and price quality of services and goods</w:t>
      </w:r>
      <w:r>
        <w:t xml:space="preserve"> </w:t>
      </w:r>
      <w:r>
        <w:t xml:space="preserve">(taking into account the differences in effectiveness, as described for each policy option in</w:t>
      </w:r>
      <w:r>
        <w:t xml:space="preserve"> </w:t>
      </w:r>
      <w:r>
        <w:t xml:space="preserve">this Section below).</w:t>
      </w:r>
      <w:r>
        <w:br/>
      </w:r>
      <w:r>
        <w:t xml:space="preserve">Improved public procurement market at EU level, given that all policy options would allow</w:t>
      </w:r>
      <w:r>
        <w:t xml:space="preserve"> </w:t>
      </w:r>
      <w:r>
        <w:t xml:space="preserve">associations to compete more easily for contracts tendered by public institutions also in</w:t>
      </w:r>
      <w:r>
        <w:t xml:space="preserve"> </w:t>
      </w:r>
      <w:r>
        <w:t xml:space="preserve">other Member States (particularly in specific sectors such as care, health and social</w:t>
      </w:r>
      <w:r>
        <w:t xml:space="preserve"> </w:t>
      </w:r>
      <w:r>
        <w:t xml:space="preserve">services, employment services and social work, where in recent decades a large increase</w:t>
      </w:r>
      <w:r>
        <w:t xml:space="preserve"> </w:t>
      </w:r>
      <w:r>
        <w:t xml:space="preserve">of (cross-border operating) for-profit providers has been observed).</w:t>
      </w:r>
      <w:r>
        <w:t xml:space="preserve"> </w:t>
      </w:r>
      <w:r>
        <w:t xml:space="preserve">ASSOCIATIONS: ESTIMATES OF MAXIMUM POTENTIAL EXCESS COST REDUCTIONS PER YEAR</w:t>
      </w:r>
    </w:p>
    <w:p>
      <w:pPr>
        <w:pStyle w:val="FirstParagraph"/>
      </w:pPr>
      <w:r>
        <w:t xml:space="preserve">PO1 (a) and (b)</w:t>
      </w:r>
      <w:r>
        <w:t xml:space="preserve"> </w:t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Operating costs</w:t>
      </w:r>
      <w:r>
        <w:t xml:space="preserve"> </w:t>
      </w:r>
      <w:r>
        <w:t xml:space="preserve">(recurrent)</w:t>
      </w:r>
      <w:r>
        <w:br/>
      </w:r>
      <w:r>
        <w:t xml:space="preserve">EUR 770 million</w:t>
      </w:r>
      <w:r>
        <w:br/>
      </w:r>
      <w:r>
        <w:t xml:space="preserve">EUR 465 million</w:t>
      </w:r>
      <w:r>
        <w:t xml:space="preserve"> </w:t>
      </w:r>
      <w:r>
        <w:t xml:space="preserve">EUR 770 million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Compliance cost</w:t>
      </w:r>
      <w:r>
        <w:t xml:space="preserve"> </w:t>
      </w:r>
      <w:r>
        <w:t xml:space="preserve">(internal)</w:t>
      </w:r>
      <w:r>
        <w:br/>
      </w:r>
      <w:r>
        <w:t xml:space="preserve">EUR 190 million</w:t>
      </w:r>
      <w:r>
        <w:t xml:space="preserve"> </w:t>
      </w:r>
      <w:r>
        <w:t xml:space="preserve">EUR 115 million</w:t>
      </w:r>
      <w:r>
        <w:t xml:space="preserve"> </w:t>
      </w:r>
      <w:r>
        <w:t xml:space="preserve">EUR 190 million</w:t>
      </w:r>
      <w:r>
        <w:t xml:space="preserve"> </w:t>
      </w:r>
      <w:r>
        <w:t xml:space="preserve">Information cost</w:t>
      </w:r>
      <w:r>
        <w:t xml:space="preserve"> </w:t>
      </w:r>
      <w:r>
        <w:t xml:space="preserve">(internal)</w:t>
      </w:r>
      <w:r>
        <w:br/>
      </w:r>
      <w:r>
        <w:t xml:space="preserve">EUR 350 million</w:t>
      </w:r>
      <w:r>
        <w:br/>
      </w:r>
      <w:r>
        <w:t xml:space="preserve">EUR 210 million</w:t>
      </w:r>
      <w:r>
        <w:br/>
      </w:r>
      <w:r>
        <w:t xml:space="preserve">EUR 350 million</w:t>
      </w:r>
      <w:r>
        <w:t xml:space="preserve"> </w:t>
      </w:r>
      <w:r>
        <w:t xml:space="preserve">Direct cost/External</w:t>
      </w:r>
      <w:r>
        <w:t xml:space="preserve"> </w:t>
      </w:r>
      <w:r>
        <w:t xml:space="preserve">advisory cost</w:t>
      </w:r>
      <w:r>
        <w:t xml:space="preserve"> </w:t>
      </w:r>
      <w:r>
        <w:t xml:space="preserve">(External running</w:t>
      </w:r>
      <w:r>
        <w:t xml:space="preserve"> </w:t>
      </w:r>
      <w:r>
        <w:t xml:space="preserve">cost)</w:t>
      </w:r>
      <w:r>
        <w:br/>
      </w:r>
      <w:r>
        <w:t xml:space="preserve">EUR 230 million</w:t>
      </w:r>
      <w:r>
        <w:t xml:space="preserve"> </w:t>
      </w:r>
      <w:r>
        <w:t xml:space="preserve">EUR 140 million</w:t>
      </w:r>
      <w:r>
        <w:t xml:space="preserve"> </w:t>
      </w:r>
      <w:r>
        <w:t xml:space="preserve">EUR 230 million</w:t>
      </w:r>
      <w:r>
        <w:t xml:space="preserve"> </w:t>
      </w:r>
      <w:r>
        <w:t xml:space="preserve">ASSOCIATIONS: ESTIMATES OF MAXIMUM POTENTIAL EXCESS COST REDUCTIONS OVER 15 YEARS202</w:t>
      </w:r>
      <w:r>
        <w:t xml:space="preserve"> </w:t>
      </w:r>
      <w:r>
        <w:t xml:space="preserve">Operating</w:t>
      </w:r>
      <w:r>
        <w:t xml:space="preserve"> </w:t>
      </w:r>
      <w:r>
        <w:t xml:space="preserve">costs</w:t>
      </w:r>
      <w:r>
        <w:t xml:space="preserve"> </w:t>
      </w:r>
      <w:r>
        <w:t xml:space="preserve">(recurrent)</w:t>
      </w:r>
      <w:r>
        <w:t xml:space="preserve"> </w:t>
      </w:r>
      <w:r>
        <w:t xml:space="preserve">EUR 8.5 billion</w:t>
      </w:r>
      <w:r>
        <w:t xml:space="preserve"> </w:t>
      </w:r>
      <w:r>
        <w:t xml:space="preserve">EUR 5.1 billion</w:t>
      </w:r>
      <w:r>
        <w:t xml:space="preserve"> </w:t>
      </w:r>
      <w:r>
        <w:t xml:space="preserve">EUR 8.5 billion</w:t>
      </w:r>
      <w:r>
        <w:t xml:space="preserve"> </w:t>
      </w:r>
      <w:r>
        <w:t xml:space="preserve">ASSOCIATIONS: ESTIMATES OF MAXIMUM POTENTIAL EXCESS COST REDUCTIONS PER OPERATION LAUNCH</w:t>
      </w:r>
    </w:p>
    <w:p>
      <w:pPr>
        <w:pStyle w:val="BodyText"/>
      </w:pPr>
      <w:r>
        <w:t xml:space="preserve">PO1 (PO1a &amp; PO1b)</w:t>
      </w:r>
      <w:r>
        <w:t xml:space="preserve"> </w:t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Launching</w:t>
      </w:r>
      <w:r>
        <w:t xml:space="preserve"> </w:t>
      </w:r>
      <w:r>
        <w:t xml:space="preserve">launch</w:t>
      </w:r>
      <w:r>
        <w:t xml:space="preserve"> </w:t>
      </w:r>
      <w:r>
        <w:t xml:space="preserve">costs203 (one-off):</w:t>
      </w:r>
      <w:r>
        <w:br/>
      </w:r>
      <w:r>
        <w:t xml:space="preserve">EUR 2 150</w:t>
      </w:r>
      <w:r>
        <w:br/>
      </w:r>
      <w:r>
        <w:t xml:space="preserve">EUR 1 850</w:t>
      </w:r>
      <w:r>
        <w:br/>
      </w:r>
      <w:r>
        <w:t xml:space="preserve">EUR 2 150</w:t>
      </w:r>
      <w:r>
        <w:br/>
      </w:r>
      <w:r>
        <w:t xml:space="preserve">Internal</w:t>
      </w:r>
      <w:r>
        <w:t xml:space="preserve"> </w:t>
      </w:r>
      <w:r>
        <w:t xml:space="preserve">setup</w:t>
      </w:r>
      <w:r>
        <w:t xml:space="preserve"> </w:t>
      </w:r>
      <w:r>
        <w:t xml:space="preserve">cost</w:t>
      </w:r>
      <w:r>
        <w:t xml:space="preserve"> </w:t>
      </w:r>
      <w:r>
        <w:t xml:space="preserve">(compliance cost)</w:t>
      </w:r>
    </w:p>
    <w:p>
      <w:pPr>
        <w:pStyle w:val="BodyText"/>
      </w:pPr>
      <w:r>
        <w:t xml:space="preserve">EUR 1 500</w:t>
      </w:r>
      <w:r>
        <w:br/>
      </w:r>
      <w:r>
        <w:t xml:space="preserve">EUR 1 200</w:t>
      </w:r>
      <w:r>
        <w:br/>
      </w:r>
      <w:r>
        <w:t xml:space="preserve">EUR 1 500</w:t>
      </w:r>
    </w:p>
    <w:p>
      <w:pPr>
        <w:pStyle w:val="BodyText"/>
      </w:pPr>
      <w:r>
        <w:t xml:space="preserve">External advisory cost</w:t>
      </w:r>
      <w:r>
        <w:t xml:space="preserve"> </w:t>
      </w:r>
      <w:r>
        <w:t xml:space="preserve">(direct cost)</w:t>
      </w:r>
      <w:r>
        <w:br/>
      </w:r>
      <w:r>
        <w:t xml:space="preserve">EUR 650</w:t>
      </w:r>
      <w:r>
        <w:br/>
      </w:r>
      <w:r>
        <w:t xml:space="preserve">EUR 650</w:t>
      </w:r>
      <w:r>
        <w:br/>
      </w:r>
      <w:r>
        <w:t xml:space="preserve">EUR 650</w:t>
      </w:r>
      <w:r>
        <w:br/>
      </w:r>
      <w:r>
        <w:t xml:space="preserve">ASSOCIATIONS: ESTIMATED OF MAXIMUM POTENTIAL EXCESS COST REDUCTIONS PER OPERATION</w:t>
      </w:r>
      <w:r>
        <w:t xml:space="preserve"> </w:t>
      </w:r>
      <w:r>
        <w:t xml:space="preserve">LAUNCH204 OVER 15 YEARS</w:t>
      </w:r>
    </w:p>
    <w:p>
      <w:pPr>
        <w:pStyle w:val="BodyText"/>
      </w:pPr>
      <w:r>
        <w:t xml:space="preserve">PO1 (PO1a &amp; PO1b)</w:t>
      </w:r>
      <w:r>
        <w:t xml:space="preserve"> </w:t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Launching costs (one-</w:t>
      </w:r>
      <w:r>
        <w:t xml:space="preserve"> </w:t>
      </w:r>
      <w:r>
        <w:t xml:space="preserve">off) – Scenario A</w:t>
      </w:r>
      <w:r>
        <w:t xml:space="preserve"> </w:t>
      </w:r>
      <w:r>
        <w:t xml:space="preserve">EUR 278 million</w:t>
      </w:r>
      <w:r>
        <w:br/>
      </w:r>
      <w:r>
        <w:t xml:space="preserve">EUR 318 million</w:t>
      </w:r>
      <w:r>
        <w:br/>
      </w:r>
      <w:r>
        <w:t xml:space="preserve">EUR 240 million</w:t>
      </w:r>
      <w:r>
        <w:br/>
      </w:r>
      <w:r>
        <w:t xml:space="preserve">EUR 274 million</w:t>
      </w:r>
      <w:r>
        <w:t xml:space="preserve"> </w:t>
      </w:r>
      <w:r>
        <w:t xml:space="preserve">EUR 338 million</w:t>
      </w:r>
      <w:r>
        <w:br/>
      </w:r>
      <w:r>
        <w:t xml:space="preserve">EUR 378 million</w:t>
      </w:r>
      <w:r>
        <w:t xml:space="preserve"> </w:t>
      </w:r>
      <w:r>
        <w:t xml:space="preserve">Launching costs (one-</w:t>
      </w:r>
      <w:r>
        <w:t xml:space="preserve"> </w:t>
      </w:r>
      <w:r>
        <w:t xml:space="preserve">off) – Scenario B</w:t>
      </w:r>
      <w:r>
        <w:t xml:space="preserve"> </w:t>
      </w:r>
      <w:r>
        <w:t xml:space="preserve">EUR 233 million</w:t>
      </w:r>
      <w:r>
        <w:br/>
      </w:r>
      <w:r>
        <w:t xml:space="preserve">EUR 267 million</w:t>
      </w:r>
      <w:r>
        <w:t xml:space="preserve"> </w:t>
      </w:r>
      <w:r>
        <w:t xml:space="preserve">EUR 201 million</w:t>
      </w:r>
      <w:r>
        <w:br/>
      </w:r>
      <w:r>
        <w:t xml:space="preserve">EUR 229 million</w:t>
      </w:r>
      <w:r>
        <w:t xml:space="preserve"> </w:t>
      </w:r>
      <w:r>
        <w:t xml:space="preserve">EUR 283 million</w:t>
      </w:r>
      <w:r>
        <w:br/>
      </w:r>
      <w:r>
        <w:t xml:space="preserve">EUR 317 million</w:t>
      </w:r>
    </w:p>
    <w:p>
      <w:pPr>
        <w:pStyle w:val="BodyText"/>
      </w:pPr>
      <w:r>
        <w:t xml:space="preserve">The assessed policy options are compared below in both qualitative and quantitative ways for:</w:t>
      </w:r>
      <w:r>
        <w:t xml:space="preserve"> </w:t>
      </w:r>
      <w:r>
        <w:t xml:space="preserve">effectiveness in reaching the objectives stated in Section 4; benefit-cost ratio and cost-</w:t>
      </w:r>
      <w:r>
        <w:t xml:space="preserve"> </w:t>
      </w:r>
      <w:r>
        <w:t xml:space="preserve">efficiency; proportionality, including feasibility and subsidiarity; and coherence with other EU</w:t>
      </w:r>
      <w:r>
        <w:t xml:space="preserve"> </w:t>
      </w:r>
      <w:r>
        <w:t xml:space="preserve">policy objectives and with other policy objectives, such as the SDGs (see Section 1).</w:t>
      </w:r>
      <w:r>
        <w:br/>
      </w:r>
      <w:r>
        <w:t xml:space="preserve">Scores are allocated based on an internal assessment, building on Section 6, as well as available</w:t>
      </w:r>
      <w:r>
        <w:t xml:space="preserve"> </w:t>
      </w:r>
      <w:r>
        <w:t xml:space="preserve">sources – in particular the IA study and the stakeholder consultation.</w:t>
      </w:r>
    </w:p>
    <w:p>
      <w:pPr>
        <w:pStyle w:val="BodyText"/>
      </w:pPr>
      <w:r>
        <w:t xml:space="preserve">202 Figures represent the total excess cost reductions over 15 years. Calculations of totals over 15 years take</w:t>
      </w:r>
      <w:r>
        <w:t xml:space="preserve"> </w:t>
      </w:r>
      <w:r>
        <w:t xml:space="preserve">account of potential lag effects as it is not likely to expect such full excess cost reduction materialise from year</w:t>
      </w:r>
      <w:r>
        <w:t xml:space="preserve"> </w:t>
      </w:r>
      <w:r>
        <w:t xml:space="preserve">one. A lag effect of one year is assumed where no effects can be observed, due to the time to effectively implement</w:t>
      </w:r>
      <w:r>
        <w:t xml:space="preserve"> </w:t>
      </w:r>
      <w:r>
        <w:t xml:space="preserve">the appropriate policy intervention and produce the desired effects on relevant stakeholders (e.g. delay of uptake</w:t>
      </w:r>
      <w:r>
        <w:t xml:space="preserve"> </w:t>
      </w:r>
      <w:r>
        <w:t xml:space="preserve">that can be expected due to the transposition timeframe of the Directive). Therefore, starting from year one, we</w:t>
      </w:r>
      <w:r>
        <w:t xml:space="preserve"> </w:t>
      </w:r>
      <w:r>
        <w:t xml:space="preserve">can expect a linear increase from the current situation to the full cost reduction potential (i.e. EUR 770 million for</w:t>
      </w:r>
      <w:r>
        <w:t xml:space="preserve"> </w:t>
      </w:r>
      <w:r>
        <w:t xml:space="preserve">PO1 and PO3 and EUR 465 million per year for PO2) until year five. As of year five, we can expect the policy</w:t>
      </w:r>
      <w:r>
        <w:t xml:space="preserve"> </w:t>
      </w:r>
      <w:r>
        <w:t xml:space="preserve">intervention to be fully effective and to produce the maximum expected results.</w:t>
      </w:r>
      <w:r>
        <w:t xml:space="preserve"> </w:t>
      </w:r>
      <w:r>
        <w:t xml:space="preserve">203 Nominally, the current excessive levels of inflation and predictions on inflation development are expected to</w:t>
      </w:r>
      <w:r>
        <w:t xml:space="preserve"> </w:t>
      </w:r>
      <w:r>
        <w:t xml:space="preserve">cost increases. The cost expressed should thus be interpreted in real term cost at 2023 price levels.</w:t>
      </w:r>
      <w:r>
        <w:t xml:space="preserve"> </w:t>
      </w:r>
      <w:r>
        <w:t xml:space="preserve">204 Applying this cost estimate to the number of new associations that are expected to launch cross-border</w:t>
      </w:r>
      <w:r>
        <w:t xml:space="preserve"> </w:t>
      </w:r>
      <w:r>
        <w:t xml:space="preserve">operations under this policy option (see below).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Legend: 0 no / neutral impact; + minor positive impact; ++ positive impact; +++ significant positive</w:t>
      </w:r>
      <w:r>
        <w:t xml:space="preserve"> </w:t>
      </w:r>
      <w:r>
        <w:t xml:space="preserve">impact; - minor negative impact; – negative impact; — significant negative impact.</w:t>
      </w:r>
      <w:r>
        <w:t xml:space="preserve"> </w:t>
      </w:r>
      <w:r>
        <w:t xml:space="preserve">Table 14: Comparison of PO1(a and b), PO2, and PO3.</w:t>
      </w:r>
    </w:p>
    <w:p>
      <w:pPr>
        <w:pStyle w:val="BodyText"/>
      </w:pPr>
      <w:r>
        <w:t xml:space="preserve">PO 1a</w:t>
      </w:r>
      <w:r>
        <w:t xml:space="preserve"> </w:t>
      </w:r>
      <w:r>
        <w:t xml:space="preserve">PO 1b</w:t>
      </w:r>
      <w:r>
        <w:t xml:space="preserve"> </w:t>
      </w:r>
      <w:r>
        <w:t xml:space="preserve">PO 2</w:t>
      </w:r>
      <w:r>
        <w:t xml:space="preserve"> </w:t>
      </w:r>
      <w:r>
        <w:t xml:space="preserve">PO 3</w:t>
      </w:r>
      <w:r>
        <w:t xml:space="preserve"> </w:t>
      </w:r>
      <w:r>
        <w:t xml:space="preserve">1. Effectiveness (in achieving the objective)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Specific Objective 1: Improve possibilities for an</w:t>
      </w:r>
      <w:r>
        <w:t xml:space="preserve"> </w:t>
      </w:r>
      <w:r>
        <w:t xml:space="preserve">association to have its legal personality recognized in</w:t>
      </w:r>
      <w:r>
        <w:t xml:space="preserve"> </w:t>
      </w:r>
      <w:r>
        <w:t xml:space="preserve">other Member States, thereby ensuring equal</w:t>
      </w:r>
      <w:r>
        <w:t xml:space="preserve"> </w:t>
      </w:r>
      <w:r>
        <w:t xml:space="preserve">treatment in the single market</w:t>
      </w:r>
      <w:r>
        <w:br/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Specific Objective 2: Reduce the regulatory</w:t>
      </w:r>
      <w:r>
        <w:t xml:space="preserve"> </w:t>
      </w:r>
      <w:r>
        <w:t xml:space="preserve">formalities for associations operating in more than</w:t>
      </w:r>
      <w:r>
        <w:t xml:space="preserve"> </w:t>
      </w:r>
      <w:r>
        <w:t xml:space="preserve">one Member State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2. Efficiency (cost/benefit ratio)205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3. Coherence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4. 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5. Subsidiarity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TOTAL SCORE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Effectiveness (in reaching the objectives). All policy options will contribute to achieving the</w:t>
      </w:r>
      <w:r>
        <w:t xml:space="preserve"> </w:t>
      </w:r>
      <w:r>
        <w:t xml:space="preserve">policy objectives of the initiative, albeit in different manner and extent. Therefore, all received</w:t>
      </w:r>
      <w:r>
        <w:t xml:space="preserve"> </w:t>
      </w:r>
      <w:r>
        <w:t xml:space="preserve">a reasonably high score. A legislative instrument to remove identified barriers for associations</w:t>
      </w:r>
      <w:r>
        <w:t xml:space="preserve"> </w:t>
      </w:r>
      <w:r>
        <w:t xml:space="preserve">operating cross-border in the single market – whether through the creation of a new legal form</w:t>
      </w:r>
      <w:r>
        <w:t xml:space="preserve"> </w:t>
      </w:r>
      <w:r>
        <w:t xml:space="preserve">(both PO1 sub-options and PO3) or harmonisation of common minimum standards (PO2) –</w:t>
      </w:r>
      <w:r>
        <w:t xml:space="preserve"> </w:t>
      </w:r>
      <w:r>
        <w:t xml:space="preserve">will reduce the existing regulatory barriers and will improve possibilities for an association to</w:t>
      </w:r>
      <w:r>
        <w:t xml:space="preserve"> </w:t>
      </w:r>
      <w:r>
        <w:t xml:space="preserve">have its legal personality recognized in other Member States. PO1 scores highest and has a</w:t>
      </w:r>
      <w:r>
        <w:t xml:space="preserve"> </w:t>
      </w:r>
      <w:r>
        <w:t xml:space="preserve">significant positive impact, compared to the positive impact of PO2, for the following reasons.</w:t>
      </w:r>
      <w:r>
        <w:t xml:space="preserve"> </w:t>
      </w:r>
      <w:r>
        <w:t xml:space="preserve">Regarding Specific Objective 1 (SO1), PO1 scores the highest, as it is based on automatic</w:t>
      </w:r>
      <w:r>
        <w:t xml:space="preserve"> </w:t>
      </w:r>
      <w:r>
        <w:t xml:space="preserve">recognition of the new legal form applied in a uniform manner (regulation). For the same</w:t>
      </w:r>
      <w:r>
        <w:t xml:space="preserve"> </w:t>
      </w:r>
      <w:r>
        <w:t xml:space="preserve">reason, being a fully or partially prescribed supranational legal form, both sub-options of PO1</w:t>
      </w:r>
      <w:r>
        <w:t xml:space="preserve"> </w:t>
      </w:r>
      <w:r>
        <w:t xml:space="preserve">have the most immediate harmonisation effect in the single market linked with the choice of</w:t>
      </w:r>
    </w:p>
    <w:p>
      <w:pPr>
        <w:pStyle w:val="BodyText"/>
      </w:pPr>
      <w:r>
        <w:t xml:space="preserve">205 For the efficiency (cost/benefit ratio) in table 14, PO1 and PO3 score equally high (+++) as the excess cost</w:t>
      </w:r>
      <w:r>
        <w:t xml:space="preserve"> </w:t>
      </w:r>
      <w:r>
        <w:t xml:space="preserve">reductions for cross-border operations over a 15-year time span are equal for PO1 and PO3 (EUR 8,5 billion ) ,</w:t>
      </w:r>
      <w:r>
        <w:t xml:space="preserve"> </w:t>
      </w:r>
      <w:r>
        <w:t xml:space="preserve">compared to EUR 5,5 billion for PO2. There is a difference between PO1 and PO3 as concerns the launch costs,</w:t>
      </w:r>
      <w:r>
        <w:t xml:space="preserve"> </w:t>
      </w:r>
      <w:r>
        <w:t xml:space="preserve">however it is of a considerably smaller size . Consequently, in the sum of total excess cost reductions for PO1 and</w:t>
      </w:r>
      <w:r>
        <w:t xml:space="preserve"> </w:t>
      </w:r>
      <w:r>
        <w:t xml:space="preserve">PO3 that difference is non-significant. Therefore both policy options have an equal score in terms of efficiency</w:t>
      </w:r>
      <w:r>
        <w:t xml:space="preserve"> </w:t>
      </w:r>
      <w:r>
        <w:t xml:space="preserve">(cost/ benefit ratio) of +++ versus ++ for PO2, for which cost reductions in both operational and launch costs are</w:t>
      </w:r>
      <w:r>
        <w:t xml:space="preserve"> </w:t>
      </w:r>
      <w:r>
        <w:t xml:space="preserve">significantly smaller.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the legal instrument (regulation) and therefore score the highest regarding the specific objective</w:t>
      </w:r>
      <w:r>
        <w:t xml:space="preserve"> </w:t>
      </w:r>
      <w:r>
        <w:t xml:space="preserve">2 (SO 2).</w:t>
      </w:r>
      <w:r>
        <w:br/>
      </w:r>
      <w:r>
        <w:t xml:space="preserve">Efficiency (cost/benefit ratio). All policy options will have a considerable positive impact in</w:t>
      </w:r>
      <w:r>
        <w:t xml:space="preserve"> </w:t>
      </w:r>
      <w:r>
        <w:t xml:space="preserve">terms of cost efficiency for associations and for competent authorities in the Member States.</w:t>
      </w:r>
      <w:r>
        <w:t xml:space="preserve"> </w:t>
      </w:r>
      <w:r>
        <w:t xml:space="preserve">Differences between the options in terms of cost reduction depend, to a certain extent, on the</w:t>
      </w:r>
      <w:r>
        <w:t xml:space="preserve"> </w:t>
      </w:r>
      <w:r>
        <w:t xml:space="preserve">cross-border ambitions and current/future activities of associations. Also the uptake of the</w:t>
      </w:r>
      <w:r>
        <w:t xml:space="preserve"> </w:t>
      </w:r>
      <w:r>
        <w:t xml:space="preserve">policy option is a factor that will greatly decide upon this cost/benefit ratio. These are to certain</w:t>
      </w:r>
      <w:r>
        <w:t xml:space="preserve"> </w:t>
      </w:r>
      <w:r>
        <w:t xml:space="preserve">extent uncertain factors that can only be indirectly influenced by the legal framework that the</w:t>
      </w:r>
      <w:r>
        <w:t xml:space="preserve"> </w:t>
      </w:r>
      <w:r>
        <w:t xml:space="preserve">policy options aim to improve and thus depends inevitably on a series of assumptions made in</w:t>
      </w:r>
      <w:r>
        <w:t xml:space="preserve"> </w:t>
      </w:r>
      <w:r>
        <w:t xml:space="preserve">this IA (as outlined in Annex 4).</w:t>
      </w:r>
      <w:r>
        <w:br/>
      </w:r>
      <w:r>
        <w:t xml:space="preserve">As presented in Section 6, it is estimated that all policy options will have a positive effect, as</w:t>
      </w:r>
      <w:r>
        <w:t xml:space="preserve"> </w:t>
      </w:r>
      <w:r>
        <w:t xml:space="preserve">all are expected to lower considerably excess costs and administrative burden for associations</w:t>
      </w:r>
      <w:r>
        <w:t xml:space="preserve"> </w:t>
      </w:r>
      <w:r>
        <w:t xml:space="preserve">(biggest relative impact through the creation of an EU legal form as well as an additional legal</w:t>
      </w:r>
      <w:r>
        <w:t xml:space="preserve"> </w:t>
      </w:r>
      <w:r>
        <w:t xml:space="preserve">form at Member State level), and neither is imposing new costs on relevant stakeholders.</w:t>
      </w:r>
      <w:r>
        <w:br/>
      </w:r>
      <w:r>
        <w:t xml:space="preserve">From the point of view of expected overall excess cost reduction of associations’ operating</w:t>
      </w:r>
      <w:r>
        <w:t xml:space="preserve"> </w:t>
      </w:r>
      <w:r>
        <w:t xml:space="preserve">cost, PO1 and PO3 emerge as the most effective. The uncertainty of this potential of PO1 in</w:t>
      </w:r>
      <w:r>
        <w:t xml:space="preserve"> </w:t>
      </w:r>
      <w:r>
        <w:t xml:space="preserve">terms of take up is however higher than for PO3, certainly for smaller associations. On the</w:t>
      </w:r>
      <w:r>
        <w:t xml:space="preserve"> </w:t>
      </w:r>
      <w:r>
        <w:t xml:space="preserve">other hand, the implementation of PO3 at national level may generate unforeseen differences</w:t>
      </w:r>
      <w:r>
        <w:t xml:space="preserve"> </w:t>
      </w:r>
      <w:r>
        <w:t xml:space="preserve">and complexities, likely reducing the full potential. Over a 15-year time span a reduction of</w:t>
      </w:r>
      <w:r>
        <w:t xml:space="preserve"> </w:t>
      </w:r>
      <w:r>
        <w:t xml:space="preserve">excess costs up to 770 million per year for PO1 and PO3 and 465 million per year for PO2</w:t>
      </w:r>
      <w:r>
        <w:t xml:space="preserve"> </w:t>
      </w:r>
      <w:r>
        <w:t xml:space="preserve">is estimated. For the assessed timeframe of 15 years that potentially results in a total excess</w:t>
      </w:r>
      <w:r>
        <w:t xml:space="preserve"> </w:t>
      </w:r>
      <w:r>
        <w:t xml:space="preserve">cost reduction of up to EUR 8.5 billion under PO1 and PO3 versus up to EUR 5.1 billion</w:t>
      </w:r>
      <w:r>
        <w:t xml:space="preserve"> </w:t>
      </w:r>
      <w:r>
        <w:t xml:space="preserve">under PO2206.</w:t>
      </w:r>
      <w:r>
        <w:t xml:space="preserve"> </w:t>
      </w:r>
      <w:r>
        <w:t xml:space="preserve">From the point of view of cost of launching cross border operations, while overarching</w:t>
      </w:r>
      <w:r>
        <w:t xml:space="preserve"> </w:t>
      </w:r>
      <w:r>
        <w:t xml:space="preserve">effects are similar for various options, the underlying drivers and affected stakeholder groups</w:t>
      </w:r>
      <w:r>
        <w:t xml:space="preserve"> </w:t>
      </w:r>
      <w:r>
        <w:t xml:space="preserve">differ. Both sub-options of PO1 are particularly relevant to large associations willing to operate</w:t>
      </w:r>
      <w:r>
        <w:t xml:space="preserve"> </w:t>
      </w:r>
      <w:r>
        <w:t xml:space="preserve">cross border (e.g. International NPOs). They provide an option for those looking for an</w:t>
      </w:r>
      <w:r>
        <w:t xml:space="preserve"> </w:t>
      </w:r>
      <w:r>
        <w:t xml:space="preserve">international legal form and allow for managing centrally by using economies of scale at</w:t>
      </w:r>
      <w:r>
        <w:t xml:space="preserve"> </w:t>
      </w:r>
      <w:r>
        <w:t xml:space="preserve">European level. PO2, on the other hand, provides a lowering of the barrier to entry without a</w:t>
      </w:r>
      <w:r>
        <w:t xml:space="preserve"> </w:t>
      </w:r>
      <w:r>
        <w:t xml:space="preserve">need for active choice to advance ones’ own position for an association. This facilitates ad hoc</w:t>
      </w:r>
      <w:r>
        <w:t xml:space="preserve"> </w:t>
      </w:r>
      <w:r>
        <w:t xml:space="preserve">cross-border operations and can be more beneficial for micro and small associations, as PO2</w:t>
      </w:r>
      <w:r>
        <w:t xml:space="preserve"> </w:t>
      </w:r>
      <w:r>
        <w:t xml:space="preserve">provides a reduction of the barrier without a need for action by the associations interested (no</w:t>
      </w:r>
      <w:r>
        <w:t xml:space="preserve"> </w:t>
      </w:r>
      <w:r>
        <w:t xml:space="preserve">need to convert into a new legal form). In monetary terms, the excess cost reduction for the</w:t>
      </w:r>
      <w:r>
        <w:t xml:space="preserve"> </w:t>
      </w:r>
      <w:r>
        <w:t xml:space="preserve">best estimate scenario over a timeframe of 15 years of PO3 is largest and is estimated to range</w:t>
      </w:r>
      <w:r>
        <w:t xml:space="preserve"> </w:t>
      </w:r>
      <w:r>
        <w:t xml:space="preserve">between EUR 338 million and EUR 378 million, followed by PO1 (EUR 278 million - EUR</w:t>
      </w:r>
    </w:p>
    <w:p>
      <w:pPr>
        <w:pStyle w:val="BodyText"/>
      </w:pPr>
      <w:r>
        <w:t xml:space="preserve">206 Figures represent the total excess cost reductions over 15 years. See table 9 for PO1 10 for PO2 and11 for PO3</w:t>
      </w:r>
      <w:r>
        <w:t xml:space="preserve"> </w:t>
      </w:r>
      <w:r>
        <w:t xml:space="preserve">in Section 6 for sub costs. Calculations of totals over 15 years take account of potential lag effects as it is not</w:t>
      </w:r>
      <w:r>
        <w:t xml:space="preserve"> </w:t>
      </w:r>
      <w:r>
        <w:t xml:space="preserve">likely to expect such full excess cost reductions materialise from year one. A lag effect of one year is assumed</w:t>
      </w:r>
      <w:r>
        <w:t xml:space="preserve"> </w:t>
      </w:r>
      <w:r>
        <w:t xml:space="preserve">where no effects can be observed, due to the time to effectively implement the appropriate policy intervention and</w:t>
      </w:r>
      <w:r>
        <w:t xml:space="preserve"> </w:t>
      </w:r>
      <w:r>
        <w:t xml:space="preserve">produce the desired effects on relevant stakeholders (e.g. delay of uptake that can be expected due to the</w:t>
      </w:r>
      <w:r>
        <w:t xml:space="preserve"> </w:t>
      </w:r>
      <w:r>
        <w:t xml:space="preserve">transposition timeframe of the Directive). Therefore, starting from year one, we can expect a linear increase from</w:t>
      </w:r>
      <w:r>
        <w:t xml:space="preserve"> </w:t>
      </w:r>
      <w:r>
        <w:t xml:space="preserve">the current situation to the full cost reduction potential (i.e. EUR 770 million for PO1 and PO3 and EUR 465</w:t>
      </w:r>
      <w:r>
        <w:t xml:space="preserve"> </w:t>
      </w:r>
      <w:r>
        <w:t xml:space="preserve">million per year for PO2) until year five. As of year five, it can be expected that the policy intervention is fully</w:t>
      </w:r>
      <w:r>
        <w:t xml:space="preserve"> </w:t>
      </w:r>
      <w:r>
        <w:t xml:space="preserve">effective and produces the maximum expected results.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318 million) and PO2 with the lowest expected reduction (EUR 240 million - EUR 274</w:t>
      </w:r>
      <w:r>
        <w:t xml:space="preserve"> </w:t>
      </w:r>
      <w:r>
        <w:t xml:space="preserve">million).</w:t>
      </w:r>
      <w:r>
        <w:br/>
      </w:r>
      <w:r>
        <w:t xml:space="preserve">In table 13 an overview of the effects on excess cost reductions is displayed, being clear that</w:t>
      </w:r>
      <w:r>
        <w:t xml:space="preserve"> </w:t>
      </w:r>
      <w:r>
        <w:t xml:space="preserve">all policy options have a considerable positive effect on the two main types of costs: operational</w:t>
      </w:r>
      <w:r>
        <w:t xml:space="preserve"> </w:t>
      </w:r>
      <w:r>
        <w:t xml:space="preserve">costs and launch costs, of which operational costs are a larger part. When considering both cost</w:t>
      </w:r>
      <w:r>
        <w:t xml:space="preserve"> </w:t>
      </w:r>
      <w:r>
        <w:t xml:space="preserve">option accumulatively, the estimates show that PO1 and PO3 are equally favourable, followed</w:t>
      </w:r>
      <w:r>
        <w:t xml:space="preserve"> </w:t>
      </w:r>
      <w:r>
        <w:t xml:space="preserve">by PO2 (minor difference occur because of the launch costs as described above). Their target</w:t>
      </w:r>
      <w:r>
        <w:t xml:space="preserve"> </w:t>
      </w:r>
      <w:r>
        <w:t xml:space="preserve">groups differ however. Given that PO3 is expected to be more inclusive for smaller associations</w:t>
      </w:r>
      <w:r>
        <w:t xml:space="preserve"> </w:t>
      </w:r>
      <w:r>
        <w:t xml:space="preserve">because of its likely relative substantive familiarity vis-à-vis that of PO1, the actual expected</w:t>
      </w:r>
      <w:r>
        <w:t xml:space="preserve"> </w:t>
      </w:r>
      <w:r>
        <w:t xml:space="preserve">excess cost reductions (emerging by new associations to launch cross-border activities) are</w:t>
      </w:r>
      <w:r>
        <w:t xml:space="preserve"> </w:t>
      </w:r>
      <w:r>
        <w:t xml:space="preserve">expected for a 15-year time span to be higher than for PO1(more registrations of small</w:t>
      </w:r>
      <w:r>
        <w:t xml:space="preserve"> </w:t>
      </w:r>
      <w:r>
        <w:t xml:space="preserve">associations compared to fewer registrations of large associations). See table 12 of this Section</w:t>
      </w:r>
      <w:r>
        <w:t xml:space="preserve"> </w:t>
      </w:r>
      <w:r>
        <w:t xml:space="preserve">for a detailed comparison of excess cost reductions for scenario A and scenario B. As argued</w:t>
      </w:r>
      <w:r>
        <w:t xml:space="preserve"> </w:t>
      </w:r>
      <w:r>
        <w:t xml:space="preserve">before, PO1b has a more proportionate character than PO1a, but still remains an EU legal form.</w:t>
      </w:r>
      <w:r>
        <w:t xml:space="preserve"> </w:t>
      </w:r>
      <w:r>
        <w:t xml:space="preserve">However, the extent of “inclusiveness” to which these benefits will trickle down to smaller</w:t>
      </w:r>
      <w:r>
        <w:t xml:space="preserve"> </w:t>
      </w:r>
      <w:r>
        <w:t xml:space="preserve">associations will depend on the complexity and cost of converting into such a legal form, or</w:t>
      </w:r>
      <w:r>
        <w:t xml:space="preserve"> </w:t>
      </w:r>
      <w:r>
        <w:t xml:space="preserve">for newly established associations the extent to which this is more complex than using national</w:t>
      </w:r>
      <w:r>
        <w:t xml:space="preserve"> </w:t>
      </w:r>
      <w:r>
        <w:t xml:space="preserve">legal forms. Hence, in summary, one might assume that PO1b is not as inclusive as PO3 and,</w:t>
      </w:r>
      <w:r>
        <w:t xml:space="preserve"> </w:t>
      </w:r>
      <w:r>
        <w:t xml:space="preserve">due to lack of further specific evidence that would point otherwise, the IA assumes similarity</w:t>
      </w:r>
      <w:r>
        <w:t xml:space="preserve"> </w:t>
      </w:r>
      <w:r>
        <w:t xml:space="preserve">in the uptake potential between PO1a and PO1b. Consequently, the long-term estimated</w:t>
      </w:r>
      <w:r>
        <w:t xml:space="preserve"> </w:t>
      </w:r>
      <w:r>
        <w:t xml:space="preserve">impacts of PO1b are not likely to differ from PO1a.</w:t>
      </w:r>
      <w:r>
        <w:t xml:space="preserve"> </w:t>
      </w:r>
      <w:r>
        <w:t xml:space="preserve">Finally, PO3 and PO1 will reduce operations costs mostly for associations operating in more</w:t>
      </w:r>
      <w:r>
        <w:t xml:space="preserve"> </w:t>
      </w:r>
      <w:r>
        <w:t xml:space="preserve">than one Member State. PO3 has the specific advantage to stimulate the associations operating</w:t>
      </w:r>
      <w:r>
        <w:t xml:space="preserve"> </w:t>
      </w:r>
      <w:r>
        <w:t xml:space="preserve">across borders by offering them a vehicle vested with reduced administrative burden and costs,</w:t>
      </w:r>
      <w:r>
        <w:t xml:space="preserve"> </w:t>
      </w:r>
      <w:r>
        <w:t xml:space="preserve">while also be mostly adapted to the national context and traditions related to associations. At</w:t>
      </w:r>
      <w:r>
        <w:t xml:space="preserve"> </w:t>
      </w:r>
      <w:r>
        <w:t xml:space="preserve">the same time, it should be noted that for both PO1 and PO3 benefiting would entail that</w:t>
      </w:r>
      <w:r>
        <w:t xml:space="preserve"> </w:t>
      </w:r>
      <w:r>
        <w:t xml:space="preserve">existing associations would need to change their statutes and re-register, if relevant, to meet</w:t>
      </w:r>
      <w:r>
        <w:t xml:space="preserve"> </w:t>
      </w:r>
      <w:r>
        <w:t xml:space="preserve">the requirements of the new legal form or create a new association under the new legal form.</w:t>
      </w:r>
      <w:r>
        <w:t xml:space="preserve"> </w:t>
      </w:r>
      <w:r>
        <w:t xml:space="preserve">This would generate one-off costs and administrative burden.</w:t>
      </w:r>
      <w:r>
        <w:t xml:space="preserve"> </w:t>
      </w:r>
      <w:r>
        <w:t xml:space="preserve">Coherence. Issues with coherence were not detected and therefore all policy options scored</w:t>
      </w:r>
      <w:r>
        <w:t xml:space="preserve"> </w:t>
      </w:r>
      <w:r>
        <w:t xml:space="preserve">well and equally so. Improving the functioning of the single market is a priority for the EU,</w:t>
      </w:r>
      <w:r>
        <w:t xml:space="preserve"> </w:t>
      </w:r>
      <w:r>
        <w:t xml:space="preserve">which this initiative contributes to. Further, improving the possibilities for associations to</w:t>
      </w:r>
      <w:r>
        <w:t xml:space="preserve"> </w:t>
      </w:r>
      <w:r>
        <w:t xml:space="preserve">operate cross-border contributes to the functioning of civil society and thereby, indirectly, to</w:t>
      </w:r>
      <w:r>
        <w:t xml:space="preserve"> </w:t>
      </w:r>
      <w:r>
        <w:t xml:space="preserve">upholding an enabling civic space. All policy options would support a fair transition for all,</w:t>
      </w:r>
      <w:r>
        <w:t xml:space="preserve"> </w:t>
      </w:r>
      <w:r>
        <w:t xml:space="preserve">given the sectors in which associations are most present. Finally, all policy options are aligned</w:t>
      </w:r>
      <w:r>
        <w:t xml:space="preserve"> </w:t>
      </w:r>
      <w:r>
        <w:t xml:space="preserve">with the Social Economy Action Plan and with the other measures mentioned therein, including</w:t>
      </w:r>
      <w:r>
        <w:t xml:space="preserve"> </w:t>
      </w:r>
      <w:r>
        <w:t xml:space="preserve">the proposal for a Council Recommendation on developing social economy framework</w:t>
      </w:r>
      <w:r>
        <w:t xml:space="preserve"> </w:t>
      </w:r>
      <w:r>
        <w:t xml:space="preserve">conditions and Commission Staff Working Documents providing factual information on</w:t>
      </w:r>
      <w:r>
        <w:t xml:space="preserve"> </w:t>
      </w:r>
      <w:r>
        <w:t xml:space="preserve">relevant taxation frameworks for social economy entities and on the existing case-law on non-</w:t>
      </w:r>
      <w:r>
        <w:t xml:space="preserve"> </w:t>
      </w:r>
      <w:r>
        <w:t xml:space="preserve">discriminatory taxation of charitable organisations and their donors.</w:t>
      </w:r>
      <w:r>
        <w:br/>
      </w:r>
      <w:r>
        <w:t xml:space="preserve">All three policy options facilitate exercising the freedom of assembly and of association, as</w:t>
      </w:r>
      <w:r>
        <w:t xml:space="preserve"> </w:t>
      </w:r>
      <w:r>
        <w:t xml:space="preserve">defined in the Charter, the Universal Declaration of Human Rights and the European</w:t>
      </w:r>
      <w:r>
        <w:t xml:space="preserve"> </w:t>
      </w:r>
      <w:r>
        <w:t xml:space="preserve">Convention on Human Rights. Further, measures encouraging intensified cross-border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activities of associations directly support the work of the Council of Europe, and in particular</w:t>
      </w:r>
      <w:r>
        <w:t xml:space="preserve"> </w:t>
      </w:r>
      <w:r>
        <w:t xml:space="preserve">the European Convention on the Recognition of the Legal Personality of International Non-</w:t>
      </w:r>
      <w:r>
        <w:t xml:space="preserve"> </w:t>
      </w:r>
      <w:r>
        <w:t xml:space="preserve">Governmental Organisations, the Recommendation to its Member States on the legal status of</w:t>
      </w:r>
      <w:r>
        <w:t xml:space="preserve"> </w:t>
      </w:r>
      <w:r>
        <w:t xml:space="preserve">non-governmental organisations in Europe, and the Fundamental Principles on the Status of</w:t>
      </w:r>
      <w:r>
        <w:t xml:space="preserve"> </w:t>
      </w:r>
      <w:r>
        <w:t xml:space="preserve">Non-governmental Organizations in Europe.</w:t>
      </w:r>
      <w:r>
        <w:br/>
      </w:r>
      <w:r>
        <w:t xml:space="preserve">All policy options support SDG 8 on Decent work and Economic Growth and, indirectly, SDG</w:t>
      </w:r>
      <w:r>
        <w:t xml:space="preserve"> </w:t>
      </w:r>
      <w:r>
        <w:t xml:space="preserve">16 on Peace, Justice, and Strong Institutions as well as indirectly SDG 3 on healthy lives and</w:t>
      </w:r>
      <w:r>
        <w:t xml:space="preserve"> </w:t>
      </w:r>
      <w:r>
        <w:t xml:space="preserve">promote well-being for all, by facilitating cross-border activities of associations mainly active</w:t>
      </w:r>
      <w:r>
        <w:t xml:space="preserve"> </w:t>
      </w:r>
      <w:r>
        <w:t xml:space="preserve">in sectors such as health, care and social services.</w:t>
      </w:r>
      <w:r>
        <w:t xml:space="preserve"> </w:t>
      </w:r>
      <w:r>
        <w:t xml:space="preserve">Proportionality. In terms of proportionality, PO3 (establishment of an additional legal form at</w:t>
      </w:r>
      <w:r>
        <w:t xml:space="preserve"> </w:t>
      </w:r>
      <w:r>
        <w:t xml:space="preserve">Member State level) scores highest. This policy option is most targeted at associations who</w:t>
      </w:r>
      <w:r>
        <w:t xml:space="preserve"> </w:t>
      </w:r>
      <w:r>
        <w:t xml:space="preserve">wish to operate cross-border and would not necessarily lead Member States to change their</w:t>
      </w:r>
      <w:r>
        <w:t xml:space="preserve"> </w:t>
      </w:r>
      <w:r>
        <w:t xml:space="preserve">existing association law nor would it have direct implications on associations not interested in</w:t>
      </w:r>
      <w:r>
        <w:t xml:space="preserve"> </w:t>
      </w:r>
      <w:r>
        <w:t xml:space="preserve">cross-border activities (as in PO2), in proportion with the scale of the identified problem (8%</w:t>
      </w:r>
      <w:r>
        <w:t xml:space="preserve"> </w:t>
      </w:r>
      <w:r>
        <w:t xml:space="preserve">of all associations in the EU are estimated as currently engaged in cross-border activities). This</w:t>
      </w:r>
      <w:r>
        <w:t xml:space="preserve"> </w:t>
      </w:r>
      <w:r>
        <w:t xml:space="preserve">is also in contrast to PO1a, which would regulate matters beyond what would be essential to</w:t>
      </w:r>
      <w:r>
        <w:t xml:space="preserve"> </w:t>
      </w:r>
      <w:r>
        <w:t xml:space="preserve">facilitate cross-border activities, but also to PO2, which would harmonise common standards</w:t>
      </w:r>
      <w:r>
        <w:t xml:space="preserve"> </w:t>
      </w:r>
      <w:r>
        <w:t xml:space="preserve">for cross-border activities and mobility of all associations, thereby resulting in partial</w:t>
      </w:r>
      <w:r>
        <w:t xml:space="preserve"> </w:t>
      </w:r>
      <w:r>
        <w:t xml:space="preserve">amendment of existing rules on associations in all Member States. Regarding PO1b, which</w:t>
      </w:r>
      <w:r>
        <w:t xml:space="preserve"> </w:t>
      </w:r>
      <w:r>
        <w:t xml:space="preserve">would also create a legal form focusing on cross-border aspects at EU level, it would be slightly</w:t>
      </w:r>
      <w:r>
        <w:t xml:space="preserve"> </w:t>
      </w:r>
      <w:r>
        <w:t xml:space="preserve">less proportionate than PO3, given that it would be applied in a uniform manner (i.e. choice</w:t>
      </w:r>
      <w:r>
        <w:t xml:space="preserve"> </w:t>
      </w:r>
      <w:r>
        <w:t xml:space="preserve">of the legal instrument), which does not allow Member States to adapt the legal form to their</w:t>
      </w:r>
      <w:r>
        <w:t xml:space="preserve"> </w:t>
      </w:r>
      <w:r>
        <w:t xml:space="preserve">national specificities (i.e. through transposition) and therefore may be considered as non-</w:t>
      </w:r>
      <w:r>
        <w:t xml:space="preserve"> </w:t>
      </w:r>
      <w:r>
        <w:t xml:space="preserve">proportionate in relation to the scale and nature of the identified problem in Section 2.</w:t>
      </w:r>
      <w:r>
        <w:br/>
      </w:r>
      <w:r>
        <w:t xml:space="preserve">A new legal form for cross-border associations at Member State level (PO3) would allow for</w:t>
      </w:r>
      <w:r>
        <w:t xml:space="preserve"> </w:t>
      </w:r>
      <w:r>
        <w:t xml:space="preserve">flexibility for Member States to adapt it to their respective settings, vis-à-vis an EU-level legal</w:t>
      </w:r>
      <w:r>
        <w:t xml:space="preserve"> </w:t>
      </w:r>
      <w:r>
        <w:t xml:space="preserve">form applied in a uniform manner envisaged in both sub-options of PO1. Moreover, PO3 would</w:t>
      </w:r>
      <w:r>
        <w:t xml:space="preserve"> </w:t>
      </w:r>
      <w:r>
        <w:t xml:space="preserve">not require changing Member States legislation for all associations, as it would be the case for</w:t>
      </w:r>
      <w:r>
        <w:t xml:space="preserve"> </w:t>
      </w:r>
      <w:r>
        <w:t xml:space="preserve">PO2. Therefore, PO3 scores highest on proportionality.</w:t>
      </w:r>
      <w:r>
        <w:br/>
      </w:r>
      <w:r>
        <w:t xml:space="preserve">Subsidiarity. In terms of subsidiarity, all policy options answer to the same key problem drivers</w:t>
      </w:r>
      <w:r>
        <w:t xml:space="preserve"> </w:t>
      </w:r>
      <w:r>
        <w:t xml:space="preserve">which have been described above and therefore the necessity of an EU action is covered by all</w:t>
      </w:r>
      <w:r>
        <w:t xml:space="preserve"> </w:t>
      </w:r>
      <w:r>
        <w:t xml:space="preserve">policy options as well as the fact that a solution can be better achieved at Union level (for more</w:t>
      </w:r>
      <w:r>
        <w:t xml:space="preserve"> </w:t>
      </w:r>
      <w:r>
        <w:t xml:space="preserve">explanation, see section 3.1). Furthermore, a Union action would prevent the regulatory</w:t>
      </w:r>
      <w:r>
        <w:t xml:space="preserve"> </w:t>
      </w:r>
      <w:r>
        <w:t xml:space="preserve">fragmentation that currently exists in the EU and only such an action would enable the adoption</w:t>
      </w:r>
      <w:r>
        <w:t xml:space="preserve"> </w:t>
      </w:r>
      <w:r>
        <w:t xml:space="preserve">of common or mutually recognised rules that would ease the cross-border activities and</w:t>
      </w:r>
      <w:r>
        <w:t xml:space="preserve"> </w:t>
      </w:r>
      <w:r>
        <w:t xml:space="preserve">mobility of associations (for more explanation, see section 3.2). However, PO2 and PO3</w:t>
      </w:r>
      <w:r>
        <w:t xml:space="preserve"> </w:t>
      </w:r>
      <w:r>
        <w:t xml:space="preserve">arguably respect the principle of subsidiarity better than either sub-option of PO1, given that</w:t>
      </w:r>
      <w:r>
        <w:t xml:space="preserve"> </w:t>
      </w:r>
      <w:r>
        <w:t xml:space="preserve">the proposed legal instrument of PO2 and PO3, i.e. a directive, allows Member States flexibility</w:t>
      </w:r>
      <w:r>
        <w:t xml:space="preserve"> </w:t>
      </w:r>
      <w:r>
        <w:t xml:space="preserve">in transposing the requirements set, and therefore score the highest in that regard.</w:t>
      </w:r>
      <w:r>
        <w:br/>
      </w:r>
      <w:r>
        <w:t xml:space="preserve">8</w:t>
      </w:r>
      <w:r>
        <w:t xml:space="preserve"> </w:t>
      </w:r>
      <w:r>
        <w:t xml:space="preserve">PREFERRED OPTION</w:t>
      </w:r>
      <w:r>
        <w:br/>
      </w:r>
      <w:r>
        <w:t xml:space="preserve">Overall, all policy options score rather positively as outlined in Sections 6 and 7, as they do not</w:t>
      </w:r>
      <w:r>
        <w:t xml:space="preserve"> </w:t>
      </w:r>
      <w:r>
        <w:t xml:space="preserve">impose significant costs for Member Stares, while rather reducing excess costs for associations,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albeit to a differing extent. This is particularly the case for options PO1 and PO3, which do not</w:t>
      </w:r>
      <w:r>
        <w:t xml:space="preserve"> </w:t>
      </w:r>
      <w:r>
        <w:t xml:space="preserve">impose costs on all associations, as the choice of taking-up the new legal form will be</w:t>
      </w:r>
      <w:r>
        <w:t xml:space="preserve"> </w:t>
      </w:r>
      <w:r>
        <w:t xml:space="preserve">voluntary. Associations that would choose to convert to or merge with the new form would</w:t>
      </w:r>
      <w:r>
        <w:t xml:space="preserve"> </w:t>
      </w:r>
      <w:r>
        <w:t xml:space="preserve">encounter those administrative costs as assessed in Section 6. Furthermore, costs on authorities</w:t>
      </w:r>
      <w:r>
        <w:t xml:space="preserve"> </w:t>
      </w:r>
      <w:r>
        <w:t xml:space="preserve">are not significant in any policy option, as the objective is regulatory and administrative</w:t>
      </w:r>
      <w:r>
        <w:t xml:space="preserve"> </w:t>
      </w:r>
      <w:r>
        <w:t xml:space="preserve">simplification. PO1 relies on a regulation, while PO2 and PO3 rely on directives.</w:t>
      </w:r>
      <w:r>
        <w:br/>
      </w:r>
      <w:r>
        <w:t xml:space="preserve">Although both a directive and a regulation allow for achieving the policy objectives (as outlined</w:t>
      </w:r>
      <w:r>
        <w:t xml:space="preserve"> </w:t>
      </w:r>
      <w:r>
        <w:t xml:space="preserve">in Section 4) in an efficient manner, on balance, a regulation can be seen as more effective and</w:t>
      </w:r>
      <w:r>
        <w:t xml:space="preserve"> </w:t>
      </w:r>
      <w:r>
        <w:t xml:space="preserve">efficient in terms of enforcement and possible divergent interpretation leading to</w:t>
      </w:r>
      <w:r>
        <w:t xml:space="preserve"> </w:t>
      </w:r>
      <w:r>
        <w:t xml:space="preserve">fragmentation. This is due to its direct applicability and uniformity in content. Using a directive</w:t>
      </w:r>
      <w:r>
        <w:t xml:space="preserve"> </w:t>
      </w:r>
      <w:r>
        <w:t xml:space="preserve">may entail risks in transposition, including gold-plating. However, the comparison is not</w:t>
      </w:r>
      <w:r>
        <w:t xml:space="preserve"> </w:t>
      </w:r>
      <w:r>
        <w:t xml:space="preserve">entirely clear-cut. Transposition allows for adapting the prescribed rules to national settings,</w:t>
      </w:r>
      <w:r>
        <w:t xml:space="preserve"> </w:t>
      </w:r>
      <w:r>
        <w:t xml:space="preserve">which may also facilitate uptake and reduce adjustment costs, given the general lack of</w:t>
      </w:r>
      <w:r>
        <w:t xml:space="preserve"> </w:t>
      </w:r>
      <w:r>
        <w:t xml:space="preserve">resources associations are facing. The risk of fragmentation and divergent interpretation among</w:t>
      </w:r>
      <w:r>
        <w:t xml:space="preserve"> </w:t>
      </w:r>
      <w:r>
        <w:t xml:space="preserve">the Member States may be mitigated and legal clarity may be promoted through the overall</w:t>
      </w:r>
      <w:r>
        <w:t xml:space="preserve"> </w:t>
      </w:r>
      <w:r>
        <w:t xml:space="preserve">level of precision of the proposed instrument.</w:t>
      </w:r>
      <w:r>
        <w:br/>
      </w:r>
      <w:r>
        <w:t xml:space="preserve">The main differences between the three options concern their level of compliance with the</w:t>
      </w:r>
      <w:r>
        <w:t xml:space="preserve"> </w:t>
      </w:r>
      <w:r>
        <w:t xml:space="preserve">proportionality and subsidiarity principles and their political and legal feasibility in relation to</w:t>
      </w:r>
      <w:r>
        <w:t xml:space="preserve"> </w:t>
      </w:r>
      <w:r>
        <w:t xml:space="preserve">the nature of the identified problem. In light of the foregoing and considering the absence of a</w:t>
      </w:r>
      <w:r>
        <w:t xml:space="preserve"> </w:t>
      </w:r>
      <w:r>
        <w:t xml:space="preserve">sharp difference in terms of efficiency (costs/benefits) between the options, the preferred option</w:t>
      </w:r>
      <w:r>
        <w:t xml:space="preserve"> </w:t>
      </w:r>
      <w:r>
        <w:t xml:space="preserve">appears to be PO3, as described below.</w:t>
      </w:r>
      <w:r>
        <w:br/>
      </w:r>
      <w:r>
        <w:t xml:space="preserve">Firstly, PO3 is most suitable in addressing the objectives, when taking into account</w:t>
      </w:r>
      <w:r>
        <w:t xml:space="preserve"> </w:t>
      </w:r>
      <w:r>
        <w:t xml:space="preserve">proportionality. This also takes into account the scale of the identified problem (estimated</w:t>
      </w:r>
      <w:r>
        <w:t xml:space="preserve"> </w:t>
      </w:r>
      <w:r>
        <w:t xml:space="preserve">numbers of associations currently active cross-border and with potential). PO3 allows those</w:t>
      </w:r>
      <w:r>
        <w:t xml:space="preserve"> </w:t>
      </w:r>
      <w:r>
        <w:t xml:space="preserve">associations interested in operating in more than one Member State to benefit from recognition</w:t>
      </w:r>
      <w:r>
        <w:t xml:space="preserve"> </w:t>
      </w:r>
      <w:r>
        <w:t xml:space="preserve">of their legal personality across the Union, as well as to have improved clarity on administrative</w:t>
      </w:r>
      <w:r>
        <w:t xml:space="preserve"> </w:t>
      </w:r>
      <w:r>
        <w:t xml:space="preserve">procedures applying when operating cross-border, including providing goods and services,</w:t>
      </w:r>
      <w:r>
        <w:t xml:space="preserve"> </w:t>
      </w:r>
      <w:r>
        <w:t xml:space="preserve">receiving capital, welcoming members, merging with associations cross-border207 and</w:t>
      </w:r>
      <w:r>
        <w:t xml:space="preserve"> </w:t>
      </w:r>
      <w:r>
        <w:t xml:space="preserve">converting cross-border.</w:t>
      </w:r>
      <w:r>
        <w:br/>
      </w:r>
      <w:r>
        <w:t xml:space="preserve">Although they score similarly overall for effectiveness, a substantive advantage of PO3</w:t>
      </w:r>
      <w:r>
        <w:t xml:space="preserve"> </w:t>
      </w:r>
      <w:r>
        <w:t xml:space="preserve">compared to PO2 concerns the recognition of legal personality. The legal personality of</w:t>
      </w:r>
      <w:r>
        <w:t xml:space="preserve"> </w:t>
      </w:r>
      <w:r>
        <w:t xml:space="preserve">associations under the new legal form would be recognized in other Member States, while</w:t>
      </w:r>
      <w:r>
        <w:t xml:space="preserve"> </w:t>
      </w:r>
      <w:r>
        <w:t xml:space="preserve">national associations under PO2 would only benefit from a standardized procedure for</w:t>
      </w:r>
      <w:r>
        <w:t xml:space="preserve"> </w:t>
      </w:r>
      <w:r>
        <w:t xml:space="preserve">obtaining such recognition on a case-by-case basis. Applying the ‘once only’ principle leads to</w:t>
      </w:r>
      <w:r>
        <w:t xml:space="preserve"> </w:t>
      </w:r>
      <w:r>
        <w:t xml:space="preserve">a minimal number of registrations, hence PO3 is more advantageous over time for existing</w:t>
      </w:r>
      <w:r>
        <w:t xml:space="preserve"> </w:t>
      </w:r>
      <w:r>
        <w:t xml:space="preserve">associations, also smaller ones, despite the higher one-off cost stemming from converting to</w:t>
      </w:r>
      <w:r>
        <w:t xml:space="preserve"> </w:t>
      </w:r>
      <w:r>
        <w:t xml:space="preserve">the new legal form. Both sub-options of PO1 score slightly higher for effectiveness, for the</w:t>
      </w:r>
      <w:r>
        <w:t xml:space="preserve"> </w:t>
      </w:r>
      <w:r>
        <w:t xml:space="preserve">reasons described in Section 7.</w:t>
      </w:r>
    </w:p>
    <w:p>
      <w:pPr>
        <w:pStyle w:val="BodyText"/>
      </w:pPr>
      <w:r>
        <w:t xml:space="preserve">207 DG GROW has commissioned an ongoing independent study to describe and compare the 27 national legal</w:t>
      </w:r>
      <w:r>
        <w:t xml:space="preserve"> </w:t>
      </w:r>
      <w:r>
        <w:t xml:space="preserve">regimes for non-profit associations in the EU concerning their legislative approach to mergers and demergers.</w:t>
      </w:r>
      <w:r>
        <w:t xml:space="preserve"> </w:t>
      </w:r>
      <w:r>
        <w:t xml:space="preserve">Results are expected in Q2 2023 in order to feed into the preparation of the initiative.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Thirdly, PO3 does not interfere with national regimes for associations and traditions in the</w:t>
      </w:r>
      <w:r>
        <w:t xml:space="preserve"> </w:t>
      </w:r>
      <w:r>
        <w:t xml:space="preserve">Member States and furthermore allows for them to be duly considered. This also applies to</w:t>
      </w:r>
      <w:r>
        <w:t xml:space="preserve"> </w:t>
      </w:r>
      <w:r>
        <w:t xml:space="preserve">Member States with existing provisions concerning cross-border aspects of associations, given</w:t>
      </w:r>
      <w:r>
        <w:t xml:space="preserve"> </w:t>
      </w:r>
      <w:r>
        <w:t xml:space="preserve">that the said provisions concern existing legal forms. It would rather require adjustment from</w:t>
      </w:r>
      <w:r>
        <w:t xml:space="preserve"> </w:t>
      </w:r>
      <w:r>
        <w:t xml:space="preserve">Member States to incorporate the new legal form in national legislation, and adaptations to</w:t>
      </w:r>
      <w:r>
        <w:t xml:space="preserve"> </w:t>
      </w:r>
      <w:r>
        <w:t xml:space="preserve">ensure mutual recognition of the legal personality, including adaptations to the existing national</w:t>
      </w:r>
      <w:r>
        <w:t xml:space="preserve"> </w:t>
      </w:r>
      <w:r>
        <w:t xml:space="preserve">registries for associations. As there is very little harmonisation in the Union concerning</w:t>
      </w:r>
      <w:r>
        <w:t xml:space="preserve"> </w:t>
      </w:r>
      <w:r>
        <w:t xml:space="preserve">association law and there is a history of an unsuccessful attempt to create a European</w:t>
      </w:r>
      <w:r>
        <w:t xml:space="preserve"> </w:t>
      </w:r>
      <w:r>
        <w:t xml:space="preserve">Association at EU level, the need for proportionality is underscored. PO1b, which would also</w:t>
      </w:r>
      <w:r>
        <w:t xml:space="preserve"> </w:t>
      </w:r>
      <w:r>
        <w:t xml:space="preserve">create a legal form focusing on cross-border aspects, would likely be less proportionate, given</w:t>
      </w:r>
      <w:r>
        <w:t xml:space="preserve"> </w:t>
      </w:r>
      <w:r>
        <w:t xml:space="preserve">the notion of subsidiarity and that it does not allow Member States to adapt the legal form to</w:t>
      </w:r>
      <w:r>
        <w:t xml:space="preserve"> </w:t>
      </w:r>
      <w:r>
        <w:t xml:space="preserve">their national specificities through transposition. Its impact in terms of legal clarity is therefore</w:t>
      </w:r>
      <w:r>
        <w:t xml:space="preserve"> </w:t>
      </w:r>
      <w:r>
        <w:t xml:space="preserve">not clear. Precedents show that this technique adds complexity for those using such legal form,</w:t>
      </w:r>
      <w:r>
        <w:t xml:space="preserve"> </w:t>
      </w:r>
      <w:r>
        <w:t xml:space="preserve">thereby having a negative effect on uptake.208</w:t>
      </w:r>
      <w:r>
        <w:t xml:space="preserve"> </w:t>
      </w:r>
      <w:r>
        <w:t xml:space="preserve">PO3 is therefore targeted and complies the most with the proportionality and subsidiarity</w:t>
      </w:r>
      <w:r>
        <w:t xml:space="preserve"> </w:t>
      </w:r>
      <w:r>
        <w:t xml:space="preserve">principles. All aspects considered, PO3 meets best the objectives of addressing the identified</w:t>
      </w:r>
      <w:r>
        <w:t xml:space="preserve"> </w:t>
      </w:r>
      <w:r>
        <w:t xml:space="preserve">problem and meeting the objective of improving the functioning of the single market for</w:t>
      </w:r>
      <w:r>
        <w:t xml:space="preserve"> </w:t>
      </w:r>
      <w:r>
        <w:t xml:space="preserve">associations, thereby also promoting EU civil society and strengthening economic</w:t>
      </w:r>
      <w:r>
        <w:t xml:space="preserve"> </w:t>
      </w:r>
      <w:r>
        <w:t xml:space="preserve">development in the EU.</w:t>
      </w:r>
      <w:r>
        <w:br/>
      </w:r>
      <w:r>
        <w:t xml:space="preserve">Application of the ‘One In, One Out’ Approach</w:t>
      </w:r>
      <w:r>
        <w:br/>
      </w:r>
      <w:r>
        <w:t xml:space="preserve">Given the voluntary nature of the preferred option establishing an additional new legal form</w:t>
      </w:r>
      <w:r>
        <w:t xml:space="preserve"> </w:t>
      </w:r>
      <w:r>
        <w:t xml:space="preserve">specifically designed for a cross-border membership and/or for cross-border activities and/or</w:t>
      </w:r>
      <w:r>
        <w:t xml:space="preserve"> </w:t>
      </w:r>
      <w:r>
        <w:t xml:space="preserve">purposes (‘cross-order assocations’), no costs would be imposed on existing associations.</w:t>
      </w:r>
      <w:r>
        <w:t xml:space="preserve"> </w:t>
      </w:r>
      <w:r>
        <w:t xml:space="preserve">Associations could however incur direct adjustment costs should they desire to convert to this</w:t>
      </w:r>
      <w:r>
        <w:t xml:space="preserve"> </w:t>
      </w:r>
      <w:r>
        <w:t xml:space="preserve">new legal form, thereby enjoying the potential of reduced costs. (see Annex 3 and 4).</w:t>
      </w:r>
      <w:r>
        <w:t xml:space="preserve"> </w:t>
      </w:r>
      <w:r>
        <w:t xml:space="preserve">Table 15: Excessive costs reduction related to the ‘One In One Out’ (OIOO) assessment.</w:t>
      </w:r>
      <w:r>
        <w:t xml:space="preserve"> </w:t>
      </w:r>
      <w:r>
        <w:t xml:space="preserve">Associations:</w:t>
      </w:r>
      <w:r>
        <w:t xml:space="preserve"> </w:t>
      </w:r>
      <w:r>
        <w:t xml:space="preserve">one-off</w:t>
      </w:r>
      <w:r>
        <w:t xml:space="preserve"> </w:t>
      </w:r>
      <w:r>
        <w:t xml:space="preserve">launching costs209</w:t>
      </w:r>
      <w:r>
        <w:t xml:space="preserve"> </w:t>
      </w:r>
      <w:r>
        <w:t xml:space="preserve">Excessive cost</w:t>
      </w:r>
      <w:r>
        <w:t xml:space="preserve"> </w:t>
      </w:r>
      <w:r>
        <w:t xml:space="preserve">reduction 210 (relative</w:t>
      </w:r>
      <w:r>
        <w:t xml:space="preserve"> </w:t>
      </w:r>
      <w:r>
        <w:t xml:space="preserve">to baseline)</w:t>
      </w:r>
      <w:r>
        <w:t xml:space="preserve"> </w:t>
      </w:r>
      <w:r>
        <w:t xml:space="preserve">Associations: recurrent yearly</w:t>
      </w:r>
      <w:r>
        <w:t xml:space="preserve"> </w:t>
      </w:r>
      <w:r>
        <w:t xml:space="preserve">administrative and compliance</w:t>
      </w:r>
      <w:r>
        <w:t xml:space="preserve"> </w:t>
      </w:r>
      <w:r>
        <w:t xml:space="preserve">cost reduction.</w:t>
      </w:r>
      <w:r>
        <w:br/>
      </w:r>
      <w:r>
        <w:t xml:space="preserve">Excessive cost</w:t>
      </w:r>
      <w:r>
        <w:t xml:space="preserve"> </w:t>
      </w:r>
      <w:r>
        <w:t xml:space="preserve">reduction 211</w:t>
      </w:r>
      <w:r>
        <w:t xml:space="preserve"> </w:t>
      </w:r>
      <w:r>
        <w:t xml:space="preserve">(relative to</w:t>
      </w:r>
      <w:r>
        <w:t xml:space="preserve"> </w:t>
      </w:r>
      <w:r>
        <w:t xml:space="preserve">baseline)</w:t>
      </w:r>
      <w:r>
        <w:t xml:space="preserve"> </w:t>
      </w:r>
      <w:r>
        <w:t xml:space="preserve">Staff cost: time spent to</w:t>
      </w:r>
      <w:r>
        <w:t xml:space="preserve"> </w:t>
      </w:r>
      <w:r>
        <w:t xml:space="preserve">familiarise</w:t>
      </w:r>
      <w:r>
        <w:t xml:space="preserve"> </w:t>
      </w:r>
      <w:r>
        <w:t xml:space="preserve">with</w:t>
      </w:r>
      <w:r>
        <w:t xml:space="preserve"> </w:t>
      </w:r>
      <w:r>
        <w:t xml:space="preserve">new</w:t>
      </w:r>
      <w:r>
        <w:t xml:space="preserve"> </w:t>
      </w:r>
      <w:r>
        <w:t xml:space="preserve">~ EUR 1 500</w:t>
      </w:r>
      <w:r>
        <w:t xml:space="preserve"> </w:t>
      </w:r>
      <w:r>
        <w:t xml:space="preserve">Compliance cost (internal):</w:t>
      </w:r>
    </w:p>
    <w:p>
      <w:pPr>
        <w:pStyle w:val="BodyText"/>
      </w:pPr>
      <w:r>
        <w:t xml:space="preserve">~</w:t>
      </w:r>
      <w:r>
        <w:t xml:space="preserve"> </w:t>
      </w:r>
      <w:r>
        <w:t xml:space="preserve">EUR</w:t>
      </w:r>
      <w:r>
        <w:t xml:space="preserve"> </w:t>
      </w:r>
      <w:r>
        <w:t xml:space="preserve">190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208 Stakeholder consultation in the context of the European Cooperative Society, see Report on the application of</w:t>
      </w:r>
      <w:r>
        <w:t xml:space="preserve"> </w:t>
      </w:r>
      <w:r>
        <w:t xml:space="preserve">Regulation No 1435/2003 on the Statute for a European Cooperative Society (SCE) of 23.2.2012.</w:t>
      </w:r>
    </w:p>
    <w:p>
      <w:pPr>
        <w:pStyle w:val="BodyText"/>
      </w:pPr>
      <w:r>
        <w:t xml:space="preserve">209 According to insights collected from stakeholders consulted, in the best scenario with policy intervention setup</w:t>
      </w:r>
      <w:r>
        <w:t xml:space="preserve"> </w:t>
      </w:r>
      <w:r>
        <w:t xml:space="preserve">costs can be expected to be reduced by up to 25% (external services) and 50% (internal costs).</w:t>
      </w:r>
      <w:r>
        <w:t xml:space="preserve"> </w:t>
      </w:r>
      <w:r>
        <w:t xml:space="preserve">210 Excessive cost are defined as the unnecessary cost which could be avoided by solving the identified problem</w:t>
      </w:r>
      <w:r>
        <w:t xml:space="preserve"> </w:t>
      </w:r>
      <w:r>
        <w:t xml:space="preserve">(as outlined in Section 2). These need to be distinguished from the actual cost which include also the unavoidable</w:t>
      </w:r>
      <w:r>
        <w:t xml:space="preserve"> </w:t>
      </w:r>
      <w:r>
        <w:t xml:space="preserve">component of the cost category.</w:t>
      </w:r>
      <w:r>
        <w:t xml:space="preserve"> </w:t>
      </w:r>
      <w:r>
        <w:t xml:space="preserve">211 Idem.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legislation, check and prepare</w:t>
      </w:r>
      <w:r>
        <w:t xml:space="preserve"> </w:t>
      </w:r>
      <w:r>
        <w:t xml:space="preserve">admin formalities)</w:t>
      </w:r>
    </w:p>
    <w:p>
      <w:pPr>
        <w:pStyle w:val="BodyText"/>
      </w:pPr>
      <w:r>
        <w:t xml:space="preserve">Other setup costs: external</w:t>
      </w:r>
      <w:r>
        <w:t xml:space="preserve"> </w:t>
      </w:r>
      <w:r>
        <w:t xml:space="preserve">services: advisory on labour,</w:t>
      </w:r>
      <w:r>
        <w:t xml:space="preserve"> </w:t>
      </w:r>
      <w:r>
        <w:t xml:space="preserve">accounting and tax laws in</w:t>
      </w:r>
      <w:r>
        <w:t xml:space="preserve"> </w:t>
      </w:r>
      <w:r>
        <w:t xml:space="preserve">countries where associations</w:t>
      </w:r>
      <w:r>
        <w:t xml:space="preserve"> </w:t>
      </w:r>
      <w:r>
        <w:t xml:space="preserve">wish to expand + registration</w:t>
      </w:r>
      <w:r>
        <w:t xml:space="preserve"> </w:t>
      </w:r>
      <w:r>
        <w:t xml:space="preserve">costs</w:t>
      </w:r>
      <w:r>
        <w:t xml:space="preserve"> </w:t>
      </w:r>
      <w:r>
        <w:t xml:space="preserve">~ EUR 650</w:t>
      </w:r>
      <w:r>
        <w:t xml:space="preserve"> </w:t>
      </w:r>
      <w:r>
        <w:t xml:space="preserve">Information cost (internal):</w:t>
      </w:r>
    </w:p>
    <w:p>
      <w:pPr>
        <w:pStyle w:val="BodyText"/>
      </w:pPr>
      <w:r>
        <w:t xml:space="preserve">~</w:t>
      </w:r>
      <w:r>
        <w:t xml:space="preserve"> </w:t>
      </w:r>
      <w:r>
        <w:t xml:space="preserve">EUR</w:t>
      </w:r>
      <w:r>
        <w:t xml:space="preserve"> </w:t>
      </w:r>
      <w:r>
        <w:t xml:space="preserve">350</w:t>
      </w:r>
      <w:r>
        <w:t xml:space="preserve"> </w:t>
      </w:r>
      <w:r>
        <w:t xml:space="preserve">million</w:t>
      </w:r>
    </w:p>
    <w:p>
      <w:pPr>
        <w:pStyle w:val="DefinitionTerm"/>
      </w:pPr>
      <w:r>
        <w:t xml:space="preserve">Total per launch</w:t>
      </w:r>
    </w:p>
    <w:p>
      <w:pPr>
        <w:pStyle w:val="Definition"/>
      </w:pPr>
      <w:r>
        <w:t xml:space="preserve">EUR 2 150</w:t>
      </w:r>
      <w:r>
        <w:t xml:space="preserve"> </w:t>
      </w:r>
      <w:r>
        <w:t xml:space="preserve">Direct</w:t>
      </w:r>
      <w:r>
        <w:t xml:space="preserve"> </w:t>
      </w:r>
      <w:r>
        <w:t xml:space="preserve">cost/External</w:t>
      </w:r>
      <w:r>
        <w:t xml:space="preserve"> </w:t>
      </w:r>
      <w:r>
        <w:t xml:space="preserve">advisory</w:t>
      </w:r>
      <w:r>
        <w:t xml:space="preserve"> </w:t>
      </w:r>
      <w:r>
        <w:t xml:space="preserve">cost (External running cost):</w:t>
      </w:r>
    </w:p>
    <w:p>
      <w:pPr>
        <w:pStyle w:val="Definition"/>
      </w:pPr>
      <w:r>
        <w:t xml:space="preserve">EUR</w:t>
      </w:r>
      <w:r>
        <w:t xml:space="preserve"> </w:t>
      </w:r>
      <w:r>
        <w:t xml:space="preserve">230</w:t>
      </w:r>
      <w:r>
        <w:t xml:space="preserve"> </w:t>
      </w:r>
      <w:r>
        <w:t xml:space="preserve">million</w:t>
      </w:r>
    </w:p>
    <w:p>
      <w:pPr>
        <w:pStyle w:val="FirstParagraph"/>
      </w:pPr>
      <w:r>
        <w:t xml:space="preserve">Total one-off excess cost</w:t>
      </w:r>
      <w:r>
        <w:t xml:space="preserve"> </w:t>
      </w:r>
      <w:r>
        <w:t xml:space="preserve">reductions (new associations</w:t>
      </w:r>
      <w:r>
        <w:t xml:space="preserve"> </w:t>
      </w:r>
      <w:r>
        <w:t xml:space="preserve">that are expected to launch</w:t>
      </w:r>
      <w:r>
        <w:t xml:space="preserve"> </w:t>
      </w:r>
      <w:r>
        <w:t xml:space="preserve">cross border operations under</w:t>
      </w:r>
      <w:r>
        <w:t xml:space="preserve"> </w:t>
      </w:r>
      <w:r>
        <w:t xml:space="preserve">this policy option) – 15 years</w:t>
      </w:r>
      <w:r>
        <w:t xml:space="preserve"> </w:t>
      </w:r>
      <w:r>
        <w:t xml:space="preserve">Scenario A: EUR 338</w:t>
      </w:r>
      <w:r>
        <w:t xml:space="preserve"> </w:t>
      </w:r>
      <w:r>
        <w:t xml:space="preserve">million</w:t>
      </w:r>
      <w:r>
        <w:t xml:space="preserve"> </w:t>
      </w:r>
      <w:r>
        <w:t xml:space="preserve">– EUR 375</w:t>
      </w:r>
      <w:r>
        <w:t xml:space="preserve"> </w:t>
      </w:r>
      <w:r>
        <w:t xml:space="preserve">million212</w:t>
      </w:r>
      <w:r>
        <w:br/>
      </w:r>
      <w:r>
        <w:t xml:space="preserve">Scenario B: EUR 283</w:t>
      </w:r>
      <w:r>
        <w:t xml:space="preserve"> </w:t>
      </w:r>
      <w:r>
        <w:t xml:space="preserve">million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317</w:t>
      </w:r>
      <w:r>
        <w:t xml:space="preserve"> </w:t>
      </w:r>
      <w:r>
        <w:t xml:space="preserve">million</w:t>
      </w:r>
      <w:r>
        <w:t xml:space="preserve"> </w:t>
      </w:r>
      <w:r>
        <w:t xml:space="preserve">Total recurrent excess cost</w:t>
      </w:r>
      <w:r>
        <w:t xml:space="preserve"> </w:t>
      </w:r>
      <w:r>
        <w:t xml:space="preserve">reductions</w:t>
      </w:r>
      <w:r>
        <w:t xml:space="preserve"> </w:t>
      </w:r>
      <w:r>
        <w:t xml:space="preserve">~</w:t>
      </w:r>
      <w:r>
        <w:t xml:space="preserve"> </w:t>
      </w:r>
      <w:r>
        <w:t xml:space="preserve">EUR</w:t>
      </w:r>
      <w:r>
        <w:t xml:space="preserve"> </w:t>
      </w:r>
      <w:r>
        <w:t xml:space="preserve">770</w:t>
      </w:r>
      <w:r>
        <w:t xml:space="preserve"> </w:t>
      </w:r>
      <w:r>
        <w:t xml:space="preserve">million (1 year)</w:t>
      </w:r>
      <w:r>
        <w:t xml:space="preserve"> </w:t>
      </w:r>
      <w:r>
        <w:t xml:space="preserve">EUR 8.5 billion</w:t>
      </w:r>
      <w:r>
        <w:t xml:space="preserve"> </w:t>
      </w:r>
      <w:r>
        <w:t xml:space="preserve">(15 years)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As with any new regulatory initiative, if the preferred option is implemented, there will be</w:t>
      </w:r>
      <w:r>
        <w:t xml:space="preserve"> </w:t>
      </w:r>
      <w:r>
        <w:t xml:space="preserve">periodic evaluation and monitoring. Monitoring could be undertaken by the Commission in</w:t>
      </w:r>
      <w:r>
        <w:t xml:space="preserve"> </w:t>
      </w:r>
      <w:r>
        <w:t xml:space="preserve">conjunction with the EU and national authorities, and the non-profit sector, i.e. representatives</w:t>
      </w:r>
      <w:r>
        <w:t xml:space="preserve"> </w:t>
      </w:r>
      <w:r>
        <w:t xml:space="preserve">of associations and clients or members of associations to get feedback regarding how well (or</w:t>
      </w:r>
      <w:r>
        <w:t xml:space="preserve"> </w:t>
      </w:r>
      <w:r>
        <w:t xml:space="preserve">otherwise) associations are operating across borders and are making the most of the single</w:t>
      </w:r>
      <w:r>
        <w:t xml:space="preserve"> </w:t>
      </w:r>
      <w:r>
        <w:t xml:space="preserve">market opportunities and freedoms. The importance of regular feedback loops between the</w:t>
      </w:r>
      <w:r>
        <w:t xml:space="preserve"> </w:t>
      </w:r>
      <w:r>
        <w:t xml:space="preserve">Commission and key stakeholders (e.g. associations, other actors of the non-profit sector,</w:t>
      </w:r>
      <w:r>
        <w:t xml:space="preserve"> </w:t>
      </w:r>
      <w:r>
        <w:t xml:space="preserve">Member States authorities) can be highlighted. This would provide an opportunity to learn</w:t>
      </w:r>
      <w:r>
        <w:t xml:space="preserve"> </w:t>
      </w:r>
      <w:r>
        <w:t xml:space="preserve">about the impact of the new regulatory initiative on associations operating cross-border in the</w:t>
      </w:r>
      <w:r>
        <w:t xml:space="preserve"> </w:t>
      </w:r>
      <w:r>
        <w:t xml:space="preserve">single market, including advantages, drawbacks and any practical implementation challenges</w:t>
      </w:r>
      <w:r>
        <w:t xml:space="preserve"> </w:t>
      </w:r>
      <w:r>
        <w:t xml:space="preserve">for Member States and associations. This would also allow for further data gathering in order</w:t>
      </w:r>
      <w:r>
        <w:t xml:space="preserve"> </w:t>
      </w:r>
      <w:r>
        <w:t xml:space="preserve">to capture the size and economic value of associations operating cross-border in the single</w:t>
      </w:r>
      <w:r>
        <w:t xml:space="preserve"> </w:t>
      </w:r>
      <w:r>
        <w:t xml:space="preserve">market (e.g. an independent study on the economic performance of the Proximity and Social</w:t>
      </w:r>
      <w:r>
        <w:t xml:space="preserve"> </w:t>
      </w:r>
      <w:r>
        <w:t xml:space="preserve">Economy industrial ecosystem, including associations, has been Commissioned by the</w:t>
      </w:r>
      <w:r>
        <w:t xml:space="preserve"> </w:t>
      </w:r>
      <w:r>
        <w:t xml:space="preserve">Commission under the Single Market Programme. Its first results are expected in 2024 and will</w:t>
      </w:r>
      <w:r>
        <w:t xml:space="preserve"> </w:t>
      </w:r>
      <w:r>
        <w:t xml:space="preserve">feed the future monitoring of the initiative).</w:t>
      </w:r>
      <w:r>
        <w:br/>
      </w:r>
      <w:r>
        <w:t xml:space="preserve">There should be an EU legislative intervention, an evaluation will be carried out by 5 years</w:t>
      </w:r>
      <w:r>
        <w:t xml:space="preserve"> </w:t>
      </w:r>
      <w:r>
        <w:t xml:space="preserve">since its entry into force or its transposition by Member States (depending on the nature of the</w:t>
      </w:r>
      <w:r>
        <w:t xml:space="preserve"> </w:t>
      </w:r>
      <w:r>
        <w:t xml:space="preserve">chosen instrument) in order to allow for sufficient period for awareness raising of potential</w:t>
      </w:r>
      <w:r>
        <w:t xml:space="preserve"> </w:t>
      </w:r>
      <w:r>
        <w:t xml:space="preserve">beneficiary associations, and such an evaluation will gather evidence to assess how this specific</w:t>
      </w:r>
      <w:r>
        <w:t xml:space="preserve"> </w:t>
      </w:r>
      <w:r>
        <w:t xml:space="preserve">intervention has performed.</w:t>
      </w:r>
    </w:p>
    <w:p>
      <w:pPr>
        <w:pStyle w:val="BodyText"/>
      </w:pPr>
      <w:r>
        <w:t xml:space="preserve">212 With a central value for this range of EUR 358 million.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Table 16: Objectives</w:t>
      </w:r>
      <w:r>
        <w:t xml:space="preserve"> </w:t>
      </w:r>
      <w:r>
        <w:t xml:space="preserve">and Indicators.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 of information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regulatory</w:t>
      </w:r>
      <w:r>
        <w:t xml:space="preserve"> </w:t>
      </w:r>
      <w:r>
        <w:t xml:space="preserve">formalities for associations</w:t>
      </w:r>
      <w:r>
        <w:t xml:space="preserve"> </w:t>
      </w:r>
      <w:r>
        <w:t xml:space="preserve">operating in more than one</w:t>
      </w:r>
      <w:r>
        <w:t xml:space="preserve"> </w:t>
      </w:r>
      <w:r>
        <w:t xml:space="preserve">Member State</w:t>
      </w:r>
      <w:r>
        <w:t xml:space="preserve"> </w:t>
      </w:r>
      <w:r>
        <w:t xml:space="preserve">Compliance level by Member States</w:t>
      </w:r>
      <w:r>
        <w:t xml:space="preserve"> </w:t>
      </w:r>
      <w:r>
        <w:t xml:space="preserve">(i.e. transposition pace, infringement</w:t>
      </w:r>
      <w:r>
        <w:t xml:space="preserve"> </w:t>
      </w:r>
      <w:r>
        <w:t xml:space="preserve">cases).</w:t>
      </w:r>
      <w:r>
        <w:t xml:space="preserve"> </w:t>
      </w:r>
      <w:r>
        <w:t xml:space="preserve">excess cost reductions for associations</w:t>
      </w:r>
      <w:r>
        <w:t xml:space="preserve"> </w:t>
      </w:r>
      <w:r>
        <w:t xml:space="preserve">realised due to reduced regulatory</w:t>
      </w:r>
      <w:r>
        <w:t xml:space="preserve"> </w:t>
      </w:r>
      <w:r>
        <w:t xml:space="preserve">formalities.</w:t>
      </w:r>
      <w:r>
        <w:t xml:space="preserve"> </w:t>
      </w:r>
      <w:r>
        <w:t xml:space="preserve">Number and geographic spread of</w:t>
      </w:r>
      <w:r>
        <w:t xml:space="preserve"> </w:t>
      </w:r>
      <w:r>
        <w:t xml:space="preserve">registered cross-border associations)</w:t>
      </w:r>
      <w:r>
        <w:t xml:space="preserve"> </w:t>
      </w:r>
      <w:r>
        <w:t xml:space="preserve">Evaluation/</w:t>
      </w:r>
      <w:r>
        <w:t xml:space="preserve"> </w:t>
      </w:r>
      <w:r>
        <w:t xml:space="preserve">desk</w:t>
      </w:r>
      <w:r>
        <w:t xml:space="preserve"> </w:t>
      </w:r>
      <w:r>
        <w:t xml:space="preserve">research</w:t>
      </w:r>
      <w:r>
        <w:t xml:space="preserve"> </w:t>
      </w:r>
      <w:r>
        <w:t xml:space="preserve">/consultation of stakeholders and</w:t>
      </w:r>
      <w:r>
        <w:t xml:space="preserve"> </w:t>
      </w:r>
      <w:r>
        <w:t xml:space="preserve">authorities</w:t>
      </w:r>
      <w:r>
        <w:t xml:space="preserve"> </w:t>
      </w:r>
      <w:r>
        <w:t xml:space="preserve">(Online) registries in MS (with</w:t>
      </w:r>
      <w:r>
        <w:t xml:space="preserve"> </w:t>
      </w:r>
      <w:r>
        <w:t xml:space="preserve">aggregated information at EU level</w:t>
      </w:r>
      <w:r>
        <w:t xml:space="preserve"> </w:t>
      </w:r>
      <w:r>
        <w:t xml:space="preserve">Information</w:t>
      </w:r>
      <w:r>
        <w:t xml:space="preserve"> </w:t>
      </w:r>
      <w:r>
        <w:t xml:space="preserve">collected</w:t>
      </w:r>
      <w:r>
        <w:t xml:space="preserve"> </w:t>
      </w:r>
      <w:r>
        <w:t xml:space="preserve">through</w:t>
      </w:r>
      <w:r>
        <w:t xml:space="preserve"> </w:t>
      </w:r>
      <w:r>
        <w:t xml:space="preserve">surveys</w:t>
      </w:r>
      <w:r>
        <w:t xml:space="preserve"> </w:t>
      </w:r>
      <w:r>
        <w:t xml:space="preserve">Improve possibilities for</w:t>
      </w:r>
      <w:r>
        <w:t xml:space="preserve"> </w:t>
      </w:r>
      <w:r>
        <w:t xml:space="preserve">an association to have its</w:t>
      </w:r>
      <w:r>
        <w:t xml:space="preserve"> </w:t>
      </w:r>
      <w:r>
        <w:t xml:space="preserve">legal</w:t>
      </w:r>
      <w:r>
        <w:t xml:space="preserve"> </w:t>
      </w:r>
      <w:r>
        <w:t xml:space="preserve">personality</w:t>
      </w:r>
      <w:r>
        <w:t xml:space="preserve"> </w:t>
      </w:r>
      <w:r>
        <w:t xml:space="preserve">recognized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Member States, thereby</w:t>
      </w:r>
      <w:r>
        <w:t xml:space="preserve"> </w:t>
      </w:r>
      <w:r>
        <w:t xml:space="preserve">ensuring equal treatment</w:t>
      </w:r>
      <w:r>
        <w:t xml:space="preserve"> </w:t>
      </w:r>
      <w:r>
        <w:t xml:space="preserve">in the single market</w:t>
      </w:r>
      <w:r>
        <w:t xml:space="preserve"> </w:t>
      </w:r>
      <w:r>
        <w:t xml:space="preserve">Perceived satisfaction of associations</w:t>
      </w:r>
      <w:r>
        <w:t xml:space="preserve"> </w:t>
      </w:r>
      <w:r>
        <w:t xml:space="preserve">operating cross-border</w:t>
      </w:r>
      <w:r>
        <w:t xml:space="preserve"> </w:t>
      </w:r>
      <w:r>
        <w:t xml:space="preserve">Evaluation / desk research /</w:t>
      </w:r>
      <w:r>
        <w:t xml:space="preserve"> </w:t>
      </w:r>
      <w:r>
        <w:t xml:space="preserve">consultation of stakeholders and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LIST OF ANNEXES213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Annex 6: Description of market context</w:t>
      </w:r>
      <w:r>
        <w:t xml:space="preserve"> </w:t>
      </w:r>
      <w:r>
        <w:t xml:space="preserve">Annex 7: SME test</w:t>
      </w:r>
      <w:r>
        <w:t xml:space="preserve"> </w:t>
      </w:r>
      <w:r>
        <w:t xml:space="preserve">Annex 8: Associations operating or wishing to operate cross border in the single market –</w:t>
      </w:r>
      <w:r>
        <w:t xml:space="preserve"> </w:t>
      </w:r>
      <w:r>
        <w:t xml:space="preserve">territorial dimension</w:t>
      </w:r>
      <w:r>
        <w:br/>
      </w:r>
      <w:r>
        <w:t xml:space="preserve">Annex 9: Relationships of the initiative on cross- border activities of associations with 1) legal</w:t>
      </w:r>
      <w:r>
        <w:t xml:space="preserve"> </w:t>
      </w:r>
      <w:r>
        <w:t xml:space="preserve">forms in Social Economy 2) related initiatives on Social Economy and Democracy, 3)</w:t>
      </w:r>
      <w:r>
        <w:t xml:space="preserve"> </w:t>
      </w:r>
      <w:r>
        <w:t xml:space="preserve">Commission proposals setting a European Association</w:t>
      </w:r>
      <w:r>
        <w:t xml:space="preserve"> </w:t>
      </w:r>
      <w:r>
        <w:t xml:space="preserve">Annex 10: Legal regimes of associations in EU Member States</w:t>
      </w:r>
      <w:r>
        <w:t xml:space="preserve"> </w:t>
      </w:r>
      <w:r>
        <w:t xml:space="preserve">Annex 11: National legislation rules on cross-border aspects of associations</w:t>
      </w:r>
      <w:r>
        <w:t xml:space="preserve"> </w:t>
      </w:r>
      <w:r>
        <w:t xml:space="preserve">Annex 12: Notion on Public Benefit status</w:t>
      </w:r>
      <w:r>
        <w:t xml:space="preserve"> </w:t>
      </w:r>
      <w:r>
        <w:t xml:space="preserve">Annex 13: Discarded policy options at an early stage</w:t>
      </w:r>
      <w:r>
        <w:t xml:space="preserve"> </w:t>
      </w:r>
      <w:r>
        <w:t xml:space="preserve">Annex 14: List of Figures, Tables, and Boxes</w:t>
      </w:r>
    </w:p>
    <w:p>
      <w:pPr>
        <w:pStyle w:val="BodyText"/>
      </w:pPr>
      <w:r>
        <w:t xml:space="preserve">213 Annexes are not included in this document but provided separately.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2026-07-31T16:48:06Z</dcterms:created>
  <dcterms:modified xsi:type="dcterms:W3CDTF">2026-07-31T16:48:06Z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