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13.2.2023</w:t>
      </w:r>
      <w:r>
        <w:br/>
      </w:r>
      <w:r>
        <w:t xml:space="preserve">SWD(2023) 35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amending Council Directive 98/24/EC and Directive 2004/37/EC of the European</w:t>
      </w:r>
      <w:r>
        <w:t xml:space="preserve"> </w:t>
      </w:r>
      <w:r>
        <w:t xml:space="preserve">Parliament and of the Council as regards the limit values for lead and its inorganic</w:t>
      </w:r>
      <w:r>
        <w:t xml:space="preserve"> </w:t>
      </w:r>
      <w:r>
        <w:t xml:space="preserve">compounds and diisocyanates</w:t>
      </w:r>
    </w:p>
    <w:p>
      <w:pPr>
        <w:pStyle w:val="BodyText"/>
      </w:pPr>
      <w:r>
        <w:t xml:space="preserve">{COM(2023) 71 final} - {SEC(2023) 67 final} - {SWD(2023) 34 final} -</w:t>
      </w:r>
      <w:r>
        <w:t xml:space="preserve"> </w:t>
      </w:r>
      <w:r>
        <w:t xml:space="preserve">{SWD(2023) 36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……………………………………………………….1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………………………………………………………………………………………………………3</w:t>
      </w:r>
      <w:r>
        <w:t xml:space="preserve"> </w:t>
      </w:r>
      <w:r>
        <w:t xml:space="preserve">2.1 What is/are the problem(s)? ………………………………………………………………………..3</w:t>
      </w:r>
      <w:r>
        <w:t xml:space="preserve"> </w:t>
      </w:r>
      <w:r>
        <w:t xml:space="preserve">2.2 What are the problem drivers? …………………………………………………………………….5</w:t>
      </w:r>
      <w:r>
        <w:t xml:space="preserve"> </w:t>
      </w:r>
      <w:r>
        <w:t xml:space="preserve">2.3 How will the problem evolve? …………………………………………………………………..12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14</w:t>
      </w:r>
      <w:r>
        <w:t xml:space="preserve"> </w:t>
      </w:r>
      <w:r>
        <w:t xml:space="preserve">3.1 Legal basis ……………………………………………………………………………………………..14</w:t>
      </w:r>
      <w:r>
        <w:t xml:space="preserve"> </w:t>
      </w:r>
      <w:r>
        <w:t xml:space="preserve">3.2 Subsidiarity: Necessity and added value of EU action ………………………………….15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16</w:t>
      </w:r>
      <w:r>
        <w:t xml:space="preserve"> </w:t>
      </w:r>
      <w:r>
        <w:t xml:space="preserve">4.1 General objectives ……………………………………………………………………………………16</w:t>
      </w:r>
      <w:r>
        <w:t xml:space="preserve"> </w:t>
      </w:r>
      <w:r>
        <w:t xml:space="preserve">4.2 Specific objectives …………………………………………………………………………………..16</w:t>
      </w:r>
      <w:r>
        <w:t xml:space="preserve"> </w:t>
      </w:r>
      <w:r>
        <w:t xml:space="preserve">4.3 Consistency with other EU policies ……………………………………………………………16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POSSIBLE POLICY OPTIONS? ……………………………………………………………….. 18</w:t>
      </w:r>
      <w:r>
        <w:t xml:space="preserve"> </w:t>
      </w:r>
      <w:r>
        <w:t xml:space="preserve">5.1 Process for setting binding limit values under the CAD and the CMRD …………18</w:t>
      </w:r>
      <w:r>
        <w:t xml:space="preserve"> </w:t>
      </w:r>
      <w:r>
        <w:t xml:space="preserve">5.2 Baseline Scenario …………………………………………………………………………………….18</w:t>
      </w:r>
      <w:r>
        <w:t xml:space="preserve"> </w:t>
      </w:r>
      <w:r>
        <w:t xml:space="preserve">5.3 Options discarded at an early stage …………………………………………………………….20</w:t>
      </w:r>
      <w:r>
        <w:t xml:space="preserve"> </w:t>
      </w:r>
      <w:r>
        <w:t xml:space="preserve">5.4 Policy options …………………………………………………………………………………………21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 23</w:t>
      </w:r>
      <w:r>
        <w:t xml:space="preserve"> </w:t>
      </w:r>
      <w:r>
        <w:t xml:space="preserve">6.1 Analytical methodology ……………………………………………………………………………23</w:t>
      </w:r>
      <w:r>
        <w:t xml:space="preserve"> </w:t>
      </w:r>
      <w:r>
        <w:t xml:space="preserve">6.2 Social impacts …………………………………………………………………………………………24</w:t>
      </w:r>
      <w:r>
        <w:t xml:space="preserve"> </w:t>
      </w:r>
      <w:r>
        <w:t xml:space="preserve">6.3 Economic impacts ……………………………………………………………………………………27</w:t>
      </w:r>
      <w:r>
        <w:t xml:space="preserve"> </w:t>
      </w:r>
      <w:r>
        <w:t xml:space="preserve">6.4 Impacts on the environment and on climate change ……………………………………..34</w:t>
      </w:r>
      <w:r>
        <w:t xml:space="preserve"> </w:t>
      </w:r>
      <w:r>
        <w:t xml:space="preserve">6.5 Impacts on fundamental rights …………………………………………………………………..35</w:t>
      </w:r>
      <w:r>
        <w:t xml:space="preserve"> </w:t>
      </w:r>
      <w:r>
        <w:t xml:space="preserve">6.6 Contribution to sustainable development ……………………………………………………35</w:t>
      </w:r>
      <w:r>
        <w:t xml:space="preserve"> </w:t>
      </w:r>
      <w:r>
        <w:t xml:space="preserve">6.7 Impacts on digitalisation …………………………………………………………………………..35</w:t>
      </w:r>
      <w:r>
        <w:t xml:space="preserve"> </w:t>
      </w:r>
      <w:r>
        <w:t xml:space="preserve">6.8 Administrative impacts …………………………………………………………………………….36</w:t>
      </w:r>
      <w:r>
        <w:t xml:space="preserve"> </w:t>
      </w:r>
      <w:r>
        <w:t xml:space="preserve">6.9 ‘One in, one out’ approach ……………………………………………………………………….36</w:t>
      </w:r>
      <w:r>
        <w:t xml:space="preserve"> </w:t>
      </w:r>
      <w:r>
        <w:t xml:space="preserve">6.10 Summary of the impacts …………………………………………………………………………36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 40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 44</w:t>
      </w:r>
      <w:r>
        <w:t xml:space="preserve"> </w:t>
      </w:r>
      <w:r>
        <w:t xml:space="preserve">8.1 Lead ………………………………………………………………………………………………………44</w:t>
      </w:r>
      <w:r>
        <w:t xml:space="preserve"> </w:t>
      </w:r>
      <w:r>
        <w:t xml:space="preserve">8.2 Diisocyanates ………………………………………………………………………………………….44</w:t>
      </w:r>
      <w:r>
        <w:t xml:space="preserve"> </w:t>
      </w:r>
      <w:r>
        <w:t xml:space="preserve">8.4 Subsidiarity, proportionality and REFIT …………………………………………………….46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48</w:t>
      </w:r>
    </w:p>
    <w:p>
      <w:pPr>
        <w:pStyle w:val="BodyText"/>
      </w:pPr>
      <w:r>
        <w:t xml:space="preserve">9.1 Monitoring arrangements ………………………………………………………………………….48</w:t>
      </w:r>
      <w:r>
        <w:t xml:space="preserve"> </w:t>
      </w:r>
      <w:r>
        <w:t xml:space="preserve">9.2 Evaluation arrangements …………………………………………………………………………..50</w:t>
      </w:r>
      <w:r>
        <w:t xml:space="preserve"> </w:t>
      </w:r>
      <w:r>
        <w:t xml:space="preserve">ANNEX 1: PROCEDURAL INFORMATION ………………………………………………………………………………… 51</w:t>
      </w:r>
      <w:r>
        <w:t xml:space="preserve"> </w:t>
      </w:r>
      <w:r>
        <w:t xml:space="preserve">ANNEX 2: STAKEHOLDER CONSULTATION …………………………………………………………………………… 56</w:t>
      </w:r>
      <w:r>
        <w:t xml:space="preserve"> </w:t>
      </w:r>
      <w:r>
        <w:t xml:space="preserve">ANNEX 3: WHO IS AFFECTED AND HOW? ………………………………………………………………………………. 65</w:t>
      </w:r>
      <w:r>
        <w:t xml:space="preserve"> </w:t>
      </w:r>
      <w:r>
        <w:t xml:space="preserve">ANNEX 4: ANALYTICAL METHODS ………………………………………………………………………………………… 70</w:t>
      </w:r>
      <w:r>
        <w:t xml:space="preserve"> </w:t>
      </w:r>
      <w:r>
        <w:t xml:space="preserve">ANNEX 5: RELEVANT SECTORS, USES AND EXISTING LIMIT VALUES ………………………………… 87</w:t>
      </w:r>
      <w:r>
        <w:t xml:space="preserve"> </w:t>
      </w:r>
      <w:r>
        <w:t xml:space="preserve">ANNEX 6: SMES ………………………………………………………………………………………………………………………… 99</w:t>
      </w:r>
      <w:r>
        <w:t xml:space="preserve"> </w:t>
      </w:r>
      <w:r>
        <w:t xml:space="preserve">ANNEX 7: PROCESS FOR SETTING BINDING OELS, BLVS AND ASSOCIATED PROVISIONS .. 102</w:t>
      </w:r>
      <w:r>
        <w:t xml:space="preserve"> </w:t>
      </w:r>
      <w:r>
        <w:t xml:space="preserve">ANNEX 8: CONSISTENCY AND COMPLEMENTARITY WITH THE REACH REGULATION …….. 107</w:t>
      </w:r>
    </w:p>
    <w:p>
      <w:pPr>
        <w:pStyle w:val="BodyText"/>
      </w:pPr>
      <w:r>
        <w:t xml:space="preserve">Glossary</w:t>
      </w:r>
      <w:r>
        <w:br/>
      </w:r>
      <w:r>
        <w:t xml:space="preserve">ACSH</w:t>
      </w:r>
      <w:r>
        <w:t xml:space="preserve"> </w:t>
      </w:r>
      <w:r>
        <w:t xml:space="preserve">Advisory Committee on Safety and Health at Work</w:t>
      </w:r>
      <w:r>
        <w:t xml:space="preserve"> </w:t>
      </w:r>
      <w:r>
        <w:t xml:space="preserve">ALIPA</w:t>
      </w:r>
      <w:r>
        <w:t xml:space="preserve"> </w:t>
      </w:r>
      <w:r>
        <w:t xml:space="preserve">European Aliphatic Isocyanates Producer Association</w:t>
      </w:r>
      <w:r>
        <w:t xml:space="preserve"> </w:t>
      </w:r>
      <w:r>
        <w:t xml:space="preserve">BLV</w:t>
      </w:r>
      <w:r>
        <w:t xml:space="preserve"> </w:t>
      </w:r>
      <w:r>
        <w:t xml:space="preserve">Biological Limit Value</w:t>
      </w:r>
      <w:r>
        <w:t xml:space="preserve"> </w:t>
      </w:r>
      <w:r>
        <w:t xml:space="preserve">CAD</w:t>
      </w:r>
      <w:r>
        <w:t xml:space="preserve"> </w:t>
      </w:r>
      <w:r>
        <w:t xml:space="preserve">Chemical Agents Directive</w:t>
      </w:r>
      <w:r>
        <w:t xml:space="preserve"> </w:t>
      </w:r>
      <w:r>
        <w:t xml:space="preserve">CMRD</w:t>
      </w:r>
      <w:r>
        <w:t xml:space="preserve"> </w:t>
      </w:r>
      <w:r>
        <w:t xml:space="preserve">Carcinogens, Mutagens and Reprotoxicants Directive</w:t>
      </w:r>
      <w:r>
        <w:t xml:space="preserve"> </w:t>
      </w:r>
      <w:r>
        <w:t xml:space="preserve">CSS</w:t>
      </w:r>
      <w:r>
        <w:t xml:space="preserve"> </w:t>
      </w:r>
      <w:r>
        <w:t xml:space="preserve">Chemicals Strategy for Sustainability</w:t>
      </w:r>
      <w:r>
        <w:t xml:space="preserve"> </w:t>
      </w:r>
      <w:r>
        <w:t xml:space="preserve">DALY</w:t>
      </w:r>
      <w:r>
        <w:t xml:space="preserve"> </w:t>
      </w:r>
      <w:r>
        <w:t xml:space="preserve">Disability Adjusted Life Years</w:t>
      </w:r>
      <w:r>
        <w:t xml:space="preserve"> </w:t>
      </w:r>
      <w:r>
        <w:t xml:space="preserve">DNEL</w:t>
      </w:r>
      <w:r>
        <w:t xml:space="preserve"> </w:t>
      </w:r>
      <w:r>
        <w:t xml:space="preserve">Derived No Effects Level</w:t>
      </w:r>
      <w:r>
        <w:br/>
      </w:r>
      <w:r>
        <w:t xml:space="preserve">DRR</w:t>
      </w:r>
      <w:r>
        <w:t xml:space="preserve"> </w:t>
      </w:r>
      <w:r>
        <w:t xml:space="preserve">Dose response relationship</w:t>
      </w:r>
      <w:r>
        <w:t xml:space="preserve"> </w:t>
      </w:r>
      <w:r>
        <w:t xml:space="preserve">ECHA</w:t>
      </w:r>
      <w:r>
        <w:t xml:space="preserve"> </w:t>
      </w:r>
      <w:r>
        <w:t xml:space="preserve">European Chemicals Agency</w:t>
      </w:r>
      <w:r>
        <w:t xml:space="preserve"> </w:t>
      </w:r>
      <w:r>
        <w:t xml:space="preserve">EFBWW</w:t>
      </w:r>
      <w:r>
        <w:t xml:space="preserve"> </w:t>
      </w:r>
      <w:r>
        <w:t xml:space="preserve">European Federation of Building and Woodworkers</w:t>
      </w:r>
      <w:r>
        <w:t xml:space="preserve"> </w:t>
      </w:r>
      <w:r>
        <w:t xml:space="preserve">EIG</w:t>
      </w:r>
      <w:r>
        <w:t xml:space="preserve"> </w:t>
      </w:r>
      <w:r>
        <w:t xml:space="preserve">Employers Interest Group of ACSH</w:t>
      </w:r>
      <w:r>
        <w:t xml:space="preserve"> </w:t>
      </w:r>
      <w:r>
        <w:t xml:space="preserve">ERR</w:t>
      </w:r>
      <w:r>
        <w:t xml:space="preserve"> </w:t>
      </w:r>
      <w:r>
        <w:t xml:space="preserve">Exposure Risk Relationship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FIEC</w:t>
      </w:r>
      <w:r>
        <w:t xml:space="preserve"> </w:t>
      </w:r>
      <w:r>
        <w:t xml:space="preserve">European Construction Industry Federation</w:t>
      </w:r>
      <w:r>
        <w:t xml:space="preserve"> </w:t>
      </w:r>
      <w:r>
        <w:t xml:space="preserve">GIG</w:t>
      </w:r>
      <w:r>
        <w:t xml:space="preserve"> </w:t>
      </w:r>
      <w:r>
        <w:t xml:space="preserve">Government Interest Group of ACSH</w:t>
      </w:r>
      <w:r>
        <w:t xml:space="preserve"> </w:t>
      </w:r>
      <w:r>
        <w:t xml:space="preserve">ILA</w:t>
      </w:r>
      <w:r>
        <w:t xml:space="preserve"> </w:t>
      </w:r>
      <w:r>
        <w:t xml:space="preserve">International Lead Association</w:t>
      </w:r>
      <w:r>
        <w:t xml:space="preserve"> </w:t>
      </w:r>
      <w:r>
        <w:t xml:space="preserve">ISG</w:t>
      </w:r>
      <w:r>
        <w:t xml:space="preserve"> </w:t>
      </w:r>
      <w:r>
        <w:t xml:space="preserve">Inter-service group</w:t>
      </w:r>
      <w:r>
        <w:t xml:space="preserve"> </w:t>
      </w:r>
      <w:r>
        <w:t xml:space="preserve">ISOPA</w:t>
      </w:r>
      <w:r>
        <w:br/>
      </w:r>
      <w:r>
        <w:t xml:space="preserve">European Diisocyanate and Polyol Producers Association</w:t>
      </w:r>
      <w:r>
        <w:t xml:space="preserve"> </w:t>
      </w:r>
      <w:r>
        <w:t xml:space="preserve">LAB</w:t>
      </w:r>
      <w:r>
        <w:t xml:space="preserve"> </w:t>
      </w:r>
      <w:r>
        <w:t xml:space="preserve">Lead acid batteries</w:t>
      </w:r>
      <w:r>
        <w:t xml:space="preserve"> </w:t>
      </w:r>
      <w:r>
        <w:t xml:space="preserve">NCO</w:t>
      </w:r>
      <w:r>
        <w:t xml:space="preserve"> </w:t>
      </w:r>
      <w:r>
        <w:t xml:space="preserve">Diisocyanate active group – Nitrogen, Carbon, Oxygen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OEL</w:t>
      </w:r>
      <w:r>
        <w:t xml:space="preserve"> </w:t>
      </w:r>
      <w:r>
        <w:t xml:space="preserve">Occupational Exposure Limit – 8 hour time-weighted average exposure</w:t>
      </w:r>
      <w:r>
        <w:t xml:space="preserve"> </w:t>
      </w:r>
      <w:r>
        <w:t xml:space="preserve">OSH</w:t>
      </w:r>
      <w:r>
        <w:t xml:space="preserve"> </w:t>
      </w:r>
      <w:r>
        <w:t xml:space="preserve">Occupational Safety and Health</w:t>
      </w:r>
      <w:r>
        <w:t xml:space="preserve"> </w:t>
      </w:r>
      <w:r>
        <w:t xml:space="preserve">PbA</w:t>
      </w:r>
      <w:r>
        <w:t xml:space="preserve"> </w:t>
      </w:r>
      <w:r>
        <w:t xml:space="preserve">Lead in air</w:t>
      </w:r>
      <w:r>
        <w:t xml:space="preserve"> </w:t>
      </w:r>
      <w:r>
        <w:t xml:space="preserve">PbB</w:t>
      </w:r>
      <w:r>
        <w:t xml:space="preserve"> </w:t>
      </w:r>
      <w:r>
        <w:t xml:space="preserve">Lead in blood</w:t>
      </w:r>
      <w:r>
        <w:t xml:space="preserve"> </w:t>
      </w:r>
      <w:r>
        <w:t xml:space="preserve">RAC</w:t>
      </w:r>
      <w:r>
        <w:t xml:space="preserve"> </w:t>
      </w:r>
      <w:r>
        <w:t xml:space="preserve">Risk Assessment Committee</w:t>
      </w:r>
      <w:r>
        <w:t xml:space="preserve"> </w:t>
      </w:r>
      <w:r>
        <w:t xml:space="preserve">REACH</w:t>
      </w:r>
      <w:r>
        <w:t xml:space="preserve"> </w:t>
      </w:r>
      <w:r>
        <w:t xml:space="preserve">Regulation on the Registration, Evaluation and Authorisation of</w:t>
      </w:r>
      <w:r>
        <w:t xml:space="preserve"> </w:t>
      </w:r>
      <w:r>
        <w:t xml:space="preserve">Chemicals</w:t>
      </w:r>
      <w:r>
        <w:t xml:space="preserve"> </w:t>
      </w:r>
      <w:r>
        <w:t xml:space="preserve">RMM</w:t>
      </w:r>
      <w:r>
        <w:t xml:space="preserve"> </w:t>
      </w:r>
      <w:r>
        <w:t xml:space="preserve">Risk Management Measures</w:t>
      </w:r>
      <w:r>
        <w:t xml:space="preserve"> </w:t>
      </w:r>
      <w:r>
        <w:t xml:space="preserve">SDG</w:t>
      </w:r>
      <w:r>
        <w:t xml:space="preserve"> </w:t>
      </w:r>
      <w:r>
        <w:t xml:space="preserve">UN Sustainable Development Goal</w:t>
      </w:r>
      <w:r>
        <w:t xml:space="preserve"> </w:t>
      </w:r>
      <w:r>
        <w:t xml:space="preserve">SEA Europe</w:t>
      </w:r>
      <w:r>
        <w:t xml:space="preserve"> </w:t>
      </w:r>
      <w:r>
        <w:t xml:space="preserve">Shipyards’ &amp; Maritime Equipment Association of Europe</w:t>
      </w:r>
      <w:r>
        <w:br/>
      </w:r>
      <w:r>
        <w:t xml:space="preserve">SME United</w:t>
      </w:r>
      <w:r>
        <w:t xml:space="preserve"> </w:t>
      </w:r>
      <w:r>
        <w:t xml:space="preserve">European Association of Crafts and SMEs</w:t>
      </w:r>
      <w:r>
        <w:br/>
      </w:r>
      <w:r>
        <w:t xml:space="preserve">STEL</w:t>
      </w:r>
      <w:r>
        <w:br/>
      </w:r>
      <w:r>
        <w:t xml:space="preserve">Short term exposure limit – normally time averaged over 15 minutes</w:t>
      </w:r>
      <w:r>
        <w:br/>
      </w:r>
      <w:r>
        <w:t xml:space="preserve">SVHC</w:t>
      </w:r>
      <w:r>
        <w:t xml:space="preserve"> </w:t>
      </w:r>
      <w:r>
        <w:t xml:space="preserve">Substance of very high concern</w:t>
      </w:r>
      <w:r>
        <w:t xml:space="preserve"> </w:t>
      </w:r>
      <w:r>
        <w:t xml:space="preserve">TWA</w:t>
      </w:r>
      <w:r>
        <w:t xml:space="preserve"> </w:t>
      </w:r>
      <w:r>
        <w:t xml:space="preserve">Time-Weighted Average</w:t>
      </w:r>
      <w:r>
        <w:t xml:space="preserve"> </w:t>
      </w:r>
      <w:r>
        <w:t xml:space="preserve">WIG</w:t>
      </w:r>
      <w:r>
        <w:br/>
      </w:r>
      <w:r>
        <w:t xml:space="preserve">Workers Interest Group of ACSH</w:t>
      </w:r>
      <w:r>
        <w:t xml:space="preserve"> </w:t>
      </w:r>
      <w:r>
        <w:t xml:space="preserve">WTP</w:t>
      </w:r>
      <w:r>
        <w:t xml:space="preserve"> </w:t>
      </w:r>
      <w:r>
        <w:t xml:space="preserve">Willingness To Pay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A strong social Europe calls for constant improvements towards safer and healthier work for all. Over</w:t>
      </w:r>
      <w:r>
        <w:t xml:space="preserve"> </w:t>
      </w:r>
      <w:r>
        <w:t xml:space="preserve">the last years, the European Union (EU) occupational safety and health (OSH) policy framework and</w:t>
      </w:r>
      <w:r>
        <w:t xml:space="preserve"> </w:t>
      </w:r>
      <w:r>
        <w:t xml:space="preserve">rules have contributed to considerably improving working conditions, in particular concerning workers’</w:t>
      </w:r>
      <w:r>
        <w:t xml:space="preserve"> </w:t>
      </w:r>
      <w:r>
        <w:t xml:space="preserve">protection from exposure to carcinogens and other hazardous chemicals1. Exposure limit values and</w:t>
      </w:r>
      <w:r>
        <w:t xml:space="preserve"> </w:t>
      </w:r>
      <w:r>
        <w:t xml:space="preserve">other provisions have been set or revised for many substances or groups of substances under the</w:t>
      </w:r>
      <w:r>
        <w:t xml:space="preserve"> </w:t>
      </w:r>
      <w:r>
        <w:t xml:space="preserve">Carcinogens, Mutagens and Reprotoxic Substances Directive 2004/37/EC (CMRD)2 and the Chemical</w:t>
      </w:r>
      <w:r>
        <w:t xml:space="preserve"> </w:t>
      </w:r>
      <w:r>
        <w:t xml:space="preserve">Agents Directive 98/24/EC3 (CAD).</w:t>
      </w:r>
      <w:r>
        <w:br/>
      </w:r>
      <w:r>
        <w:t xml:space="preserve">Ensuring healthy and safe work environments is vital to protect workers, uphold productivity, and to</w:t>
      </w:r>
      <w:r>
        <w:t xml:space="preserve"> </w:t>
      </w:r>
      <w:r>
        <w:t xml:space="preserve">allow for a sustainable economic recovery. The Commission announced in the European Pillar of Social</w:t>
      </w:r>
      <w:r>
        <w:t xml:space="preserve"> </w:t>
      </w:r>
      <w:r>
        <w:t xml:space="preserve">Rights Action Plan4 the intention to ensure a healthy, safe and well adapted work environment, which</w:t>
      </w:r>
      <w:r>
        <w:t xml:space="preserve"> </w:t>
      </w:r>
      <w:r>
        <w:t xml:space="preserve">was confirmed with the adoption of the OSH Strategic Framework for 2021-20275. Also, the 2020</w:t>
      </w:r>
      <w:r>
        <w:t xml:space="preserve"> </w:t>
      </w:r>
      <w:r>
        <w:t xml:space="preserve">Chemicals Strategy for Sustainability (CSS)6 recognises the need to strengthen the protection of</w:t>
      </w:r>
      <w:r>
        <w:t xml:space="preserve"> </w:t>
      </w:r>
      <w:r>
        <w:t xml:space="preserve">workers and identifies lead and diisocyanates among the priority chemicals to act upon.</w:t>
      </w:r>
      <w:r>
        <w:br/>
      </w:r>
      <w:r>
        <w:t xml:space="preserve">The external stakeholder consultation on the evaluation of the previous EU OSH strategy for the period</w:t>
      </w:r>
      <w:r>
        <w:t xml:space="preserve"> </w:t>
      </w:r>
      <w:r>
        <w:t xml:space="preserve">2014–2020 confirmed that preventing work-related diseases is a common goal requiring coordinated</w:t>
      </w:r>
      <w:r>
        <w:t xml:space="preserve"> </w:t>
      </w:r>
      <w:r>
        <w:t xml:space="preserve">actions including the need to continuously update binding occupational exposure limits (OELs)7 8.</w:t>
      </w:r>
      <w:r>
        <w:t xml:space="preserve"> </w:t>
      </w:r>
      <w:r>
        <w:t xml:space="preserve">Lead and its inorganic compounds (referred to throughout this report as ‘lead’) are key occupational</w:t>
      </w:r>
      <w:r>
        <w:t xml:space="preserve"> </w:t>
      </w:r>
      <w:r>
        <w:t xml:space="preserve">reprotoxicants that can affect both fertility and the development of the foetus9. The current EU binding</w:t>
      </w:r>
      <w:r>
        <w:t xml:space="preserve"> </w:t>
      </w:r>
      <w:r>
        <w:t xml:space="preserve">OEL is 0.15 mg/m³ and the biological limit value (BLV10) is 70 µg/100 ml blood. These were first</w:t>
      </w:r>
      <w:r>
        <w:t xml:space="preserve"> </w:t>
      </w:r>
      <w:r>
        <w:t xml:space="preserve">introduced under a specific directive on lead in 198211 and have not been updated for over 40 years.</w:t>
      </w:r>
      <w:r>
        <w:t xml:space="preserve"> </w:t>
      </w:r>
      <w:r>
        <w:t xml:space="preserve">They therefore do not take into account the latest scientific and technical developments and findings.</w:t>
      </w:r>
      <w:r>
        <w:br/>
      </w:r>
      <w:r>
        <w:t xml:space="preserve">Diisocyanates are skin and respiratory sensitisers (asthmagens) that have the potential to cause</w:t>
      </w:r>
      <w:r>
        <w:t xml:space="preserve"> </w:t>
      </w:r>
      <w:r>
        <w:t xml:space="preserve">occupational asthma and dermal occupational disease12. Currently there is no binding OEL or short-</w:t>
      </w:r>
      <w:r>
        <w:t xml:space="preserve"> </w:t>
      </w:r>
      <w:r>
        <w:t xml:space="preserve">term exposure limit value (STEL13) for diisocyanates at EU level.</w:t>
      </w:r>
    </w:p>
    <w:p>
      <w:pPr>
        <w:pStyle w:val="FirstParagraph"/>
      </w:pPr>
      <w:r>
        <w:t xml:space="preserve">1 The EU OSH Strategic Framework on Health and Safety at Work 2014-2020, COM (2014) 332 final, 6.6.2014;</w:t>
      </w:r>
      <w:r>
        <w:t xml:space="preserve"> </w:t>
      </w:r>
      <w:r>
        <w:t xml:space="preserve">the Commission Communication ‘Safer and Healthier Work for All - Modernisation of the EU Occupational</w:t>
      </w:r>
      <w:r>
        <w:t xml:space="preserve"> </w:t>
      </w:r>
      <w:r>
        <w:t xml:space="preserve">Safety and Health Legislation and Policy’, COM (2017) 12 final, 10.1.2017; the Commission Communication ‘A</w:t>
      </w:r>
      <w:r>
        <w:t xml:space="preserve"> </w:t>
      </w:r>
      <w:r>
        <w:t xml:space="preserve">strong social Europe for just transitions’, COM(2020) 14 final, 14.1.2020, the EU Strategic Framework on health</w:t>
      </w:r>
      <w:r>
        <w:t xml:space="preserve"> </w:t>
      </w:r>
      <w:r>
        <w:t xml:space="preserve">and safety at work 2021-2027, COM (2021) 323 final 28.7.2021.</w:t>
      </w:r>
      <w:r>
        <w:br/>
      </w:r>
      <w:r>
        <w:t xml:space="preserve">2 Directive 2004/37/EC .</w:t>
      </w:r>
      <w:r>
        <w:t xml:space="preserve"> </w:t>
      </w:r>
      <w:r>
        <w:t xml:space="preserve">3 Directive 98/24/EC .</w:t>
      </w:r>
      <w:r>
        <w:t xml:space="preserve"> </w:t>
      </w:r>
      <w:r>
        <w:t xml:space="preserve">4 https://eur-lex.europa.eu/legal-content/EN/TXT/HTML/?uri=CELEX:52021DC0102&amp;from=EN</w:t>
      </w:r>
      <w:r>
        <w:br/>
      </w:r>
      <w:r>
        <w:t xml:space="preserve">5 https://eur-lex.europa.eu/legal-content/EN/TXT/PDF/?uri=CELEX:52021DC0323&amp;from=EN</w:t>
      </w:r>
      <w:r>
        <w:br/>
      </w:r>
      <w:r>
        <w:t xml:space="preserve">6 https://ec.europa.eu/environment/pdf/chemicals/2020/10/Strategy.pdf</w:t>
      </w:r>
      <w:r>
        <w:br/>
      </w:r>
      <w:r>
        <w:t xml:space="preserve">7 https://eur-lex.europa.eu/legal-content/EN/TXT/PDF/?uri=CELEX:52021SC0149&amp;from=EN</w:t>
      </w:r>
      <w:r>
        <w:br/>
      </w:r>
      <w:r>
        <w:t xml:space="preserve">8 OEL means the limit of the time-weighted average of the concentration of a chemical agent in the air within the</w:t>
      </w:r>
      <w:r>
        <w:t xml:space="preserve"> </w:t>
      </w:r>
      <w:r>
        <w:t xml:space="preserve">breathing zone of a worker in relation to a specified reference period, normally 8 hours.</w:t>
      </w:r>
      <w:r>
        <w:t xml:space="preserve"> </w:t>
      </w:r>
      <w:r>
        <w:t xml:space="preserve">9 The reproductive health toxicity of inorganic lead compounds is due to their lead content. Therefore, a group</w:t>
      </w:r>
      <w:r>
        <w:t xml:space="preserve"> </w:t>
      </w:r>
      <w:r>
        <w:t xml:space="preserve">approach is supported by the RAC to cover a broad range of individual lead containing substances.</w:t>
      </w:r>
      <w:r>
        <w:br/>
      </w:r>
      <w:r>
        <w:t xml:space="preserve">10 BLV means the limit of the concentration in the appropriate biological medium of the relevant agent, its</w:t>
      </w:r>
      <w:r>
        <w:t xml:space="preserve"> </w:t>
      </w:r>
      <w:r>
        <w:t xml:space="preserve">metabolite, or an indicator of effect.</w:t>
      </w:r>
      <w:r>
        <w:t xml:space="preserve"> </w:t>
      </w:r>
      <w:r>
        <w:t xml:space="preserve">11 Council Directive 82/605/EEC</w:t>
      </w:r>
      <w:r>
        <w:br/>
      </w:r>
      <w:r>
        <w:t xml:space="preserve">12 Diisocyanate substances have a common mechanism of inducing hypersensitivity mechanisms. Therefore, a</w:t>
      </w:r>
      <w:r>
        <w:t xml:space="preserve"> </w:t>
      </w:r>
      <w:r>
        <w:t xml:space="preserve">group approach is supported by RAC to cover a broad range of individual diisocyanate substances.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The setting of limit values at EU level provides an objective measure that can be used to demonstrate</w:t>
      </w:r>
      <w:r>
        <w:t xml:space="preserve"> </w:t>
      </w:r>
      <w:r>
        <w:t xml:space="preserve">effective control of risks to workers’ health. Inadequate control of hazardous chemicals at the</w:t>
      </w:r>
      <w:r>
        <w:t xml:space="preserve"> </w:t>
      </w:r>
      <w:r>
        <w:t xml:space="preserve">workplace has a negative impact on workers, and it is also associated with significant costs to</w:t>
      </w:r>
      <w:r>
        <w:t xml:space="preserve"> </w:t>
      </w:r>
      <w:r>
        <w:t xml:space="preserve">individuals and society as a whole. Good OSH is essential not only to minimise ill-health but also</w:t>
      </w:r>
      <w:r>
        <w:t xml:space="preserve"> </w:t>
      </w:r>
      <w:r>
        <w:t xml:space="preserve">associated costs14.</w:t>
      </w:r>
      <w:r>
        <w:t xml:space="preserve"> </w:t>
      </w:r>
      <w:r>
        <w:t xml:space="preserve">This OSH initiative will contribute to the sustainable development goals (SDG) on good health and</w:t>
      </w:r>
      <w:r>
        <w:t xml:space="preserve"> </w:t>
      </w:r>
      <w:r>
        <w:t xml:space="preserve">well-being (3rd goal), on decent work and economic growth (8th goal), on industry, innovation and</w:t>
      </w:r>
      <w:r>
        <w:t xml:space="preserve"> </w:t>
      </w:r>
      <w:r>
        <w:t xml:space="preserve">infrastructure (9th goal) and on responsible production and consumption (12th goal).</w:t>
      </w:r>
      <w:r>
        <w:t xml:space="preserve"> </w:t>
      </w:r>
      <w:r>
        <w:t xml:space="preserve">When the preparatory work for this initiative started, both substances were in the scope of the CAD and</w:t>
      </w:r>
      <w:r>
        <w:t xml:space="preserve"> </w:t>
      </w:r>
      <w:r>
        <w:t xml:space="preserve">the aim was to amend only this Directive. However, following the agreement in March 2022 between</w:t>
      </w:r>
      <w:r>
        <w:t xml:space="preserve"> </w:t>
      </w:r>
      <w:r>
        <w:t xml:space="preserve">the European Parliament and Council during the fourth revision of the Carcinogens and Mutagens</w:t>
      </w:r>
      <w:r>
        <w:t xml:space="preserve"> </w:t>
      </w:r>
      <w:r>
        <w:t xml:space="preserve">Directive (CMD) to extend its scope to reprotoxic chemicals, lead is now in the scope of the CMRD.15</w:t>
      </w:r>
      <w:r>
        <w:t xml:space="preserve"> </w:t>
      </w:r>
      <w:r>
        <w:t xml:space="preserve">Consequently, the main legislative tools to ensure workers’ protection against risks related to exposure</w:t>
      </w:r>
      <w:r>
        <w:t xml:space="preserve"> </w:t>
      </w:r>
      <w:r>
        <w:t xml:space="preserve">to lead and diisocyanates are the CMRD and the CAD respectively.</w:t>
      </w:r>
      <w:r>
        <w:t xml:space="preserve"> </w:t>
      </w:r>
      <w:r>
        <w:t xml:space="preserve">In order to carry out this impact assessment, the Commission contracted a study16 (referred to</w:t>
      </w:r>
      <w:r>
        <w:t xml:space="preserve"> </w:t>
      </w:r>
      <w:r>
        <w:t xml:space="preserve">throughout this report as the ‘external study’) in order to collect the most recent information.</w:t>
      </w:r>
      <w:r>
        <w:t xml:space="preserve"> </w:t>
      </w:r>
      <w:r>
        <w:t xml:space="preserve">To support its work, the Commission requested a scientific evaluation by the Risk Assessment</w:t>
      </w:r>
      <w:r>
        <w:t xml:space="preserve"> </w:t>
      </w:r>
      <w:r>
        <w:t xml:space="preserve">Committee (RAC) of the European Chemicals Agency (ECHA) and an opinion of the tripartite</w:t>
      </w:r>
      <w:r>
        <w:t xml:space="preserve"> </w:t>
      </w:r>
      <w:r>
        <w:t xml:space="preserve">Advisory Committee for Safety and Health at Work (ACSH). The opinions of the ACSH take into</w:t>
      </w:r>
      <w:r>
        <w:t xml:space="preserve"> </w:t>
      </w:r>
      <w:r>
        <w:t xml:space="preserve">account the scientific basis and provide the Advisory Committee’s view on feasibility factors, which are</w:t>
      </w:r>
      <w:r>
        <w:t xml:space="preserve"> </w:t>
      </w:r>
      <w:r>
        <w:t xml:space="preserve">indispensable to underpin OSH legislation.</w:t>
      </w:r>
      <w:r>
        <w:t xml:space="preserve"> </w:t>
      </w:r>
      <w:r>
        <w:t xml:space="preserve">The Commission’s analysis also takes into account views received through the different channels for</w:t>
      </w:r>
      <w:r>
        <w:t xml:space="preserve"> </w:t>
      </w:r>
      <w:r>
        <w:t xml:space="preserve">consultation, including the formal two-stage consultation of the social partners and the views of</w:t>
      </w:r>
      <w:r>
        <w:t xml:space="preserve"> </w:t>
      </w:r>
      <w:r>
        <w:t xml:space="preserve">stakeholders received in response to the call for evidence. In addition, the analysis takes into account</w:t>
      </w:r>
      <w:r>
        <w:t xml:space="preserve"> </w:t>
      </w:r>
      <w:r>
        <w:t xml:space="preserve">the complementary benefits stemming from the recently adopted restriction under the Regulation on the</w:t>
      </w:r>
      <w:r>
        <w:t xml:space="preserve"> </w:t>
      </w:r>
      <w:r>
        <w:t xml:space="preserve">Registration, Evaluation and Authorisation of Chemicals (REACH)17 that requires the mandatory</w:t>
      </w:r>
      <w:r>
        <w:t xml:space="preserve"> </w:t>
      </w:r>
      <w:r>
        <w:t xml:space="preserve">training of workers who may be exposed to diisocyanates. This contributes to the common aim of OSH</w:t>
      </w:r>
      <w:r>
        <w:t xml:space="preserve"> </w:t>
      </w:r>
      <w:r>
        <w:t xml:space="preserve">and REACH to replace harmful chemicals by less harmful ones.</w:t>
      </w:r>
      <w:r>
        <w:br/>
      </w:r>
      <w:r>
        <w:t xml:space="preserve">The purpose of this impact assessment is to assess whether there is a need to revise the level of</w:t>
      </w:r>
      <w:r>
        <w:t xml:space="preserve"> </w:t>
      </w:r>
      <w:r>
        <w:t xml:space="preserve">protection offered by the CMRD and the CAD by revising the existing limit values for lead and to</w:t>
      </w:r>
      <w:r>
        <w:t xml:space="preserve"> </w:t>
      </w:r>
      <w:r>
        <w:t xml:space="preserve">introduce, for the first time, a limit value for diisocyanates18, as well as which would be the most</w:t>
      </w:r>
      <w:r>
        <w:t xml:space="preserve"> </w:t>
      </w:r>
      <w:r>
        <w:t xml:space="preserve">appropriate levels to take forward. For more details on limit values, see Annex 7.</w:t>
      </w:r>
    </w:p>
    <w:p>
      <w:pPr>
        <w:pStyle w:val="BodyText"/>
      </w:pPr>
      <w:r>
        <w:t xml:space="preserve">13 A STEL is usually referenced to a 15-minute period and is used when short duration exposures, such as peaks,</w:t>
      </w:r>
      <w:r>
        <w:t xml:space="preserve"> </w:t>
      </w:r>
      <w:r>
        <w:t xml:space="preserve">are relevant to the onset of ill-health.</w:t>
      </w:r>
      <w:r>
        <w:t xml:space="preserve"> </w:t>
      </w:r>
      <w:r>
        <w:t xml:space="preserve">14 https://www.prevent.be/en/knowledge/research-project-on-the-benefits-of-osh</w:t>
      </w:r>
      <w:r>
        <w:br/>
      </w:r>
      <w:r>
        <w:t xml:space="preserve">15 Directive (EU) 2022/431</w:t>
      </w:r>
      <w:r>
        <w:t xml:space="preserve"> </w:t>
      </w:r>
      <w:r>
        <w:t xml:space="preserve">16 RPA (2021). Study on collecting information on substances with the view to analyse health, socio-economic</w:t>
      </w:r>
      <w:r>
        <w:t xml:space="preserve"> </w:t>
      </w:r>
      <w:r>
        <w:t xml:space="preserve">and environmental impacts in connection with possible amendments of Directive 98/24/EC (Chemical Agents)</w:t>
      </w:r>
      <w:r>
        <w:t xml:space="preserve"> </w:t>
      </w:r>
      <w:r>
        <w:t xml:space="preserve">and Directive 2009/148/EC (Asbestos).</w:t>
      </w:r>
      <w:r>
        <w:br/>
      </w:r>
      <w:r>
        <w:t xml:space="preserve">17 https://eur-lex.europa.eu/legal-content/EN/TXT/?uri=CELEX%3A02006R1907-20220501</w:t>
      </w:r>
      <w:r>
        <w:br/>
      </w:r>
      <w:r>
        <w:t xml:space="preserve">18 Diisocyanates is a collective term for a number of individual diisocyanates chemicals. This includes at least 25</w:t>
      </w:r>
      <w:r>
        <w:t xml:space="preserve"> </w:t>
      </w:r>
      <w:r>
        <w:t xml:space="preserve">different diisocyanates, of which 11 account for over 99% of the registered tonnage under REACH (ECHA 2019).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Box 1: Definitions of key technical terms</w:t>
      </w:r>
      <w:r>
        <w:t xml:space="preserve"> </w:t>
      </w:r>
      <w:r>
        <w:t xml:space="preserve">Occupational Exposure Limits</w:t>
      </w:r>
      <w:r>
        <w:t xml:space="preserve"> </w:t>
      </w:r>
      <w:r>
        <w:t xml:space="preserve">OELs are the limit of the Time-Weighted Average (TWA) of the concentration for a chemical in the</w:t>
      </w:r>
      <w:r>
        <w:t xml:space="preserve"> </w:t>
      </w:r>
      <w:r>
        <w:t xml:space="preserve">air within the breathing zone of a worker in relation to a specified reference period (normally 8</w:t>
      </w:r>
      <w:r>
        <w:t xml:space="preserve"> </w:t>
      </w:r>
      <w:r>
        <w:t xml:space="preserve">hours).</w:t>
      </w:r>
      <w:r>
        <w:t xml:space="preserve"> </w:t>
      </w:r>
      <w:r>
        <w:t xml:space="preserve">Short Term Exposure Limits</w:t>
      </w:r>
      <w:r>
        <w:t xml:space="preserve"> </w:t>
      </w:r>
      <w:r>
        <w:t xml:space="preserve">STEL values, usually involving a 15-minute reference period, are used when adverse health effects</w:t>
      </w:r>
      <w:r>
        <w:t xml:space="preserve"> </w:t>
      </w:r>
      <w:r>
        <w:t xml:space="preserve">are not adequately controlled by compliance with an 8-hour TWA OEL, e.g., for substances for</w:t>
      </w:r>
      <w:r>
        <w:t xml:space="preserve"> </w:t>
      </w:r>
      <w:r>
        <w:t xml:space="preserve">which a critical effect is observed following a brief exposure (for example, acute toxic substances,</w:t>
      </w:r>
      <w:r>
        <w:t xml:space="preserve"> </w:t>
      </w:r>
      <w:r>
        <w:t xml:space="preserve">substances causing nuisance, irritation, central nervous system depression, sensitisation).</w:t>
      </w:r>
      <w:r>
        <w:t xml:space="preserve"> </w:t>
      </w:r>
      <w:r>
        <w:t xml:space="preserve">Biological Limit Values</w:t>
      </w:r>
      <w:r>
        <w:t xml:space="preserve"> </w:t>
      </w:r>
      <w:r>
        <w:t xml:space="preserve">BLVs are the limit of the concentration in the appropriate biological medium of the relevant agent, its</w:t>
      </w:r>
      <w:r>
        <w:t xml:space="preserve"> </w:t>
      </w:r>
      <w:r>
        <w:t xml:space="preserve">metabolite, or an indicator of effect (in the case of lead, in the blood of the exposed worker).</w:t>
      </w:r>
      <w:r>
        <w:t xml:space="preserve"> </w:t>
      </w:r>
      <w:r>
        <w:t xml:space="preserve">Notations</w:t>
      </w:r>
      <w:r>
        <w:t xml:space="preserve"> </w:t>
      </w:r>
      <w:r>
        <w:t xml:space="preserve">OELs, STELs and/or BLVs can further be annotated with appropriate indications of additional body</w:t>
      </w:r>
      <w:r>
        <w:t xml:space="preserve"> </w:t>
      </w:r>
      <w:r>
        <w:t xml:space="preserve">burden resulting from non-inhalation routes such as, for example, a</w:t>
      </w:r>
      <w:r>
        <w:t xml:space="preserve"> </w:t>
      </w:r>
      <w:r>
        <w:t xml:space="preserve">‘skin’</w:t>
      </w:r>
      <w:r>
        <w:t xml:space="preserve"> </w:t>
      </w:r>
      <w:r>
        <w:t xml:space="preserve">notation where the dermal</w:t>
      </w:r>
      <w:r>
        <w:t xml:space="preserve"> </w:t>
      </w:r>
      <w:r>
        <w:t xml:space="preserve">route of exposure is scientifically considered to be relevant.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  <w:r>
        <w:t xml:space="preserve"> </w:t>
      </w:r>
      <w:r>
        <w:t xml:space="preserve">2.1 What is/are the problem(s)?</w:t>
      </w:r>
      <w:r>
        <w:t xml:space="preserve"> </w:t>
      </w:r>
      <w:r>
        <w:t xml:space="preserve">The 2017 ex-post evaluation of the EU OSH directives19, including the CAD and the CMD, concluded</w:t>
      </w:r>
      <w:r>
        <w:t xml:space="preserve"> </w:t>
      </w:r>
      <w:r>
        <w:t xml:space="preserve">that the directives remain highly relevant and effective according to the available evidence. It</w:t>
      </w:r>
      <w:r>
        <w:t xml:space="preserve"> </w:t>
      </w:r>
      <w:r>
        <w:t xml:space="preserve">highlighted that limit values are an important tool for chemical risk management at the workplace and</w:t>
      </w:r>
      <w:r>
        <w:t xml:space="preserve"> </w:t>
      </w:r>
      <w:r>
        <w:t xml:space="preserve">that there is a need to adopt exposure limit values for more substances of high concern, in particular</w:t>
      </w:r>
      <w:r>
        <w:t xml:space="preserve"> </w:t>
      </w:r>
      <w:r>
        <w:t xml:space="preserve">carcinogenic, mutagenic and reprotoxic substances. Specifically, it identifies the need to consider the</w:t>
      </w:r>
      <w:r>
        <w:t xml:space="preserve"> </w:t>
      </w:r>
      <w:r>
        <w:t xml:space="preserve">most appropriate approach to managing risks that may arise from exposure to reprotoxic substances,</w:t>
      </w:r>
      <w:r>
        <w:t xml:space="preserve"> </w:t>
      </w:r>
      <w:r>
        <w:t xml:space="preserve">and if and how biomonitoring could be used more effectively for workplace risk management. It further</w:t>
      </w:r>
      <w:r>
        <w:t xml:space="preserve"> </w:t>
      </w:r>
      <w:r>
        <w:t xml:space="preserve">states that sensitisers20 should be considered as a high priority that merit further consideration to ensure</w:t>
      </w:r>
      <w:r>
        <w:t xml:space="preserve"> </w:t>
      </w:r>
      <w:r>
        <w:t xml:space="preserve">that the risk management requirements are appropriate. However, whilst the evaluation identified the</w:t>
      </w:r>
      <w:r>
        <w:t xml:space="preserve"> </w:t>
      </w:r>
      <w:r>
        <w:t xml:space="preserve">main issues, it did not provide the required detailed quantitative data.</w:t>
      </w:r>
      <w:r>
        <w:t xml:space="preserve"> </w:t>
      </w:r>
      <w:r>
        <w:t xml:space="preserve">This initiative is also in line with the stocktaking staff working document accompanying the EU</w:t>
      </w:r>
      <w:r>
        <w:t xml:space="preserve"> </w:t>
      </w:r>
      <w:r>
        <w:t xml:space="preserve">strategic framework on health and safety at work 2021-2027 (SWD (2021) 148 final) which identifies</w:t>
      </w:r>
      <w:r>
        <w:t xml:space="preserve"> </w:t>
      </w:r>
      <w:r>
        <w:t xml:space="preserve">the need to increase the focus on addressing occupational diseases. In particular, for lead it states that</w:t>
      </w:r>
      <w:r>
        <w:t xml:space="preserve"> </w:t>
      </w:r>
      <w:r>
        <w:t xml:space="preserve">the limit values should be reviewed in light of new scientific data.</w:t>
      </w:r>
      <w:r>
        <w:t xml:space="preserve"> </w:t>
      </w:r>
      <w:r>
        <w:t xml:space="preserve">Lead is a key occupational reprotoxicant that can affect: i) sexual function and fertility and ii) the</w:t>
      </w:r>
      <w:r>
        <w:t xml:space="preserve"> </w:t>
      </w:r>
      <w:r>
        <w:t xml:space="preserve">development of the foetus or offspring (developmental toxicity). Exposure to lead may result in</w:t>
      </w:r>
      <w:r>
        <w:t xml:space="preserve"> </w:t>
      </w:r>
      <w:r>
        <w:t xml:space="preserve">impaired fertility, miscarriages, or serious birth defects, not to mention other harmful effects such as</w:t>
      </w:r>
    </w:p>
    <w:p>
      <w:pPr>
        <w:pStyle w:val="FirstParagraph"/>
      </w:pPr>
      <w:r>
        <w:t xml:space="preserve">19 https://eur-lex.europa.eu/legal-content/EN/TXT/PDF/?uri=CELEX:52017SC0010&amp;from=en</w:t>
      </w:r>
      <w:r>
        <w:br/>
      </w:r>
      <w:r>
        <w:t xml:space="preserve">20 Sensitisers can cause adverse reactions, including asthma, as a result of inhalation or absorption through the</w:t>
      </w:r>
      <w:r>
        <w:t xml:space="preserve"> </w:t>
      </w:r>
      <w:r>
        <w:t xml:space="preserve">skin of a foreign substance to which the exposed person has been previously sensitised.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neurotoxicity, renal toxicity, cardiovascular effects and haematological effects. Lead accounts for</w:t>
      </w:r>
      <w:r>
        <w:t xml:space="preserve"> </w:t>
      </w:r>
      <w:r>
        <w:t xml:space="preserve">around half of all occupational exposures to reprotoxic substances and associated cases of reproductive</w:t>
      </w:r>
      <w:r>
        <w:t xml:space="preserve"> </w:t>
      </w:r>
      <w:r>
        <w:t xml:space="preserve">ill-health21.</w:t>
      </w:r>
      <w:r>
        <w:t xml:space="preserve"> </w:t>
      </w:r>
      <w:r>
        <w:t xml:space="preserve">Diisocyanates are skin and respiratory sensitisers (asthmagens) that cause occupational asthma and</w:t>
      </w:r>
      <w:r>
        <w:t xml:space="preserve"> </w:t>
      </w:r>
      <w:r>
        <w:t xml:space="preserve">dermal occupational disease – allergic reactions that can occur due to exposure to such substances.</w:t>
      </w:r>
      <w:r>
        <w:t xml:space="preserve"> </w:t>
      </w:r>
      <w:r>
        <w:t xml:space="preserve">They can cause people’s airways to change (the</w:t>
      </w:r>
      <w:r>
        <w:t xml:space="preserve"> </w:t>
      </w:r>
      <w:r>
        <w:t xml:space="preserve">‘hypersensitive state’</w:t>
      </w:r>
      <w:r>
        <w:t xml:space="preserve">). Once the lungs become</w:t>
      </w:r>
      <w:r>
        <w:t xml:space="preserve"> </w:t>
      </w:r>
      <w:r>
        <w:t xml:space="preserve">hypersensitive, further exposure to the substance, even at quite low levels, may trigger an asthma attack.</w:t>
      </w:r>
      <w:r>
        <w:br/>
      </w:r>
      <w:r>
        <w:t xml:space="preserve">Studies have estimated that occupational factors account for approximately 9-15% of asthma cases in</w:t>
      </w:r>
      <w:r>
        <w:t xml:space="preserve"> </w:t>
      </w:r>
      <w:r>
        <w:t xml:space="preserve">adults of working age22. Diisocyanates are one of the most common causes of occupational asthma with</w:t>
      </w:r>
      <w:r>
        <w:t xml:space="preserve"> </w:t>
      </w:r>
      <w:r>
        <w:t xml:space="preserve">an estimated number of annual incidences of diisocyanate-related occupational asthma in the EU in the</w:t>
      </w:r>
      <w:r>
        <w:t xml:space="preserve"> </w:t>
      </w:r>
      <w:r>
        <w:t xml:space="preserve">range from 2 350 to 7 269 cases 23 24 25.</w:t>
      </w:r>
      <w:r>
        <w:t xml:space="preserve"> </w:t>
      </w:r>
      <w:r>
        <w:t xml:space="preserve">The problem tree below summarises the main drivers behind the problem and the resulting</w:t>
      </w:r>
      <w:r>
        <w:t xml:space="preserve"> </w:t>
      </w:r>
      <w:r>
        <w:t xml:space="preserve">consequences for workers, businesses and Member States: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reprotoxic</w:t>
      </w:r>
      <w:r>
        <w:t xml:space="preserve"> </w:t>
      </w:r>
      <w:r>
        <w:t xml:space="preserve">substances</w:t>
      </w:r>
      <w:r>
        <w:t xml:space="preserve"> </w:t>
      </w:r>
      <w:r>
        <w:t xml:space="preserve">(2019)</w:t>
      </w:r>
      <w:r>
        <w:t xml:space="preserve"> </w:t>
      </w:r>
      <w:r>
        <w:t xml:space="preserve">https://ec.europa.eu/social/main.jsp?catId=738&amp;langId=en&amp;pubId=8220&amp;furtherPubs=yes</w:t>
      </w:r>
      <w:r>
        <w:br/>
      </w:r>
      <w:r>
        <w:t xml:space="preserve">22 Balmes J, Becklake M, Blanc P et al. (2003) American Thoracic Society Statement: occupational contribution</w:t>
      </w:r>
      <w:r>
        <w:t xml:space="preserve"> </w:t>
      </w:r>
      <w:r>
        <w:t xml:space="preserve">to the burden of airway disease. Am J Crit Care Med. 167:787- 797.</w:t>
      </w:r>
      <w:r>
        <w:t xml:space="preserve"> </w:t>
      </w:r>
      <w:r>
        <w:t xml:space="preserve">23 https://www.hse.gov.uk/statistics/causdis/asthma.pdf</w:t>
      </w:r>
      <w:r>
        <w:br/>
      </w:r>
      <w:r>
        <w:t xml:space="preserve">24 https://academic.oup.com/annweh/article/65/8/893/6247067</w:t>
      </w:r>
      <w:r>
        <w:br/>
      </w:r>
      <w:r>
        <w:t xml:space="preserve">25 As per footnote 16 -RPA study 2021 (external study supporting this Impact Assessment).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2.2 What are the problem drivers?</w:t>
      </w:r>
      <w:r>
        <w:t xml:space="preserve"> </w:t>
      </w:r>
      <w:r>
        <w:t xml:space="preserve">2.2.1</w:t>
      </w:r>
      <w:r>
        <w:t xml:space="preserve"> </w:t>
      </w:r>
      <w:r>
        <w:t xml:space="preserve">Internal market drivers</w:t>
      </w:r>
      <w:r>
        <w:t xml:space="preserve"> </w:t>
      </w:r>
      <w:r>
        <w:t xml:space="preserve">This section presents the uses and the estimated numbers of exposed workers per substance (more</w:t>
      </w:r>
      <w:r>
        <w:t xml:space="preserve"> </w:t>
      </w:r>
      <w:r>
        <w:t xml:space="preserve">information is provided in Annex 5). Different sources compile different estimates of the total number</w:t>
      </w:r>
      <w:r>
        <w:t xml:space="preserve"> </w:t>
      </w:r>
      <w:r>
        <w:t xml:space="preserve">of exposed workers. For the purpose of this impact assessment, for each substance the most reliable</w:t>
      </w:r>
      <w:r>
        <w:t xml:space="preserve"> </w:t>
      </w:r>
      <w:r>
        <w:t xml:space="preserve">number has been taken forward for the baseline scenarios and for the cost-benefit assessments related to</w:t>
      </w:r>
      <w:r>
        <w:t xml:space="preserve"> </w:t>
      </w:r>
      <w:r>
        <w:t xml:space="preserve">the retained options for establishing limit values.</w:t>
      </w:r>
      <w:r>
        <w:t xml:space="preserve"> </w:t>
      </w:r>
      <w:r>
        <w:t xml:space="preserve">2.2.1.1 Lead</w:t>
      </w:r>
      <w:r>
        <w:br/>
      </w:r>
      <w:r>
        <w:t xml:space="preserve">Lead is currently used for a large variety of applications. In addition, workers may be exposed to lead at</w:t>
      </w:r>
      <w:r>
        <w:t xml:space="preserve"> </w:t>
      </w:r>
      <w:r>
        <w:t xml:space="preserve">significant levels due to historic applications in activities such as renovation, waste collection, recycling</w:t>
      </w:r>
      <w:r>
        <w:t xml:space="preserve"> </w:t>
      </w:r>
      <w:r>
        <w:t xml:space="preserve">and remediation26. It is estimated that approximately 50 000 to 150 000 workers in the EU are exposed</w:t>
      </w:r>
      <w:r>
        <w:t xml:space="preserve"> </w:t>
      </w:r>
      <w:r>
        <w:t xml:space="preserve">to lead. Determining a precise number is difficult because workers in sectors such as demolition and</w:t>
      </w:r>
    </w:p>
    <w:p>
      <w:pPr>
        <w:pStyle w:val="BodyText"/>
      </w:pPr>
      <w:r>
        <w:t xml:space="preserve">26 The REACH Regulation prohibits the use of lead in paints, subject to certain derogation (Annex 8). However,</w:t>
      </w:r>
      <w:r>
        <w:t xml:space="preserve"> </w:t>
      </w:r>
      <w:r>
        <w:t xml:space="preserve">workers may be exposed to lead when working on buildings and structures that were painted prior to the entry into</w:t>
      </w:r>
      <w:r>
        <w:t xml:space="preserve"> </w:t>
      </w:r>
      <w:r>
        <w:t xml:space="preserve">force of the restriction.</w:t>
      </w:r>
      <w:r>
        <w:br/>
      </w:r>
      <w:r>
        <w:t xml:space="preserve">consequences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For Member States:</w:t>
      </w:r>
      <w:r>
        <w:t xml:space="preserve"> </w:t>
      </w:r>
      <w:r>
        <w:t xml:space="preserve">· Higher social</w:t>
      </w:r>
      <w:r>
        <w:t xml:space="preserve"> </w:t>
      </w:r>
      <w:r>
        <w:t xml:space="preserve">security costs.</w:t>
      </w:r>
      <w:r>
        <w:t xml:space="preserve"> </w:t>
      </w:r>
      <w:r>
        <w:t xml:space="preserve">· Forgone tax</w:t>
      </w:r>
      <w:r>
        <w:t xml:space="preserve"> </w:t>
      </w:r>
      <w:r>
        <w:t xml:space="preserve">revenues.</w:t>
      </w:r>
      <w:r>
        <w:t xml:space="preserve"> </w:t>
      </w:r>
      <w:r>
        <w:t xml:space="preserve">For workers:</w:t>
      </w:r>
      <w:r>
        <w:t xml:space="preserve"> </w:t>
      </w:r>
      <w:r>
        <w:t xml:space="preserve">· Reduced quality of life.</w:t>
      </w:r>
      <w:r>
        <w:t xml:space="preserve"> </w:t>
      </w:r>
      <w:r>
        <w:t xml:space="preserve">· Personal health problems.</w:t>
      </w:r>
      <w:r>
        <w:t xml:space="preserve"> </w:t>
      </w:r>
      <w:r>
        <w:t xml:space="preserve">· Higher health related costs.</w:t>
      </w:r>
      <w:r>
        <w:t xml:space="preserve"> </w:t>
      </w:r>
      <w:r>
        <w:t xml:space="preserve">· Reduced family income.</w:t>
      </w:r>
      <w:r>
        <w:t xml:space="preserve"> </w:t>
      </w:r>
      <w:r>
        <w:t xml:space="preserve">For businesses:</w:t>
      </w:r>
      <w:r>
        <w:t xml:space="preserve"> </w:t>
      </w:r>
      <w:r>
        <w:t xml:space="preserve">· Higher costs (absenteeism,</w:t>
      </w:r>
      <w:r>
        <w:t xml:space="preserve"> </w:t>
      </w:r>
      <w:r>
        <w:t xml:space="preserve">need for staff replacement,</w:t>
      </w:r>
      <w:r>
        <w:t xml:space="preserve"> </w:t>
      </w:r>
      <w:r>
        <w:t xml:space="preserve">loss of experience).</w:t>
      </w:r>
      <w:r>
        <w:t xml:space="preserve"> </w:t>
      </w:r>
      <w:r>
        <w:t xml:space="preserve">· Reduced staff productivity.</w:t>
      </w:r>
      <w:r>
        <w:t xml:space="preserve"> </w:t>
      </w:r>
      <w:r>
        <w:t xml:space="preserve">· Lack of level playing field.</w:t>
      </w:r>
      <w:r>
        <w:t xml:space="preserve"> </w:t>
      </w:r>
      <w:r>
        <w:t xml:space="preserve">Internal regulatory drivers</w:t>
      </w:r>
      <w:r>
        <w:t xml:space="preserve"> </w:t>
      </w:r>
      <w:r>
        <w:t xml:space="preserve">·</w:t>
      </w:r>
      <w:r>
        <w:t xml:space="preserve"> </w:t>
      </w:r>
      <w:r>
        <w:t xml:space="preserve">The EU limit values for lead</w:t>
      </w:r>
      <w:r>
        <w:t xml:space="preserve"> </w:t>
      </w:r>
      <w:r>
        <w:t xml:space="preserve">is out of date.</w:t>
      </w:r>
      <w:r>
        <w:t xml:space="preserve"> </w:t>
      </w:r>
      <w:r>
        <w:t xml:space="preserve">·</w:t>
      </w:r>
      <w:r>
        <w:t xml:space="preserve"> </w:t>
      </w:r>
      <w:r>
        <w:t xml:space="preserve">There is no EU limit value</w:t>
      </w:r>
      <w:r>
        <w:t xml:space="preserve"> </w:t>
      </w:r>
      <w:r>
        <w:t xml:space="preserve">for diisocyanates.</w:t>
      </w:r>
      <w:r>
        <w:t xml:space="preserve"> </w:t>
      </w:r>
      <w:r>
        <w:t xml:space="preserve">·</w:t>
      </w:r>
      <w:r>
        <w:t xml:space="preserve"> </w:t>
      </w:r>
      <w:r>
        <w:t xml:space="preserve">Different levels of</w:t>
      </w:r>
      <w:r>
        <w:t xml:space="preserve"> </w:t>
      </w:r>
      <w:r>
        <w:t xml:space="preserve">protection exist in Member</w:t>
      </w:r>
      <w:r>
        <w:t xml:space="preserve"> </w:t>
      </w:r>
      <w:r>
        <w:t xml:space="preserve">States.</w:t>
      </w:r>
      <w:r>
        <w:br/>
      </w:r>
      <w:r>
        <w:t xml:space="preserve">Internal market driver</w:t>
      </w:r>
      <w:r>
        <w:t xml:space="preserve"> </w:t>
      </w:r>
      <w:r>
        <w:t xml:space="preserve">· Exposure of workers</w:t>
      </w:r>
      <w:r>
        <w:t xml:space="preserve"> </w:t>
      </w:r>
      <w:r>
        <w:t xml:space="preserve">to hazardous</w:t>
      </w:r>
      <w:r>
        <w:t xml:space="preserve"> </w:t>
      </w:r>
      <w:r>
        <w:t xml:space="preserve">chemicals represents</w:t>
      </w:r>
      <w:r>
        <w:t xml:space="preserve"> </w:t>
      </w:r>
      <w:r>
        <w:t xml:space="preserve">a significant risk to</w:t>
      </w:r>
      <w:r>
        <w:t xml:space="preserve"> </w:t>
      </w:r>
      <w:r>
        <w:t xml:space="preserve">workers’ health.</w:t>
      </w:r>
    </w:p>
    <w:p>
      <w:pPr>
        <w:pStyle w:val="BodyText"/>
      </w:pPr>
      <w:r>
        <w:t xml:space="preserve">Lead and diisocyanates are a major contributor to</w:t>
      </w:r>
      <w:r>
        <w:t xml:space="preserve"> </w:t>
      </w:r>
      <w:r>
        <w:t xml:space="preserve">occupational</w:t>
      </w:r>
      <w:r>
        <w:t xml:space="preserve"> </w:t>
      </w:r>
      <w:r>
        <w:t xml:space="preserve">ill-health</w:t>
      </w:r>
      <w:r>
        <w:t xml:space="preserve"> </w:t>
      </w:r>
      <w:r>
        <w:t xml:space="preserve">causing</w:t>
      </w:r>
      <w:r>
        <w:t xml:space="preserve"> </w:t>
      </w:r>
      <w:r>
        <w:t xml:space="preserve">reproductive</w:t>
      </w:r>
      <w:r>
        <w:t xml:space="preserve"> </w:t>
      </w:r>
      <w:r>
        <w:t xml:space="preserve">health</w:t>
      </w:r>
      <w:r>
        <w:t xml:space="preserve"> </w:t>
      </w:r>
      <w:r>
        <w:t xml:space="preserve">problems and asthma respectively.</w:t>
      </w:r>
      <w:r>
        <w:t xml:space="preserve"> </w:t>
      </w:r>
      <w:r>
        <w:t xml:space="preserve">External market drivers (Green</w:t>
      </w:r>
      <w:r>
        <w:t xml:space="preserve"> </w:t>
      </w:r>
      <w:r>
        <w:t xml:space="preserve">Deal)</w:t>
      </w:r>
      <w:r>
        <w:t xml:space="preserve"> </w:t>
      </w:r>
      <w:r>
        <w:t xml:space="preserve">Lead: The transition to electric</w:t>
      </w:r>
      <w:r>
        <w:t xml:space="preserve"> </w:t>
      </w:r>
      <w:r>
        <w:t xml:space="preserve">vehicles resulting in greater use of</w:t>
      </w:r>
      <w:r>
        <w:t xml:space="preserve"> </w:t>
      </w:r>
      <w:r>
        <w:t xml:space="preserve">battery technologies.</w:t>
      </w:r>
      <w:r>
        <w:t xml:space="preserve"> </w:t>
      </w:r>
      <w:r>
        <w:t xml:space="preserve">Diisocyanates: Renovation Wave</w:t>
      </w:r>
      <w:r>
        <w:t xml:space="preserve"> </w:t>
      </w:r>
      <w:r>
        <w:t xml:space="preserve">promoting</w:t>
      </w:r>
      <w:r>
        <w:t xml:space="preserve"> </w:t>
      </w:r>
      <w:r>
        <w:t xml:space="preserve">enhanced</w:t>
      </w:r>
      <w:r>
        <w:t xml:space="preserve"> </w:t>
      </w:r>
      <w:r>
        <w:t xml:space="preserve">building</w:t>
      </w:r>
      <w:r>
        <w:t xml:space="preserve"> </w:t>
      </w:r>
      <w:r>
        <w:t xml:space="preserve">insulation.</w:t>
      </w:r>
      <w:r>
        <w:t xml:space="preserve"> </w:t>
      </w:r>
      <w:r>
        <w:t xml:space="preserve">Diisocyanates: Use of lighter</w:t>
      </w:r>
      <w:r>
        <w:t xml:space="preserve"> </w:t>
      </w:r>
      <w:r>
        <w:t xml:space="preserve">materials in vehicle components</w:t>
      </w:r>
      <w:r>
        <w:t xml:space="preserve"> </w:t>
      </w:r>
      <w:r>
        <w:t xml:space="preserve">to offset weight of batteries.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waste management, and those using articles of lead metal may only occasionally be exposed to lead, but</w:t>
      </w:r>
      <w:r>
        <w:t xml:space="preserve"> </w:t>
      </w:r>
      <w:r>
        <w:t xml:space="preserve">sometimes at relatively high levels. Approximately 300 cases of ill-health occur each year as a result of</w:t>
      </w:r>
      <w:r>
        <w:t xml:space="preserve"> </w:t>
      </w:r>
      <w:r>
        <w:t xml:space="preserve">past occupational exposure to lead. This exposure is important due to the possibility of lead to</w:t>
      </w:r>
      <w:r>
        <w:t xml:space="preserve"> </w:t>
      </w:r>
      <w:r>
        <w:t xml:space="preserve">accumulate in the bones, thus contributing to the overall body burden and likelihood of chronic ill-</w:t>
      </w:r>
      <w:r>
        <w:t xml:space="preserve"> </w:t>
      </w:r>
      <w:r>
        <w:t xml:space="preserve">health.</w:t>
      </w:r>
      <w:r>
        <w:t xml:space="preserve"> </w:t>
      </w:r>
      <w:r>
        <w:t xml:space="preserve">The main sectors for industrial production and use of lead are primary and secondary lead production</w:t>
      </w:r>
      <w:r>
        <w:t xml:space="preserve"> </w:t>
      </w:r>
      <w:r>
        <w:t xml:space="preserve">(including battery recycling); battery, lead sheet and ammunition production; production of lead oxides</w:t>
      </w:r>
      <w:r>
        <w:t xml:space="preserve"> </w:t>
      </w:r>
      <w:r>
        <w:t xml:space="preserve">and frits; and lead glass and ceramics production. Exposure to lead is also possible in other industrial</w:t>
      </w:r>
      <w:r>
        <w:t xml:space="preserve"> </w:t>
      </w:r>
      <w:r>
        <w:t xml:space="preserve">applications, such as foundries and production of articles of alloys with lead, and production and use of</w:t>
      </w:r>
      <w:r>
        <w:t xml:space="preserve"> </w:t>
      </w:r>
      <w:r>
        <w:t xml:space="preserve">pigments for paint and plastics. Besides these applications, exposure may take place further downstream</w:t>
      </w:r>
      <w:r>
        <w:t xml:space="preserve"> </w:t>
      </w:r>
      <w:r>
        <w:t xml:space="preserve">in the product chain and when the articles and materials become waste or during the waste recovery of</w:t>
      </w:r>
      <w:r>
        <w:t xml:space="preserve"> </w:t>
      </w:r>
      <w:r>
        <w:t xml:space="preserve">recycled materials. Examples of downstream activities are applications of paints; shooting; work with</w:t>
      </w:r>
      <w:r>
        <w:t xml:space="preserve"> </w:t>
      </w:r>
      <w:r>
        <w:t xml:space="preserve">lead metal; demolition, repair and scrap management; other waste management and soil remediation;</w:t>
      </w:r>
      <w:r>
        <w:t xml:space="preserve"> </w:t>
      </w:r>
      <w:r>
        <w:t xml:space="preserve">and work in laboratories.</w:t>
      </w:r>
      <w:r>
        <w:t xml:space="preserve"> </w:t>
      </w:r>
      <w:r>
        <w:t xml:space="preserve">Company size is variable and is often sector specific. For example, there are: 6 primary lead production</w:t>
      </w:r>
      <w:r>
        <w:t xml:space="preserve"> </w:t>
      </w:r>
      <w:r>
        <w:t xml:space="preserve">companies that are all large companies (more than 249 employees) and 30 lead battery manufactures, of</w:t>
      </w:r>
      <w:r>
        <w:t xml:space="preserve"> </w:t>
      </w:r>
      <w:r>
        <w:t xml:space="preserve">which 80% are large and 20% medium sized companies. For most other sectors using lead, the</w:t>
      </w:r>
      <w:r>
        <w:t xml:space="preserve"> </w:t>
      </w:r>
      <w:r>
        <w:t xml:space="preserve">companies are mainly SMEs.</w:t>
      </w:r>
      <w:r>
        <w:br/>
      </w:r>
      <w:r>
        <w:t xml:space="preserve">The primary routes of occupational exposure are by inhalation and by ingestion by hand-to-mouth</w:t>
      </w:r>
      <w:r>
        <w:t xml:space="preserve"> </w:t>
      </w:r>
      <w:r>
        <w:t xml:space="preserve">behaviour due to insufficient personal hygiene and housekeeping (e.g., a worker with contaminated</w:t>
      </w:r>
      <w:r>
        <w:t xml:space="preserve"> </w:t>
      </w:r>
      <w:r>
        <w:t xml:space="preserve">hands who does not thoroughly wash them before eating or smoking). Dermal absorption of lead is</w:t>
      </w:r>
      <w:r>
        <w:t xml:space="preserve"> </w:t>
      </w:r>
      <w:r>
        <w:t xml:space="preserve">considered to be minimal. Exposure by ingestion is considered significant and this exposure route is an</w:t>
      </w:r>
      <w:r>
        <w:t xml:space="preserve"> </w:t>
      </w:r>
      <w:r>
        <w:t xml:space="preserve">important driver for the development of ill-health. Lowering the OEL is specific to inhalation exposure</w:t>
      </w:r>
      <w:r>
        <w:t xml:space="preserve"> </w:t>
      </w:r>
      <w:r>
        <w:t xml:space="preserve">and additional measures are needed to minimise ingestion exposure. For that, blood lead concentrations</w:t>
      </w:r>
      <w:r>
        <w:t xml:space="preserve"> </w:t>
      </w:r>
      <w:r>
        <w:t xml:space="preserve">are recognised as the best exposure metric to assess occupational exposures to lead, since internal lead</w:t>
      </w:r>
      <w:r>
        <w:t xml:space="preserve"> </w:t>
      </w:r>
      <w:r>
        <w:t xml:space="preserve">levels are decisive for determining the overall risk to health.</w:t>
      </w:r>
      <w:r>
        <w:t xml:space="preserve"> </w:t>
      </w:r>
      <w:r>
        <w:t xml:space="preserve">Data indicates that the exposed workforce is predominantly male, especially in key sectors such as</w:t>
      </w:r>
      <w:r>
        <w:t xml:space="preserve"> </w:t>
      </w:r>
      <w:r>
        <w:t xml:space="preserve">primary lead production, secondary lead production, lead battery production and lead sheet production</w:t>
      </w:r>
      <w:r>
        <w:t xml:space="preserve"> </w:t>
      </w:r>
      <w:r>
        <w:t xml:space="preserve">(c.95-97%). The female workforce is around 3%, with the exception of lead crystal glass production</w:t>
      </w:r>
      <w:r>
        <w:t xml:space="preserve"> </w:t>
      </w:r>
      <w:r>
        <w:t xml:space="preserve">(12%). However, the total size of the corresponding workforce is relatively small compared to the key</w:t>
      </w:r>
      <w:r>
        <w:t xml:space="preserve"> </w:t>
      </w:r>
      <w:r>
        <w:t xml:space="preserve">sectors where lead is used. Even though the share of female workforce is relatively small, the gender</w:t>
      </w:r>
      <w:r>
        <w:t xml:space="preserve"> </w:t>
      </w:r>
      <w:r>
        <w:t xml:space="preserve">dimension is very important. The negative impact of lead is double as it can affect women and, in</w:t>
      </w:r>
      <w:r>
        <w:t xml:space="preserve"> </w:t>
      </w:r>
      <w:r>
        <w:t xml:space="preserve">addition, it affects the developing foetus in pregnant women27. There are existing requirements in the</w:t>
      </w:r>
      <w:r>
        <w:t xml:space="preserve"> </w:t>
      </w:r>
      <w:r>
        <w:t xml:space="preserve">Pregnant Workers Directive28. However, they only apply from when the worker informs their employer</w:t>
      </w:r>
      <w:r>
        <w:t xml:space="preserve"> </w:t>
      </w:r>
      <w:r>
        <w:t xml:space="preserve">that they are pregnant, typically three months into the pregnancy. Within the lead industry, awareness of</w:t>
      </w:r>
      <w:r>
        <w:t xml:space="preserve"> </w:t>
      </w:r>
      <w:r>
        <w:t xml:space="preserve">workers of childbearing capacity and the need to have specific measures in place to minimise any</w:t>
      </w:r>
      <w:r>
        <w:t xml:space="preserve"> </w:t>
      </w:r>
      <w:r>
        <w:t xml:space="preserve">possible risks is expected to already be an integral part of the employers’ approach to risk management.</w:t>
      </w:r>
      <w:r>
        <w:br/>
      </w:r>
      <w:r>
        <w:t xml:space="preserve">Compliance with the BLV is the primary tool for protecting workers from lead toxicity. Oral and</w:t>
      </w:r>
      <w:r>
        <w:t xml:space="preserve"> </w:t>
      </w:r>
      <w:r>
        <w:t xml:space="preserve">inhalational exposure are both relevant routes for the uptake of lead into the human body. The OEL is</w:t>
      </w:r>
      <w:r>
        <w:t xml:space="preserve"> </w:t>
      </w:r>
      <w:r>
        <w:t xml:space="preserve">needed to reduce the occupational exposure.</w:t>
      </w:r>
      <w:r>
        <w:br/>
      </w:r>
      <w:r>
        <w:t xml:space="preserve">The relationship between levels of lead in air (PbA) and blood (PbB) depends on various factors within</w:t>
      </w:r>
      <w:r>
        <w:t xml:space="preserve"> </w:t>
      </w:r>
      <w:r>
        <w:t xml:space="preserve">an occupational setting and an unambiguous correlation between these two metrics is not apparent.</w:t>
      </w:r>
    </w:p>
    <w:p>
      <w:pPr>
        <w:pStyle w:val="BodyText"/>
      </w:pPr>
      <w:r>
        <w:t xml:space="preserve">27 Lead can pass the placenta resulting in blood lead concentration in the umbilical cord at birth being close to the</w:t>
      </w:r>
      <w:r>
        <w:t xml:space="preserve"> </w:t>
      </w:r>
      <w:r>
        <w:t xml:space="preserve">blood lead level of the mother (source: RPA, 2021 external study section 2.2.4.7).</w:t>
      </w:r>
      <w:r>
        <w:t xml:space="preserve"> </w:t>
      </w:r>
      <w:r>
        <w:t xml:space="preserve">28 Council Directive 92/85/EEC https://eur-lex.europa.eu/legal-content/EN/TXT/?uri=CELEX:31992L0085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Exposure occurs through multiple routes and even if the concentration of lead in the air is quite low,</w:t>
      </w:r>
      <w:r>
        <w:t xml:space="preserve"> </w:t>
      </w:r>
      <w:r>
        <w:t xml:space="preserve">internal levels may still be relatively high, reflected by the biological monitoring results.</w:t>
      </w:r>
    </w:p>
    <w:p>
      <w:pPr>
        <w:pStyle w:val="BodyText"/>
      </w:pPr>
      <w:r>
        <w:t xml:space="preserve">2.2.1.2 Diisocyanates</w:t>
      </w:r>
      <w:r>
        <w:t xml:space="preserve"> </w:t>
      </w:r>
      <w:r>
        <w:t xml:space="preserve">Diisocyanates are used in manufacture of polyurethane as both solids and foams, plastics, coatings,</w:t>
      </w:r>
      <w:r>
        <w:t xml:space="preserve"> </w:t>
      </w:r>
      <w:r>
        <w:t xml:space="preserve">varnishes, two-pack paints and adhesives. Workers in companies manufacturing these materials are</w:t>
      </w:r>
      <w:r>
        <w:t xml:space="preserve"> </w:t>
      </w:r>
      <w:r>
        <w:t xml:space="preserve">exposed, and so are workers using adhesives, sealants, paints and coatings containing diisocyanates.</w:t>
      </w:r>
      <w:r>
        <w:t xml:space="preserve"> </w:t>
      </w:r>
      <w:r>
        <w:t xml:space="preserve">These products are widely used in construction, vehicle repairs, general repairs, textiles, furniture, and</w:t>
      </w:r>
      <w:r>
        <w:t xml:space="preserve"> </w:t>
      </w:r>
      <w:r>
        <w:t xml:space="preserve">the manufacture of motor vehicles, other transport, domestic appliances, machinery and computers.</w:t>
      </w:r>
      <w:r>
        <w:t xml:space="preserve"> </w:t>
      </w:r>
      <w:r>
        <w:t xml:space="preserve">Diisocyanates are transformed during the production process, and they are no longer present in the final</w:t>
      </w:r>
      <w:r>
        <w:t xml:space="preserve"> </w:t>
      </w:r>
      <w:r>
        <w:t xml:space="preserve">manufactured product and, therefore, there is no risk to the user of the product (e.g., consumers).</w:t>
      </w:r>
      <w:r>
        <w:t xml:space="preserve"> </w:t>
      </w:r>
      <w:r>
        <w:t xml:space="preserve">According to estimates29, approximately 4.2 million workers are exposed to diisocyanates and more</w:t>
      </w:r>
      <w:r>
        <w:t xml:space="preserve"> </w:t>
      </w:r>
      <w:r>
        <w:t xml:space="preserve">than 2.4 million companies in the EU are concerned, the vast majority being micro-enterprises or</w:t>
      </w:r>
      <w:r>
        <w:t xml:space="preserve"> </w:t>
      </w:r>
      <w:r>
        <w:t xml:space="preserve">SMEs.</w:t>
      </w:r>
      <w:r>
        <w:t xml:space="preserve"> </w:t>
      </w:r>
      <w:r>
        <w:t xml:space="preserve">Currently, there are 19 individual diisocyanate substances registered under REACH. There is some</w:t>
      </w:r>
      <w:r>
        <w:t xml:space="preserve"> </w:t>
      </w:r>
      <w:r>
        <w:t xml:space="preserve">variation in use between different diisocyanates. However, the three most produced diisocyanates (TDI,</w:t>
      </w:r>
      <w:r>
        <w:t xml:space="preserve"> </w:t>
      </w:r>
      <w:r>
        <w:t xml:space="preserve">4,4’-MDI and 2,4’-TDI) are all aromatic isocyanates and they have a similar use pattern which consists</w:t>
      </w:r>
      <w:r>
        <w:t xml:space="preserve"> </w:t>
      </w:r>
      <w:r>
        <w:t xml:space="preserve">of, for example, flexible and rigid foams, adhesives and sealants. Aliphatic isocyanates (HDI and IPDI)</w:t>
      </w:r>
      <w:r>
        <w:t xml:space="preserve"> </w:t>
      </w:r>
      <w:r>
        <w:t xml:space="preserve">are often present in coatings and paints. The health effects are caused by a common part of all</w:t>
      </w:r>
      <w:r>
        <w:t xml:space="preserve"> </w:t>
      </w:r>
      <w:r>
        <w:t xml:space="preserve">diisocyanates (the NCO group30). Therefore, a grouping approach can be considered as it would allow</w:t>
      </w:r>
      <w:r>
        <w:t xml:space="preserve"> </w:t>
      </w:r>
      <w:r>
        <w:t xml:space="preserve">for a common OEL and STEL for all diisocyanates31. This is in line with the grouping approach</w:t>
      </w:r>
      <w:r>
        <w:t xml:space="preserve"> </w:t>
      </w:r>
      <w:r>
        <w:t xml:space="preserve">favoured by the recently adopted EU Chemicals Strategy for Sustainability.</w:t>
      </w:r>
      <w:r>
        <w:t xml:space="preserve"> </w:t>
      </w:r>
      <w:r>
        <w:t xml:space="preserve">The predominant health effects of occupational exposure to diisocyanates are respiratory health effects</w:t>
      </w:r>
      <w:r>
        <w:t xml:space="preserve"> </w:t>
      </w:r>
      <w:r>
        <w:t xml:space="preserve">(occupational asthma, isocyanate sensitisation and bronchial hyperresponsiveness), which are the</w:t>
      </w:r>
      <w:r>
        <w:t xml:space="preserve"> </w:t>
      </w:r>
      <w:r>
        <w:t xml:space="preserve">critical endpoints related to diisocyanate exposure occurring both after acute and long-term exposure.</w:t>
      </w:r>
      <w:r>
        <w:t xml:space="preserve"> </w:t>
      </w:r>
      <w:r>
        <w:t xml:space="preserve">Peak exposures (short duration/high exposure levels) are a key influencing mechanism in the cause of</w:t>
      </w:r>
      <w:r>
        <w:t xml:space="preserve"> </w:t>
      </w:r>
      <w:r>
        <w:t xml:space="preserve">occupational asthma. Therefore, a STEL, which best addresses repeated short-duration high-level</w:t>
      </w:r>
      <w:r>
        <w:t xml:space="preserve"> </w:t>
      </w:r>
      <w:r>
        <w:t xml:space="preserve">exposures, is the most appropriate regulatory measure to address this type of exposure pattern.</w:t>
      </w:r>
      <w:r>
        <w:t xml:space="preserve"> </w:t>
      </w:r>
      <w:r>
        <w:t xml:space="preserve">However, there is a lack of robust scientific information and socio-economic data on short-term</w:t>
      </w:r>
      <w:r>
        <w:t xml:space="preserve"> </w:t>
      </w:r>
      <w:r>
        <w:t xml:space="preserve">exposures. For these reasons, RAC advised that any STEL should be maximally higher by a factor of 2</w:t>
      </w:r>
      <w:r>
        <w:t xml:space="preserve"> </w:t>
      </w:r>
      <w:r>
        <w:t xml:space="preserve">than the OEL and the external study could only analyse the impacts of the OEL.</w:t>
      </w:r>
      <w:r>
        <w:br/>
      </w:r>
      <w:r>
        <w:t xml:space="preserve">In these situations, information on the safe use of diisocyanates and its correct application in real</w:t>
      </w:r>
      <w:r>
        <w:t xml:space="preserve"> </w:t>
      </w:r>
      <w:r>
        <w:t xml:space="preserve">workplaces will be critical to ensuring effective control of workers’ exposure whilst reducing the need</w:t>
      </w:r>
      <w:r>
        <w:t xml:space="preserve"> </w:t>
      </w:r>
      <w:r>
        <w:t xml:space="preserve">for exposure monitoring and associated costs. This will be relevant for some, but not all, transient</w:t>
      </w:r>
      <w:r>
        <w:t xml:space="preserve"> </w:t>
      </w:r>
      <w:r>
        <w:t xml:space="preserve">exposures in temporary workplaces such as construction. In part, this is addressed via the mandatory</w:t>
      </w:r>
      <w:r>
        <w:t xml:space="preserve"> </w:t>
      </w:r>
      <w:r>
        <w:t xml:space="preserve">training requirements introduced by REACH for users of diisocyanates (see section 2.2.3.2).</w:t>
      </w:r>
      <w:r>
        <w:t xml:space="preserve"> </w:t>
      </w:r>
      <w:r>
        <w:t xml:space="preserve">The introduction of an OEL and STEL would provide quantitative objectives to concretise the intention</w:t>
      </w:r>
      <w:r>
        <w:t xml:space="preserve"> </w:t>
      </w:r>
      <w:r>
        <w:t xml:space="preserve">of the general requirements of CAD. This is important for determining the type of risk management</w:t>
      </w:r>
      <w:r>
        <w:t xml:space="preserve"> </w:t>
      </w:r>
      <w:r>
        <w:t xml:space="preserve">measures that should be introduced to ensure that exposure is effectively controlled. This aspect of the</w:t>
      </w:r>
      <w:r>
        <w:t xml:space="preserve"> </w:t>
      </w:r>
      <w:r>
        <w:t xml:space="preserve">overall approach to risk management, based on the complementarity of CAD and REACH, is not</w:t>
      </w:r>
      <w:r>
        <w:t xml:space="preserve"> </w:t>
      </w:r>
      <w:r>
        <w:t xml:space="preserve">specifically addressed by the REACH restriction, which is focussed on the training of workers.</w:t>
      </w:r>
    </w:p>
    <w:p>
      <w:pPr>
        <w:pStyle w:val="BodyText"/>
      </w:pPr>
      <w:r>
        <w:t xml:space="preserve">29 RPA, 2021. External study.</w:t>
      </w:r>
      <w:r>
        <w:br/>
      </w:r>
      <w:r>
        <w:t xml:space="preserve">30 The NCO group refers to the nitrogen, carbon, and oxygen atom of the isocyanate group.</w:t>
      </w:r>
      <w:r>
        <w:t xml:space="preserve"> </w:t>
      </w:r>
      <w:r>
        <w:t xml:space="preserve">31 RAC and other scientific expert committees agree on an NCO grouping approach.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2.2.2</w:t>
      </w:r>
      <w:r>
        <w:t xml:space="preserve"> </w:t>
      </w:r>
      <w:r>
        <w:t xml:space="preserve">External market drivers</w:t>
      </w:r>
      <w:r>
        <w:t xml:space="preserve"> </w:t>
      </w:r>
      <w:r>
        <w:t xml:space="preserve">Lead battery manufacture is a key employment sector where workers may be exposed to lead. In 2017,</w:t>
      </w:r>
      <w:r>
        <w:t xml:space="preserve"> </w:t>
      </w:r>
      <w:r>
        <w:t xml:space="preserve">the European Commission launched the European Battery Alliance32. Batteries are a strategic part of</w:t>
      </w:r>
      <w:r>
        <w:t xml:space="preserve"> </w:t>
      </w:r>
      <w:r>
        <w:t xml:space="preserve">Europe’s clean and digital transition and a key enabling technology, essential to the automotive sector’s</w:t>
      </w:r>
      <w:r>
        <w:t xml:space="preserve"> </w:t>
      </w:r>
      <w:r>
        <w:t xml:space="preserve">competitiveness. This aims to make Europe a global leader in sustainable battery production and use.</w:t>
      </w:r>
      <w:r>
        <w:t xml:space="preserve"> </w:t>
      </w:r>
      <w:r>
        <w:t xml:space="preserve">This was followed by a proposal33 to revise the Batteries Directive to minimise the negative impact of</w:t>
      </w:r>
      <w:r>
        <w:t xml:space="preserve"> </w:t>
      </w:r>
      <w:r>
        <w:t xml:space="preserve">batteries and waste batteries on the environment, while ensuring the smooth functioning of the internal</w:t>
      </w:r>
      <w:r>
        <w:t xml:space="preserve"> </w:t>
      </w:r>
      <w:r>
        <w:t xml:space="preserve">market.</w:t>
      </w:r>
      <w:r>
        <w:t xml:space="preserve"> </w:t>
      </w:r>
      <w:r>
        <w:t xml:space="preserve">Between 2010 and 2018, battery demand grew by 30% annually. The market is expected to keep</w:t>
      </w:r>
      <w:r>
        <w:t xml:space="preserve"> </w:t>
      </w:r>
      <w:r>
        <w:t xml:space="preserve">growing, at an estimated 25% annual rate. The main drivers of demand growth are the electrification of</w:t>
      </w:r>
      <w:r>
        <w:t xml:space="preserve"> </w:t>
      </w:r>
      <w:r>
        <w:t xml:space="preserve">transportation and the deployment of batteries in electricity grids34. In 2018, approximately 72% of the</w:t>
      </w:r>
      <w:r>
        <w:t xml:space="preserve"> </w:t>
      </w:r>
      <w:r>
        <w:t xml:space="preserve">world rechargeable battery capacity was provided by lead-acid batteries (LABs). Approximately 65% of</w:t>
      </w:r>
      <w:r>
        <w:t xml:space="preserve"> </w:t>
      </w:r>
      <w:r>
        <w:t xml:space="preserve">global demand for LABs is currently driven by automotive applications, with nearly every vehicle on</w:t>
      </w:r>
      <w:r>
        <w:t xml:space="preserve"> </w:t>
      </w:r>
      <w:r>
        <w:t xml:space="preserve">the road currently requiring a LAB for starter, light and ignition functions.</w:t>
      </w:r>
      <w:r>
        <w:t xml:space="preserve"> </w:t>
      </w:r>
      <w:r>
        <w:t xml:space="preserve">Automotive lead batteries have a recycling rate of 99%, they are one of the few consumer products that</w:t>
      </w:r>
      <w:r>
        <w:t xml:space="preserve"> </w:t>
      </w:r>
      <w:r>
        <w:t xml:space="preserve">already operate in a closed loop (i.e., where all used batteries are collected, and the component parts are</w:t>
      </w:r>
      <w:r>
        <w:t xml:space="preserve"> </w:t>
      </w:r>
      <w:r>
        <w:t xml:space="preserve">recycled ready for reuse)35. Increasing demand for batteries and their recycling has the potential to</w:t>
      </w:r>
      <w:r>
        <w:t xml:space="preserve"> </w:t>
      </w:r>
      <w:r>
        <w:t xml:space="preserve">increase the number of exposed workers.</w:t>
      </w:r>
      <w:r>
        <w:br/>
      </w:r>
      <w:r>
        <w:t xml:space="preserve">For diisocyanates, the Renovation Wave Strategy under the European Green Deal36 is likely to result in</w:t>
      </w:r>
      <w:r>
        <w:t xml:space="preserve"> </w:t>
      </w:r>
      <w:r>
        <w:t xml:space="preserve">greater use of insulating foams and better surface coatings to enhance the thermal insulation of the built</w:t>
      </w:r>
      <w:r>
        <w:t xml:space="preserve"> </w:t>
      </w:r>
      <w:r>
        <w:t xml:space="preserve">environment. In addition, the manufacturers of electric vehicles are increasingly considering replacing</w:t>
      </w:r>
      <w:r>
        <w:t xml:space="preserve"> </w:t>
      </w:r>
      <w:r>
        <w:t xml:space="preserve">heavier materials in cars with polyurethane to offset the weight of batteries. Polyurethane coatings are</w:t>
      </w:r>
      <w:r>
        <w:t xml:space="preserve"> </w:t>
      </w:r>
      <w:r>
        <w:t xml:space="preserve">also used in many applications including the rotor surfaces of wind turbines. Sectors manufacturing</w:t>
      </w:r>
      <w:r>
        <w:t xml:space="preserve"> </w:t>
      </w:r>
      <w:r>
        <w:t xml:space="preserve">insulations foams and coatings, including their application, are key sectors using diisocyanates.</w:t>
      </w:r>
      <w:r>
        <w:t xml:space="preserve"> </w:t>
      </w:r>
      <w:r>
        <w:t xml:space="preserve">Increasing demand for these products has the potential to increase the number of exposed workers.</w:t>
      </w:r>
      <w:r>
        <w:t xml:space="preserve"> </w:t>
      </w:r>
      <w:r>
        <w:t xml:space="preserve">2.2.3</w:t>
      </w:r>
      <w:r>
        <w:t xml:space="preserve"> </w:t>
      </w:r>
      <w:r>
        <w:t xml:space="preserve">Regulatory drivers</w:t>
      </w:r>
      <w:r>
        <w:t xml:space="preserve"> </w:t>
      </w:r>
      <w:r>
        <w:t xml:space="preserve">The CAD and the CMRD have as their aim the protection of workers against risks to their health,</w:t>
      </w:r>
      <w:r>
        <w:t xml:space="preserve"> </w:t>
      </w:r>
      <w:r>
        <w:t xml:space="preserve">including the prevention of such risks, arising or likely to arise from exposure to hazardous substances</w:t>
      </w:r>
      <w:r>
        <w:t xml:space="preserve"> </w:t>
      </w:r>
      <w:r>
        <w:t xml:space="preserve">at work, such as lead and diisocyanates. Since both substances are already covered by the Directives,</w:t>
      </w:r>
      <w:r>
        <w:t xml:space="preserve"> </w:t>
      </w:r>
      <w:r>
        <w:t xml:space="preserve">the employer must assess the risks to workers’ health for all activities in which workers are or may be</w:t>
      </w:r>
      <w:r>
        <w:t xml:space="preserve"> </w:t>
      </w:r>
      <w:r>
        <w:t xml:space="preserve">exposed to lead or diisocyanates and apply appropriate risk management measures (RMMs) to ensure</w:t>
      </w:r>
      <w:r>
        <w:t xml:space="preserve"> </w:t>
      </w:r>
      <w:r>
        <w:t xml:space="preserve">effective control of any identified risks. The limit values provide an important objective measure to</w:t>
      </w:r>
      <w:r>
        <w:t xml:space="preserve"> </w:t>
      </w:r>
      <w:r>
        <w:t xml:space="preserve">facilitate the implementation of the Directives and improve the protection of workers by reducing the</w:t>
      </w:r>
      <w:r>
        <w:t xml:space="preserve"> </w:t>
      </w:r>
      <w:r>
        <w:t xml:space="preserve">level of exposures.</w:t>
      </w:r>
      <w:r>
        <w:t xml:space="preserve"> </w:t>
      </w:r>
      <w:r>
        <w:t xml:space="preserve">For some hazardous chemical agents, the CAD and the CMRD establish limit values (OELs/STELs)</w:t>
      </w:r>
      <w:r>
        <w:t xml:space="preserve"> </w:t>
      </w:r>
      <w:r>
        <w:t xml:space="preserve">and in the case of lead, a BLV. The fact that limit values are established does not affect the obligations</w:t>
      </w:r>
      <w:r>
        <w:t xml:space="preserve"> </w:t>
      </w:r>
      <w:r>
        <w:t xml:space="preserve">of the employer to comply with other requirements which are based on the principles of good</w:t>
      </w:r>
      <w:r>
        <w:t xml:space="preserve"> </w:t>
      </w:r>
      <w:r>
        <w:t xml:space="preserve">occupational hygiene practice, such as to minimise amount of substance in use, enclose</w:t>
      </w:r>
    </w:p>
    <w:p>
      <w:pPr>
        <w:pStyle w:val="BodyText"/>
      </w:pPr>
      <w:r>
        <w:t xml:space="preserve">32 https://ec.europa.eu/growth/industry/strategy/industrial-alliances/european-battery-alliance_en</w:t>
      </w:r>
      <w:r>
        <w:br/>
      </w:r>
      <w:r>
        <w:t xml:space="preserve">33 https://eur-lex.europa.eu/legal-content/EN/TXT/?uri=CELEX%3A52020PC0798</w:t>
      </w:r>
      <w:r>
        <w:br/>
      </w:r>
      <w:r>
        <w:t xml:space="preserve">34</w:t>
      </w:r>
      <w:r>
        <w:t xml:space="preserve"> </w:t>
      </w:r>
      <w:r>
        <w:t xml:space="preserve">A</w:t>
      </w:r>
      <w:r>
        <w:t xml:space="preserve"> </w:t>
      </w:r>
      <w:r>
        <w:t xml:space="preserve">Vision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Sustainable</w:t>
      </w:r>
      <w:r>
        <w:t xml:space="preserve"> </w:t>
      </w:r>
      <w:r>
        <w:t xml:space="preserve">Battery</w:t>
      </w:r>
      <w:r>
        <w:t xml:space="preserve"> </w:t>
      </w:r>
      <w:r>
        <w:t xml:space="preserve">Value</w:t>
      </w:r>
      <w:r>
        <w:t xml:space="preserve"> </w:t>
      </w:r>
      <w:r>
        <w:t xml:space="preserve">Chain</w:t>
      </w:r>
      <w:r>
        <w:t xml:space="preserve"> </w:t>
      </w:r>
      <w:r>
        <w:t xml:space="preserve">in</w:t>
      </w:r>
      <w:r>
        <w:t xml:space="preserve"> </w:t>
      </w:r>
      <w:r>
        <w:t xml:space="preserve">2030</w:t>
      </w:r>
      <w:r>
        <w:t xml:space="preserve"> </w:t>
      </w:r>
      <w:r>
        <w:t xml:space="preserve">(2019)</w:t>
      </w:r>
      <w:r>
        <w:t xml:space="preserve"> </w:t>
      </w:r>
      <w:r>
        <w:t xml:space="preserve">https://www3.weforum.org/docs/WEF_A_Vision_for_a_Sustainable_Battery_Value_Chain_in_2030_Report.pdf</w:t>
      </w:r>
      <w:r>
        <w:br/>
      </w:r>
      <w:r>
        <w:t xml:space="preserve">35 https://www.eurobat.org/wp-content/uploads/2021/09/ihs_eurobat_report_lead_lores_final_2.pdf</w:t>
      </w:r>
      <w:r>
        <w:br/>
      </w:r>
      <w:r>
        <w:t xml:space="preserve">36https://eur-lex.europa.eu/legal-content/EN/TXT/?uri=CELEX:52020DC0662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equipment/processes where possible to minimise release, maintain in good condition all risk</w:t>
      </w:r>
      <w:r>
        <w:t xml:space="preserve"> </w:t>
      </w:r>
      <w:r>
        <w:t xml:space="preserve">management systems such as ventilation controls, train and inform workers on risks and safe working</w:t>
      </w:r>
      <w:r>
        <w:t xml:space="preserve"> </w:t>
      </w:r>
      <w:r>
        <w:t xml:space="preserve">practices. The exposure must be reduced to a minimum and in any case below the fixed binding limit</w:t>
      </w:r>
      <w:r>
        <w:t xml:space="preserve"> </w:t>
      </w:r>
      <w:r>
        <w:t xml:space="preserve">values when those exist.</w:t>
      </w:r>
      <w:r>
        <w:t xml:space="preserve"> </w:t>
      </w:r>
      <w:r>
        <w:t xml:space="preserve">In January 2019, the three Interest Groups (Workers’, Employers’ and Governments’) of the Working</w:t>
      </w:r>
      <w:r>
        <w:t xml:space="preserve"> </w:t>
      </w:r>
      <w:r>
        <w:t xml:space="preserve">Party ‘Chemicals at the Workplace’ (WPC) of the ACSH agreed that lead and diisocyanates are</w:t>
      </w:r>
      <w:r>
        <w:t xml:space="preserve"> </w:t>
      </w:r>
      <w:r>
        <w:t xml:space="preserve">priorities for scientific evaluation by RAC. This is the first step in the process to revise the limit values</w:t>
      </w:r>
      <w:r>
        <w:t xml:space="preserve"> </w:t>
      </w:r>
      <w:r>
        <w:t xml:space="preserve">for lead and to introduce, for the first time, limit values for diisocyanates37. The prioritisation of lead</w:t>
      </w:r>
      <w:r>
        <w:t xml:space="preserve"> </w:t>
      </w:r>
      <w:r>
        <w:t xml:space="preserve">reflects growing concern about reprotoxic substances which resulted in their inclusion in the scope of</w:t>
      </w:r>
      <w:r>
        <w:t xml:space="preserve"> </w:t>
      </w:r>
      <w:r>
        <w:t xml:space="preserve">the CMRD in early 2022. There is also a similar concern about how to tackle occupational asthma.</w:t>
      </w:r>
      <w:r>
        <w:t xml:space="preserve"> </w:t>
      </w:r>
      <w:r>
        <w:t xml:space="preserve">Diisocyanates are one of a limited number of key occupational asthmagens. In addition, based on</w:t>
      </w:r>
      <w:r>
        <w:t xml:space="preserve"> </w:t>
      </w:r>
      <w:r>
        <w:t xml:space="preserve">extensive stakeholder consultation, both substances were identified under the prioritisation strategy of</w:t>
      </w:r>
      <w:r>
        <w:t xml:space="preserve"> </w:t>
      </w:r>
      <w:r>
        <w:t xml:space="preserve">the EU Human Biomonitoring programme (HBM4EU 2017-2018)38, an EU Horizon 2020 initiative to</w:t>
      </w:r>
      <w:r>
        <w:t xml:space="preserve"> </w:t>
      </w:r>
      <w:r>
        <w:t xml:space="preserve">build bridges between the research and policy worlds to enhance chemical safety.</w:t>
      </w:r>
      <w:r>
        <w:t xml:space="preserve"> </w:t>
      </w:r>
      <w:r>
        <w:t xml:space="preserve">Under the CAD and the CMRD, the Commission evaluates the relationship between the health effects</w:t>
      </w:r>
      <w:r>
        <w:t xml:space="preserve"> </w:t>
      </w:r>
      <w:r>
        <w:t xml:space="preserve">of hazardous chemical agents and the level of occupational exposure by means of an independent</w:t>
      </w:r>
      <w:r>
        <w:t xml:space="preserve"> </w:t>
      </w:r>
      <w:r>
        <w:t xml:space="preserve">scientific assessment, the availability of measurement techniques, and feasibility factors. The aim is to</w:t>
      </w:r>
      <w:r>
        <w:t xml:space="preserve"> </w:t>
      </w:r>
      <w:r>
        <w:t xml:space="preserve">protect the health of workers by proposing appropriate binding limit values, including inhalation and</w:t>
      </w:r>
      <w:r>
        <w:t xml:space="preserve"> </w:t>
      </w:r>
      <w:r>
        <w:t xml:space="preserve">biological limit values. New, or revised, limit values should be set on the basis of available information,</w:t>
      </w:r>
      <w:r>
        <w:t xml:space="preserve"> </w:t>
      </w:r>
      <w:r>
        <w:t xml:space="preserve">including up-to-date scientific and technical data. This scientific evidence became available in June</w:t>
      </w:r>
      <w:r>
        <w:t xml:space="preserve"> </w:t>
      </w:r>
      <w:r>
        <w:t xml:space="preserve">2020 when RAC adopted its opinions on lead and diisocyanates39 40.</w:t>
      </w:r>
      <w:r>
        <w:br/>
      </w:r>
      <w:r>
        <w:t xml:space="preserve">The Commission proposals for OELs also take into account scientific-technical feasibility of</w:t>
      </w:r>
      <w:r>
        <w:t xml:space="preserve"> </w:t>
      </w:r>
      <w:r>
        <w:t xml:space="preserve">monitoring exposure, including the availability of suitable measurement techniques. Socio-economic</w:t>
      </w:r>
      <w:r>
        <w:t xml:space="preserve"> </w:t>
      </w:r>
      <w:r>
        <w:t xml:space="preserve">and further technical feasibility factors are discussed in the WPC. More information on the procedure</w:t>
      </w:r>
      <w:r>
        <w:t xml:space="preserve"> </w:t>
      </w:r>
      <w:r>
        <w:t xml:space="preserve">for setting limit values is presented in section 5.1. Technical and feasibility evidence was provided by</w:t>
      </w:r>
      <w:r>
        <w:t xml:space="preserve"> </w:t>
      </w:r>
      <w:r>
        <w:t xml:space="preserve">the ACSH, which adopted opinions supporting this initiative for both substances on 24 November</w:t>
      </w:r>
      <w:r>
        <w:t xml:space="preserve"> </w:t>
      </w:r>
      <w:r>
        <w:t xml:space="preserve">202141. For lead, there was not a consensus agreement between three Interest Groups of the ACSH on</w:t>
      </w:r>
      <w:r>
        <w:t xml:space="preserve"> </w:t>
      </w:r>
      <w:r>
        <w:t xml:space="preserve">what the levels of any revised limit values should be. For diisocyanates, there was a consensus</w:t>
      </w:r>
      <w:r>
        <w:t xml:space="preserve"> </w:t>
      </w:r>
      <w:r>
        <w:t xml:space="preserve">agreement of the three Interest Groups. The views of the social partners in response to the formal two-</w:t>
      </w:r>
      <w:r>
        <w:t xml:space="preserve"> </w:t>
      </w:r>
      <w:r>
        <w:t xml:space="preserve">stage consultation and the responses to the call for evidence have also contributed to that evidence.</w:t>
      </w:r>
      <w:r>
        <w:t xml:space="preserve"> </w:t>
      </w:r>
      <w:r>
        <w:t xml:space="preserve">2.2.3.1 Lead limit values are out-of-date</w:t>
      </w:r>
      <w:r>
        <w:t xml:space="preserve"> </w:t>
      </w:r>
      <w:r>
        <w:t xml:space="preserve">For lead, the limit values in the CMRD are an OEL of 0.15 mg Pb/m³ and a BLV of 70 µg Pb/100 ml</w:t>
      </w:r>
      <w:r>
        <w:t xml:space="preserve"> </w:t>
      </w:r>
      <w:r>
        <w:t xml:space="preserve">blood. They were first set in 198242 based on the scientific and technology knowledge available at that</w:t>
      </w:r>
      <w:r>
        <w:t xml:space="preserve"> </w:t>
      </w:r>
      <w:r>
        <w:t xml:space="preserve">time. The directive further states that its minimum requirements should be reviewed based on</w:t>
      </w:r>
      <w:r>
        <w:t xml:space="preserve"> </w:t>
      </w:r>
      <w:r>
        <w:t xml:space="preserve">experience acquired and on technology developments in the relevant areas.</w:t>
      </w:r>
    </w:p>
    <w:p>
      <w:pPr>
        <w:pStyle w:val="BodyText"/>
      </w:pPr>
      <w:r>
        <w:t xml:space="preserve">37 Minutes of WPC meeting held on 22-23 January 2019.</w:t>
      </w:r>
      <w:r>
        <w:t xml:space="preserve"> </w:t>
      </w:r>
      <w:r>
        <w:t xml:space="preserve">38 https://www.hbm4eu.eu/hbm4eu-substances/2-prioritisation-process/</w:t>
      </w:r>
      <w:r>
        <w:br/>
      </w:r>
      <w:r>
        <w:t xml:space="preserve">39 https://echa.europa.eu/documents/10162/ed7a37e4-1641-b147-aaac-fce4c3014037</w:t>
      </w:r>
      <w:r>
        <w:br/>
      </w:r>
      <w:r>
        <w:t xml:space="preserve">40 https://echa.europa.eu/documents/10162/4ea3b5ee-141b-63c9-8ffd-1c268dda95e9</w:t>
      </w:r>
      <w:r>
        <w:br/>
      </w:r>
      <w:r>
        <w:t xml:space="preserve">41 https://ec.europa.eu/social/main.jsp?catId=148&amp;intPageId=683&amp;langId=en</w:t>
      </w:r>
      <w:r>
        <w:br/>
      </w:r>
      <w:r>
        <w:t xml:space="preserve">42 See footnote 11.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The International Lead Association43, representing companies across the EU engaged in mining,</w:t>
      </w:r>
      <w:r>
        <w:t xml:space="preserve"> </w:t>
      </w:r>
      <w:r>
        <w:t xml:space="preserve">smelting and recycling have long established lead exposure reduction programmes introduced to meet</w:t>
      </w:r>
      <w:r>
        <w:t xml:space="preserve"> </w:t>
      </w:r>
      <w:r>
        <w:t xml:space="preserve">the current limit values and to further reduce exposures, where achievable. This reduction of exposure</w:t>
      </w:r>
      <w:r>
        <w:t xml:space="preserve"> </w:t>
      </w:r>
      <w:r>
        <w:t xml:space="preserve">over time demonstrates the effectiveness of limit values when combined with industry wide initiatives</w:t>
      </w:r>
      <w:r>
        <w:t xml:space="preserve"> </w:t>
      </w:r>
      <w:r>
        <w:t xml:space="preserve">to implement practical risk reduction programmes.</w:t>
      </w:r>
      <w:r>
        <w:t xml:space="preserve"> </w:t>
      </w:r>
      <w:r>
        <w:t xml:space="preserve">The three ACSH Interest Groups reached a consensus agreement on the need to revise downwards both</w:t>
      </w:r>
      <w:r>
        <w:t xml:space="preserve"> </w:t>
      </w:r>
      <w:r>
        <w:t xml:space="preserve">the existing BLV and OEL ‘to better protect workers’ health taking into account scientific and technical</w:t>
      </w:r>
      <w:r>
        <w:t xml:space="preserve"> </w:t>
      </w:r>
      <w:r>
        <w:t xml:space="preserve">developments since the current limit values were adopted’. In their November 2021 opinion, they</w:t>
      </w:r>
      <w:r>
        <w:t xml:space="preserve"> </w:t>
      </w:r>
      <w:r>
        <w:t xml:space="preserve">advise that oral and inhalation exposure are both relevant routes for the uptake of lead into the human</w:t>
      </w:r>
      <w:r>
        <w:t xml:space="preserve"> </w:t>
      </w:r>
      <w:r>
        <w:t xml:space="preserve">body and that blood lead concentrations are the best exposure metric to assess occupational exposure.</w:t>
      </w:r>
      <w:r>
        <w:t xml:space="preserve"> </w:t>
      </w:r>
      <w:r>
        <w:t xml:space="preserve">This is because internal lead levels are decisive for the chronic toxicity. Therefore, it is important to use</w:t>
      </w:r>
      <w:r>
        <w:t xml:space="preserve"> </w:t>
      </w:r>
      <w:r>
        <w:t xml:space="preserve">the BLV as the primary tool for protecting workers from lead toxicity. The OEL and BLV complement</w:t>
      </w:r>
      <w:r>
        <w:t xml:space="preserve"> </w:t>
      </w:r>
      <w:r>
        <w:t xml:space="preserve">each other, and both should be complied with.</w:t>
      </w:r>
      <w:r>
        <w:br/>
      </w:r>
      <w:r>
        <w:t xml:space="preserve">For lead RAC proposed an OEL of 0.004 g /m3 (equivalent to 4 µg /m3) and a BLV of 15 µg/100ml</w:t>
      </w:r>
      <w:r>
        <w:t xml:space="preserve"> </w:t>
      </w:r>
      <w:r>
        <w:t xml:space="preserve">blood (equivalent to 150 µg/L blood)44. A BLV of 15 µg Pb/100ml blood is considered health</w:t>
      </w:r>
      <w:r>
        <w:t xml:space="preserve"> </w:t>
      </w:r>
      <w:r>
        <w:t xml:space="preserve">protective for male workers, who represent the vast majority of the total workforce exposed to lead, but</w:t>
      </w:r>
      <w:r>
        <w:t xml:space="preserve"> </w:t>
      </w:r>
      <w:r>
        <w:t xml:space="preserve">not for the offspring of female workers of child-bearing age. RAC advised the inclusion of a qualitative</w:t>
      </w:r>
      <w:r>
        <w:t xml:space="preserve"> </w:t>
      </w:r>
      <w:r>
        <w:t xml:space="preserve">statement in the CMRD that exposure of women of child-bearing age to lead should be avoided or</w:t>
      </w:r>
      <w:r>
        <w:t xml:space="preserve"> </w:t>
      </w:r>
      <w:r>
        <w:t xml:space="preserve">minimised. There is agreement within the ACSH that a BLV of 15µg/100 ml is health protective for</w:t>
      </w:r>
      <w:r>
        <w:t xml:space="preserve"> </w:t>
      </w:r>
      <w:r>
        <w:t xml:space="preserve">male workers but not for the offspring of female workers of child-bearing age.</w:t>
      </w:r>
      <w:r>
        <w:t xml:space="preserve"> </w:t>
      </w:r>
      <w:r>
        <w:t xml:space="preserve">The three Interest Groups did not find a consensus on what should be the numerical levels of the</w:t>
      </w:r>
      <w:r>
        <w:t xml:space="preserve"> </w:t>
      </w:r>
      <w:r>
        <w:t xml:space="preserve">updated limit values (see Annex 2, table 1). The main reasons for this were the divergent views on how</w:t>
      </w:r>
      <w:r>
        <w:t xml:space="preserve"> </w:t>
      </w:r>
      <w:r>
        <w:t xml:space="preserve">best to tackle workers with higher blood levels due to historic exposure, levels of exposure for women</w:t>
      </w:r>
      <w:r>
        <w:t xml:space="preserve"> </w:t>
      </w:r>
      <w:r>
        <w:t xml:space="preserve">of childbearing age, and for the OEL, the uncertainties in the models used to derive the values and</w:t>
      </w:r>
      <w:r>
        <w:t xml:space="preserve"> </w:t>
      </w:r>
      <w:r>
        <w:t xml:space="preserve">technical feasibility together with cost-benefit considerations to achieve these levels.</w:t>
      </w:r>
      <w:r>
        <w:t xml:space="preserve"> </w:t>
      </w:r>
      <w:r>
        <w:t xml:space="preserve">The three Interest Groups of the ACSH agree on the importance of health surveillance, which is already</w:t>
      </w:r>
      <w:r>
        <w:t xml:space="preserve"> </w:t>
      </w:r>
      <w:r>
        <w:t xml:space="preserve">a requirement of the CMRD, for the effective management of all individual workers including those</w:t>
      </w:r>
      <w:r>
        <w:t xml:space="preserve"> </w:t>
      </w:r>
      <w:r>
        <w:t xml:space="preserve">who may have been subject to historic exposure, or in the specific case of female workers who may</w:t>
      </w:r>
      <w:r>
        <w:t xml:space="preserve"> </w:t>
      </w:r>
      <w:r>
        <w:t xml:space="preserve">wish to start a family. The general requirements for health surveillance (which apply to all substances</w:t>
      </w:r>
      <w:r>
        <w:t xml:space="preserve"> </w:t>
      </w:r>
      <w:r>
        <w:t xml:space="preserve">within the scope of the Directive) are complemented by specific requirements when workers are</w:t>
      </w:r>
      <w:r>
        <w:t xml:space="preserve"> </w:t>
      </w:r>
      <w:r>
        <w:t xml:space="preserve">exposed to certain specified levels of lead requiring more detailed medical surveillance when exposure</w:t>
      </w:r>
      <w:r>
        <w:t xml:space="preserve"> </w:t>
      </w:r>
      <w:r>
        <w:t xml:space="preserve">exceeds 0.075mg/m3 in air (50% of current OEL) or 40 µg/100ml blood (approx. 60% of current BLV).</w:t>
      </w:r>
      <w:r>
        <w:t xml:space="preserve"> </w:t>
      </w:r>
      <w:r>
        <w:t xml:space="preserve">Health/medical surveillance is important because lead is stored in the bones for decades (half-life in</w:t>
      </w:r>
      <w:r>
        <w:t xml:space="preserve"> </w:t>
      </w:r>
      <w:r>
        <w:t xml:space="preserve">bones45 is 6 to 37 years) and released gradually into the bloodstream.</w:t>
      </w:r>
      <w:r>
        <w:br/>
      </w:r>
      <w:r>
        <w:t xml:space="preserve">The International Lead Association (ILA) has produced a number of guidance notes46 for reducing</w:t>
      </w:r>
      <w:r>
        <w:t xml:space="preserve"> </w:t>
      </w:r>
      <w:r>
        <w:t xml:space="preserve">occupational exposure. They support the ILA Voluntary Blood-lead Reduction Programme and provide</w:t>
      </w:r>
      <w:r>
        <w:t xml:space="preserve"> </w:t>
      </w:r>
      <w:r>
        <w:t xml:space="preserve">details on practical measures, e.g., regular health surveillance (biomonitoring) and practical</w:t>
      </w:r>
      <w:r>
        <w:t xml:space="preserve"> </w:t>
      </w:r>
      <w:r>
        <w:t xml:space="preserve">advice/ideas regarding engineering controls. The actions under this voluntary initiative have shown that</w:t>
      </w:r>
      <w:r>
        <w:t xml:space="preserve"> </w:t>
      </w:r>
      <w:r>
        <w:t xml:space="preserve">reductions in exposure are possible and are currently being achieved across several sectors. The ILA</w:t>
      </w:r>
    </w:p>
    <w:p>
      <w:pPr>
        <w:pStyle w:val="BodyText"/>
      </w:pPr>
      <w:r>
        <w:t xml:space="preserve">43 Resources – ILA (ila-lead.org) Position paper on protecting workers from occupational lead exposures (March</w:t>
      </w:r>
      <w:r>
        <w:t xml:space="preserve"> </w:t>
      </w:r>
      <w:r>
        <w:t xml:space="preserve">2022)</w:t>
      </w:r>
      <w:r>
        <w:t xml:space="preserve"> </w:t>
      </w:r>
      <w:r>
        <w:t xml:space="preserve">44 For coherence with the current limit values in CAD, the metrics of g/m3 for OEL values and µg/100ml blood for</w:t>
      </w:r>
      <w:r>
        <w:t xml:space="preserve"> </w:t>
      </w:r>
      <w:r>
        <w:t xml:space="preserve">BLV values are hereafter used throughout this Impact Assessment Report.</w:t>
      </w:r>
      <w:r>
        <w:t xml:space="preserve"> </w:t>
      </w:r>
      <w:r>
        <w:t xml:space="preserve">45 The time required for its concentration to decrease by half.</w:t>
      </w:r>
      <w:r>
        <w:t xml:space="preserve"> </w:t>
      </w:r>
      <w:r>
        <w:t xml:space="preserve">46 International Lead Association: Guidance Notes. See at: https://ila-lead.org/resources/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Programme declared aim is to have zero employees exceeding a blood lead content of 20µg/100ml (i.e.,</w:t>
      </w:r>
      <w:r>
        <w:t xml:space="preserve"> </w:t>
      </w:r>
      <w:r>
        <w:t xml:space="preserve">well below the current BLV). Industry voluntary initiatives reflect technical progress and demonstrate</w:t>
      </w:r>
      <w:r>
        <w:t xml:space="preserve"> </w:t>
      </w:r>
      <w:r>
        <w:t xml:space="preserve">that the reduction of workers’ exposure is both technically possible and feasible.</w:t>
      </w:r>
      <w:r>
        <w:t xml:space="preserve"> </w:t>
      </w:r>
      <w:r>
        <w:t xml:space="preserve">2.2.3.2 There is no EU limit value for diisocyanates</w:t>
      </w:r>
      <w:r>
        <w:t xml:space="preserve"> </w:t>
      </w:r>
      <w:r>
        <w:t xml:space="preserve">The opinion of the ACSH supports the introduction, for the first time, of an EU OEL and STEL for all</w:t>
      </w:r>
      <w:r>
        <w:t xml:space="preserve"> </w:t>
      </w:r>
      <w:r>
        <w:t xml:space="preserve">diisocyanates based on the NCO group approach. The limit values should be complemented by a ‘skin’</w:t>
      </w:r>
      <w:r>
        <w:t xml:space="preserve"> </w:t>
      </w:r>
      <w:r>
        <w:t xml:space="preserve">notation in order to prevent systemic health effects due to absorption from dermal contact. The three</w:t>
      </w:r>
      <w:r>
        <w:t xml:space="preserve"> </w:t>
      </w:r>
      <w:r>
        <w:t xml:space="preserve">Interest Groups agreed on the numerical values of the OEL and STEL that should be proposed and</w:t>
      </w:r>
      <w:r>
        <w:t xml:space="preserve"> </w:t>
      </w:r>
      <w:r>
        <w:t xml:space="preserve">advised that a phase-in approach is required due to technical measurement feasibility and the time to</w:t>
      </w:r>
      <w:r>
        <w:t xml:space="preserve"> </w:t>
      </w:r>
      <w:r>
        <w:t xml:space="preserve">implement RMMs, in particular in downstream sectors.</w:t>
      </w:r>
      <w:r>
        <w:t xml:space="preserve"> </w:t>
      </w:r>
      <w:r>
        <w:t xml:space="preserve">Diisocyanates do not have a safe exposure level; only the relation between exposure levels and the</w:t>
      </w:r>
      <w:r>
        <w:t xml:space="preserve"> </w:t>
      </w:r>
      <w:r>
        <w:t xml:space="preserve">associated risk can be described (exposure-risk relationship). Therefore, RAC presented a set of excess</w:t>
      </w:r>
      <w:r>
        <w:t xml:space="preserve"> </w:t>
      </w:r>
      <w:r>
        <w:t xml:space="preserve">risks for a range of OELs between 0.025 and 0.67 µg NCO/m3. RAC also stated that the value of STEL</w:t>
      </w:r>
      <w:r>
        <w:t xml:space="preserve"> </w:t>
      </w:r>
      <w:r>
        <w:t xml:space="preserve">should be no more than twice that of the OEL, and it should not exceed 6 µg NCO/m3.</w:t>
      </w:r>
      <w:r>
        <w:t xml:space="preserve"> </w:t>
      </w:r>
      <w:r>
        <w:t xml:space="preserve">Employers, in their response to the second stage social partner consultation, highlighted the need to</w:t>
      </w:r>
      <w:r>
        <w:t xml:space="preserve"> </w:t>
      </w:r>
      <w:r>
        <w:t xml:space="preserve">tackle the problem of occupational asthma by preventing peak exposures. They recognise the need to</w:t>
      </w:r>
      <w:r>
        <w:t xml:space="preserve"> </w:t>
      </w:r>
      <w:r>
        <w:t xml:space="preserve">take a pragmatic approach to setting the STEL that will significantly reduce peak exposures resulting in</w:t>
      </w:r>
      <w:r>
        <w:t xml:space="preserve"> </w:t>
      </w:r>
      <w:r>
        <w:t xml:space="preserve">a major improvement of workers’ health.</w:t>
      </w:r>
      <w:r>
        <w:t xml:space="preserve"> </w:t>
      </w:r>
      <w:r>
        <w:t xml:space="preserve">Due to the nature of asthma, specific health surveillance is appropriate in line with Articles 6.3 and 10</w:t>
      </w:r>
      <w:r>
        <w:t xml:space="preserve"> </w:t>
      </w:r>
      <w:r>
        <w:t xml:space="preserve">of the CAD to identify early signs and symptoms of respiratory sensitisation. These arrangements</w:t>
      </w:r>
      <w:r>
        <w:t xml:space="preserve"> </w:t>
      </w:r>
      <w:r>
        <w:t xml:space="preserve">should be in accordance with national laws and/or practice, as well as in line with the principles and</w:t>
      </w:r>
      <w:r>
        <w:t xml:space="preserve"> </w:t>
      </w:r>
      <w:r>
        <w:t xml:space="preserve">practices of occupational medicine.</w:t>
      </w:r>
      <w:r>
        <w:t xml:space="preserve"> </w:t>
      </w:r>
      <w:r>
        <w:t xml:space="preserve">Under the CAD there are general requirements for the training of workers, but this is not substance</w:t>
      </w:r>
      <w:r>
        <w:t xml:space="preserve"> </w:t>
      </w:r>
      <w:r>
        <w:t xml:space="preserve">specific. Therefore, due to the need to address the identified serious health risks specific to</w:t>
      </w:r>
      <w:r>
        <w:t xml:space="preserve"> </w:t>
      </w:r>
      <w:r>
        <w:t xml:space="preserve">diisocyanates, a restriction under REACH was adopted in August 202047. The restriction requires the</w:t>
      </w:r>
      <w:r>
        <w:t xml:space="preserve"> </w:t>
      </w:r>
      <w:r>
        <w:t xml:space="preserve">mandatory training of workers who use diisocyanates, in accordance with specified criteria linked to the</w:t>
      </w:r>
      <w:r>
        <w:t xml:space="preserve"> </w:t>
      </w:r>
      <w:r>
        <w:t xml:space="preserve">nature of the work activity. This aims to prevent occupational asthma by reducing exposure by the</w:t>
      </w:r>
      <w:r>
        <w:t xml:space="preserve"> </w:t>
      </w:r>
      <w:r>
        <w:t xml:space="preserve">application of good working practices. The training must be in place by August 2023.</w:t>
      </w:r>
      <w:r>
        <w:t xml:space="preserve"> </w:t>
      </w:r>
      <w:r>
        <w:t xml:space="preserve">The introduction of limit values for diisocyanates under CAD together with the existing general</w:t>
      </w:r>
      <w:r>
        <w:t xml:space="preserve"> </w:t>
      </w:r>
      <w:r>
        <w:t xml:space="preserve">requirements of the directive in conjunction with the restriction under REACH will provide a</w:t>
      </w:r>
      <w:r>
        <w:t xml:space="preserve"> </w:t>
      </w:r>
      <w:r>
        <w:t xml:space="preserve">comprehensive complementary package of regulatory measures to ensure an overall effective risk</w:t>
      </w:r>
      <w:r>
        <w:t xml:space="preserve"> </w:t>
      </w:r>
      <w:r>
        <w:t xml:space="preserve">management approach. This package includes workplace risk assessment, introduction and use of</w:t>
      </w:r>
      <w:r>
        <w:t xml:space="preserve"> </w:t>
      </w:r>
      <w:r>
        <w:t xml:space="preserve">effective risk management measures, worker information, comprehensive training and supervision, and</w:t>
      </w:r>
      <w:r>
        <w:t xml:space="preserve"> </w:t>
      </w:r>
      <w:r>
        <w:t xml:space="preserve">appropriate health surveillance.</w:t>
      </w:r>
      <w:r>
        <w:t xml:space="preserve"> </w:t>
      </w:r>
      <w:r>
        <w:t xml:space="preserve">2.2.3.3 Differing levels of protection</w:t>
      </w:r>
      <w:r>
        <w:t xml:space="preserve"> </w:t>
      </w:r>
      <w:r>
        <w:t xml:space="preserve">Acknowledging the development of the scientific knowledge, some EU countries have already reduced</w:t>
      </w:r>
      <w:r>
        <w:t xml:space="preserve"> </w:t>
      </w:r>
      <w:r>
        <w:t xml:space="preserve">their limit values for lead to a varying degree and/or introduced limit values for diisocyanates.</w:t>
      </w:r>
      <w:r>
        <w:t xml:space="preserve"> </w:t>
      </w:r>
      <w:r>
        <w:t xml:space="preserve">Therefore, workers in the EU are subject to different levels of protection.</w:t>
      </w:r>
      <w:r>
        <w:br/>
      </w:r>
      <w:r>
        <w:t xml:space="preserve">For lead, EU countries’ BLVs range from 20µg/100ml blood to 70µg/100ml blood (the current BLV</w:t>
      </w:r>
      <w:r>
        <w:t xml:space="preserve"> </w:t>
      </w:r>
      <w:r>
        <w:t xml:space="preserve">under the CMRD). 15 Member States have a BLV lower than the current EU BLV48. Some Member</w:t>
      </w:r>
    </w:p>
    <w:p>
      <w:pPr>
        <w:pStyle w:val="BodyText"/>
      </w:pPr>
      <w:r>
        <w:t xml:space="preserve">47 https://eur-lex.europa.eu/legal-content/EN/TXT/?uri=CELEX:32020R1149</w:t>
      </w:r>
      <w:r>
        <w:br/>
      </w:r>
      <w:r>
        <w:t xml:space="preserve">48 BG, HR, CZ, DK, FI, FR, DE, HU, IT, LV, NL, PL, SK, SI, SE.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States have a lower limit for women. This is age dependent or stated as women of childbearing age and</w:t>
      </w:r>
      <w:r>
        <w:t xml:space="preserve"> </w:t>
      </w:r>
      <w:r>
        <w:t xml:space="preserve">typically ranges between 20-40 µg/100ml blood. The OEL ranges from 0.05 g/m3 up to 0.15 g/m3 (the</w:t>
      </w:r>
      <w:r>
        <w:t xml:space="preserve"> </w:t>
      </w:r>
      <w:r>
        <w:t xml:space="preserve">current OEL under the CMRD).</w:t>
      </w:r>
      <w:r>
        <w:br/>
      </w:r>
      <w:r>
        <w:t xml:space="preserve">For diisocyanates, whilst there is no EU limit value, three EU Member States have a general OEL49</w:t>
      </w:r>
      <w:r>
        <w:br/>
      </w:r>
      <w:r>
        <w:t xml:space="preserve">and18 have different OELs and STELS for some, but not all, different diisocyanates. As regards the</w:t>
      </w:r>
      <w:r>
        <w:t xml:space="preserve"> </w:t>
      </w:r>
      <w:r>
        <w:t xml:space="preserve">STEL, 17 Member States have a STEL of which only 5 have a general STEL; the others are for specific</w:t>
      </w:r>
      <w:r>
        <w:t xml:space="preserve"> </w:t>
      </w:r>
      <w:r>
        <w:t xml:space="preserve">diisocyanates substances. This makes presenting a general range challenging. However, where they</w:t>
      </w:r>
      <w:r>
        <w:t xml:space="preserve"> </w:t>
      </w:r>
      <w:r>
        <w:t xml:space="preserve">exist, OELs range from 3 µg NCO/m3 to 500 µg NCO/m3 with a median value of 17.4 µg NCO/m3. For</w:t>
      </w:r>
      <w:r>
        <w:t xml:space="preserve"> </w:t>
      </w:r>
      <w:r>
        <w:t xml:space="preserve">the STEL, the range is from 10-82 µg NCO/m3.</w:t>
      </w:r>
      <w:r>
        <w:t xml:space="preserve"> </w:t>
      </w:r>
      <w:r>
        <w:t xml:space="preserve">2.2.4</w:t>
      </w:r>
      <w:r>
        <w:t xml:space="preserve"> </w:t>
      </w:r>
      <w:r>
        <w:t xml:space="preserve">Consequences</w:t>
      </w:r>
      <w:r>
        <w:t xml:space="preserve"> </w:t>
      </w:r>
      <w:r>
        <w:t xml:space="preserve">In addition to the above identified issues for workers (ill-health, differing levels of protection), Member</w:t>
      </w:r>
      <w:r>
        <w:t xml:space="preserve"> </w:t>
      </w:r>
      <w:r>
        <w:t xml:space="preserve">States are also negatively affected. The resulting illnesses lead to increased social security costs (e.g.,</w:t>
      </w:r>
      <w:r>
        <w:t xml:space="preserve"> </w:t>
      </w:r>
      <w:r>
        <w:t xml:space="preserve">through higher costs for medical treatment and work incapacity) and missed tax revenues.</w:t>
      </w:r>
      <w:r>
        <w:t xml:space="preserve"> </w:t>
      </w:r>
      <w:r>
        <w:t xml:space="preserve">Ineffective prevention of exposure to lead and diisocyanates also entails negative consequences for</w:t>
      </w:r>
      <w:r>
        <w:t xml:space="preserve"> </w:t>
      </w:r>
      <w:r>
        <w:t xml:space="preserve">businesses, as companies that do not take appropriate measures may have a competitive advantage over</w:t>
      </w:r>
      <w:r>
        <w:t xml:space="preserve"> </w:t>
      </w:r>
      <w:r>
        <w:t xml:space="preserve">those who do. In the longer term, the consequences of ineffective prevention on businesses will</w:t>
      </w:r>
      <w:r>
        <w:t xml:space="preserve"> </w:t>
      </w:r>
      <w:r>
        <w:t xml:space="preserve">eventually result in higher costs from reduced productivity due to absenteeism and loss of expertise.</w:t>
      </w:r>
      <w:r>
        <w:t xml:space="preserve"> </w:t>
      </w:r>
      <w:r>
        <w:t xml:space="preserve">2.3 How will the problem evolve?</w:t>
      </w:r>
      <w:r>
        <w:t xml:space="preserve"> </w:t>
      </w:r>
      <w:r>
        <w:t xml:space="preserve">2.3.1</w:t>
      </w:r>
      <w:r>
        <w:t xml:space="preserve"> </w:t>
      </w:r>
      <w:r>
        <w:t xml:space="preserve">General</w:t>
      </w:r>
      <w:r>
        <w:t xml:space="preserve"> </w:t>
      </w:r>
      <w:r>
        <w:t xml:space="preserve">In the absence of EU action, it is estimated that workers exposed to these chemicals will continue to</w:t>
      </w:r>
      <w:r>
        <w:t xml:space="preserve"> </w:t>
      </w:r>
      <w:r>
        <w:t xml:space="preserve">face the risk of occupational ill-health. Estimations of the numbers of ill-health cases and their</w:t>
      </w:r>
      <w:r>
        <w:t xml:space="preserve"> </w:t>
      </w:r>
      <w:r>
        <w:t xml:space="preserve">associated health costs over a 40-year period in case no action is taken are contained in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The general obligations set by the CAD and the CMRD, employers’ actions and measures adopted by</w:t>
      </w:r>
      <w:r>
        <w:t xml:space="preserve"> </w:t>
      </w:r>
      <w:r>
        <w:t xml:space="preserve">Member States contribute overall to lowering exposure. Exposure levels have generally been decreasing</w:t>
      </w:r>
      <w:r>
        <w:t xml:space="preserve"> </w:t>
      </w:r>
      <w:r>
        <w:t xml:space="preserve">in the past years and this positive trend could continue in the future. Substitution may be possible for</w:t>
      </w:r>
      <w:r>
        <w:t xml:space="preserve"> </w:t>
      </w:r>
      <w:r>
        <w:t xml:space="preserve">some processes, or for specific lead or diisocyanate substances, and in the future the numbers of</w:t>
      </w:r>
      <w:r>
        <w:t xml:space="preserve"> </w:t>
      </w:r>
      <w:r>
        <w:t xml:space="preserve">workers in the industries using these chemicals may also change, and technological developments could</w:t>
      </w:r>
      <w:r>
        <w:t xml:space="preserve"> </w:t>
      </w:r>
      <w:r>
        <w:t xml:space="preserve">facilitate lower exposure concentrations.</w:t>
      </w:r>
      <w:r>
        <w:br/>
      </w:r>
      <w:r>
        <w:t xml:space="preserve">Future forecasts for both substances are however far from certain due to scarcity of relevant data. For</w:t>
      </w:r>
      <w:r>
        <w:t xml:space="preserve"> </w:t>
      </w:r>
      <w:r>
        <w:t xml:space="preserve">that reason, assumptions are based on the legal provisions contained in the CAD and the CMRD,</w:t>
      </w:r>
      <w:r>
        <w:t xml:space="preserve"> </w:t>
      </w:r>
      <w:r>
        <w:t xml:space="preserve">including the exposure elimination and minimisation requirements, but also on other data including</w:t>
      </w:r>
      <w:r>
        <w:t xml:space="preserve"> </w:t>
      </w:r>
      <w:r>
        <w:t xml:space="preserve">information gathered from the stakeholders.</w:t>
      </w:r>
      <w:r>
        <w:t xml:space="preserve"> </w:t>
      </w:r>
      <w:r>
        <w:t xml:space="preserve">2.3.2</w:t>
      </w:r>
      <w:r>
        <w:t xml:space="preserve"> </w:t>
      </w:r>
      <w:r>
        <w:t xml:space="preserve">Lead</w:t>
      </w:r>
      <w:r>
        <w:t xml:space="preserve"> </w:t>
      </w:r>
      <w:r>
        <w:t xml:space="preserve">The objective has been to define a baseline scenario as close as possible to the future situation.</w:t>
      </w:r>
      <w:r>
        <w:t xml:space="preserve"> </w:t>
      </w:r>
      <w:r>
        <w:t xml:space="preserve">However, it is very challenging to anticipate all the developments over such a long period. The first</w:t>
      </w:r>
    </w:p>
    <w:p>
      <w:pPr>
        <w:pStyle w:val="BodyText"/>
      </w:pPr>
      <w:r>
        <w:t xml:space="preserve">49 HR, IE, LT.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signs of lead blood level reduction take a minimum of two to three months to become visible,</w:t>
      </w:r>
      <w:r>
        <w:t xml:space="preserve"> </w:t>
      </w:r>
      <w:r>
        <w:t xml:space="preserve">depending on previous levels, effectiveness of measures and biological parameters.</w:t>
      </w:r>
      <w:r>
        <w:br/>
      </w:r>
      <w:r>
        <w:t xml:space="preserve">Data on exposure concentration trends from various sources50 show that blood lead levels have reduced</w:t>
      </w:r>
      <w:r>
        <w:t xml:space="preserve"> </w:t>
      </w:r>
      <w:r>
        <w:t xml:space="preserve">drastically during the past decades but appear to have stagnated in recent years. Continuous efforts</w:t>
      </w:r>
      <w:r>
        <w:t xml:space="preserve"> </w:t>
      </w:r>
      <w:r>
        <w:t xml:space="preserve">within the main lead producing and processing sectors indicate that further reductions are likely,</w:t>
      </w:r>
      <w:r>
        <w:t xml:space="preserve"> </w:t>
      </w:r>
      <w:r>
        <w:t xml:space="preserve">however, these are not reflected in the exposure concentration trend data of the most recent years. In</w:t>
      </w:r>
      <w:r>
        <w:t xml:space="preserve"> </w:t>
      </w:r>
      <w:r>
        <w:t xml:space="preserve">view of that stagnation, exposure concentrations are assumed to be stable for the future years in the</w:t>
      </w:r>
      <w:r>
        <w:t xml:space="preserve"> </w:t>
      </w:r>
      <w:r>
        <w:t xml:space="preserve">below calculations.</w:t>
      </w:r>
      <w:r>
        <w:br/>
      </w:r>
      <w:r>
        <w:t xml:space="preserve">Available information does not suggest exposure concentration reduction in other sectors than the main</w:t>
      </w:r>
      <w:r>
        <w:t xml:space="preserve"> </w:t>
      </w:r>
      <w:r>
        <w:t xml:space="preserve">lead producing and processing sectors for the recent years. The key sectors and uses of lead include</w:t>
      </w:r>
      <w:r>
        <w:t xml:space="preserve"> </w:t>
      </w:r>
      <w:r>
        <w:t xml:space="preserve">mining of lead ore (8 Member States), refining of ore (18 Member States) and subsequent production</w:t>
      </w:r>
      <w:r>
        <w:t xml:space="preserve"> </w:t>
      </w:r>
      <w:r>
        <w:t xml:space="preserve">and use of lead containing products, for example in the construction and battery manufacturing sectors.</w:t>
      </w:r>
      <w:r>
        <w:t xml:space="preserve"> </w:t>
      </w:r>
      <w:r>
        <w:t xml:space="preserve">Exposures may also occur in the demolition, renovation, repairing and scrap industry and also during</w:t>
      </w:r>
      <w:r>
        <w:t xml:space="preserve"> </w:t>
      </w:r>
      <w:r>
        <w:t xml:space="preserve">recycling of articles due to historical use of lead in paints, electronic equipment and plastics.</w:t>
      </w:r>
      <w:r>
        <w:t xml:space="preserve"> </w:t>
      </w:r>
      <w:r>
        <w:t xml:space="preserve">The ’Renovation Wave’51, with a focus on making the buildings more energy-efficient and sustainable,</w:t>
      </w:r>
      <w:r>
        <w:t xml:space="preserve"> </w:t>
      </w:r>
      <w:r>
        <w:t xml:space="preserve">will accelerate the renovation works of the EU building stock. The Strategy aims to double the annual</w:t>
      </w:r>
      <w:r>
        <w:t xml:space="preserve"> </w:t>
      </w:r>
      <w:r>
        <w:t xml:space="preserve">energy renovation rates by 2030. This could result in an even greater number of workers exposed to</w:t>
      </w:r>
      <w:r>
        <w:t xml:space="preserve"> </w:t>
      </w:r>
      <w:r>
        <w:t xml:space="preserve">lead in the near future, for example, during the removal of lead containing paints, plumbing and roofing</w:t>
      </w:r>
      <w:r>
        <w:t xml:space="preserve"> </w:t>
      </w:r>
      <w:r>
        <w:t xml:space="preserve">materials.</w:t>
      </w:r>
      <w:r>
        <w:t xml:space="preserve"> </w:t>
      </w:r>
      <w:r>
        <w:t xml:space="preserve">Based on market projections for lead batteries, Eurobat expects the numbers of workers in the industry</w:t>
      </w:r>
      <w:r>
        <w:t xml:space="preserve"> </w:t>
      </w:r>
      <w:r>
        <w:t xml:space="preserve">to be similar for the next 10 years. From 2030 and beyond, there will be significant changes to the</w:t>
      </w:r>
      <w:r>
        <w:t xml:space="preserve"> </w:t>
      </w:r>
      <w:r>
        <w:t xml:space="preserve">automotive market in terms of electrification and replacement of the internal combustion engine, as part</w:t>
      </w:r>
      <w:r>
        <w:t xml:space="preserve"> </w:t>
      </w:r>
      <w:r>
        <w:t xml:space="preserve">of the European Green Deal goal of reaching carbon neutrality by 2050, and it is not clear which role</w:t>
      </w:r>
      <w:r>
        <w:t xml:space="preserve"> </w:t>
      </w:r>
      <w:r>
        <w:t xml:space="preserve">the lead battery will play in this transition. Lead batteries are currently used for ancillary purposes in</w:t>
      </w:r>
      <w:r>
        <w:t xml:space="preserve"> </w:t>
      </w:r>
      <w:r>
        <w:t xml:space="preserve">electric vehicles and there is no data to indicate that this will change in the near future. In addition, the</w:t>
      </w:r>
      <w:r>
        <w:t xml:space="preserve"> </w:t>
      </w:r>
      <w:r>
        <w:t xml:space="preserve">proposal for the new Batteries Regulation sets targets for key scarce resources such as lead. This</w:t>
      </w:r>
      <w:r>
        <w:t xml:space="preserve"> </w:t>
      </w:r>
      <w:r>
        <w:t xml:space="preserve">includes a target date of 2030 for 90% material recovery and 2035 for a minimum share of recovered</w:t>
      </w:r>
      <w:r>
        <w:t xml:space="preserve"> </w:t>
      </w:r>
      <w:r>
        <w:t xml:space="preserve">lead of 85%. This is a recognition that the use of lead batteries will continue beyond 2035.</w:t>
      </w:r>
      <w:r>
        <w:t xml:space="preserve"> </w:t>
      </w:r>
      <w:r>
        <w:t xml:space="preserve">The same applies to industrial batteries where increased energy density will be required for many</w:t>
      </w:r>
      <w:r>
        <w:t xml:space="preserve"> </w:t>
      </w:r>
      <w:r>
        <w:t xml:space="preserve">storage applications resulting in the need for a more diverse range of available battery technologies52.</w:t>
      </w:r>
      <w:r>
        <w:t xml:space="preserve"> </w:t>
      </w:r>
      <w:r>
        <w:t xml:space="preserve">The external study predicts around 12 000 cases of adverse health effects and 1 400 cases of</w:t>
      </w:r>
      <w:r>
        <w:t xml:space="preserve"> </w:t>
      </w:r>
      <w:r>
        <w:t xml:space="preserve">developmental toxicity53 over a period of 40 years and for a workforce of 98 850.</w:t>
      </w:r>
      <w:r>
        <w:br/>
      </w:r>
      <w:r>
        <w:t xml:space="preserve">2.3.3 Diisocyanates</w:t>
      </w:r>
      <w:r>
        <w:t xml:space="preserve"> </w:t>
      </w:r>
      <w:r>
        <w:t xml:space="preserve">The use of diisocyanates is expected to steadily increase in the future across many sectors.</w:t>
      </w:r>
      <w:r>
        <w:t xml:space="preserve"> </w:t>
      </w:r>
      <w:r>
        <w:t xml:space="preserve">Diisocyanates can be used in several ways within and on buildings. More than 220 million building</w:t>
      </w:r>
    </w:p>
    <w:p>
      <w:pPr>
        <w:pStyle w:val="BodyText"/>
      </w:pPr>
      <w:r>
        <w:t xml:space="preserve">50 Lead REACH Consortium 2015-2018 and 2013-2016 surveys, Voluntary Risk Assessment Report for lead</w:t>
      </w:r>
      <w:r>
        <w:t xml:space="preserve"> </w:t>
      </w:r>
      <w:r>
        <w:t xml:space="preserve">(2008), as well as national data from Germany (2020), Finland (2013), Romania (2019) and UK (2019).</w:t>
      </w:r>
      <w:r>
        <w:t xml:space="preserve"> </w:t>
      </w:r>
      <w:r>
        <w:t xml:space="preserve">51 See footnote 36</w:t>
      </w:r>
      <w:r>
        <w:t xml:space="preserve"> </w:t>
      </w:r>
      <w:r>
        <w:t xml:space="preserve">52 https://www.eurobat.org/wp-content/uploads/2021/09/ihs_eurobat_report_lead_lores_final_2.pdf</w:t>
      </w:r>
      <w:r>
        <w:br/>
      </w:r>
      <w:r>
        <w:t xml:space="preserve">53The study focussed on the most relevant illnesses per category of adverse health effects. For non-cancer</w:t>
      </w:r>
      <w:r>
        <w:t xml:space="preserve"> </w:t>
      </w:r>
      <w:r>
        <w:t xml:space="preserve">illnesses, it estimated the cases of neuropathy (neurological effects), chronical kidney disease (renal effects),</w:t>
      </w:r>
      <w:r>
        <w:t xml:space="preserve"> </w:t>
      </w:r>
      <w:r>
        <w:t xml:space="preserve">elevated blood pressure (cardiovascular effects), anaemia (haematological effects), as well as male infertility, pre-</w:t>
      </w:r>
      <w:r>
        <w:t xml:space="preserve"> </w:t>
      </w:r>
      <w:r>
        <w:t xml:space="preserve">eclampsia and developmental toxicity (reproductive effects). For cancer, it estimated the expected number of brain</w:t>
      </w:r>
      <w:r>
        <w:t xml:space="preserve"> </w:t>
      </w:r>
      <w:r>
        <w:t xml:space="preserve">cancers.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units, representing 85% of the EU’s building stock, were built before 2001 and are/will be renovated</w:t>
      </w:r>
      <w:r>
        <w:t xml:space="preserve"> </w:t>
      </w:r>
      <w:r>
        <w:t xml:space="preserve">(either for maintenance purposes or for energy costs savings) or demolished and replaced by new</w:t>
      </w:r>
      <w:r>
        <w:t xml:space="preserve"> </w:t>
      </w:r>
      <w:r>
        <w:t xml:space="preserve">construction. The Renovation Wave Strategy under the European Green Deal (external market driver),</w:t>
      </w:r>
      <w:r>
        <w:t xml:space="preserve"> </w:t>
      </w:r>
      <w:r>
        <w:t xml:space="preserve">with a focus on making the buildings more energy-efficient and sustainable, will accelerate the</w:t>
      </w:r>
      <w:r>
        <w:t xml:space="preserve"> </w:t>
      </w:r>
      <w:r>
        <w:t xml:space="preserve">renovation works of the EU building stock. The renovation of existing buildings and construction of</w:t>
      </w:r>
      <w:r>
        <w:t xml:space="preserve"> </w:t>
      </w:r>
      <w:r>
        <w:t xml:space="preserve">new buildings will result in an increase in the use of modern high efficiency insulation materials54.</w:t>
      </w:r>
      <w:r>
        <w:t xml:space="preserve"> </w:t>
      </w:r>
      <w:r>
        <w:t xml:space="preserve">Energy efficient insulation and an extensive range of building techniques depend on polyurethane,</w:t>
      </w:r>
      <w:r>
        <w:t xml:space="preserve"> </w:t>
      </w:r>
      <w:r>
        <w:t xml:space="preserve">adhesives, sealants and coatings that use diisocyanates. There is a risk of exposure related to the</w:t>
      </w:r>
      <w:r>
        <w:t xml:space="preserve"> </w:t>
      </w:r>
      <w:r>
        <w:t xml:space="preserve">handling of insulation and foam materials during new build and renovation work.</w:t>
      </w:r>
      <w:r>
        <w:br/>
      </w:r>
      <w:r>
        <w:t xml:space="preserve">The projections for renovation under the Renovation Wave Strategy are for a 1% annual energy</w:t>
      </w:r>
      <w:r>
        <w:t xml:space="preserve"> </w:t>
      </w:r>
      <w:r>
        <w:t xml:space="preserve">renovation rate for 2021-2022, an increase to 1.2% per year in 2023-2025 before stabilising at, at least,</w:t>
      </w:r>
      <w:r>
        <w:t xml:space="preserve"> </w:t>
      </w:r>
      <w:r>
        <w:t xml:space="preserve">2% per year in 2026-2029. The Commission estimates the potential for an additional 160 000 green jobs</w:t>
      </w:r>
      <w:r>
        <w:t xml:space="preserve"> </w:t>
      </w:r>
      <w:r>
        <w:t xml:space="preserve">in the construction sector in the EU by 2030.</w:t>
      </w:r>
      <w:r>
        <w:t xml:space="preserve"> </w:t>
      </w:r>
      <w:r>
        <w:t xml:space="preserve">In addition, manufacturers of electric vehicles are increasingly considering replacing heavier materials</w:t>
      </w:r>
      <w:r>
        <w:t xml:space="preserve"> </w:t>
      </w:r>
      <w:r>
        <w:t xml:space="preserve">in cars with polyurethane to offset the weight of batteries. Sophisticated polyurethane coatings are also</w:t>
      </w:r>
      <w:r>
        <w:t xml:space="preserve"> </w:t>
      </w:r>
      <w:r>
        <w:t xml:space="preserve">used in many applications including the rotor surfaces of wind turbines. Another example of potential</w:t>
      </w:r>
      <w:r>
        <w:t xml:space="preserve"> </w:t>
      </w:r>
      <w:r>
        <w:t xml:space="preserve">growing demand is the wood sector for use in adhesives due to regulatory pressures on existing</w:t>
      </w:r>
      <w:r>
        <w:t xml:space="preserve"> </w:t>
      </w:r>
      <w:r>
        <w:t xml:space="preserve">substances used in wood adhesives such as formaldehyde.</w:t>
      </w:r>
      <w:r>
        <w:t xml:space="preserve"> </w:t>
      </w:r>
      <w:r>
        <w:t xml:space="preserve">In general, the global demand for diisocyanates is growing55 as they become used in more sectors and as</w:t>
      </w:r>
      <w:r>
        <w:t xml:space="preserve"> </w:t>
      </w:r>
      <w:r>
        <w:t xml:space="preserve">their end products are used by a growing European population. However, there is also a continual trend</w:t>
      </w:r>
      <w:r>
        <w:t xml:space="preserve"> </w:t>
      </w:r>
      <w:r>
        <w:t xml:space="preserve">to automate industrial processes, particularly those with higher potential for exposure, and therefore the</w:t>
      </w:r>
      <w:r>
        <w:t xml:space="preserve"> </w:t>
      </w:r>
      <w:r>
        <w:t xml:space="preserve">number of exposed workers is expected to be static in future years.</w:t>
      </w:r>
      <w:r>
        <w:t xml:space="preserve"> </w:t>
      </w:r>
      <w:r>
        <w:t xml:space="preserve">It is estimated that approximately 5 000 cases of asthma and 1 300 cases of irritation will occur each</w:t>
      </w:r>
      <w:r>
        <w:t xml:space="preserve"> </w:t>
      </w:r>
      <w:r>
        <w:t xml:space="preserve">year and if no further action is taken. This is predicted to continue over the next 40 years due to</w:t>
      </w:r>
      <w:r>
        <w:t xml:space="preserve"> </w:t>
      </w:r>
      <w:r>
        <w:t xml:space="preserve">exposure during this period. The estimated number of cases takes into consideration the anticipated</w:t>
      </w:r>
      <w:r>
        <w:t xml:space="preserve"> </w:t>
      </w:r>
      <w:r>
        <w:t xml:space="preserve">effect of the REACH Restriction, which was introduced in 2020 and comes into effect in 2023. The</w:t>
      </w:r>
      <w:r>
        <w:t xml:space="preserve"> </w:t>
      </w:r>
      <w:r>
        <w:t xml:space="preserve">REACH Restriction introduces specific training requirements for workers using diisocyanates. These</w:t>
      </w:r>
      <w:r>
        <w:t xml:space="preserve"> </w:t>
      </w:r>
      <w:r>
        <w:t xml:space="preserve">requirements complement the general training requirements under EU OSH legislation.</w:t>
      </w:r>
    </w:p>
    <w:p>
      <w:pPr>
        <w:pStyle w:val="Compact"/>
        <w:numPr>
          <w:ilvl w:val="0"/>
          <w:numId w:val="1003"/>
        </w:numPr>
      </w:pPr>
      <w:r>
        <w:t xml:space="preserve">WHY SHOULD THE EU ACT?</w:t>
      </w:r>
      <w:r>
        <w:t xml:space="preserve"> </w:t>
      </w:r>
      <w:r>
        <w:t xml:space="preserve">3.1 Legal basis</w:t>
      </w:r>
      <w:r>
        <w:t xml:space="preserve"> </w:t>
      </w:r>
      <w:r>
        <w:t xml:space="preserve">Article 153 of the Treaty on the Functioning of the European Union (TFEU) empowers the EU to</w:t>
      </w:r>
      <w:r>
        <w:t xml:space="preserve"> </w:t>
      </w:r>
      <w:r>
        <w:t xml:space="preserve">support and complement the activities of the Member States as regards improvements, in particular of</w:t>
      </w:r>
      <w:r>
        <w:t xml:space="preserve"> </w:t>
      </w:r>
      <w:r>
        <w:t xml:space="preserve">the working environment to protect workers’ health and safety and to adopt, by means of directives,</w:t>
      </w:r>
      <w:r>
        <w:t xml:space="preserve"> </w:t>
      </w:r>
      <w:r>
        <w:t xml:space="preserve">minimum requirements for gradual implementation, having regard to the conditions and technical rules</w:t>
      </w:r>
      <w:r>
        <w:t xml:space="preserve"> </w:t>
      </w:r>
      <w:r>
        <w:t xml:space="preserve">obtaining in each of the Member States.</w:t>
      </w:r>
    </w:p>
    <w:p>
      <w:pPr>
        <w:pStyle w:val="FirstParagraph"/>
      </w:pPr>
      <w:r>
        <w:t xml:space="preserve">54 Exposure to asbestos can occur during the renovation of existing buildings. This occupational risk is addressed</w:t>
      </w:r>
      <w:r>
        <w:t xml:space="preserve"> </w:t>
      </w:r>
      <w:r>
        <w:t xml:space="preserve">via a separate initiative to lower the OEL for asbestos fibres in Directive 2009/148/EC.</w:t>
      </w:r>
      <w:r>
        <w:br/>
      </w:r>
      <w:r>
        <w:t xml:space="preserve">55 Statista (2022) available at: https://www.statista.com/statistics/750818/tdi-demand-worldwide/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The protection of workers’ health against risks arising from exposure to lead and diisocyanates is</w:t>
      </w:r>
      <w:r>
        <w:t xml:space="preserve"> </w:t>
      </w:r>
      <w:r>
        <w:t xml:space="preserve">already covered by EU OSH legislation, in particular by the CMRD and the CAD, as well as under the</w:t>
      </w:r>
      <w:r>
        <w:t xml:space="preserve"> </w:t>
      </w:r>
      <w:r>
        <w:t xml:space="preserve">REACH Regulation. The change of scope of the CMD resulting from the adoption of the CMRD brings</w:t>
      </w:r>
      <w:r>
        <w:t xml:space="preserve"> </w:t>
      </w:r>
      <w:r>
        <w:t xml:space="preserve">lead, a reprotoxic substance, under the CMRD.</w:t>
      </w:r>
      <w:r>
        <w:t xml:space="preserve"> </w:t>
      </w:r>
      <w:r>
        <w:t xml:space="preserve">3.2 Subsidiarity: Necessity and added value of EU action</w:t>
      </w:r>
      <w:r>
        <w:t xml:space="preserve"> </w:t>
      </w:r>
      <w:r>
        <w:t xml:space="preserve">Scientific knowledge about lead and diisocyanates has developed since the adoption of the CAD, in</w:t>
      </w:r>
      <w:r>
        <w:t xml:space="preserve"> </w:t>
      </w:r>
      <w:r>
        <w:t xml:space="preserve">1998 (and the previous 1982 directive specific to lead). In order to ensure that the measures for</w:t>
      </w:r>
      <w:r>
        <w:t xml:space="preserve"> </w:t>
      </w:r>
      <w:r>
        <w:t xml:space="preserve">protecting workers from exposure to lead and diisocyanates are as effective as possible, the Directives</w:t>
      </w:r>
      <w:r>
        <w:t xml:space="preserve"> </w:t>
      </w:r>
      <w:r>
        <w:t xml:space="preserve">need to be kept up to date with that knowledge. Updating the CAD and the CMRD to take account of</w:t>
      </w:r>
      <w:r>
        <w:t xml:space="preserve"> </w:t>
      </w:r>
      <w:r>
        <w:t xml:space="preserve">newer scientific evidence is an effective way to ensure that preventive measures would be updated</w:t>
      </w:r>
      <w:r>
        <w:t xml:space="preserve"> </w:t>
      </w:r>
      <w:r>
        <w:t xml:space="preserve">accordingly in all Member States.</w:t>
      </w:r>
      <w:r>
        <w:br/>
      </w:r>
      <w:r>
        <w:t xml:space="preserve">Both substances are broadly used in a wide range of sectors and countries. This supports the added</w:t>
      </w:r>
      <w:r>
        <w:t xml:space="preserve"> </w:t>
      </w:r>
      <w:r>
        <w:t xml:space="preserve">value of EU action due to the problem being widespread across the whole EU.</w:t>
      </w:r>
      <w:r>
        <w:t xml:space="preserve"> </w:t>
      </w:r>
      <w:r>
        <w:t xml:space="preserve">For lead, the external study identifies 18 Member States that produce refined lead and a more limited</w:t>
      </w:r>
      <w:r>
        <w:t xml:space="preserve"> </w:t>
      </w:r>
      <w:r>
        <w:t xml:space="preserve">number of them mining lead. The production rate of lead in the EU is in excess of 10 million tonnes per</w:t>
      </w:r>
      <w:r>
        <w:t xml:space="preserve"> </w:t>
      </w:r>
      <w:r>
        <w:t xml:space="preserve">year used for a broad range of processes including lead battery, sheet and powder production, use in</w:t>
      </w:r>
      <w:r>
        <w:t xml:space="preserve"> </w:t>
      </w:r>
      <w:r>
        <w:t xml:space="preserve">articles etc. The voluntary initiatives of the ILA described above, whilst welcome, are non-binding and</w:t>
      </w:r>
      <w:r>
        <w:t xml:space="preserve"> </w:t>
      </w:r>
      <w:r>
        <w:t xml:space="preserve">not all employers or sectors are members of organisations to which they apply.</w:t>
      </w:r>
      <w:r>
        <w:br/>
      </w:r>
      <w:r>
        <w:t xml:space="preserve">For diisocyanates, they are manufactured in seven Member States and used throughout the EU in 21</w:t>
      </w:r>
      <w:r>
        <w:t xml:space="preserve"> </w:t>
      </w:r>
      <w:r>
        <w:t xml:space="preserve">relevant downstream sectors.</w:t>
      </w:r>
      <w:r>
        <w:br/>
      </w:r>
      <w:r>
        <w:t xml:space="preserve">Significant divergences between national limit values distort competition in the internal market. The</w:t>
      </w:r>
      <w:r>
        <w:t xml:space="preserve"> </w:t>
      </w:r>
      <w:r>
        <w:t xml:space="preserve">costs of complying with lower national levels are generally higher and entail, therefore, a competitive</w:t>
      </w:r>
      <w:r>
        <w:t xml:space="preserve"> </w:t>
      </w:r>
      <w:r>
        <w:t xml:space="preserve">advantage for enterprises operating in markets with no or less stringent national limit values. For lead,</w:t>
      </w:r>
      <w:r>
        <w:t xml:space="preserve"> </w:t>
      </w:r>
      <w:r>
        <w:t xml:space="preserve">companies based in Bulgaria, Czechia, Denmark, Latvia and Poland need to comply with an OEL 3</w:t>
      </w:r>
      <w:r>
        <w:t xml:space="preserve"> </w:t>
      </w:r>
      <w:r>
        <w:t xml:space="preserve">times lower than the maximum OEL set at EU level (0.050 g/m3 vs 0.15 g/m3). As for diisocyanates, in</w:t>
      </w:r>
      <w:r>
        <w:t xml:space="preserve"> </w:t>
      </w:r>
      <w:r>
        <w:t xml:space="preserve">the absence of an EU limit value, differences are larger. Where national limit values exist, OELs range</w:t>
      </w:r>
      <w:r>
        <w:t xml:space="preserve"> </w:t>
      </w:r>
      <w:r>
        <w:t xml:space="preserve">from 3 µg NCO/m3 to 500 µg NCO/m3.</w:t>
      </w:r>
      <w:r>
        <w:t xml:space="preserve"> </w:t>
      </w:r>
      <w:r>
        <w:t xml:space="preserve">The revision of existing, and the introduction of new exposure limit values under the CAD and the</w:t>
      </w:r>
      <w:r>
        <w:t xml:space="preserve"> </w:t>
      </w:r>
      <w:r>
        <w:t xml:space="preserve">CMRD will lead to a greater harmonisation of limit values across Europe. Thus, while individual</w:t>
      </w:r>
      <w:r>
        <w:t xml:space="preserve"> </w:t>
      </w:r>
      <w:r>
        <w:t xml:space="preserve">Member States could still introduce lower values, and further improve the protection of workers as</w:t>
      </w:r>
      <w:r>
        <w:t xml:space="preserve"> </w:t>
      </w:r>
      <w:r>
        <w:t xml:space="preserve">aimed by both Directives, the level playing field for enterprises will improve56. Companies willing to</w:t>
      </w:r>
      <w:r>
        <w:t xml:space="preserve"> </w:t>
      </w:r>
      <w:r>
        <w:t xml:space="preserve">operate in the different EU Member States can further benefit from a streamlining of the applicable</w:t>
      </w:r>
      <w:r>
        <w:t xml:space="preserve"> </w:t>
      </w:r>
      <w:r>
        <w:t xml:space="preserve">limit values, potentially providing savings as common solutions can be adopted across facilities, as</w:t>
      </w:r>
      <w:r>
        <w:t xml:space="preserve"> </w:t>
      </w:r>
      <w:r>
        <w:t xml:space="preserve">opposed to designing site-specific solutions to meet different limit value requirements.</w:t>
      </w:r>
      <w:r>
        <w:br/>
      </w:r>
      <w:r>
        <w:t xml:space="preserve">Furthermore, the revision or introduction of limit values is very complex and requires a high level of</w:t>
      </w:r>
      <w:r>
        <w:t xml:space="preserve"> </w:t>
      </w:r>
      <w:r>
        <w:t xml:space="preserve">scientific expertise. An important advantage of the adoption of the limit values at EU level is that it</w:t>
      </w:r>
      <w:r>
        <w:t xml:space="preserve"> </w:t>
      </w:r>
      <w:r>
        <w:t xml:space="preserve">eliminates the need for Member States to conduct their own scientific analysis with likely substantial</w:t>
      </w:r>
      <w:r>
        <w:t xml:space="preserve"> </w:t>
      </w:r>
      <w:r>
        <w:t xml:space="preserve">savings on administrative costs. These resources saved could instead be dedicated to improving further</w:t>
      </w:r>
      <w:r>
        <w:t xml:space="preserve"> </w:t>
      </w:r>
      <w:r>
        <w:t xml:space="preserve">the OSH policies in each Member State.</w:t>
      </w:r>
    </w:p>
    <w:p>
      <w:pPr>
        <w:pStyle w:val="BodyText"/>
      </w:pPr>
      <w:r>
        <w:t xml:space="preserve">56 The harmonisation of limit values across the EU would contribute to a level playing field for enterprises. The</w:t>
      </w:r>
      <w:r>
        <w:t xml:space="preserve"> </w:t>
      </w:r>
      <w:r>
        <w:t xml:space="preserve">closer the EU OEL gets to zero, the lower the scope for divergences across Member States is.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Therefore, for both lead and diisocyanates, action at EU level it is both necessary and adds value.</w:t>
      </w:r>
      <w:r>
        <w:t xml:space="preserve"> </w:t>
      </w:r>
      <w:r>
        <w:t xml:space="preserve">Amending the CAD and the CMRD can only be done by action at EU level.</w:t>
      </w:r>
    </w:p>
    <w:p>
      <w:pPr>
        <w:pStyle w:val="Compact"/>
        <w:numPr>
          <w:ilvl w:val="0"/>
          <w:numId w:val="1004"/>
        </w:numPr>
      </w:pPr>
      <w:r>
        <w:t xml:space="preserve">OBJECTIVES: WHAT IS TO BE ACHIEVED?</w:t>
      </w:r>
      <w:r>
        <w:t xml:space="preserve"> </w:t>
      </w:r>
      <w:r>
        <w:t xml:space="preserve">4.1 General objectives</w:t>
      </w:r>
      <w:r>
        <w:t xml:space="preserve"> </w:t>
      </w:r>
      <w:r>
        <w:t xml:space="preserve">This initiative contributes to the improvement of health and safety of workers pursuant to Article 153 of</w:t>
      </w:r>
      <w:r>
        <w:t xml:space="preserve"> </w:t>
      </w:r>
      <w:r>
        <w:t xml:space="preserve">the TFEU57 58. It aims at ensuring workers the right to a high level of protection of their health and</w:t>
      </w:r>
      <w:r>
        <w:t xml:space="preserve"> </w:t>
      </w:r>
      <w:r>
        <w:t xml:space="preserve">safety at work, as laid down in principle 10 of the European Pillar of Social Rights59, and to prevent</w:t>
      </w:r>
      <w:r>
        <w:t xml:space="preserve"> </w:t>
      </w:r>
      <w:r>
        <w:t xml:space="preserve">deaths caused by work-related cancer and other health problems according to the second key objective</w:t>
      </w:r>
      <w:r>
        <w:t xml:space="preserve"> </w:t>
      </w:r>
      <w:r>
        <w:t xml:space="preserve">of the EU Strategic framework on health and safety at work 2021-2027.</w:t>
      </w:r>
      <w:r>
        <w:br/>
      </w:r>
      <w:r>
        <w:t xml:space="preserve">For the substances addressed by this analysis this is to be achieved by reducing occupational exposure</w:t>
      </w:r>
      <w:r>
        <w:t xml:space="preserve"> </w:t>
      </w:r>
      <w:r>
        <w:t xml:space="preserve">to lead and diisocyanates in the EU.</w:t>
      </w:r>
      <w:r>
        <w:br/>
      </w:r>
      <w:r>
        <w:t xml:space="preserve">4.2 Specific objectives</w:t>
      </w:r>
      <w:r>
        <w:t xml:space="preserve"> </w:t>
      </w:r>
      <w:r>
        <w:t xml:space="preserve">The specific objectives are: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To enhance the effectiveness of the occupational limit values for lead under the CMRD on the</w:t>
      </w:r>
      <w:r>
        <w:t xml:space="preserve"> </w:t>
      </w:r>
      <w:r>
        <w:t xml:space="preserve">basis of scientific and technical knowledge;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To enhance the effectiveness of the CAD by introducing limit values for diisocyanates;</w:t>
      </w:r>
    </w:p>
    <w:p>
      <w:pPr>
        <w:pStyle w:val="Compact"/>
        <w:numPr>
          <w:ilvl w:val="0"/>
          <w:numId w:val="1004"/>
        </w:numPr>
      </w:pPr>
      <w:r>
        <w:t xml:space="preserve">To achieve a more balanced and effective protection of workers across the EU against lead and</w:t>
      </w:r>
      <w:r>
        <w:t xml:space="preserve"> </w:t>
      </w:r>
      <w:r>
        <w:t xml:space="preserve">diisocyanates thereby contributing to a reduction in the burden of occupational ill-health.</w:t>
      </w:r>
      <w:r>
        <w:t xml:space="preserve"> </w:t>
      </w:r>
      <w:r>
        <w:t xml:space="preserve">The specific objectives of the initiative contribute to the sustainable development goals on good health</w:t>
      </w:r>
      <w:r>
        <w:t xml:space="preserve"> </w:t>
      </w:r>
      <w:r>
        <w:t xml:space="preserve">and well-being (3rd goal) and on decent work and economic growth (8th goal). A positive impact is</w:t>
      </w:r>
      <w:r>
        <w:t xml:space="preserve"> </w:t>
      </w:r>
      <w:r>
        <w:t xml:space="preserve">also expected for the SDG on industry, innovation and infrastructure (9th goal) and on responsible</w:t>
      </w:r>
      <w:r>
        <w:t xml:space="preserve"> </w:t>
      </w:r>
      <w:r>
        <w:t xml:space="preserve">production and consumption (12th goal).</w:t>
      </w:r>
      <w:r>
        <w:t xml:space="preserve"> </w:t>
      </w:r>
      <w:r>
        <w:t xml:space="preserve">4.3 Consistency with other EU policies</w:t>
      </w:r>
      <w:r>
        <w:t xml:space="preserve"> </w:t>
      </w:r>
      <w:r>
        <w:t xml:space="preserve">4.3.1</w:t>
      </w:r>
      <w:r>
        <w:t xml:space="preserve"> </w:t>
      </w:r>
      <w:r>
        <w:t xml:space="preserve">Charter of Fundamental Rights of the EU</w:t>
      </w:r>
      <w:r>
        <w:br/>
      </w:r>
      <w:r>
        <w:t xml:space="preserve">The objectives of the initiative are consistent with Article 2 (Right to life) and Article 31 (Right to fair</w:t>
      </w:r>
      <w:r>
        <w:t xml:space="preserve"> </w:t>
      </w:r>
      <w:r>
        <w:t xml:space="preserve">and just working conditions) of the EU Charter of Fundamental Rights60.</w:t>
      </w:r>
      <w:r>
        <w:br/>
      </w:r>
      <w:r>
        <w:t xml:space="preserve">4.3.2</w:t>
      </w:r>
      <w:r>
        <w:t xml:space="preserve"> </w:t>
      </w:r>
      <w:r>
        <w:t xml:space="preserve">Coherence with the REACH Regulation</w:t>
      </w:r>
      <w:r>
        <w:t xml:space="preserve"> </w:t>
      </w:r>
      <w:r>
        <w:t xml:space="preserve">The REACH Regulation61, in force since 2007, establishes among others two distinct EU regulatory</w:t>
      </w:r>
      <w:r>
        <w:t xml:space="preserve"> </w:t>
      </w:r>
      <w:r>
        <w:t xml:space="preserve">approaches that are restrictions and authorisations.</w:t>
      </w:r>
    </w:p>
    <w:p>
      <w:pPr>
        <w:pStyle w:val="FirstParagraph"/>
      </w:pPr>
      <w:r>
        <w:t xml:space="preserve">57 OJ C 115, 9.5.2008, p. 114–116</w:t>
      </w:r>
      <w:r>
        <w:t xml:space="preserve"> </w:t>
      </w:r>
      <w:r>
        <w:t xml:space="preserve">58 OJ C 326, 26.10.2012, p. 391–407</w:t>
      </w:r>
      <w:r>
        <w:t xml:space="preserve"> </w:t>
      </w:r>
      <w:r>
        <w:t xml:space="preserve">59 See footnote 4</w:t>
      </w:r>
      <w:r>
        <w:t xml:space="preserve"> </w:t>
      </w:r>
      <w:r>
        <w:t xml:space="preserve">60 OJ C 326, 26.10.2012, p. 391–407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The applicable provisions of REACH restriction of lead and diisocyanates, are as follows (see Annex</w:t>
      </w:r>
      <w:r>
        <w:t xml:space="preserve"> </w:t>
      </w:r>
      <w:r>
        <w:t xml:space="preserve">8):</w:t>
      </w:r>
      <w:r>
        <w:t xml:space="preserve"> </w:t>
      </w:r>
      <w:r>
        <w:t xml:space="preserve">4. A number of uses of lead are restricted under REACH. This includes the use of lead in paints</w:t>
      </w:r>
      <w:r>
        <w:t xml:space="preserve"> </w:t>
      </w:r>
      <w:r>
        <w:t xml:space="preserve">with some exemptions62 63, the use of lead and its compounds in jewellery and articles which</w:t>
      </w:r>
      <w:r>
        <w:t xml:space="preserve"> </w:t>
      </w:r>
      <w:r>
        <w:t xml:space="preserve">are intended to come into contact with the skin, and the use of lead and its mixtures supplied to</w:t>
      </w:r>
      <w:r>
        <w:t xml:space="preserve"> </w:t>
      </w:r>
      <w:r>
        <w:t xml:space="preserve">the general public are forbidden64.</w:t>
      </w:r>
      <w:r>
        <w:t xml:space="preserve"> </w:t>
      </w:r>
      <w:r>
        <w:t xml:space="preserve">5. Diisocyanates are restricted under REACH65 and shall not be used or placed on the market as</w:t>
      </w:r>
      <w:r>
        <w:t xml:space="preserve"> </w:t>
      </w:r>
      <w:r>
        <w:t xml:space="preserve">substances on their own, as a constituent in other substances or in mixtures for industrial and</w:t>
      </w:r>
      <w:r>
        <w:t xml:space="preserve"> </w:t>
      </w:r>
      <w:r>
        <w:t xml:space="preserve">professional uses unless the employer or self-employed ensures that industrial or professional</w:t>
      </w:r>
      <w:r>
        <w:t xml:space="preserve"> </w:t>
      </w:r>
      <w:r>
        <w:t xml:space="preserve">user(s) have successfully completed training on the safe use of diisocyanates prior to the use of</w:t>
      </w:r>
      <w:r>
        <w:t xml:space="preserve"> </w:t>
      </w:r>
      <w:r>
        <w:t xml:space="preserve">the substance(s) or mixture(s).</w:t>
      </w:r>
      <w:r>
        <w:t xml:space="preserve"> </w:t>
      </w:r>
      <w:r>
        <w:t xml:space="preserve">The ACSH, in its opinion, stated that a combination of the REACH restrictions (on worker training) and</w:t>
      </w:r>
      <w:r>
        <w:t xml:space="preserve"> </w:t>
      </w:r>
      <w:r>
        <w:t xml:space="preserve">OSH provisions, especially limit values and health surveillance, is the most efficient approach for</w:t>
      </w:r>
      <w:r>
        <w:t xml:space="preserve"> </w:t>
      </w:r>
      <w:r>
        <w:t xml:space="preserve">preventing peak exposure, which is the key event leading to asthma from exposure to diisocyanates.</w:t>
      </w:r>
      <w:r>
        <w:t xml:space="preserve"> </w:t>
      </w:r>
      <w:r>
        <w:t xml:space="preserve">Together, the EU OSH directives (CMRD &amp; CAD) and the REACH Regulation are relevant for</w:t>
      </w:r>
      <w:r>
        <w:t xml:space="preserve"> </w:t>
      </w:r>
      <w:r>
        <w:t xml:space="preserve">workers’ protection from the risks of exposure to lead and diisocyanates.</w:t>
      </w:r>
      <w:r>
        <w:t xml:space="preserve"> </w:t>
      </w:r>
      <w:r>
        <w:t xml:space="preserve">4.3.3</w:t>
      </w:r>
      <w:r>
        <w:t xml:space="preserve"> </w:t>
      </w:r>
      <w:r>
        <w:t xml:space="preserve">Coherence with the Batteries Regulation</w:t>
      </w:r>
      <w:r>
        <w:t xml:space="preserve"> </w:t>
      </w:r>
      <w:r>
        <w:t xml:space="preserve">The Commission proposed a new Batteries Regulation66 in December 2020 with the aim to ensure that</w:t>
      </w:r>
      <w:r>
        <w:t xml:space="preserve"> </w:t>
      </w:r>
      <w:r>
        <w:t xml:space="preserve">batteries placed on the EU market are sustainable and safe throughout their entire life cycle. This is an</w:t>
      </w:r>
      <w:r>
        <w:t xml:space="preserve"> </w:t>
      </w:r>
      <w:r>
        <w:t xml:space="preserve">integral part of the EU Green Deal which aims for greater use of modern non-fossil fuelled vehicles for</w:t>
      </w:r>
      <w:r>
        <w:t xml:space="preserve"> </w:t>
      </w:r>
      <w:r>
        <w:t xml:space="preserve">which increased use of lead-containing batteries, including their recycling, is expected. The proposal for</w:t>
      </w:r>
      <w:r>
        <w:t xml:space="preserve"> </w:t>
      </w:r>
      <w:r>
        <w:t xml:space="preserve">the new Batteries Regulation sets targets for key scarce resources such as lead. This includes a target</w:t>
      </w:r>
      <w:r>
        <w:t xml:space="preserve"> </w:t>
      </w:r>
      <w:r>
        <w:t xml:space="preserve">date of 2030 for 90% material recovery and 2035 for a minimum share of recovered lead of 85%. This</w:t>
      </w:r>
      <w:r>
        <w:t xml:space="preserve"> </w:t>
      </w:r>
      <w:r>
        <w:t xml:space="preserve">recognises that the use of lead-acid batteries will continue beyond 2035. The updating of the limit</w:t>
      </w:r>
      <w:r>
        <w:t xml:space="preserve"> </w:t>
      </w:r>
      <w:r>
        <w:t xml:space="preserve">values for lead under the CMRD ensures workers in this sector will benefit from a high level of health</w:t>
      </w:r>
      <w:r>
        <w:t xml:space="preserve"> </w:t>
      </w:r>
      <w:r>
        <w:t xml:space="preserve">protection and contributes to addressing the risk from hazardous substances which were identified as a</w:t>
      </w:r>
      <w:r>
        <w:t xml:space="preserve"> </w:t>
      </w:r>
      <w:r>
        <w:t xml:space="preserve">social risk in the Batteries Regulation proposal.</w:t>
      </w:r>
      <w:r>
        <w:t xml:space="preserve"> </w:t>
      </w:r>
      <w:r>
        <w:t xml:space="preserve">4.3.4</w:t>
      </w:r>
      <w:r>
        <w:t xml:space="preserve"> </w:t>
      </w:r>
      <w:r>
        <w:t xml:space="preserve">Coherence with scientific research</w:t>
      </w:r>
      <w:r>
        <w:t xml:space="preserve"> </w:t>
      </w:r>
      <w:r>
        <w:t xml:space="preserve">Lead and diisocyanates were priority chemicals under the EU human biomonitoring programme</w:t>
      </w:r>
      <w:r>
        <w:t xml:space="preserve"> </w:t>
      </w:r>
      <w:r>
        <w:t xml:space="preserve">(HBM4EU) funded by Horizon 202067. This was a joint effort of 30 countries, the European</w:t>
      </w:r>
      <w:r>
        <w:t xml:space="preserve"> </w:t>
      </w:r>
      <w:r>
        <w:t xml:space="preserve">Environment Agency and the European Commission, that ran from 2017 to 2021. It generated</w:t>
      </w:r>
      <w:r>
        <w:t xml:space="preserve"> </w:t>
      </w:r>
      <w:r>
        <w:t xml:space="preserve">knowledge to inform the safe management of chemicals and so protect human health.</w:t>
      </w:r>
    </w:p>
    <w:p>
      <w:pPr>
        <w:pStyle w:val="BodyText"/>
      </w:pPr>
      <w:r>
        <w:t xml:space="preserve">61 See footnote 17</w:t>
      </w:r>
      <w:r>
        <w:t xml:space="preserve"> </w:t>
      </w:r>
      <w:r>
        <w:t xml:space="preserve">62 https://echa.europa.eu/documents/10162/22dd9386-7fac-4e8d-953a-ef3c71025ad4</w:t>
      </w:r>
      <w:r>
        <w:br/>
      </w:r>
      <w:r>
        <w:t xml:space="preserve">63 https://echa.europa.eu/documents/10162/ffd7653b-98cc-4bcc-9085-616559280314</w:t>
      </w:r>
      <w:r>
        <w:br/>
      </w:r>
      <w:r>
        <w:t xml:space="preserve">64 https://echa.europa.eu/documents/10162/61845f2b-f319-ab2e-24aa-6fc4f8fc150f</w:t>
      </w:r>
      <w:r>
        <w:br/>
      </w:r>
      <w:r>
        <w:t xml:space="preserve">65 https://echa.europa.eu/documents/10162/503ac424-3bcb-137b-9247-09e41eb6dd5a</w:t>
      </w:r>
      <w:r>
        <w:br/>
      </w:r>
      <w:r>
        <w:t xml:space="preserve">66https://ec.europa.eu/environment/pdf/waste/batteries/Proposal_for_a_Regulation_on_batteries_and_waste_batter</w:t>
      </w:r>
      <w:r>
        <w:t xml:space="preserve"> </w:t>
      </w:r>
      <w:r>
        <w:t xml:space="preserve">ies.pdf</w:t>
      </w:r>
      <w:r>
        <w:br/>
      </w:r>
      <w:r>
        <w:t xml:space="preserve">67 https://www.hbm4eu.eu/about-us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4.3.5</w:t>
      </w:r>
      <w:r>
        <w:t xml:space="preserve"> </w:t>
      </w:r>
      <w:r>
        <w:t xml:space="preserve">Coherence with Europe’s Beating Cancer plan</w:t>
      </w:r>
      <w:r>
        <w:t xml:space="preserve"> </w:t>
      </w:r>
      <w:r>
        <w:t xml:space="preserve">The aim of Europe’s Beating Cancer Plan is to tackle the entire disease pathway68. It is structured</w:t>
      </w:r>
      <w:r>
        <w:t xml:space="preserve"> </w:t>
      </w:r>
      <w:r>
        <w:t xml:space="preserve">around four key action areas where the EU can add the most value: (1) prevention; (2) early detection;</w:t>
      </w:r>
      <w:r>
        <w:t xml:space="preserve"> </w:t>
      </w:r>
      <w:r>
        <w:t xml:space="preserve">(3) diagnosis and treatment; and (4) quality of life of cancer patients and survivors. Whilst the main</w:t>
      </w:r>
      <w:r>
        <w:t xml:space="preserve"> </w:t>
      </w:r>
      <w:r>
        <w:t xml:space="preserve">adverse health effects resulting from exposure to lead are on reproductive health, in rare cases it could</w:t>
      </w:r>
      <w:r>
        <w:t xml:space="preserve"> </w:t>
      </w:r>
      <w:r>
        <w:t xml:space="preserve">cause cancer, and the reduction in limit values would contribute to preventing this cancer.</w:t>
      </w:r>
      <w:r>
        <w:t xml:space="preserve"> </w:t>
      </w:r>
      <w:r>
        <w:t xml:space="preserve">For diisocyanates the adverse health effects do not include cancer and the Europe’s Beating Cancer plan</w:t>
      </w:r>
      <w:r>
        <w:t xml:space="preserve"> </w:t>
      </w:r>
      <w:r>
        <w:t xml:space="preserve">is not relevant.</w:t>
      </w:r>
    </w:p>
    <w:p>
      <w:pPr>
        <w:pStyle w:val="Compact"/>
        <w:numPr>
          <w:ilvl w:val="0"/>
          <w:numId w:val="1005"/>
        </w:numPr>
      </w:pPr>
      <w:r>
        <w:t xml:space="preserve">WHAT ARE THE POSSIBLE POLICY OPTIONS?</w:t>
      </w:r>
      <w:r>
        <w:t xml:space="preserve"> </w:t>
      </w:r>
      <w:r>
        <w:t xml:space="preserve">5.1 Process for setting binding limit values under the CAD and the CMRD</w:t>
      </w:r>
      <w:r>
        <w:t xml:space="preserve"> </w:t>
      </w:r>
      <w:r>
        <w:t xml:space="preserve">A simplified outline of the process for the development of EU limit values, including OELs, STELs and</w:t>
      </w:r>
      <w:r>
        <w:t xml:space="preserve"> </w:t>
      </w:r>
      <w:r>
        <w:t xml:space="preserve">BLVs, for priority substances is set out here, with a more detailed description in Annex 7.</w:t>
      </w:r>
      <w:r>
        <w:t xml:space="preserve"> </w:t>
      </w:r>
      <w:r>
        <w:t xml:space="preserve">As mentionned in Chapter 1, the selection of the specific two groups of substances considered in this</w:t>
      </w:r>
      <w:r>
        <w:t xml:space="preserve"> </w:t>
      </w:r>
      <w:r>
        <w:t xml:space="preserve">impact assessment was based on a consultative approach, including opinions issued by the tripartite</w:t>
      </w:r>
      <w:r>
        <w:t xml:space="preserve"> </w:t>
      </w:r>
      <w:r>
        <w:t xml:space="preserve">ACSH and a formal two-stage consultation of the social partners.</w:t>
      </w:r>
      <w:r>
        <w:br/>
      </w:r>
      <w:r>
        <w:t xml:space="preserve">It was agreed by all relevant stakeholders, taking into account factors such as the potential to cause</w:t>
      </w:r>
      <w:r>
        <w:t xml:space="preserve"> </w:t>
      </w:r>
      <w:r>
        <w:t xml:space="preserve">adverse health effects, degree of evidence of such effects, as well as their severity, potency and</w:t>
      </w:r>
      <w:r>
        <w:t xml:space="preserve"> </w:t>
      </w:r>
      <w:r>
        <w:t xml:space="preserve">reversibility, that the two groups of substances are of high relevance for the protection of workers. The</w:t>
      </w:r>
      <w:r>
        <w:t xml:space="preserve"> </w:t>
      </w:r>
      <w:r>
        <w:t xml:space="preserve">Commission’s intention to prepare for the establishment of new or revised limit values for those priority</w:t>
      </w:r>
      <w:r>
        <w:t xml:space="preserve"> </w:t>
      </w:r>
      <w:r>
        <w:t xml:space="preserve">substances was confirmed and encouraged by all the stakeholders.</w:t>
      </w:r>
      <w:r>
        <w:br/>
      </w:r>
      <w:r>
        <w:t xml:space="preserve">5.2 Baseline Scenario</w:t>
      </w:r>
      <w:r>
        <w:t xml:space="preserve"> </w:t>
      </w:r>
      <w:r>
        <w:t xml:space="preserve">The baseline or</w:t>
      </w:r>
      <w:r>
        <w:t xml:space="preserve"> </w:t>
      </w:r>
      <w:r>
        <w:t xml:space="preserve">“no policy change”</w:t>
      </w:r>
      <w:r>
        <w:t xml:space="preserve"> </w:t>
      </w:r>
      <w:r>
        <w:t xml:space="preserve">option includes all relevant EU-level and national policies and</w:t>
      </w:r>
      <w:r>
        <w:t xml:space="preserve"> </w:t>
      </w:r>
      <w:r>
        <w:t xml:space="preserve">measures (e.g., the existing national limit values) which are assumed to continue being in force in the</w:t>
      </w:r>
      <w:r>
        <w:t xml:space="preserve"> </w:t>
      </w:r>
      <w:r>
        <w:t xml:space="preserve">absence of further EU action. It also takes into account the variables discussed in previous sections,</w:t>
      </w:r>
      <w:r>
        <w:t xml:space="preserve"> </w:t>
      </w:r>
      <w:r>
        <w:t xml:space="preserve">such as the current number of workers exposed and its evolution over time, the current and future</w:t>
      </w:r>
      <w:r>
        <w:t xml:space="preserve"> </w:t>
      </w:r>
      <w:r>
        <w:t xml:space="preserve">exposure levels, the current RMMs, the voluntary industry initiatives, the development of new</w:t>
      </w:r>
      <w:r>
        <w:t xml:space="preserve"> </w:t>
      </w:r>
      <w:r>
        <w:t xml:space="preserve">technologies and any other substance-specific relevant factors (e.g., the REACH restriction for</w:t>
      </w:r>
      <w:r>
        <w:t xml:space="preserve"> </w:t>
      </w:r>
      <w:r>
        <w:t xml:space="preserve">diisocyanates).</w:t>
      </w:r>
      <w:r>
        <w:t xml:space="preserve"> </w:t>
      </w:r>
      <w:r>
        <w:t xml:space="preserve">5.2.1</w:t>
      </w:r>
      <w:r>
        <w:t xml:space="preserve"> </w:t>
      </w:r>
      <w:r>
        <w:t xml:space="preserve">Lead</w:t>
      </w:r>
      <w:r>
        <w:t xml:space="preserve"> </w:t>
      </w:r>
      <w:r>
        <w:t xml:space="preserve">EU wide OEL of 0.15 mg/m³ and a BLV of 70 μg Pb/100 ml blood, dated from 1982 (and carried</w:t>
      </w:r>
      <w:r>
        <w:t xml:space="preserve"> </w:t>
      </w:r>
      <w:r>
        <w:t xml:space="preserve">forward in 1998 in CAD and transferred to the CMRD in 2022) will remain.</w:t>
      </w:r>
    </w:p>
    <w:p>
      <w:pPr>
        <w:pStyle w:val="FirstParagraph"/>
      </w:pPr>
      <w:r>
        <w:t xml:space="preserve">68 https://health.ec.europa.eu/system/files/2022-02/eu_cancer-plan_en_0.pdf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5.2.2</w:t>
      </w:r>
      <w:r>
        <w:t xml:space="preserve"> </w:t>
      </w:r>
      <w:r>
        <w:t xml:space="preserve">Diisocyanates</w:t>
      </w:r>
      <w:r>
        <w:t xml:space="preserve"> </w:t>
      </w:r>
      <w:r>
        <w:t xml:space="preserve">Currently there is no EU level OEL or STEL. Consequently, in the absence of EU levels, divergences in</w:t>
      </w:r>
      <w:r>
        <w:t xml:space="preserve"> </w:t>
      </w:r>
      <w:r>
        <w:t xml:space="preserve">protection levels across Member States will continue.</w:t>
      </w:r>
      <w:r>
        <w:t xml:space="preserve"> </w:t>
      </w:r>
      <w:r>
        <w:t xml:space="preserve">The REACH restriction requiring specific training of workers using diisocyanates will come into effect</w:t>
      </w:r>
      <w:r>
        <w:t xml:space="preserve"> </w:t>
      </w:r>
      <w:r>
        <w:t xml:space="preserve">in August 2023. The impact of the REACH restriction is likely to be significant in reducing asthma.</w:t>
      </w:r>
      <w:r>
        <w:t xml:space="preserve"> </w:t>
      </w:r>
      <w:r>
        <w:t xml:space="preserve">Following discussions with experts in the steering group for the external study, it was agreed that the</w:t>
      </w:r>
      <w:r>
        <w:t xml:space="preserve"> </w:t>
      </w:r>
      <w:r>
        <w:t xml:space="preserve">restriction will result in reducing airborne concentrations of diisocyanates by 50%.</w:t>
      </w:r>
      <w:r>
        <w:br/>
      </w:r>
      <w:r>
        <w:t xml:space="preserve">Regarding changes at industry level, the experts in the steering group for the external study considered</w:t>
      </w:r>
      <w:r>
        <w:t xml:space="preserve"> </w:t>
      </w:r>
      <w:r>
        <w:t xml:space="preserve">that, while the growing automatisation of processes should decrease exposure, the growth in the use of</w:t>
      </w:r>
      <w:r>
        <w:t xml:space="preserve"> </w:t>
      </w:r>
      <w:r>
        <w:t xml:space="preserve">diisocyanates69 would compensate that effect. Some of those growing uses are linked to the efforts</w:t>
      </w:r>
      <w:r>
        <w:t xml:space="preserve"> </w:t>
      </w:r>
      <w:r>
        <w:t xml:space="preserve">made in the framework of the Green Deal to use lighter materials to offset the weight of batteries in</w:t>
      </w:r>
      <w:r>
        <w:t xml:space="preserve"> </w:t>
      </w:r>
      <w:r>
        <w:t xml:space="preserve">electric vehicles and in the framework of the Renovation Wave to enhance energy savings via better</w:t>
      </w:r>
      <w:r>
        <w:t xml:space="preserve"> </w:t>
      </w:r>
      <w:r>
        <w:t xml:space="preserve">building insulation. Based on the available information, it is not possible to give a more specific</w:t>
      </w:r>
      <w:r>
        <w:t xml:space="preserve"> </w:t>
      </w:r>
      <w:r>
        <w:t xml:space="preserve">prediction of future trends. Therefore, the baseline assumes a continuation of the exposure levels and</w:t>
      </w:r>
      <w:r>
        <w:t xml:space="preserve"> </w:t>
      </w:r>
      <w:r>
        <w:t xml:space="preserve">the number of exposed workers.</w:t>
      </w:r>
      <w:r>
        <w:br/>
      </w:r>
      <w:r>
        <w:t xml:space="preserve">The summary of the baseline scenario is presented below.</w:t>
      </w:r>
      <w:r>
        <w:br/>
      </w:r>
      <w:r>
        <w:t xml:space="preserve">Table 1: Baseline scenario over 40 years</w:t>
      </w:r>
    </w:p>
    <w:p>
      <w:pPr>
        <w:pStyle w:val="BodyText"/>
      </w:pPr>
      <w:r>
        <w:t xml:space="preserve">Lead</w:t>
      </w:r>
      <w:r>
        <w:br/>
      </w:r>
      <w:r>
        <w:t xml:space="preserve">Diisocyanates</w:t>
      </w:r>
      <w:r>
        <w:t xml:space="preserve"> </w:t>
      </w:r>
      <w:r>
        <w:t xml:space="preserve">Types of ill-health caused</w:t>
      </w:r>
      <w:r>
        <w:t xml:space="preserve"> </w:t>
      </w:r>
      <w:r>
        <w:t xml:space="preserve">Neuropathy,</w:t>
      </w:r>
      <w:r>
        <w:t xml:space="preserve"> </w:t>
      </w:r>
      <w:r>
        <w:t xml:space="preserve">anaemia,</w:t>
      </w:r>
      <w:r>
        <w:t xml:space="preserve"> </w:t>
      </w:r>
      <w:r>
        <w:t xml:space="preserve">chronic</w:t>
      </w:r>
      <w:r>
        <w:t xml:space="preserve"> </w:t>
      </w:r>
      <w:r>
        <w:t xml:space="preserve">kidney disease, elevated blood</w:t>
      </w:r>
      <w:r>
        <w:t xml:space="preserve"> </w:t>
      </w:r>
      <w:r>
        <w:t xml:space="preserve">pressure,</w:t>
      </w:r>
      <w:r>
        <w:t xml:space="preserve"> </w:t>
      </w:r>
      <w:r>
        <w:t xml:space="preserve">male</w:t>
      </w:r>
      <w:r>
        <w:t xml:space="preserve"> </w:t>
      </w:r>
      <w:r>
        <w:t xml:space="preserve">fertility,</w:t>
      </w:r>
      <w:r>
        <w:t xml:space="preserve"> </w:t>
      </w:r>
      <w:r>
        <w:t xml:space="preserve">pre-</w:t>
      </w:r>
      <w:r>
        <w:t xml:space="preserve"> </w:t>
      </w:r>
      <w:r>
        <w:t xml:space="preserve">eclampsia, developmental toxicity</w:t>
      </w:r>
      <w:r>
        <w:t xml:space="preserve"> </w:t>
      </w:r>
      <w:r>
        <w:t xml:space="preserve">(effects on the foetus; IQ loss)</w:t>
      </w:r>
      <w:r>
        <w:t xml:space="preserve"> </w:t>
      </w:r>
      <w:r>
        <w:t xml:space="preserve">Asthma, irritation</w:t>
      </w:r>
      <w:r>
        <w:t xml:space="preserve"> </w:t>
      </w:r>
      <w:r>
        <w:t xml:space="preserve">No. of exposed workers</w:t>
      </w:r>
      <w:r>
        <w:t xml:space="preserve"> </w:t>
      </w:r>
      <w:r>
        <w:t xml:space="preserve">98 850</w:t>
      </w:r>
      <w:r>
        <w:t xml:space="preserve"> </w:t>
      </w:r>
      <w:r>
        <w:t xml:space="preserve">4 226 583</w:t>
      </w:r>
      <w:r>
        <w:t xml:space="preserve"> </w:t>
      </w:r>
      <w:r>
        <w:t xml:space="preserve">Change in future exposure level</w:t>
      </w:r>
      <w:r>
        <w:t xml:space="preserve"> </w:t>
      </w:r>
      <w:r>
        <w:t xml:space="preserve">No changes</w:t>
      </w:r>
      <w:r>
        <w:t xml:space="preserve"> </w:t>
      </w:r>
      <w:r>
        <w:t xml:space="preserve">Differs per sector</w:t>
      </w:r>
      <w:r>
        <w:t xml:space="preserve"> </w:t>
      </w:r>
      <w:r>
        <w:t xml:space="preserve">Change in future no. of exposed</w:t>
      </w:r>
      <w:r>
        <w:t xml:space="preserve"> </w:t>
      </w:r>
      <w:r>
        <w:t xml:space="preserve">workers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br/>
      </w:r>
      <w:r>
        <w:t xml:space="preserve">Current disease burden (CDB) -</w:t>
      </w:r>
      <w:r>
        <w:t xml:space="preserve"> </w:t>
      </w:r>
      <w:r>
        <w:t xml:space="preserve">all historic exposures for current</w:t>
      </w:r>
      <w:r>
        <w:t xml:space="preserve"> </w:t>
      </w:r>
      <w:r>
        <w:t xml:space="preserve">types of exposure situations</w:t>
      </w:r>
      <w:r>
        <w:t xml:space="preserve"> </w:t>
      </w:r>
      <w:r>
        <w:t xml:space="preserve">(estimated)</w:t>
      </w:r>
      <w:r>
        <w:br/>
      </w:r>
      <w:r>
        <w:t xml:space="preserve">1 331 cases per year (combined</w:t>
      </w:r>
      <w:r>
        <w:t xml:space="preserve"> </w:t>
      </w:r>
      <w:r>
        <w:t xml:space="preserve">total for all types of ill-health of</w:t>
      </w:r>
      <w:r>
        <w:t xml:space="preserve"> </w:t>
      </w:r>
      <w:r>
        <w:t xml:space="preserve">which 1 154 are chronic kidney</w:t>
      </w:r>
      <w:r>
        <w:t xml:space="preserve"> </w:t>
      </w:r>
      <w:r>
        <w:t xml:space="preserve">disease)</w:t>
      </w:r>
    </w:p>
    <w:p>
      <w:pPr>
        <w:pStyle w:val="BodyText"/>
      </w:pPr>
      <w:r>
        <w:t xml:space="preserve">Asthma 5 125 cases per year</w:t>
      </w:r>
      <w:r>
        <w:t xml:space="preserve"> </w:t>
      </w:r>
      <w:r>
        <w:t xml:space="preserve">Irritation 1 315 cases per year</w:t>
      </w:r>
      <w:r>
        <w:t xml:space="preserve"> </w:t>
      </w:r>
      <w:r>
        <w:t xml:space="preserve">Future disease burden (FDB) -</w:t>
      </w:r>
      <w:r>
        <w:t xml:space="preserve"> </w:t>
      </w:r>
      <w:r>
        <w:t xml:space="preserve">for current types of exposure</w:t>
      </w:r>
      <w:r>
        <w:t xml:space="preserve"> </w:t>
      </w:r>
      <w:r>
        <w:t xml:space="preserve">situations (estimated)</w:t>
      </w:r>
      <w:r>
        <w:t xml:space="preserve"> </w:t>
      </w:r>
      <w:r>
        <w:t xml:space="preserve">13 379 (combined total for all</w:t>
      </w:r>
      <w:r>
        <w:t xml:space="preserve"> </w:t>
      </w:r>
      <w:r>
        <w:t xml:space="preserve">types of ill-health)</w:t>
      </w:r>
      <w:r>
        <w:t xml:space="preserve"> </w:t>
      </w:r>
      <w:r>
        <w:t xml:space="preserve">Asthma 106 910 over 40 years</w:t>
      </w:r>
      <w:r>
        <w:t xml:space="preserve"> </w:t>
      </w:r>
      <w:r>
        <w:t xml:space="preserve">Irritation 10 099 over 40 years</w:t>
      </w:r>
    </w:p>
    <w:p>
      <w:pPr>
        <w:pStyle w:val="BodyText"/>
      </w:pPr>
      <w:r>
        <w:t xml:space="preserve">Monetary value FDB</w:t>
      </w:r>
      <w:r>
        <w:br/>
      </w:r>
      <w:r>
        <w:t xml:space="preserve">€317 million – 612.7 million</w:t>
      </w:r>
      <w:r>
        <w:t xml:space="preserve"> </w:t>
      </w:r>
      <w:r>
        <w:t xml:space="preserve">Present Value (PV) over 40 years</w:t>
      </w:r>
      <w:r>
        <w:t xml:space="preserve"> </w:t>
      </w:r>
      <w:r>
        <w:t xml:space="preserve">Asthma:</w:t>
      </w:r>
      <w:r>
        <w:t xml:space="preserve"> </w:t>
      </w:r>
      <w:r>
        <w:t xml:space="preserve">€3.9 billion –</w:t>
      </w:r>
      <w:r>
        <w:t xml:space="preserve"> </w:t>
      </w:r>
      <w:r>
        <w:t xml:space="preserve">€7.2 billion PV over 40 years</w:t>
      </w:r>
      <w:r>
        <w:t xml:space="preserve"> </w:t>
      </w:r>
      <w:r>
        <w:t xml:space="preserve">Irritation:</w:t>
      </w:r>
      <w:r>
        <w:t xml:space="preserve"> </w:t>
      </w:r>
      <w:r>
        <w:t xml:space="preserve">€7.4 million –</w:t>
      </w:r>
      <w:r>
        <w:t xml:space="preserve"> </w:t>
      </w:r>
      <w:r>
        <w:t xml:space="preserve">€10.4 million PV over 40 years</w:t>
      </w:r>
      <w:r>
        <w:t xml:space="preserve"> </w:t>
      </w:r>
      <w:r>
        <w:t xml:space="preserve">(Both</w:t>
      </w:r>
      <w:r>
        <w:t xml:space="preserve"> </w:t>
      </w:r>
      <w:r>
        <w:t xml:space="preserve">after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Restriction)</w:t>
      </w:r>
      <w:r>
        <w:t xml:space="preserve"> </w:t>
      </w:r>
      <w:r>
        <w:t xml:space="preserve">Based on external study: RPA (2021)</w:t>
      </w:r>
      <w:r>
        <w:t xml:space="preserve"> </w:t>
      </w:r>
      <w:r>
        <w:t xml:space="preserve">*Workforce turns over at 5% p.a.</w:t>
      </w:r>
    </w:p>
    <w:p>
      <w:pPr>
        <w:pStyle w:val="BodyText"/>
      </w:pPr>
      <w:r>
        <w:t xml:space="preserve">69 In 2021, the global demand for TDI was some 2.49 million tons, up from 2.37 million tons in 2020 (5%</w:t>
      </w:r>
      <w:r>
        <w:t xml:space="preserve"> </w:t>
      </w:r>
      <w:r>
        <w:t xml:space="preserve">increase) and from less than 2 million tons in 2016 (source Statista (2022), available at:</w:t>
      </w:r>
      <w:r>
        <w:t xml:space="preserve"> </w:t>
      </w:r>
      <w:r>
        <w:t xml:space="preserve">https://www.statista.com/statistics/750818/tdi-demand-worldwide/ ).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5.3 Options discarded at an early stage</w:t>
      </w:r>
      <w:r>
        <w:t xml:space="preserve"> </w:t>
      </w:r>
      <w:r>
        <w:t xml:space="preserve">5.3.1</w:t>
      </w:r>
      <w:r>
        <w:t xml:space="preserve"> </w:t>
      </w:r>
      <w:r>
        <w:t xml:space="preserve">Phasing out the use of lead</w:t>
      </w:r>
      <w:r>
        <w:t xml:space="preserve"> </w:t>
      </w:r>
      <w:r>
        <w:t xml:space="preserve">The phasing out of the use of lead was not considered as a realistic policy option. This is because the</w:t>
      </w:r>
      <w:r>
        <w:t xml:space="preserve"> </w:t>
      </w:r>
      <w:r>
        <w:t xml:space="preserve">use of this substance remains necessary for a number of critical purposes in a range of sectors including</w:t>
      </w:r>
      <w:r>
        <w:t xml:space="preserve"> </w:t>
      </w:r>
      <w:r>
        <w:t xml:space="preserve">construction activities and in batteries for fossil fuel and electric vehicles. For the latter, lead based</w:t>
      </w:r>
      <w:r>
        <w:t xml:space="preserve"> </w:t>
      </w:r>
      <w:r>
        <w:t xml:space="preserve">batteries are necessary for non-motive purposes (such as information systems) and for safety to allow</w:t>
      </w:r>
      <w:r>
        <w:t xml:space="preserve"> </w:t>
      </w:r>
      <w:r>
        <w:t xml:space="preserve">the vehicles to be brought to a stop in case of an emergency70.</w:t>
      </w:r>
      <w:r>
        <w:br/>
      </w:r>
      <w:r>
        <w:t xml:space="preserve">The CMRD does not allow for the banning of substances. Instead, it places duties on employers to</w:t>
      </w:r>
      <w:r>
        <w:t xml:space="preserve"> </w:t>
      </w:r>
      <w:r>
        <w:t xml:space="preserve">protect workers by aiming to substitute harmful substances by the less harmful and, where this is not</w:t>
      </w:r>
      <w:r>
        <w:t xml:space="preserve"> </w:t>
      </w:r>
      <w:r>
        <w:t xml:space="preserve">possible, to prevent exposure. Where this is not technically possible, employers have the duty to</w:t>
      </w:r>
      <w:r>
        <w:t xml:space="preserve"> </w:t>
      </w:r>
      <w:r>
        <w:t xml:space="preserve">implement risk management measures following a hierarchy of control that requires the use of technical</w:t>
      </w:r>
      <w:r>
        <w:t xml:space="preserve"> </w:t>
      </w:r>
      <w:r>
        <w:t xml:space="preserve">measures (such as process enclosure or ventilation) with preference to the use of personal protective</w:t>
      </w:r>
      <w:r>
        <w:t xml:space="preserve"> </w:t>
      </w:r>
      <w:r>
        <w:t xml:space="preserve">equipment (such as overalls, gloves, respiratory protection).</w:t>
      </w:r>
      <w:r>
        <w:br/>
      </w:r>
      <w:r>
        <w:t xml:space="preserve">In addition, a banning on the future use of lead would not benefit workers who may be exposed due to</w:t>
      </w:r>
      <w:r>
        <w:t xml:space="preserve"> </w:t>
      </w:r>
      <w:r>
        <w:t xml:space="preserve">past use of lead. For example, when removing lead containing paint from surfaces prior to re-painting</w:t>
      </w:r>
      <w:r>
        <w:t xml:space="preserve"> </w:t>
      </w:r>
      <w:r>
        <w:t xml:space="preserve">with modern lead-free alternatives, or for workers in waste management who may be exposed to lead</w:t>
      </w:r>
      <w:r>
        <w:t xml:space="preserve"> </w:t>
      </w:r>
      <w:r>
        <w:t xml:space="preserve">from discarded items.</w:t>
      </w:r>
      <w:r>
        <w:br/>
      </w:r>
      <w:r>
        <w:t xml:space="preserve">In the case where a ban would be considered necessary, it would be more appropriate to do this as a</w:t>
      </w:r>
      <w:r>
        <w:t xml:space="preserve"> </w:t>
      </w:r>
      <w:r>
        <w:t xml:space="preserve">restriction under REACH, for which there are several examples including the banning of lead in paint.</w:t>
      </w:r>
    </w:p>
    <w:p>
      <w:pPr>
        <w:pStyle w:val="BodyText"/>
      </w:pPr>
      <w:r>
        <w:t xml:space="preserve">5.3.2 Guidance documents</w:t>
      </w:r>
      <w:r>
        <w:t xml:space="preserve"> </w:t>
      </w:r>
      <w:r>
        <w:t xml:space="preserve">As non-regulatory alternatives, the existing guidance documents or examples of good practice could be</w:t>
      </w:r>
      <w:r>
        <w:t xml:space="preserve"> </w:t>
      </w:r>
      <w:r>
        <w:t xml:space="preserve">revised and re-disseminated in cooperation with the European Agency for Safety and Health at Work</w:t>
      </w:r>
      <w:r>
        <w:t xml:space="preserve"> </w:t>
      </w:r>
      <w:r>
        <w:t xml:space="preserve">(EU-OSHA) and/or the ACSH and its relevant Working Party. This could also include the launching of</w:t>
      </w:r>
      <w:r>
        <w:t xml:space="preserve"> </w:t>
      </w:r>
      <w:r>
        <w:t xml:space="preserve">awareness raising campaigns for employers and workers alike on the prevention of risks arising from</w:t>
      </w:r>
      <w:r>
        <w:t xml:space="preserve"> </w:t>
      </w:r>
      <w:r>
        <w:t xml:space="preserve">workers’ exposure to lead and to diisocyanates. In addition, industry could be encouraged to revise</w:t>
      </w:r>
      <w:r>
        <w:t xml:space="preserve"> </w:t>
      </w:r>
      <w:r>
        <w:t xml:space="preserve">guidance material used to support their voluntary initiatives.</w:t>
      </w:r>
      <w:r>
        <w:t xml:space="preserve"> </w:t>
      </w:r>
      <w:r>
        <w:t xml:space="preserve">However, guidance documents by themselves would not be considered effective enough in reaching the</w:t>
      </w:r>
      <w:r>
        <w:t xml:space="preserve"> </w:t>
      </w:r>
      <w:r>
        <w:t xml:space="preserve">objectives of this initiative. They are complementary and provide an added value to</w:t>
      </w:r>
      <w:r>
        <w:t xml:space="preserve"> </w:t>
      </w:r>
      <w:r>
        <w:t xml:space="preserve">OELs/STELs/BLVs. Guidance on good practice is of particular importance when addressing peak</w:t>
      </w:r>
      <w:r>
        <w:t xml:space="preserve"> </w:t>
      </w:r>
      <w:r>
        <w:t xml:space="preserve">exposures to diisocyanates during transient activities such as certain construction tasks.</w:t>
      </w:r>
      <w:r>
        <w:t xml:space="preserve"> </w:t>
      </w:r>
      <w:r>
        <w:t xml:space="preserve">EU-OSHA is currently developing guidance on the use of biomonitoring at the workplace. This will be</w:t>
      </w:r>
      <w:r>
        <w:t xml:space="preserve"> </w:t>
      </w:r>
      <w:r>
        <w:t xml:space="preserve">general guidance and not specific to lead, though the general principles will be relevant and helpful.</w:t>
      </w:r>
      <w:r>
        <w:t xml:space="preserve"> </w:t>
      </w:r>
      <w:r>
        <w:t xml:space="preserve">5.3.3</w:t>
      </w:r>
      <w:r>
        <w:t xml:space="preserve"> </w:t>
      </w:r>
      <w:r>
        <w:t xml:space="preserve">Adapted measures for SMEs</w:t>
      </w:r>
      <w:r>
        <w:t xml:space="preserve"> </w:t>
      </w:r>
      <w:r>
        <w:t xml:space="preserve">Small companies, accounting for around 99% of companies working with lead and diisocyanates,</w:t>
      </w:r>
      <w:r>
        <w:t xml:space="preserve"> </w:t>
      </w:r>
      <w:r>
        <w:t xml:space="preserve">should not be exempted from the scope of the initiative. Their exclusion would mean that the vast</w:t>
      </w:r>
      <w:r>
        <w:t xml:space="preserve"> </w:t>
      </w:r>
      <w:r>
        <w:t xml:space="preserve">majority of European workers at risk of exposure to these groups of substances would not be</w:t>
      </w:r>
      <w:r>
        <w:t xml:space="preserve"> </w:t>
      </w:r>
      <w:r>
        <w:t xml:space="preserve">sufficiently protected by health and safety at work legislation, with a clear distortion and inequality in</w:t>
      </w:r>
    </w:p>
    <w:p>
      <w:pPr>
        <w:pStyle w:val="BodyText"/>
      </w:pPr>
      <w:r>
        <w:t xml:space="preserve">70 Consortium for Battery Innovation | » How lead batteries make EVs safer https://batteryinnovation.org/how-</w:t>
      </w:r>
      <w:r>
        <w:t xml:space="preserve"> </w:t>
      </w:r>
      <w:r>
        <w:t xml:space="preserve">lead-batteries-make-evs-safer/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the application of the EU legislative framework and with a risk of compromising the underlying social</w:t>
      </w:r>
      <w:r>
        <w:t xml:space="preserve"> </w:t>
      </w:r>
      <w:r>
        <w:t xml:space="preserve">policy objectives and fundamental rights.</w:t>
      </w:r>
      <w:r>
        <w:br/>
      </w:r>
      <w:r>
        <w:t xml:space="preserve">Another option to assist SMEs is to extend the implementation time the limit value. This has been</w:t>
      </w:r>
      <w:r>
        <w:t xml:space="preserve"> </w:t>
      </w:r>
      <w:r>
        <w:t xml:space="preserve">considered for diisocyanates to take account of the need to adapt industrial processes. Based on</w:t>
      </w:r>
      <w:r>
        <w:t xml:space="preserve"> </w:t>
      </w:r>
      <w:r>
        <w:t xml:space="preserve">discussions with stakeholders, including the ACSH, a similar approach was not agreed for lead.</w:t>
      </w:r>
      <w:r>
        <w:t xml:space="preserve"> </w:t>
      </w:r>
      <w:r>
        <w:t xml:space="preserve">5.4 Policy options</w:t>
      </w:r>
      <w:r>
        <w:t xml:space="preserve"> </w:t>
      </w:r>
      <w:r>
        <w:t xml:space="preserve">In addition to the baseline scenario, options for different limit values -OELs, STELs and BLVs-, are</w:t>
      </w:r>
      <w:r>
        <w:t xml:space="preserve"> </w:t>
      </w:r>
      <w:r>
        <w:t xml:space="preserve">presented below. They take into account the scientific assessments done by the RAC of ECHA, the</w:t>
      </w:r>
      <w:r>
        <w:t xml:space="preserve"> </w:t>
      </w:r>
      <w:r>
        <w:t xml:space="preserve">adopted opinions from the ACSH and the limit values in place in the different Member States (see</w:t>
      </w:r>
      <w:r>
        <w:t xml:space="preserve"> </w:t>
      </w:r>
      <w:r>
        <w:t xml:space="preserve">Annex 5).</w:t>
      </w:r>
      <w:r>
        <w:br/>
      </w:r>
      <w:r>
        <w:t xml:space="preserve">The external study provided a comparison of the costs and benefits for a range of potential OELs and</w:t>
      </w:r>
      <w:r>
        <w:t xml:space="preserve"> </w:t>
      </w:r>
      <w:r>
        <w:t xml:space="preserve">BLVs. The ranges start at the values proposed by RAC.</w:t>
      </w:r>
      <w:r>
        <w:t xml:space="preserve"> </w:t>
      </w:r>
      <w:r>
        <w:t xml:space="preserve">Throughout the analysis of benefits and costs, the reference levels in tables 2 and 3 have been chosen as</w:t>
      </w:r>
      <w:r>
        <w:t xml:space="preserve"> </w:t>
      </w:r>
      <w:r>
        <w:t xml:space="preserve">the options of the assessment. The external study considered a number of additional intermediate</w:t>
      </w:r>
      <w:r>
        <w:t xml:space="preserve"> </w:t>
      </w:r>
      <w:r>
        <w:t xml:space="preserve">reference levels and assessed their corresponding impacts. To streamline the presentation of the</w:t>
      </w:r>
      <w:r>
        <w:t xml:space="preserve"> </w:t>
      </w:r>
      <w:r>
        <w:t xml:space="preserve">analysis, they are not retained in this report.</w:t>
      </w:r>
      <w:r>
        <w:t xml:space="preserve"> </w:t>
      </w:r>
      <w:r>
        <w:t xml:space="preserve">5.4.1</w:t>
      </w:r>
      <w:r>
        <w:t xml:space="preserve"> </w:t>
      </w:r>
      <w:r>
        <w:t xml:space="preserve">Lead</w:t>
      </w:r>
      <w:r>
        <w:t xml:space="preserve"> </w:t>
      </w:r>
      <w:r>
        <w:t xml:space="preserve">Table 2 : BLV options for lead</w:t>
      </w:r>
      <w:r>
        <w:t xml:space="preserve"> </w:t>
      </w:r>
      <w:r>
        <w:t xml:space="preserve">Options</w:t>
      </w:r>
      <w:r>
        <w:t xml:space="preserve"> </w:t>
      </w:r>
      <w:r>
        <w:t xml:space="preserve">Level, µg/100 ml</w:t>
      </w:r>
      <w:r>
        <w:t xml:space="preserve"> </w:t>
      </w:r>
      <w:r>
        <w:t xml:space="preserve">Reason for inclusion</w:t>
      </w:r>
      <w:r>
        <w:t xml:space="preserve"> </w:t>
      </w:r>
      <w:r>
        <w:t xml:space="preserve">Option 1 (baseline)</w:t>
      </w:r>
      <w:r>
        <w:t xml:space="preserve"> </w:t>
      </w:r>
      <w:r>
        <w:t xml:space="preserve">70</w:t>
      </w:r>
      <w:r>
        <w:t xml:space="preserve"> </w:t>
      </w:r>
      <w:r>
        <w:t xml:space="preserve">Existing EU level.</w:t>
      </w:r>
      <w:r>
        <w:br/>
      </w:r>
      <w:r>
        <w:t xml:space="preserve">Option 2</w:t>
      </w:r>
      <w:r>
        <w:t xml:space="preserve"> </w:t>
      </w:r>
      <w:r>
        <w:t xml:space="preserve">20</w:t>
      </w:r>
      <w:r>
        <w:t xml:space="preserve"> </w:t>
      </w:r>
      <w:r>
        <w:t xml:space="preserve">Lowest national BLV in 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workers</w:t>
      </w:r>
      <w:r>
        <w:t xml:space="preserve"> </w:t>
      </w:r>
      <w:r>
        <w:t xml:space="preserve">(Denmark).</w:t>
      </w:r>
      <w:r>
        <w:t xml:space="preserve"> </w:t>
      </w:r>
      <w:r>
        <w:t xml:space="preserve">Voluntary</w:t>
      </w:r>
      <w:r>
        <w:t xml:space="preserve"> </w:t>
      </w:r>
      <w:r>
        <w:t xml:space="preserve">target</w:t>
      </w:r>
      <w:r>
        <w:t xml:space="preserve"> </w:t>
      </w:r>
      <w:r>
        <w:t xml:space="preserve">of</w:t>
      </w:r>
      <w:r>
        <w:t xml:space="preserve"> </w:t>
      </w:r>
      <w:r>
        <w:t xml:space="preserve">International</w:t>
      </w:r>
      <w:r>
        <w:t xml:space="preserve"> </w:t>
      </w:r>
      <w:r>
        <w:t xml:space="preserve">Lead</w:t>
      </w:r>
      <w:r>
        <w:t xml:space="preserve"> </w:t>
      </w:r>
      <w:r>
        <w:t xml:space="preserve">Association.</w:t>
      </w:r>
      <w:r>
        <w:t xml:space="preserve"> </w:t>
      </w:r>
      <w:r>
        <w:t xml:space="preserve">Option 3</w:t>
      </w:r>
      <w:r>
        <w:t xml:space="preserve"> </w:t>
      </w:r>
      <w:r>
        <w:t xml:space="preserve">15</w:t>
      </w:r>
      <w:r>
        <w:t xml:space="preserve"> </w:t>
      </w:r>
      <w:r>
        <w:t xml:space="preserve">BLV at the level proposed by</w:t>
      </w:r>
      <w:r>
        <w:t xml:space="preserve"> </w:t>
      </w:r>
      <w:r>
        <w:t xml:space="preserve">RAC.</w:t>
      </w:r>
      <w:r>
        <w:t xml:space="preserve"> </w:t>
      </w:r>
      <w:r>
        <w:t xml:space="preserve">Option 4</w:t>
      </w:r>
      <w:r>
        <w:t xml:space="preserve"> </w:t>
      </w:r>
      <w:r>
        <w:t xml:space="preserve">4.5</w:t>
      </w:r>
      <w:r>
        <w:t xml:space="preserve"> </w:t>
      </w:r>
      <w:r>
        <w:t xml:space="preserve">Biological guidance value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background</w:t>
      </w:r>
      <w:r>
        <w:t xml:space="preserve"> </w:t>
      </w:r>
      <w:r>
        <w:t xml:space="preserve">exposure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population.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women of childbearing age</w:t>
      </w:r>
      <w:r>
        <w:t xml:space="preserve"> </w:t>
      </w:r>
      <w:r>
        <w:t xml:space="preserve">(under 50 years of age).</w:t>
      </w:r>
    </w:p>
    <w:p>
      <w:pPr>
        <w:pStyle w:val="BodyText"/>
      </w:pPr>
      <w:r>
        <w:t xml:space="preserve">The detailed analysis of the impacts concerns lowering the BLV from 70 to 20, 15 and 4.5 µg/100ml.</w:t>
      </w:r>
      <w:r>
        <w:t xml:space="preserve"> </w:t>
      </w:r>
      <w:r>
        <w:t xml:space="preserve">Setting the BLV at 0 µg/100ml is not a realistic option due to background exposure of the general</w:t>
      </w:r>
      <w:r>
        <w:t xml:space="preserve"> </w:t>
      </w:r>
      <w:r>
        <w:t xml:space="preserve">population from non-occupational sources of exposure such as dietary intake.</w:t>
      </w:r>
      <w:r>
        <w:t xml:space="preserve"> </w:t>
      </w:r>
      <w:r>
        <w:t xml:space="preserve">In addition to lowering the BLV, it is necessary to lower the OEL. Since blood lead levels are</w:t>
      </w:r>
      <w:r>
        <w:t xml:space="preserve"> </w:t>
      </w:r>
      <w:r>
        <w:t xml:space="preserve">recognised as the main exposure metric in assessing occupational exposures, most companies focus on</w:t>
      </w:r>
      <w:r>
        <w:t xml:space="preserve"> </w:t>
      </w:r>
      <w:r>
        <w:t xml:space="preserve">blood levels management and found it challenging to provide data on airborne levels management. As</w:t>
      </w:r>
      <w:r>
        <w:t xml:space="preserve"> </w:t>
      </w:r>
      <w:r>
        <w:t xml:space="preserve">stated in the ACSH opinion, the relationship between the levels of lead in air and blood depends on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various factors within an occupational setting and an unambiguous correlation between these two</w:t>
      </w:r>
      <w:r>
        <w:t xml:space="preserve"> </w:t>
      </w:r>
      <w:r>
        <w:t xml:space="preserve">metrics is not apparent.</w:t>
      </w:r>
      <w:r>
        <w:br/>
      </w:r>
      <w:r>
        <w:t xml:space="preserve">Therefore, it is not possible to identify OEL options and to independently assess their impacts with any</w:t>
      </w:r>
      <w:r>
        <w:t xml:space="preserve"> </w:t>
      </w:r>
      <w:r>
        <w:t xml:space="preserve">degree of certainty. However, the RMMs used to reduce blood levels will reduce airborne ones and,</w:t>
      </w:r>
      <w:r>
        <w:t xml:space="preserve"> </w:t>
      </w:r>
      <w:r>
        <w:t xml:space="preserve">considering the views of key stakeholders in the ACSH opinion, a numerical value for the revised OEL</w:t>
      </w:r>
      <w:r>
        <w:t xml:space="preserve"> </w:t>
      </w:r>
      <w:r>
        <w:t xml:space="preserve">is presented as a preferred option to complement the BLV. In its opinion, the three Interest Groups of</w:t>
      </w:r>
      <w:r>
        <w:t xml:space="preserve"> </w:t>
      </w:r>
      <w:r>
        <w:t xml:space="preserve">the ACSH did not reach a consensus on what the numerical levels of the updated limit values should be.</w:t>
      </w:r>
      <w:r>
        <w:t xml:space="preserve"> </w:t>
      </w:r>
      <w:r>
        <w:t xml:space="preserve">Whilst the Governments’ and Employers’ Interest Groups supported a BLV of 15µg/100 ml, the</w:t>
      </w:r>
      <w:r>
        <w:t xml:space="preserve"> </w:t>
      </w:r>
      <w:r>
        <w:t xml:space="preserve">Workers’ Interest Group favoured a limit value of 4.5µg/100 ml (for more details, see Annex 2). The</w:t>
      </w:r>
      <w:r>
        <w:t xml:space="preserve"> </w:t>
      </w:r>
      <w:r>
        <w:t xml:space="preserve">preferred option takes into account the assessment of the impacts of the options assessed for the</w:t>
      </w:r>
      <w:r>
        <w:t xml:space="preserve"> </w:t>
      </w:r>
      <w:r>
        <w:t xml:space="preserve">revision of the BLV. Whilst imprecise, this is considered to be an acceptable way forward by the</w:t>
      </w:r>
      <w:r>
        <w:t xml:space="preserve"> </w:t>
      </w:r>
      <w:r>
        <w:t xml:space="preserve">ACSH.</w:t>
      </w:r>
      <w:r>
        <w:br/>
      </w:r>
      <w:r>
        <w:t xml:space="preserve">5.4.2</w:t>
      </w:r>
      <w:r>
        <w:t xml:space="preserve"> </w:t>
      </w:r>
      <w:r>
        <w:t xml:space="preserve">Diisocyanates</w:t>
      </w:r>
      <w:r>
        <w:t xml:space="preserve"> </w:t>
      </w:r>
      <w:r>
        <w:t xml:space="preserve">Table 3 : OEL options for diisocyanates</w:t>
      </w:r>
      <w:r>
        <w:t xml:space="preserve"> </w:t>
      </w:r>
      <w:r>
        <w:t xml:space="preserve">Options</w:t>
      </w:r>
      <w:r>
        <w:t xml:space="preserve"> </w:t>
      </w:r>
      <w:r>
        <w:t xml:space="preserve">Level, µg NCO/m3</w:t>
      </w:r>
      <w:r>
        <w:t xml:space="preserve"> </w:t>
      </w:r>
      <w:r>
        <w:t xml:space="preserve">Reason for inclusion</w:t>
      </w:r>
      <w:r>
        <w:t xml:space="preserve"> </w:t>
      </w:r>
      <w:r>
        <w:t xml:space="preserve">Option 1 (baseline)</w:t>
      </w:r>
      <w:r>
        <w:t xml:space="preserve"> </w:t>
      </w:r>
      <w:r>
        <w:t xml:space="preserve">-</w:t>
      </w:r>
      <w:r>
        <w:t xml:space="preserve"> </w:t>
      </w:r>
      <w:r>
        <w:t xml:space="preserve">No existing EU level</w:t>
      </w:r>
      <w:r>
        <w:br/>
      </w:r>
      <w:r>
        <w:t xml:space="preserve">Option 2</w:t>
      </w:r>
      <w:r>
        <w:t xml:space="preserve"> </w:t>
      </w:r>
      <w:r>
        <w:t xml:space="preserve">10</w:t>
      </w:r>
      <w:r>
        <w:t xml:space="preserve"> </w:t>
      </w:r>
      <w:r>
        <w:t xml:space="preserve">Agreed by study steering</w:t>
      </w:r>
      <w:r>
        <w:t xml:space="preserve"> </w:t>
      </w:r>
      <w:r>
        <w:t xml:space="preserve">group members</w:t>
      </w:r>
      <w:r>
        <w:t xml:space="preserve"> </w:t>
      </w:r>
      <w:r>
        <w:t xml:space="preserve">Option 3</w:t>
      </w:r>
      <w:r>
        <w:t xml:space="preserve"> </w:t>
      </w:r>
      <w:r>
        <w:t xml:space="preserve">6</w:t>
      </w:r>
      <w:r>
        <w:t xml:space="preserve"> </w:t>
      </w:r>
      <w:r>
        <w:t xml:space="preserve">Agreed by study steering</w:t>
      </w:r>
      <w:r>
        <w:t xml:space="preserve"> </w:t>
      </w:r>
      <w:r>
        <w:t xml:space="preserve">group members</w:t>
      </w:r>
    </w:p>
    <w:p>
      <w:pPr>
        <w:pStyle w:val="BodyText"/>
      </w:pPr>
      <w:r>
        <w:t xml:space="preserve">Option 4</w:t>
      </w:r>
      <w:r>
        <w:t xml:space="preserve"> </w:t>
      </w:r>
      <w:r>
        <w:t xml:space="preserve">3</w:t>
      </w:r>
      <w:r>
        <w:t xml:space="preserve"> </w:t>
      </w:r>
      <w:r>
        <w:t xml:space="preserve">This is numerically half the</w:t>
      </w:r>
      <w:r>
        <w:t xml:space="preserve"> </w:t>
      </w:r>
      <w:r>
        <w:t xml:space="preserve">maximum</w:t>
      </w:r>
      <w:r>
        <w:t xml:space="preserve"> </w:t>
      </w:r>
      <w:r>
        <w:t xml:space="preserve">STEL</w:t>
      </w:r>
      <w:r>
        <w:t xml:space="preserve"> </w:t>
      </w:r>
      <w:r>
        <w:t xml:space="preserve">recommended by RAC who</w:t>
      </w:r>
      <w:r>
        <w:t xml:space="preserve"> </w:t>
      </w:r>
      <w:r>
        <w:t xml:space="preserve">also recommended the STEL</w:t>
      </w:r>
      <w:r>
        <w:t xml:space="preserve"> </w:t>
      </w:r>
      <w:r>
        <w:t xml:space="preserve">is at most two times the OEL</w:t>
      </w:r>
      <w:r>
        <w:t xml:space="preserve"> </w:t>
      </w:r>
      <w:r>
        <w:t xml:space="preserve">The external study assessed a broader range of options, including options below 3μg NCO/m3. This</w:t>
      </w:r>
      <w:r>
        <w:t xml:space="preserve"> </w:t>
      </w:r>
      <w:r>
        <w:t xml:space="preserve">information on lower options was available to the ACSH when they agreed on the limit values</w:t>
      </w:r>
      <w:r>
        <w:t xml:space="preserve"> </w:t>
      </w:r>
      <w:r>
        <w:t xml:space="preserve">recommended in their opinion. Since the ACSH adopted its opinion by consensus supporting an OEL of</w:t>
      </w:r>
      <w:r>
        <w:t xml:space="preserve"> </w:t>
      </w:r>
      <w:r>
        <w:t xml:space="preserve">6 μg NCO/m3, the options retained for the analysis were selected to represent a realistic range of</w:t>
      </w:r>
      <w:r>
        <w:t xml:space="preserve"> </w:t>
      </w:r>
      <w:r>
        <w:t xml:space="preserve">possible limit values at, above and below the value recommended by the ACSH.</w:t>
      </w:r>
      <w:r>
        <w:br/>
      </w:r>
      <w:r>
        <w:t xml:space="preserve">An OEL defined as an 8-hour TWA exposure based on the ‘NCO group’ can be obtained from the</w:t>
      </w:r>
      <w:r>
        <w:t xml:space="preserve"> </w:t>
      </w:r>
      <w:r>
        <w:t xml:space="preserve">Exposure Risk Relationship (ERR) for hyperresponsiveness or diisocyanate asthma as derived below,</w:t>
      </w:r>
      <w:r>
        <w:t xml:space="preserve"> </w:t>
      </w:r>
      <w:r>
        <w:t xml:space="preserve">based on excess risk over a working life period.</w:t>
      </w:r>
      <w:r>
        <w:t xml:space="preserve"> </w:t>
      </w:r>
      <w:r>
        <w:t xml:space="preserve">A 15-minutes STEL value is required since peak exposures are important and drive the onset of asthma.</w:t>
      </w:r>
      <w:r>
        <w:t xml:space="preserve"> </w:t>
      </w:r>
      <w:r>
        <w:t xml:space="preserve">However, measuring peaks in epidemiological studies is not practically possible and for this reason,</w:t>
      </w:r>
      <w:r>
        <w:t xml:space="preserve"> </w:t>
      </w:r>
      <w:r>
        <w:t xml:space="preserve">RAC focussed on the OEL whilst concluding on the need for a STEL that should be determined using a</w:t>
      </w:r>
      <w:r>
        <w:t xml:space="preserve"> </w:t>
      </w:r>
      <w:r>
        <w:t xml:space="preserve">multiplication factor of no more than two times the OEL. Based on its scientific evaluation including</w:t>
      </w:r>
      <w:r>
        <w:t xml:space="preserve"> </w:t>
      </w:r>
      <w:r>
        <w:t xml:space="preserve">the exposure risk relationship, RAC recommended that the STEL should not exceed 6 µg/m3 NCO and</w:t>
      </w:r>
      <w:r>
        <w:t xml:space="preserve"> </w:t>
      </w:r>
      <w:r>
        <w:t xml:space="preserve">that it should be no more than two times the OEL. This takes into account availability of scientific data,</w:t>
      </w:r>
      <w:r>
        <w:t xml:space="preserve"> </w:t>
      </w:r>
      <w:r>
        <w:t xml:space="preserve">which is not fully conclusive and is subject to expert scientific opinion based on associated excess risk</w:t>
      </w:r>
      <w:r>
        <w:t xml:space="preserve"> </w:t>
      </w:r>
      <w:r>
        <w:t xml:space="preserve">levels with different exposures. It is consistent with accepted practice whereby there is a factor between</w:t>
      </w:r>
      <w:r>
        <w:t xml:space="preserve"> </w:t>
      </w:r>
      <w:r>
        <w:t xml:space="preserve">the OEL and the STEL. In this specific case, RAC considered a factor of 2 to be appropriate. The</w:t>
      </w:r>
      <w:r>
        <w:t xml:space="preserve"> </w:t>
      </w:r>
      <w:r>
        <w:t xml:space="preserve">details of this approach are presented in the RAC Opinion. This is taken into account in the assessed</w:t>
      </w:r>
      <w:r>
        <w:t xml:space="preserve"> </w:t>
      </w:r>
      <w:r>
        <w:t xml:space="preserve">policy options.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RAC states that any limit value will be associated with a residual risk since it is not possible to identify</w:t>
      </w:r>
      <w:r>
        <w:t xml:space="preserve"> </w:t>
      </w:r>
      <w:r>
        <w:t xml:space="preserve">a safe threshold of exposure at which there is no risk. Based on the ERR, all of the assessed options are</w:t>
      </w:r>
      <w:r>
        <w:t xml:space="preserve"> </w:t>
      </w:r>
      <w:r>
        <w:t xml:space="preserve">associated with an excess risk of developing occupational asthma over a working life. RAC further</w:t>
      </w:r>
      <w:r>
        <w:t xml:space="preserve"> </w:t>
      </w:r>
      <w:r>
        <w:t xml:space="preserve">advised that the lower the exposure, the lower the risk for developing asthma.</w:t>
      </w:r>
      <w:r>
        <w:t xml:space="preserve"> </w:t>
      </w:r>
      <w:r>
        <w:t xml:space="preserve">Whilst this analysis focusses on the OEL, it should be noted that the control measures necessary to</w:t>
      </w:r>
      <w:r>
        <w:t xml:space="preserve"> </w:t>
      </w:r>
      <w:r>
        <w:t xml:space="preserve">ensure compliance with the OEL will also contribute to controlling short term exposures. An explicit</w:t>
      </w:r>
      <w:r>
        <w:t xml:space="preserve"> </w:t>
      </w:r>
      <w:r>
        <w:t xml:space="preserve">separate assessment of STEL levels is not possible due to a lack of appropriate data on short-term</w:t>
      </w:r>
      <w:r>
        <w:t xml:space="preserve"> </w:t>
      </w:r>
      <w:r>
        <w:t xml:space="preserve">exposures. Since the lack of scientific data limits the possibilities for an assessment of the health</w:t>
      </w:r>
      <w:r>
        <w:t xml:space="preserve"> </w:t>
      </w:r>
      <w:r>
        <w:t xml:space="preserve">benefits of the different STEL options for diisocyanates, the projections related to costs are also</w:t>
      </w:r>
      <w:r>
        <w:t xml:space="preserve"> </w:t>
      </w:r>
      <w:r>
        <w:t xml:space="preserve">impacted. The likely underestimation of the costs and benefits does therefore not allow for a purely</w:t>
      </w:r>
      <w:r>
        <w:t xml:space="preserve"> </w:t>
      </w:r>
      <w:r>
        <w:t xml:space="preserve">quantitative comparison. This is developed further below in section 6.1.</w:t>
      </w:r>
      <w:r>
        <w:t xml:space="preserve"> </w:t>
      </w:r>
      <w:r>
        <w:t xml:space="preserve">Moreover, RAC considered that notations for skin sensitisation, respiratory sensitisation, ‘skin’ were</w:t>
      </w:r>
      <w:r>
        <w:t xml:space="preserve"> </w:t>
      </w:r>
      <w:r>
        <w:t xml:space="preserve">warranted. The notations indicate that in addition to the need to control inhalation exposure, it is</w:t>
      </w:r>
      <w:r>
        <w:t xml:space="preserve"> </w:t>
      </w:r>
      <w:r>
        <w:t xml:space="preserve">important to prevent dermal exposure as the substance can be absorbed through the skin and contribute</w:t>
      </w:r>
      <w:r>
        <w:t xml:space="preserve"> </w:t>
      </w:r>
      <w:r>
        <w:t xml:space="preserve">to overall exposure and elicitation of asthma. This can be achieved, for example, by the wearing of</w:t>
      </w:r>
      <w:r>
        <w:t xml:space="preserve"> </w:t>
      </w:r>
      <w:r>
        <w:t xml:space="preserve">gloves and coveralls.</w:t>
      </w:r>
    </w:p>
    <w:p>
      <w:pPr>
        <w:pStyle w:val="Compact"/>
        <w:numPr>
          <w:ilvl w:val="0"/>
          <w:numId w:val="1006"/>
        </w:numPr>
      </w:pPr>
      <w:r>
        <w:t xml:space="preserve">WHAT ARE THE IMPACTS OF THE POLICY OPTIONS?</w:t>
      </w:r>
      <w:r>
        <w:t xml:space="preserve"> </w:t>
      </w:r>
      <w:r>
        <w:t xml:space="preserve">6.1 Analytical methodology</w:t>
      </w:r>
      <w:r>
        <w:t xml:space="preserve"> </w:t>
      </w:r>
      <w:r>
        <w:t xml:space="preserve">The revision of the limit values for lead and the introduction of an OEL and a STEL for diisocyanates is</w:t>
      </w:r>
      <w:r>
        <w:t xml:space="preserve"> </w:t>
      </w:r>
      <w:r>
        <w:t xml:space="preserve">expected to result in a reduction in the occupational exposure to both these hazardous chemicals. The</w:t>
      </w:r>
      <w:r>
        <w:t xml:space="preserve"> </w:t>
      </w:r>
      <w:r>
        <w:t xml:space="preserve">extent of such reduction depends on the current levels of exposure, as well as on the projected future</w:t>
      </w:r>
      <w:r>
        <w:t xml:space="preserve"> </w:t>
      </w:r>
      <w:r>
        <w:t xml:space="preserve">levels of exposure in the absence of the proposed measure (the “baseline scenario”).</w:t>
      </w:r>
      <w:r>
        <w:br/>
      </w:r>
      <w:r>
        <w:t xml:space="preserve">For a given reduction in exposure levels, the expected decrease in the incidence of ill-health over 40</w:t>
      </w:r>
      <w:r>
        <w:t xml:space="preserve"> </w:t>
      </w:r>
      <w:r>
        <w:t xml:space="preserve">years was calculated. This required estimating the risks of adverse health effects, derived from the</w:t>
      </w:r>
      <w:r>
        <w:t xml:space="preserve"> </w:t>
      </w:r>
      <w:r>
        <w:t xml:space="preserve">existing toxicological and epidemiological literature, as well as information about the current level of</w:t>
      </w:r>
      <w:r>
        <w:t xml:space="preserve"> </w:t>
      </w:r>
      <w:r>
        <w:t xml:space="preserve">worker exposure (number of workers exposed, level, duration and frequency of exposure). The</w:t>
      </w:r>
      <w:r>
        <w:t xml:space="preserve"> </w:t>
      </w:r>
      <w:r>
        <w:t xml:space="preserve">calculations of ill-health cases and the cost-related calculations are based on a 40-year reference period,</w:t>
      </w:r>
      <w:r>
        <w:t xml:space="preserve"> </w:t>
      </w:r>
      <w:r>
        <w:t xml:space="preserve">in order to take into account the total risk over the working life. This allows to present a long-term</w:t>
      </w:r>
      <w:r>
        <w:t xml:space="preserve"> </w:t>
      </w:r>
      <w:r>
        <w:t xml:space="preserve">view, instead of considering only the risks that might manifest at the early stages of exposure.</w:t>
      </w:r>
      <w:r>
        <w:t xml:space="preserve"> </w:t>
      </w:r>
      <w:r>
        <w:t xml:space="preserve">The health benefits of the revised OEL/STEL/BLV are calculated in terms of the costs of ill-health</w:t>
      </w:r>
      <w:r>
        <w:t xml:space="preserve"> </w:t>
      </w:r>
      <w:r>
        <w:t xml:space="preserve">avoided. They have been expressed in monetary terms by applying standard valuation methods, in line</w:t>
      </w:r>
      <w:r>
        <w:t xml:space="preserve"> </w:t>
      </w:r>
      <w:r>
        <w:t xml:space="preserve">with the Better Regulation Toolbox guidance. Method 1 is the application of a single willingness to pay</w:t>
      </w:r>
      <w:r>
        <w:t xml:space="preserve"> </w:t>
      </w:r>
      <w:r>
        <w:t xml:space="preserve">(WTP) value to each case and Method 2 is the use of disability adjusted life years (DALYs) and their</w:t>
      </w:r>
      <w:r>
        <w:t xml:space="preserve"> </w:t>
      </w:r>
      <w:r>
        <w:t xml:space="preserve">monetisation. Both estimates monetise the same number of avoided cases and use identical methods for</w:t>
      </w:r>
      <w:r>
        <w:t xml:space="preserve"> </w:t>
      </w:r>
      <w:r>
        <w:t xml:space="preserve">the monetisation of direct (healthcare, informal care, disruption for employers) and indirect</w:t>
      </w:r>
    </w:p>
    <w:p>
      <w:pPr>
        <w:pStyle w:val="FirstParagraph"/>
      </w:pPr>
      <w:r>
        <w:t xml:space="preserve">24</w:t>
      </w:r>
    </w:p>
    <w:p>
      <w:pPr>
        <w:pStyle w:val="BodyText"/>
      </w:pPr>
      <w:r>
        <w:t xml:space="preserve">(productivity/lost earnings71) impacts but use different approaches to assign monetary values to</w:t>
      </w:r>
      <w:r>
        <w:t xml:space="preserve"> </w:t>
      </w:r>
      <w:r>
        <w:t xml:space="preserve">intangible effects (reduced quality of life, pain and suffering, etc.).</w:t>
      </w:r>
      <w:r>
        <w:br/>
      </w:r>
      <w:r>
        <w:t xml:space="preserve">The estimate of the costs was made based on a literature research and data obtained from stakeholders</w:t>
      </w:r>
      <w:r>
        <w:t xml:space="preserve"> </w:t>
      </w:r>
      <w:r>
        <w:t xml:space="preserve">and take into account the following factors: the RMMs 72 needed to comply with the proposed limit</w:t>
      </w:r>
      <w:r>
        <w:t xml:space="preserve"> </w:t>
      </w:r>
      <w:r>
        <w:t xml:space="preserve">values, the costs of these RMMs for each company, the life span of the RMMs and the number of</w:t>
      </w:r>
      <w:r>
        <w:t xml:space="preserve"> </w:t>
      </w:r>
      <w:r>
        <w:t xml:space="preserve">companies.</w:t>
      </w:r>
      <w:r>
        <w:br/>
      </w:r>
      <w:r>
        <w:t xml:space="preserve">The benefits and costs of possible limit values are measured against the baseline, meaning that only</w:t>
      </w:r>
      <w:r>
        <w:t xml:space="preserve"> </w:t>
      </w:r>
      <w:r>
        <w:t xml:space="preserve">marginal costs and marginal benefits are taken into account (i.e., additional costs imposed by the</w:t>
      </w:r>
      <w:r>
        <w:t xml:space="preserve"> </w:t>
      </w:r>
      <w:r>
        <w:t xml:space="preserve">different OEL scenarios on top of those that businesses would already have to bear under the baseline in</w:t>
      </w:r>
      <w:r>
        <w:t xml:space="preserve"> </w:t>
      </w:r>
      <w:r>
        <w:t xml:space="preserve">order to comply with their existing obligations).</w:t>
      </w:r>
      <w:r>
        <w:t xml:space="preserve"> </w:t>
      </w:r>
      <w:r>
        <w:t xml:space="preserve">The calculations in the report are subject to certain methodological limitations. Regarding lead,</w:t>
      </w:r>
      <w:r>
        <w:t xml:space="preserve"> </w:t>
      </w:r>
      <w:r>
        <w:t xml:space="preserve">exposure concentrations, the number of workers and their turnover are key determinants of the costs</w:t>
      </w:r>
      <w:r>
        <w:t xml:space="preserve"> </w:t>
      </w:r>
      <w:r>
        <w:t xml:space="preserve">and benefits. A sensitivity analysis was performed to simulate a higher and lower value for each of</w:t>
      </w:r>
      <w:r>
        <w:t xml:space="preserve"> </w:t>
      </w:r>
      <w:r>
        <w:t xml:space="preserve">those three factors. In general, costs-benefit ratios did not change significantly for the two first. Only in</w:t>
      </w:r>
      <w:r>
        <w:t xml:space="preserve"> </w:t>
      </w:r>
      <w:r>
        <w:t xml:space="preserve">the case of worker turnover (as it affects only the calculation of the benefits) did that ratio improve</w:t>
      </w:r>
      <w:r>
        <w:t xml:space="preserve"> </w:t>
      </w:r>
      <w:r>
        <w:t xml:space="preserve">(higher turnover) or decrease (lower turnover) more significantly.</w:t>
      </w:r>
      <w:r>
        <w:br/>
      </w:r>
      <w:r>
        <w:t xml:space="preserve">For diisocyanates, the main methodological limitation impacting the robustness of projections is the</w:t>
      </w:r>
      <w:r>
        <w:t xml:space="preserve"> </w:t>
      </w:r>
      <w:r>
        <w:t xml:space="preserve">lack of scientific data to assess the health benefits of the different options. Whilst peak exposures are</w:t>
      </w:r>
      <w:r>
        <w:t xml:space="preserve"> </w:t>
      </w:r>
      <w:r>
        <w:t xml:space="preserve">particularly important in the development of occupational asthma73, related ill-health cases could not be</w:t>
      </w:r>
      <w:r>
        <w:t xml:space="preserve"> </w:t>
      </w:r>
      <w:r>
        <w:t xml:space="preserve">modelled due to a lack of data on short-term exposures (see section 5.4.2). This results in an</w:t>
      </w:r>
      <w:r>
        <w:t xml:space="preserve"> </w:t>
      </w:r>
      <w:r>
        <w:t xml:space="preserve">underestimation of the costs and a significant underestimation of the benefits (asthma accounts for more</w:t>
      </w:r>
      <w:r>
        <w:t xml:space="preserve"> </w:t>
      </w:r>
      <w:r>
        <w:t xml:space="preserve">than 90% of the future disease burden) and the impossibility to calculate the impact of the different</w:t>
      </w:r>
      <w:r>
        <w:t xml:space="preserve"> </w:t>
      </w:r>
      <w:r>
        <w:t xml:space="preserve">STEL options in terms of ill-health cases avoided. Consequently, it does not allow for a purely</w:t>
      </w:r>
      <w:r>
        <w:t xml:space="preserve"> </w:t>
      </w:r>
      <w:r>
        <w:t xml:space="preserve">quantitative comparison of the options. Another source of uncertainty is the assumed impact of the</w:t>
      </w:r>
      <w:r>
        <w:t xml:space="preserve"> </w:t>
      </w:r>
      <w:r>
        <w:t xml:space="preserve">REACH restriction. However, due to the difficulties regarding the calculation of the benefits, the</w:t>
      </w:r>
      <w:r>
        <w:t xml:space="preserve"> </w:t>
      </w:r>
      <w:r>
        <w:t xml:space="preserve">sensitivity analysis performed is less straightforward than in the case of lead.</w:t>
      </w:r>
      <w:r>
        <w:br/>
      </w:r>
      <w:r>
        <w:t xml:space="preserve">More information about the analytical methodology is available in Annex 4.</w:t>
      </w:r>
      <w:r>
        <w:br/>
      </w:r>
      <w:r>
        <w:t xml:space="preserve">6.2 Social impacts</w:t>
      </w:r>
      <w:r>
        <w:t xml:space="preserve"> </w:t>
      </w:r>
      <w:r>
        <w:t xml:space="preserve">6.2.1</w:t>
      </w:r>
      <w:r>
        <w:t xml:space="preserve"> </w:t>
      </w:r>
      <w:r>
        <w:t xml:space="preserve">Health impacts for workers and families</w:t>
      </w:r>
      <w:r>
        <w:t xml:space="preserve"> </w:t>
      </w:r>
      <w:r>
        <w:t xml:space="preserve">Lead</w:t>
      </w:r>
      <w:r>
        <w:t xml:space="preserve"> </w:t>
      </w:r>
      <w:r>
        <w:t xml:space="preserve">Table 4 presents the number of avoided cases of ill-health as well as monetised benefits. For the</w:t>
      </w:r>
      <w:r>
        <w:t xml:space="preserve"> </w:t>
      </w:r>
      <w:r>
        <w:t xml:space="preserve">endpoint developmental toxicity, the effects are in the form of IQ loss of newborns.</w:t>
      </w:r>
    </w:p>
    <w:p>
      <w:pPr>
        <w:pStyle w:val="BodyText"/>
      </w:pPr>
      <w:r>
        <w:t xml:space="preserve">71 This is not the case where lost earnings are already taken into account in the willingness to pay estimate in</w:t>
      </w:r>
      <w:r>
        <w:t xml:space="preserve"> </w:t>
      </w:r>
      <w:r>
        <w:t xml:space="preserve">published literature.</w:t>
      </w:r>
      <w:r>
        <w:t xml:space="preserve"> </w:t>
      </w:r>
      <w:r>
        <w:t xml:space="preserve">72 E.g., engineering and ventilation controls, cleaning, personal hygiene, personal protective equipment.</w:t>
      </w:r>
      <w:r>
        <w:t xml:space="preserve"> </w:t>
      </w:r>
      <w:r>
        <w:t xml:space="preserve">73 The RAC opinion states that there are indicators that peak exposures are important for the risk of asthma</w:t>
      </w:r>
      <w:r>
        <w:t xml:space="preserve"> </w:t>
      </w:r>
      <w:r>
        <w:t xml:space="preserve">development. However, measuring peaks in human epidemiological studies is not practically possible because of</w:t>
      </w:r>
      <w:r>
        <w:t xml:space="preserve"> </w:t>
      </w:r>
      <w:r>
        <w:t xml:space="preserve">measurement difficulties.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Table 4: Number of avoided cases of ill-health by endpoint over 40 years for each BLV policy</w:t>
      </w:r>
      <w:r>
        <w:t xml:space="preserve"> </w:t>
      </w:r>
      <w:r>
        <w:t xml:space="preserve">option (compared to baseline)</w:t>
      </w:r>
      <w:r>
        <w:t xml:space="preserve"> </w:t>
      </w:r>
      <w:r>
        <w:t xml:space="preserve">Endpoint</w:t>
      </w:r>
      <w:r>
        <w:t xml:space="preserve"> </w:t>
      </w:r>
      <w:r>
        <w:t xml:space="preserve">Option 2</w:t>
      </w:r>
      <w:r>
        <w:t xml:space="preserve"> </w:t>
      </w:r>
      <w:r>
        <w:t xml:space="preserve">(20 µg/100ml)</w:t>
      </w:r>
      <w:r>
        <w:t xml:space="preserve"> </w:t>
      </w:r>
      <w:r>
        <w:t xml:space="preserve">Option 3</w:t>
      </w:r>
      <w:r>
        <w:t xml:space="preserve"> </w:t>
      </w:r>
      <w:r>
        <w:t xml:space="preserve">(15 µg/100ml)</w:t>
      </w:r>
      <w:r>
        <w:t xml:space="preserve"> </w:t>
      </w:r>
      <w:r>
        <w:t xml:space="preserve">Option 4</w:t>
      </w:r>
      <w:r>
        <w:t xml:space="preserve"> </w:t>
      </w:r>
      <w:r>
        <w:t xml:space="preserve">(4.5 µg/100ml)</w:t>
      </w:r>
      <w:r>
        <w:t xml:space="preserve"> </w:t>
      </w:r>
      <w:r>
        <w:t xml:space="preserve">Central nervous system cancer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Neuropathy</w:t>
      </w:r>
      <w:r>
        <w:t xml:space="preserve"> </w:t>
      </w:r>
      <w:r>
        <w:t xml:space="preserve">179</w:t>
      </w:r>
      <w:r>
        <w:t xml:space="preserve"> </w:t>
      </w:r>
      <w:r>
        <w:t xml:space="preserve">290</w:t>
      </w:r>
      <w:r>
        <w:t xml:space="preserve"> </w:t>
      </w:r>
      <w:r>
        <w:t xml:space="preserve">290</w:t>
      </w:r>
      <w:r>
        <w:t xml:space="preserve"> </w:t>
      </w:r>
      <w:r>
        <w:t xml:space="preserve">Anaemia</w:t>
      </w:r>
      <w:r>
        <w:t xml:space="preserve"> </w:t>
      </w:r>
      <w:r>
        <w:t xml:space="preserve">1 381</w:t>
      </w:r>
      <w:r>
        <w:t xml:space="preserve"> </w:t>
      </w:r>
      <w:r>
        <w:t xml:space="preserve">1 645</w:t>
      </w:r>
      <w:r>
        <w:t xml:space="preserve"> </w:t>
      </w:r>
      <w:r>
        <w:t xml:space="preserve">2 009</w:t>
      </w:r>
      <w:r>
        <w:t xml:space="preserve"> </w:t>
      </w:r>
      <w:r>
        <w:t xml:space="preserve">Chronic kidney disease stage 1</w:t>
      </w:r>
      <w:r>
        <w:t xml:space="preserve"> </w:t>
      </w:r>
      <w:r>
        <w:t xml:space="preserve">4 273</w:t>
      </w:r>
      <w:r>
        <w:t xml:space="preserve"> </w:t>
      </w:r>
      <w:r>
        <w:t xml:space="preserve">5 085</w:t>
      </w:r>
      <w:r>
        <w:t xml:space="preserve"> </w:t>
      </w:r>
      <w:r>
        <w:t xml:space="preserve">6 208</w:t>
      </w:r>
      <w:r>
        <w:t xml:space="preserve"> </w:t>
      </w:r>
      <w:r>
        <w:t xml:space="preserve">Elevated blood pressure</w:t>
      </w:r>
      <w:r>
        <w:t xml:space="preserve"> </w:t>
      </w:r>
      <w:r>
        <w:t xml:space="preserve">1 969</w:t>
      </w:r>
      <w:r>
        <w:t xml:space="preserve"> </w:t>
      </w:r>
      <w:r>
        <w:t xml:space="preserve">2 365</w:t>
      </w:r>
      <w:r>
        <w:t xml:space="preserve"> </w:t>
      </w:r>
      <w:r>
        <w:t xml:space="preserve">2 912</w:t>
      </w:r>
      <w:r>
        <w:t xml:space="preserve"> </w:t>
      </w:r>
      <w:r>
        <w:t xml:space="preserve">Male fertility</w:t>
      </w:r>
      <w:r>
        <w:t xml:space="preserve"> </w:t>
      </w:r>
      <w:r>
        <w:t xml:space="preserve">310</w:t>
      </w:r>
      <w:r>
        <w:t xml:space="preserve"> </w:t>
      </w:r>
      <w:r>
        <w:t xml:space="preserve">387</w:t>
      </w:r>
      <w:r>
        <w:t xml:space="preserve"> </w:t>
      </w:r>
      <w:r>
        <w:t xml:space="preserve">491</w:t>
      </w:r>
      <w:r>
        <w:t xml:space="preserve"> </w:t>
      </w:r>
      <w:r>
        <w:t xml:space="preserve">Pre-eclampsia</w:t>
      </w:r>
      <w:r>
        <w:t xml:space="preserve"> </w:t>
      </w:r>
      <w:r>
        <w:t xml:space="preserve">16</w:t>
      </w:r>
      <w:r>
        <w:t xml:space="preserve"> </w:t>
      </w:r>
      <w:r>
        <w:t xml:space="preserve">23</w:t>
      </w:r>
      <w:r>
        <w:t xml:space="preserve"> </w:t>
      </w:r>
      <w:r>
        <w:t xml:space="preserve">38</w:t>
      </w:r>
      <w:r>
        <w:t xml:space="preserve"> </w:t>
      </w:r>
      <w:r>
        <w:t xml:space="preserve">Developmental toxicity (total</w:t>
      </w:r>
      <w:r>
        <w:t xml:space="preserve"> </w:t>
      </w:r>
      <w:r>
        <w:t xml:space="preserve">IQ loss)</w:t>
      </w:r>
      <w:r>
        <w:t xml:space="preserve"> </w:t>
      </w:r>
      <w:r>
        <w:t xml:space="preserve">370</w:t>
      </w:r>
      <w:r>
        <w:t xml:space="preserve"> </w:t>
      </w:r>
      <w:r>
        <w:t xml:space="preserve">540</w:t>
      </w:r>
      <w:r>
        <w:t xml:space="preserve"> </w:t>
      </w:r>
      <w:r>
        <w:t xml:space="preserve">1,141</w:t>
      </w:r>
      <w:r>
        <w:t xml:space="preserve"> </w:t>
      </w:r>
      <w:r>
        <w:t xml:space="preserve">Total number of avoided ill</w:t>
      </w:r>
      <w:r>
        <w:t xml:space="preserve"> </w:t>
      </w:r>
      <w:r>
        <w:t xml:space="preserve">health cases</w:t>
      </w:r>
      <w:r>
        <w:t xml:space="preserve"> </w:t>
      </w:r>
      <w:r>
        <w:t xml:space="preserve">8 502</w:t>
      </w:r>
      <w:r>
        <w:t xml:space="preserve"> </w:t>
      </w:r>
      <w:r>
        <w:t xml:space="preserve">10 341</w:t>
      </w:r>
      <w:r>
        <w:t xml:space="preserve"> </w:t>
      </w:r>
      <w:r>
        <w:t xml:space="preserve">13 095</w:t>
      </w:r>
      <w:r>
        <w:t xml:space="preserve"> </w:t>
      </w:r>
      <w:r>
        <w:t xml:space="preserve">Health benefits of avoided ill</w:t>
      </w:r>
      <w:r>
        <w:t xml:space="preserve"> </w:t>
      </w:r>
      <w:r>
        <w:t xml:space="preserve">health cases due to revised BLV</w:t>
      </w:r>
      <w:r>
        <w:t xml:space="preserve"> </w:t>
      </w:r>
      <w:r>
        <w:t xml:space="preserve">in monetary terms over 40</w:t>
      </w:r>
      <w:r>
        <w:t xml:space="preserve"> </w:t>
      </w:r>
      <w:r>
        <w:t xml:space="preserve">years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€130 million - €200</w:t>
      </w:r>
      <w:r>
        <w:rPr>
          <w:i/>
          <w:iCs/>
        </w:rPr>
        <w:t xml:space="preserve"> </w:t>
      </w:r>
      <w:r>
        <w:rPr>
          <w:i/>
          <w:iCs/>
        </w:rPr>
        <w:t xml:space="preserve">million</w:t>
      </w:r>
      <w:r>
        <w:rPr>
          <w:i/>
          <w:iCs/>
        </w:rPr>
        <w:t xml:space="preserve"> </w:t>
      </w:r>
      <w:r>
        <w:rPr>
          <w:i/>
          <w:iCs/>
        </w:rPr>
        <w:t xml:space="preserve">€160 million - €250</w:t>
      </w:r>
      <w:r>
        <w:rPr>
          <w:i/>
          <w:iCs/>
        </w:rPr>
        <w:t xml:space="preserve"> </w:t>
      </w:r>
      <w:r>
        <w:rPr>
          <w:i/>
          <w:iCs/>
        </w:rPr>
        <w:t xml:space="preserve">million</w:t>
      </w:r>
      <w:r>
        <w:rPr>
          <w:i/>
          <w:iCs/>
        </w:rPr>
        <w:t xml:space="preserve"> </w:t>
      </w:r>
      <w:r>
        <w:rPr>
          <w:i/>
          <w:iCs/>
        </w:rPr>
        <w:t xml:space="preserve">€200 million - €310</w:t>
      </w:r>
      <w:r>
        <w:rPr>
          <w:i/>
          <w:iCs/>
        </w:rPr>
        <w:t xml:space="preserve"> </w:t>
      </w:r>
      <w:r>
        <w:rPr>
          <w:i/>
          <w:iCs/>
        </w:rPr>
        <w:t xml:space="preserve">million</w:t>
      </w:r>
      <w:r>
        <w:rPr>
          <w:i/>
          <w:iCs/>
        </w:rPr>
        <w:t xml:space="preserve"> </w:t>
      </w:r>
      <w:r>
        <w:t xml:space="preserve"> </w:t>
      </w:r>
      <w:r>
        <w:t xml:space="preserve">Standard valuation method. Lower value Method 1, higher value Method 2</w:t>
      </w:r>
      <w:r>
        <w:t xml:space="preserve"> </w:t>
      </w:r>
      <w:r>
        <w:t xml:space="preserve">Source: RPA, 2021. External study</w:t>
      </w:r>
      <w:r>
        <w:t xml:space="preserve"> </w:t>
      </w:r>
      <w:r>
        <w:t xml:space="preserve">All options substantially improve the protection of workers, with option 4 having the most substantial</w:t>
      </w:r>
      <w:r>
        <w:t xml:space="preserve"> </w:t>
      </w:r>
      <w:r>
        <w:t xml:space="preserve">impact on number of avoided ill health cases. The health benefits in monetary terms are presented as a</w:t>
      </w:r>
      <w:r>
        <w:t xml:space="preserve"> </w:t>
      </w:r>
      <w:r>
        <w:t xml:space="preserve">range as they depend on the methodology used. The benefits would be slightly higher under options 3</w:t>
      </w:r>
      <w:r>
        <w:t xml:space="preserve"> </w:t>
      </w:r>
      <w:r>
        <w:t xml:space="preserve">and 4 but significant progress would be made under each option.</w:t>
      </w:r>
      <w:r>
        <w:br/>
      </w:r>
      <w:r>
        <w:t xml:space="preserve">Gender is an important factor. Even though the share of the female workforce is relatively small</w:t>
      </w:r>
      <w:r>
        <w:t xml:space="preserve"> </w:t>
      </w:r>
      <w:r>
        <w:t xml:space="preserve">(around 3%), lead can affect the developing foetus in pregnant women. RAC mentions in its opinion</w:t>
      </w:r>
      <w:r>
        <w:t xml:space="preserve"> </w:t>
      </w:r>
      <w:r>
        <w:t xml:space="preserve">that option 3 (and option 2 by analogy) does not protect from developmental toxicity. Consequently, it</w:t>
      </w:r>
      <w:r>
        <w:t xml:space="preserve"> </w:t>
      </w:r>
      <w:r>
        <w:t xml:space="preserve">suggests to avoid any exposure of women of childbearing age. Against this background, option 4 would</w:t>
      </w:r>
      <w:r>
        <w:t xml:space="preserve"> </w:t>
      </w:r>
      <w:r>
        <w:t xml:space="preserve">offer a better protection to these women by preventing almost all pre-eclampsia cases and about 80% of</w:t>
      </w:r>
      <w:r>
        <w:t xml:space="preserve"> </w:t>
      </w:r>
      <w:r>
        <w:t xml:space="preserve">developmental toxicity cases.</w:t>
      </w:r>
      <w:r>
        <w:br/>
      </w:r>
      <w:r>
        <w:t xml:space="preserve">Diisocyanates</w:t>
      </w:r>
      <w:r>
        <w:t xml:space="preserve"> </w:t>
      </w:r>
      <w:r>
        <w:t xml:space="preserve">Table 5 presents the number of avoided ill-health cases under each option. However, and as highlighted</w:t>
      </w:r>
      <w:r>
        <w:t xml:space="preserve"> </w:t>
      </w:r>
      <w:r>
        <w:t xml:space="preserve">in section 6.1, the ill-health cases associated with peak exposures could not be calculated due to a lack</w:t>
      </w:r>
      <w:r>
        <w:t xml:space="preserve"> </w:t>
      </w:r>
      <w:r>
        <w:t xml:space="preserve">of scientific data. This leads to a significant underestimation of the ill-health cases, especially since</w:t>
      </w:r>
      <w:r>
        <w:t xml:space="preserve"> </w:t>
      </w:r>
      <w:r>
        <w:t xml:space="preserve">peak exposures are particularly important in the development of occupational asthma, the main</w:t>
      </w:r>
      <w:r>
        <w:t xml:space="preserve"> </w:t>
      </w:r>
      <w:r>
        <w:t xml:space="preserve">endpoint.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Table 5: Number of avoided cases of ill-health by endpoint over 40 years for each OEL policy</w:t>
      </w:r>
      <w:r>
        <w:t xml:space="preserve"> </w:t>
      </w:r>
      <w:r>
        <w:t xml:space="preserve">option (compared to baseline)</w:t>
      </w:r>
      <w:r>
        <w:t xml:space="preserve"> </w:t>
      </w:r>
      <w:r>
        <w:t xml:space="preserve">Endpoint</w:t>
      </w:r>
      <w:r>
        <w:t xml:space="preserve"> </w:t>
      </w:r>
      <w:r>
        <w:t xml:space="preserve">Option 2</w:t>
      </w:r>
      <w:r>
        <w:br/>
      </w:r>
      <w:r>
        <w:t xml:space="preserve">(10 µg NCO/m3)</w:t>
      </w:r>
      <w:r>
        <w:t xml:space="preserve"> </w:t>
      </w:r>
      <w:r>
        <w:t xml:space="preserve">Option 3</w:t>
      </w:r>
      <w:r>
        <w:br/>
      </w:r>
      <w:r>
        <w:t xml:space="preserve">(6 µg NCO/m3)</w:t>
      </w:r>
      <w:r>
        <w:t xml:space="preserve"> </w:t>
      </w:r>
      <w:r>
        <w:t xml:space="preserve">Option 4</w:t>
      </w:r>
      <w:r>
        <w:br/>
      </w:r>
      <w:r>
        <w:t xml:space="preserve">(3 µg NCO/m3)</w:t>
      </w:r>
      <w:r>
        <w:t xml:space="preserve"> </w:t>
      </w:r>
      <w:r>
        <w:t xml:space="preserve">Asthma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Irritation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259</w:t>
      </w:r>
      <w:r>
        <w:t xml:space="preserve"> </w:t>
      </w:r>
      <w:r>
        <w:t xml:space="preserve">Source: Study team</w:t>
      </w:r>
    </w:p>
    <w:p>
      <w:pPr>
        <w:pStyle w:val="BodyText"/>
      </w:pPr>
      <w:r>
        <w:t xml:space="preserve">Reducing cases of asthma and irritation would, in theory, require an OEL set at 3 µg NCO/m3 (option 4)</w:t>
      </w:r>
      <w:r>
        <w:t xml:space="preserve"> </w:t>
      </w:r>
      <w:r>
        <w:t xml:space="preserve">or lower74. Monetised benefits of option 4 are estimated between EUR 0.8 and EUR 2.2 million. As the</w:t>
      </w:r>
      <w:r>
        <w:t xml:space="preserve"> </w:t>
      </w:r>
      <w:r>
        <w:t xml:space="preserve">calculations could not take into account ill-health cases associated to peak exposures, options 2 and 3</w:t>
      </w:r>
      <w:r>
        <w:t xml:space="preserve"> </w:t>
      </w:r>
      <w:r>
        <w:t xml:space="preserve">would, according to the model, have no positive impacts on the number of ill-health cases against the</w:t>
      </w:r>
      <w:r>
        <w:t xml:space="preserve"> </w:t>
      </w:r>
      <w:r>
        <w:t xml:space="preserve">baseline scenario. However, although not possible to calculate, it can be anticipated that by reducing</w:t>
      </w:r>
      <w:r>
        <w:t xml:space="preserve"> </w:t>
      </w:r>
      <w:r>
        <w:t xml:space="preserve">average and peak exposures, benefits would materialise at options 2, 3 and 4 levels. Therefore, we can</w:t>
      </w:r>
      <w:r>
        <w:t xml:space="preserve"> </w:t>
      </w:r>
      <w:r>
        <w:t xml:space="preserve">conclude that options 2, 3 and 4 will lead to a more significant improvement of the protection of</w:t>
      </w:r>
      <w:r>
        <w:t xml:space="preserve"> </w:t>
      </w:r>
      <w:r>
        <w:t xml:space="preserve">workers than what it is reflected in the table.</w:t>
      </w:r>
      <w:r>
        <w:t xml:space="preserve"> </w:t>
      </w:r>
      <w:r>
        <w:t xml:space="preserve">6.2.2</w:t>
      </w:r>
      <w:r>
        <w:t xml:space="preserve"> </w:t>
      </w:r>
      <w:r>
        <w:t xml:space="preserve">Impacts on employment</w:t>
      </w:r>
      <w:r>
        <w:t xml:space="preserve"> </w:t>
      </w:r>
      <w:r>
        <w:t xml:space="preserve">Lead</w:t>
      </w:r>
      <w:r>
        <w:br/>
      </w:r>
      <w:r>
        <w:t xml:space="preserve">The negative consequences on employment are only expected under option 4 as 29 companies (out of</w:t>
      </w:r>
      <w:r>
        <w:t xml:space="preserve"> </w:t>
      </w:r>
      <w:r>
        <w:t xml:space="preserve">which 25 are small or medium-sized enterprises) would discontinue their activities75, in particular in the</w:t>
      </w:r>
      <w:r>
        <w:t xml:space="preserve"> </w:t>
      </w:r>
      <w:r>
        <w:t xml:space="preserve">sectors of foundries and demolition, repairing and scrap industry. About 1 800 workers76 in the EU</w:t>
      </w:r>
      <w:r>
        <w:t xml:space="preserve"> </w:t>
      </w:r>
      <w:r>
        <w:t xml:space="preserve">would lose their job, which would represent an estimated cost of EUR 150 million for workers and their</w:t>
      </w:r>
      <w:r>
        <w:t xml:space="preserve"> </w:t>
      </w:r>
      <w:r>
        <w:t xml:space="preserve">families. It cannot be excluded that some of these workers could find work in companies offering lead-</w:t>
      </w:r>
      <w:r>
        <w:t xml:space="preserve"> </w:t>
      </w:r>
      <w:r>
        <w:t xml:space="preserve">free alternative solutions in the same sectors. However, it was not possible to quantify these possible</w:t>
      </w:r>
      <w:r>
        <w:t xml:space="preserve"> </w:t>
      </w:r>
      <w:r>
        <w:t xml:space="preserve">transfers due to a lack of data.</w:t>
      </w:r>
      <w:r>
        <w:br/>
      </w:r>
      <w:r>
        <w:t xml:space="preserve">No discontinuation is expected under options 2 and 3. More information on the companies which would</w:t>
      </w:r>
      <w:r>
        <w:t xml:space="preserve"> </w:t>
      </w:r>
      <w:r>
        <w:t xml:space="preserve">discontinue under option 4 is provided in section 6.3.2.</w:t>
      </w:r>
      <w:r>
        <w:t xml:space="preserve"> </w:t>
      </w:r>
      <w:r>
        <w:t xml:space="preserve">Diisocyanates</w:t>
      </w:r>
      <w:r>
        <w:t xml:space="preserve"> </w:t>
      </w:r>
      <w:r>
        <w:t xml:space="preserve">There are no negative impacts on employment expected under options 2 and 3. Under option 4, about</w:t>
      </w:r>
      <w:r>
        <w:t xml:space="preserve"> </w:t>
      </w:r>
      <w:r>
        <w:t xml:space="preserve">50 companies (almost all small companies) operating in textiles and apparel sectors would close down</w:t>
      </w:r>
      <w:r>
        <w:t xml:space="preserve"> </w:t>
      </w:r>
      <w:r>
        <w:t xml:space="preserve">due to excessive impacts on their activities. Around 100 workers in the EU are expected to lose their</w:t>
      </w:r>
      <w:r>
        <w:t xml:space="preserve"> </w:t>
      </w:r>
      <w:r>
        <w:t xml:space="preserve">jobs, which would represent an estimated cost of EUR 8.5 million for workers and their families.</w:t>
      </w:r>
    </w:p>
    <w:p>
      <w:pPr>
        <w:pStyle w:val="BodyText"/>
      </w:pPr>
      <w:r>
        <w:t xml:space="preserve">74 Based on the STEL being numerically twice the level of the OEL, this would result in a STEL of 6 µg NCO/m3</w:t>
      </w:r>
      <w:r>
        <w:t xml:space="preserve"> </w:t>
      </w:r>
      <w:r>
        <w:t xml:space="preserve">(value recommended by RAC).</w:t>
      </w:r>
      <w:r>
        <w:t xml:space="preserve"> </w:t>
      </w:r>
      <w:r>
        <w:t xml:space="preserve">75 A company is expected to discontinue when the cost of the risk management measures is higher than the cost of</w:t>
      </w:r>
      <w:r>
        <w:t xml:space="preserve"> </w:t>
      </w:r>
      <w:r>
        <w:t xml:space="preserve">discontinuing.</w:t>
      </w:r>
      <w:r>
        <w:t xml:space="preserve"> </w:t>
      </w:r>
      <w:r>
        <w:t xml:space="preserve">76 300 workers in secondary lead production, 840 in lead battery production, 92 in production of articles</w:t>
      </w:r>
      <w:r>
        <w:t xml:space="preserve"> </w:t>
      </w:r>
      <w:r>
        <w:t xml:space="preserve">of lead metal, 400 in foundries, 105 in ceramic ware production and enamelling, 13 in work with lead</w:t>
      </w:r>
      <w:r>
        <w:t xml:space="preserve"> </w:t>
      </w:r>
      <w:r>
        <w:t xml:space="preserve">metal and 27 in demolition, repairing and scrap industry.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6.3 Economic impacts</w:t>
      </w:r>
      <w:r>
        <w:t xml:space="preserve"> </w:t>
      </w:r>
      <w:r>
        <w:t xml:space="preserve">6.3.1</w:t>
      </w:r>
      <w:r>
        <w:t xml:space="preserve"> </w:t>
      </w:r>
      <w:r>
        <w:t xml:space="preserve">Impact on businesses, including SMEs</w:t>
      </w:r>
      <w:r>
        <w:t xml:space="preserve"> </w:t>
      </w:r>
      <w:r>
        <w:t xml:space="preserve">Lead</w:t>
      </w:r>
      <w:r>
        <w:t xml:space="preserve"> </w:t>
      </w:r>
      <w:r>
        <w:t xml:space="preserve">The direct costs for businesses (table 6) depend exclusively on the costs of the necessary RMMs to</w:t>
      </w:r>
      <w:r>
        <w:t xml:space="preserve"> </w:t>
      </w:r>
      <w:r>
        <w:t xml:space="preserve">comply with a stricter EU limit value for lead (‘compliance costs’). Since companies already have to</w:t>
      </w:r>
      <w:r>
        <w:t xml:space="preserve"> </w:t>
      </w:r>
      <w:r>
        <w:t xml:space="preserve">demonstrate compliance with the existing EU limit values for lead and perform health surveillance</w:t>
      </w:r>
      <w:r>
        <w:t xml:space="preserve"> </w:t>
      </w:r>
      <w:r>
        <w:t xml:space="preserve">according to the requirements in the CAD, it is not expected that they will face additional monitoring or</w:t>
      </w:r>
      <w:r>
        <w:t xml:space="preserve"> </w:t>
      </w:r>
      <w:r>
        <w:t xml:space="preserve">administrative costs.</w:t>
      </w:r>
      <w:r>
        <w:t xml:space="preserve"> </w:t>
      </w:r>
      <w:r>
        <w:t xml:space="preserve">The additional compliance costs (compared to the baseline) are increasing with the stricter values. They</w:t>
      </w:r>
      <w:r>
        <w:t xml:space="preserve"> </w:t>
      </w:r>
      <w:r>
        <w:t xml:space="preserve">are estimated at EUR 348 million (option 2), EUR 745 million (option 3) and EUR 6.3 billion (option</w:t>
      </w:r>
      <w:r>
        <w:t xml:space="preserve"> </w:t>
      </w:r>
      <w:r>
        <w:t xml:space="preserve">4). About 22 500 companies (99% of them small or medium-sized enterprises) would have to bear those</w:t>
      </w:r>
      <w:r>
        <w:t xml:space="preserve"> </w:t>
      </w:r>
      <w:r>
        <w:t xml:space="preserve">additional costs under all options. The costs per company (over 40 years) would vary on average from</w:t>
      </w:r>
      <w:r>
        <w:t xml:space="preserve"> </w:t>
      </w:r>
      <w:r>
        <w:t xml:space="preserve">EUR 15 000 to EUR 300 000 depending on the policy option. Under options 2 and 3, the compliance</w:t>
      </w:r>
      <w:r>
        <w:t xml:space="preserve"> </w:t>
      </w:r>
      <w:r>
        <w:t xml:space="preserve">costs would represent less than 1% of the annual turnover. Under option 4, the share would be between</w:t>
      </w:r>
      <w:r>
        <w:t xml:space="preserve"> </w:t>
      </w:r>
      <w:r>
        <w:t xml:space="preserve">1% and 3% and would affect in particular small and to a lesser extent medium-sized enterprises</w:t>
      </w:r>
      <w:r>
        <w:t xml:space="preserve"> </w:t>
      </w:r>
      <w:r>
        <w:t xml:space="preserve">operating in some sectors77.</w:t>
      </w:r>
      <w:r>
        <w:t xml:space="preserve"> </w:t>
      </w:r>
      <w:r>
        <w:t xml:space="preserve">The companies will also have benefits related to improved labour productivity, lower costs of sick leave</w:t>
      </w:r>
      <w:r>
        <w:t xml:space="preserve"> </w:t>
      </w:r>
      <w:r>
        <w:t xml:space="preserve">and other administrative and legal costs (e.g., linked to the replacement of employees). They are</w:t>
      </w:r>
      <w:r>
        <w:t xml:space="preserve"> </w:t>
      </w:r>
      <w:r>
        <w:t xml:space="preserve">expected to vary from EUR 5 to EUR 6 million.</w:t>
      </w:r>
      <w:r>
        <w:br/>
      </w:r>
      <w:r>
        <w:t xml:space="preserve">All the Member States, with exception of Denmark78, would have to lower their existing limit values</w:t>
      </w:r>
      <w:r>
        <w:t xml:space="preserve"> </w:t>
      </w:r>
      <w:r>
        <w:t xml:space="preserve">under any of the options. Therefore, almost all the companies in the EU would be affected in a similar</w:t>
      </w:r>
      <w:r>
        <w:t xml:space="preserve"> </w:t>
      </w:r>
      <w:r>
        <w:t xml:space="preserve">way. A wide variety of sectors are particularly represented in France, Germany, Italy, Poland and Spain,</w:t>
      </w:r>
      <w:r>
        <w:t xml:space="preserve"> </w:t>
      </w:r>
      <w:r>
        <w:t xml:space="preserve">in which the existing limit value is higher than option 2. Therefore, these Member States are expected to</w:t>
      </w:r>
      <w:r>
        <w:t xml:space="preserve"> </w:t>
      </w:r>
      <w:r>
        <w:t xml:space="preserve">be more affected under each policy option.</w:t>
      </w:r>
      <w:r>
        <w:br/>
      </w:r>
      <w:r>
        <w:t xml:space="preserve">More details per sectors and Member States are provided in section 6.3.2.</w:t>
      </w:r>
      <w:r>
        <w:t xml:space="preserve"> </w:t>
      </w:r>
      <w:r>
        <w:t xml:space="preserve">Table 6: costs and benefits for businesses (in € million, over 40 years)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(20 µg/100ml)</w:t>
      </w:r>
      <w:r>
        <w:t xml:space="preserve"> </w:t>
      </w:r>
      <w:r>
        <w:t xml:space="preserve">Option 3</w:t>
      </w:r>
      <w:r>
        <w:t xml:space="preserve"> </w:t>
      </w:r>
      <w:r>
        <w:t xml:space="preserve">(15 µg/100ml)</w:t>
      </w:r>
      <w:r>
        <w:t xml:space="preserve"> </w:t>
      </w:r>
      <w:r>
        <w:t xml:space="preserve">Option 4</w:t>
      </w:r>
      <w:r>
        <w:t xml:space="preserve"> </w:t>
      </w:r>
      <w:r>
        <w:t xml:space="preserve">(4.5 µg/100ml)</w:t>
      </w:r>
      <w:r>
        <w:t xml:space="preserve"> </w:t>
      </w:r>
      <w:r>
        <w:t xml:space="preserve">Costs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€350</w:t>
      </w:r>
      <w:r>
        <w:t xml:space="preserve"> </w:t>
      </w:r>
      <w:r>
        <w:t xml:space="preserve">€750</w:t>
      </w:r>
      <w:r>
        <w:t xml:space="preserve"> </w:t>
      </w:r>
      <w:r>
        <w:t xml:space="preserve">€6,300</w:t>
      </w:r>
      <w:r>
        <w:t xml:space="preserve"> </w:t>
      </w:r>
      <w:r>
        <w:t xml:space="preserve">Monitoring costs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Benefits</w:t>
      </w:r>
      <w:r>
        <w:br/>
      </w:r>
      <w:r>
        <w:t xml:space="preserve">Avoided costs</w:t>
      </w:r>
      <w:r>
        <w:t xml:space="preserve"> </w:t>
      </w:r>
      <w:r>
        <w:t xml:space="preserve">€4</w:t>
      </w:r>
      <w:r>
        <w:t xml:space="preserve"> </w:t>
      </w:r>
      <w:r>
        <w:t xml:space="preserve">€5</w:t>
      </w:r>
      <w:r>
        <w:t xml:space="preserve"> </w:t>
      </w:r>
      <w:r>
        <w:t xml:space="preserve">€6</w:t>
      </w:r>
    </w:p>
    <w:p>
      <w:pPr>
        <w:pStyle w:val="BodyText"/>
      </w:pPr>
      <w:r>
        <w:t xml:space="preserve">77 Secondary lead production (including lead battery recycling), production of articles of lead metal, foundries,</w:t>
      </w:r>
      <w:r>
        <w:t xml:space="preserve"> </w:t>
      </w:r>
      <w:r>
        <w:t xml:space="preserve">production of lead compounds and lead frits and ceramic ware production and enamelling.</w:t>
      </w:r>
      <w:r>
        <w:t xml:space="preserve"> </w:t>
      </w:r>
      <w:r>
        <w:t xml:space="preserve">78 Denmark has a national limit value of 20 µg/100ml.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Diisocyanates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Under option 2, companies would not face additional compliance costs compared to the baseline</w:t>
      </w:r>
      <w:r>
        <w:t xml:space="preserve"> </w:t>
      </w:r>
      <w:r>
        <w:t xml:space="preserve">scenario. The measures currently in place should be sufficient to keep the workers’ exposure under this</w:t>
      </w:r>
      <w:r>
        <w:t xml:space="preserve"> </w:t>
      </w:r>
      <w:r>
        <w:t xml:space="preserve">limit value.</w:t>
      </w:r>
      <w:r>
        <w:br/>
      </w:r>
      <w:r>
        <w:t xml:space="preserve">In the case of options 3 and 4, however, there will be additional compliance costs (table 7) due to</w:t>
      </w:r>
      <w:r>
        <w:t xml:space="preserve"> </w:t>
      </w:r>
      <w:r>
        <w:t xml:space="preserve">additional investment in risk management measures (RMMs). This would entail investing in local</w:t>
      </w:r>
      <w:r>
        <w:t xml:space="preserve"> </w:t>
      </w:r>
      <w:r>
        <w:t xml:space="preserve">exhaust ventilation systems (requiring high one-off and low recurrent costs). On the other side, both</w:t>
      </w:r>
      <w:r>
        <w:t xml:space="preserve"> </w:t>
      </w:r>
      <w:r>
        <w:t xml:space="preserve">these options would also lead to savings, as the new ventilation systems will reduce the need to use</w:t>
      </w:r>
      <w:r>
        <w:t xml:space="preserve"> </w:t>
      </w:r>
      <w:r>
        <w:t xml:space="preserve">respiratory protective equipment (characterised by low one-off and high recurrent costs).</w:t>
      </w:r>
      <w:r>
        <w:br/>
      </w:r>
      <w:r>
        <w:t xml:space="preserve">Under option 3, only companies operating in manufacture of textile and wearing apparel sectors (less</w:t>
      </w:r>
      <w:r>
        <w:t xml:space="preserve"> </w:t>
      </w:r>
      <w:r>
        <w:t xml:space="preserve">than 1% of the total number of companies with exposed workers) would need to invest in additional</w:t>
      </w:r>
      <w:r>
        <w:t xml:space="preserve"> </w:t>
      </w:r>
      <w:r>
        <w:t xml:space="preserve">RMMs. The costs will be approximatively EUR 10.5 million over 40 years (EUR 3.3 million</w:t>
      </w:r>
      <w:r>
        <w:t xml:space="preserve"> </w:t>
      </w:r>
      <w:r>
        <w:t xml:space="preserve">[manufacture of textile] and EUR 7.2 million [wearing apparel]). This net cost over 40 years takes into</w:t>
      </w:r>
      <w:r>
        <w:t xml:space="preserve"> </w:t>
      </w:r>
      <w:r>
        <w:t xml:space="preserve">account EUR 4.4 million savings due to a reduced use of respiratory protective equipment. This also</w:t>
      </w:r>
      <w:r>
        <w:t xml:space="preserve"> </w:t>
      </w:r>
      <w:r>
        <w:t xml:space="preserve">means that companies in those two sectors would have to bear upfront EUR 15 million, which would</w:t>
      </w:r>
      <w:r>
        <w:t xml:space="preserve"> </w:t>
      </w:r>
      <w:r>
        <w:t xml:space="preserve">represent approximatively EUR 1 425 per company.</w:t>
      </w:r>
      <w:r>
        <w:t xml:space="preserve"> </w:t>
      </w:r>
      <w:r>
        <w:t xml:space="preserve">Under option 4, companies operating in several sectors would have to invest about EUR 830 million in</w:t>
      </w:r>
      <w:r>
        <w:t xml:space="preserve"> </w:t>
      </w:r>
      <w:r>
        <w:t xml:space="preserve">new RMMs over 40 years. In the decreasing order of total costs, the sectors are maintenance and repair</w:t>
      </w:r>
      <w:r>
        <w:t xml:space="preserve"> </w:t>
      </w:r>
      <w:r>
        <w:t xml:space="preserve">of motor vehicles, manufacture of wearing apparel, manufacture of textile, manufacture of chemicals,</w:t>
      </w:r>
      <w:r>
        <w:t xml:space="preserve"> </w:t>
      </w:r>
      <w:r>
        <w:t xml:space="preserve">and repair and installation of machinery and equipment. However, the costs per company are expected</w:t>
      </w:r>
      <w:r>
        <w:t xml:space="preserve"> </w:t>
      </w:r>
      <w:r>
        <w:t xml:space="preserve">to be particularly high for companies operating in textile and wearing apparel sectors (EUR 8 200 and</w:t>
      </w:r>
      <w:r>
        <w:t xml:space="preserve"> </w:t>
      </w:r>
      <w:r>
        <w:t xml:space="preserve">EUR 4 300 respectively) compared to the others (between EUR 0 and EUR 3 100). These costs</w:t>
      </w:r>
      <w:r>
        <w:t xml:space="preserve"> </w:t>
      </w:r>
      <w:r>
        <w:t xml:space="preserve">represent only 0.05% of companies’ turnover, but the necessary investments would be made almost</w:t>
      </w:r>
      <w:r>
        <w:t xml:space="preserve"> </w:t>
      </w:r>
      <w:r>
        <w:t xml:space="preserve">entirely from day 1. Overall, the companies most impacted would be small and medium-sized</w:t>
      </w:r>
      <w:r>
        <w:t xml:space="preserve"> </w:t>
      </w:r>
      <w:r>
        <w:t xml:space="preserve">enterprises, which usually have less capital for investment.</w:t>
      </w:r>
      <w:r>
        <w:br/>
      </w:r>
      <w:r>
        <w:t xml:space="preserve">Monitoring costs</w:t>
      </w:r>
      <w:r>
        <w:t xml:space="preserve"> </w:t>
      </w:r>
      <w:r>
        <w:t xml:space="preserve">65% of companies operate in 19 Member States with existing OELs and STELs for at least one</w:t>
      </w:r>
      <w:r>
        <w:t xml:space="preserve"> </w:t>
      </w:r>
      <w:r>
        <w:t xml:space="preserve">diisocyanate (in particular MDI or TDI). However, it is expected that those with low exposure levels</w:t>
      </w:r>
      <w:r>
        <w:t xml:space="preserve"> </w:t>
      </w:r>
      <w:r>
        <w:t xml:space="preserve">usually do not measure it as it is not strictly required in certain Member States. The remaining 35% of</w:t>
      </w:r>
      <w:r>
        <w:t xml:space="preserve"> </w:t>
      </w:r>
      <w:r>
        <w:t xml:space="preserve">companies are assumed not to carry out any measurement at the moment since they operate in Member</w:t>
      </w:r>
      <w:r>
        <w:t xml:space="preserve"> </w:t>
      </w:r>
      <w:r>
        <w:t xml:space="preserve">States with no limit values.</w:t>
      </w:r>
      <w:r>
        <w:br/>
      </w:r>
      <w:r>
        <w:t xml:space="preserve">The monitoring of the OEL and STEL is assumed to be carried out at the same time. Therefore, the</w:t>
      </w:r>
      <w:r>
        <w:t xml:space="preserve"> </w:t>
      </w:r>
      <w:r>
        <w:t xml:space="preserve">costs of administration, planning, execution and reporting are shared. Only costs related to sample/filter</w:t>
      </w:r>
      <w:r>
        <w:t xml:space="preserve"> </w:t>
      </w:r>
      <w:r>
        <w:t xml:space="preserve">and analysis are specific to OEL or STEL.</w:t>
      </w:r>
      <w:r>
        <w:t xml:space="preserve"> </w:t>
      </w:r>
      <w:r>
        <w:t xml:space="preserve">Under option 2, it is assumed that 50% of the companies operating in a Member State with no limit</w:t>
      </w:r>
      <w:r>
        <w:t xml:space="preserve"> </w:t>
      </w:r>
      <w:r>
        <w:t xml:space="preserve">value79 will start monitoring workers’ exposure. This means around 435 000 (431 500 small,</w:t>
      </w:r>
      <w:r>
        <w:t xml:space="preserve"> </w:t>
      </w:r>
      <w:r>
        <w:t xml:space="preserve">2 950 medium and 620 large) companies that would in total spend EUR 4.6 billion on monitoring over</w:t>
      </w:r>
      <w:r>
        <w:t xml:space="preserve"> </w:t>
      </w:r>
      <w:r>
        <w:t xml:space="preserve">40 years. The costs per company according to their size over 40 years would be EUR 10 351 (small),</w:t>
      </w:r>
    </w:p>
    <w:p>
      <w:pPr>
        <w:pStyle w:val="BodyText"/>
      </w:pPr>
      <w:r>
        <w:t xml:space="preserve">79 Eight Member States have neither an OEL nor a STEL: CY, CZ, EL, LU, MT, NL, PT, SK.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EUR 32 922 (medium) and EUR 182 041 (large). For companies in Member States with an existing</w:t>
      </w:r>
      <w:r>
        <w:t xml:space="preserve"> </w:t>
      </w:r>
      <w:r>
        <w:t xml:space="preserve">limit value for one or several diisocyanates, no additional costs are expected.</w:t>
      </w:r>
      <w:r>
        <w:t xml:space="preserve"> </w:t>
      </w:r>
      <w:r>
        <w:t xml:space="preserve">Under options 3 and 4, 75% of the companies in Member States without a limit value are assumed to</w:t>
      </w:r>
      <w:r>
        <w:t xml:space="preserve"> </w:t>
      </w:r>
      <w:r>
        <w:t xml:space="preserve">start monitoring workers’ exposure. The number of concerned companies and the monitoring costs will</w:t>
      </w:r>
      <w:r>
        <w:t xml:space="preserve"> </w:t>
      </w:r>
      <w:r>
        <w:t xml:space="preserve">therefore be the same under both options. In total, about 1 million companies (1 million small, 7 100</w:t>
      </w:r>
      <w:r>
        <w:t xml:space="preserve"> </w:t>
      </w:r>
      <w:r>
        <w:t xml:space="preserve">medium and 1 500 large companies) would dedicate EUR 11 billion over 40 years for monitoring</w:t>
      </w:r>
      <w:r>
        <w:t xml:space="preserve"> </w:t>
      </w:r>
      <w:r>
        <w:t xml:space="preserve">workers’ exposure, which represents EUR 11 265 per company over 40 years.</w:t>
      </w:r>
      <w:r>
        <w:br/>
      </w:r>
      <w:r>
        <w:t xml:space="preserve">Administrative costs</w:t>
      </w:r>
      <w:r>
        <w:t xml:space="preserve"> </w:t>
      </w:r>
      <w:r>
        <w:t xml:space="preserve">The cost of planning, executing and reporting the sampling and analysis of monitoring is carried out by</w:t>
      </w:r>
      <w:r>
        <w:t xml:space="preserve"> </w:t>
      </w:r>
      <w:r>
        <w:t xml:space="preserve">an external specialised company and considered therefore as compliance cost. However, although this</w:t>
      </w:r>
      <w:r>
        <w:t xml:space="preserve"> </w:t>
      </w:r>
      <w:r>
        <w:t xml:space="preserve">task is externalised, some staff still have to manage the monitoring carried out by the external company.</w:t>
      </w:r>
      <w:r>
        <w:t xml:space="preserve"> </w:t>
      </w:r>
      <w:r>
        <w:t xml:space="preserve">The spending related to this management is an administrative cost. Since larger companies have to</w:t>
      </w:r>
      <w:r>
        <w:t xml:space="preserve"> </w:t>
      </w:r>
      <w:r>
        <w:t xml:space="preserve">monitor the exposure of more workers than SMEs, it is assumed that more time and/or resources have</w:t>
      </w:r>
      <w:r>
        <w:t xml:space="preserve"> </w:t>
      </w:r>
      <w:r>
        <w:t xml:space="preserve">to be mobilised. Based on the estimates, large companies would spend EUR 22 230 over 40 years for</w:t>
      </w:r>
      <w:r>
        <w:t xml:space="preserve"> </w:t>
      </w:r>
      <w:r>
        <w:t xml:space="preserve">managing the externalised monitoring while small and medium-sized companies would dedicate</w:t>
      </w:r>
      <w:r>
        <w:t xml:space="preserve"> </w:t>
      </w:r>
      <w:r>
        <w:t xml:space="preserve">EUR 2 223 and EUR 11 115 respectively, over the same reference period.</w:t>
      </w:r>
      <w:r>
        <w:t xml:space="preserve"> </w:t>
      </w:r>
      <w:r>
        <w:t xml:space="preserve">Benefits</w:t>
      </w:r>
      <w:r>
        <w:br/>
      </w:r>
      <w:r>
        <w:t xml:space="preserve">Establishing an EU-wide OEL and STEL for diisocyanates would also bring benefits to companies in</w:t>
      </w:r>
      <w:r>
        <w:t xml:space="preserve"> </w:t>
      </w:r>
      <w:r>
        <w:t xml:space="preserve">the form of cost savings, depending on their values. A decrease in the number of ill-health cases would</w:t>
      </w:r>
      <w:r>
        <w:t xml:space="preserve"> </w:t>
      </w:r>
      <w:r>
        <w:t xml:space="preserve">lead to less sick leave, increased labour productivity, reduced administrative and legal costs (e.g., when</w:t>
      </w:r>
      <w:r>
        <w:t xml:space="preserve"> </w:t>
      </w:r>
      <w:r>
        <w:t xml:space="preserve">finding replacements for sick staff). Under options 2 and 3, no monetised benefit could be estimated as</w:t>
      </w:r>
      <w:r>
        <w:t xml:space="preserve"> </w:t>
      </w:r>
      <w:r>
        <w:t xml:space="preserve">the avoided ill-health cases could not be quantified. Regarding option 4, only businesses operating in</w:t>
      </w:r>
      <w:r>
        <w:t xml:space="preserve"> </w:t>
      </w:r>
      <w:r>
        <w:t xml:space="preserve">the textile and apparel sectors would save about EUR 0.4 million over 40 years).</w:t>
      </w:r>
      <w:r>
        <w:t xml:space="preserve"> </w:t>
      </w:r>
      <w:r>
        <w:t xml:space="preserve">Total costs and benefits</w:t>
      </w:r>
      <w:r>
        <w:t xml:space="preserve"> </w:t>
      </w:r>
      <w:r>
        <w:t xml:space="preserve">Most of the costs for companies derive from the obligations to monitor the workers’ exposure,</w:t>
      </w:r>
      <w:r>
        <w:t xml:space="preserve"> </w:t>
      </w:r>
      <w:r>
        <w:t xml:space="preserve">representing about 80% of the total costs for each option. Under option 2, businesses would spend more</w:t>
      </w:r>
      <w:r>
        <w:t xml:space="preserve"> </w:t>
      </w:r>
      <w:r>
        <w:t xml:space="preserve">than EUR 5.5 billion over 40 years. Under options 3 and 4 they would have to spend EUR 13.4 billion</w:t>
      </w:r>
      <w:r>
        <w:t xml:space="preserve"> </w:t>
      </w:r>
      <w:r>
        <w:t xml:space="preserve">and EUR 14.2 billion respectively. Since the monitoring and administrative costs are equivalent for</w:t>
      </w:r>
      <w:r>
        <w:t xml:space="preserve"> </w:t>
      </w:r>
      <w:r>
        <w:t xml:space="preserve">options 3 and 4 (EUR 13.4 million), their difference lies in the risk management measures’ costs</w:t>
      </w:r>
      <w:r>
        <w:t xml:space="preserve"> </w:t>
      </w:r>
      <w:r>
        <w:t xml:space="preserve">(EUR 10 and EUR 830 million respectively). Although businesses would save some expenses under</w:t>
      </w:r>
      <w:r>
        <w:t xml:space="preserve"> </w:t>
      </w:r>
      <w:r>
        <w:t xml:space="preserve">option 4, these are too limited to be considered as mitigating the costs.</w:t>
      </w:r>
      <w:r>
        <w:t xml:space="preserve"> </w:t>
      </w:r>
      <w:r>
        <w:t xml:space="preserve">On average, a company would spend EUR 2 300 under option 2, EUR 5 550 under option 3 and</w:t>
      </w:r>
      <w:r>
        <w:t xml:space="preserve"> </w:t>
      </w:r>
      <w:r>
        <w:t xml:space="preserve">EUR 5 887 under option 4. Since most of these costs are related to monitoring tasks, they are spread</w:t>
      </w:r>
      <w:r>
        <w:t xml:space="preserve"> </w:t>
      </w:r>
      <w:r>
        <w:t xml:space="preserve">over the 40-year reference period. Therefore, companies would bear annual costs ranging from</w:t>
      </w:r>
      <w:r>
        <w:t xml:space="preserve"> </w:t>
      </w:r>
      <w:r>
        <w:t xml:space="preserve">EUR 57.5 to EUR 150 depending on the option retained.</w:t>
      </w:r>
      <w:r>
        <w:t xml:space="preserve"> </w:t>
      </w:r>
      <w:r>
        <w:t xml:space="preserve">While the average yearly cost per company is limited, companies operating in textiles and apparel</w:t>
      </w:r>
      <w:r>
        <w:t xml:space="preserve"> </w:t>
      </w:r>
      <w:r>
        <w:t xml:space="preserve">sectors would have to spend between EUR 4 000 and EUR 8 000 in RMMs from day 1 to comply with</w:t>
      </w:r>
      <w:r>
        <w:t xml:space="preserve"> </w:t>
      </w:r>
      <w:r>
        <w:t xml:space="preserve">an OEL at the level of option 4. Since more than 97% of those companies are small enterprises, some of</w:t>
      </w:r>
      <w:r>
        <w:t xml:space="preserve"> </w:t>
      </w:r>
      <w:r>
        <w:t xml:space="preserve">them might face difficulties to bear those incremental costs. It is estimated that about 50 SMEs would</w:t>
      </w:r>
      <w:r>
        <w:t xml:space="preserve"> </w:t>
      </w:r>
      <w:r>
        <w:t xml:space="preserve">cease their activities under option 4. No plant closures are expected under options 2 and 3.</w:t>
      </w:r>
      <w:r>
        <w:t xml:space="preserve"> </w:t>
      </w:r>
      <w:r>
        <w:t xml:space="preserve">More details per sectors and Member States are provided in section 6.3.2.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Table 7: costs and benefits for businesses (in € million, over 40 years)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10 µg NCO/m3</w:t>
      </w:r>
      <w:r>
        <w:t xml:space="preserve"> </w:t>
      </w:r>
      <w:r>
        <w:t xml:space="preserve">Option 3</w:t>
      </w:r>
      <w:r>
        <w:t xml:space="preserve"> </w:t>
      </w:r>
      <w:r>
        <w:t xml:space="preserve">6 µg NCO/m3</w:t>
      </w:r>
      <w:r>
        <w:t xml:space="preserve"> </w:t>
      </w:r>
      <w:r>
        <w:t xml:space="preserve">Option 4</w:t>
      </w:r>
      <w:r>
        <w:t xml:space="preserve"> </w:t>
      </w:r>
      <w:r>
        <w:t xml:space="preserve">3 µg NCO/m3</w:t>
      </w:r>
      <w:r>
        <w:t xml:space="preserve"> </w:t>
      </w:r>
      <w:r>
        <w:t xml:space="preserve">Costs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€0</w:t>
      </w:r>
      <w:r>
        <w:t xml:space="preserve"> </w:t>
      </w:r>
      <w:r>
        <w:t xml:space="preserve">€10</w:t>
      </w:r>
      <w:r>
        <w:t xml:space="preserve"> </w:t>
      </w:r>
      <w:r>
        <w:t xml:space="preserve">€830</w:t>
      </w:r>
      <w:r>
        <w:t xml:space="preserve"> </w:t>
      </w:r>
      <w:r>
        <w:t xml:space="preserve">Monitoring costs</w:t>
      </w:r>
      <w:r>
        <w:t xml:space="preserve"> </w:t>
      </w:r>
      <w:r>
        <w:t xml:space="preserve">€4,600</w:t>
      </w:r>
      <w:r>
        <w:t xml:space="preserve"> </w:t>
      </w:r>
      <w:r>
        <w:t xml:space="preserve">€11,000</w:t>
      </w:r>
      <w:r>
        <w:t xml:space="preserve"> </w:t>
      </w:r>
      <w:r>
        <w:t xml:space="preserve">€11,000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€1,000</w:t>
      </w:r>
      <w:r>
        <w:t xml:space="preserve"> </w:t>
      </w:r>
      <w:r>
        <w:t xml:space="preserve">€2,400</w:t>
      </w:r>
      <w:r>
        <w:t xml:space="preserve"> </w:t>
      </w:r>
      <w:r>
        <w:t xml:space="preserve">€2,400</w:t>
      </w:r>
      <w:r>
        <w:t xml:space="preserve"> </w:t>
      </w:r>
      <w:r>
        <w:t xml:space="preserve">Benefits</w:t>
      </w:r>
      <w:r>
        <w:br/>
      </w:r>
      <w:r>
        <w:t xml:space="preserve">Avoided costs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€0.4</w:t>
      </w:r>
      <w:r>
        <w:t xml:space="preserve"> </w:t>
      </w:r>
      <w:r>
        <w:t xml:space="preserve">Source: RPA, 2021, External Study</w:t>
      </w:r>
      <w:r>
        <w:br/>
      </w:r>
      <w:r>
        <w:t xml:space="preserve">6.3.2</w:t>
      </w:r>
      <w:r>
        <w:t xml:space="preserve"> </w:t>
      </w:r>
      <w:r>
        <w:t xml:space="preserve">Impact on the single market</w:t>
      </w:r>
      <w:r>
        <w:t xml:space="preserve"> </w:t>
      </w:r>
      <w:r>
        <w:t xml:space="preserve">Lead</w:t>
      </w:r>
      <w:r>
        <w:t xml:space="preserve"> </w:t>
      </w:r>
      <w:r>
        <w:t xml:space="preserve">All the companies should be financially robust enough to comply with an EU BLV at the level of</w:t>
      </w:r>
      <w:r>
        <w:t xml:space="preserve"> </w:t>
      </w:r>
      <w:r>
        <w:t xml:space="preserve">options 2 or 3, but some could face more difficulties under option 4. The discontinuation of activities by</w:t>
      </w:r>
      <w:r>
        <w:t xml:space="preserve"> </w:t>
      </w:r>
      <w:r>
        <w:t xml:space="preserve">companies is calculated based on the cost of the RMMs in relation to the turnover and profit margin for</w:t>
      </w:r>
      <w:r>
        <w:t xml:space="preserve"> </w:t>
      </w:r>
      <w:r>
        <w:t xml:space="preserve">an individual enterprise. The discontinuation cost is taken as the loss of profit taken over 20 years and</w:t>
      </w:r>
      <w:r>
        <w:t xml:space="preserve"> </w:t>
      </w:r>
      <w:r>
        <w:t xml:space="preserve">the average profit is assumed to be 10% of turnover. More details on the methodology used to estimate</w:t>
      </w:r>
      <w:r>
        <w:t xml:space="preserve"> </w:t>
      </w:r>
      <w:r>
        <w:t xml:space="preserve">discontinuation can be found in Annex 4, section 2.1.5 on the methodology.</w:t>
      </w:r>
      <w:r>
        <w:t xml:space="preserve"> </w:t>
      </w:r>
      <w:r>
        <w:t xml:space="preserve">Amongst the options analysed, discontinuations would only occur with a BLV of 4.5 µg/100ml. Indeed,</w:t>
      </w:r>
      <w:r>
        <w:t xml:space="preserve"> </w:t>
      </w:r>
      <w:r>
        <w:t xml:space="preserve">the estimates show that 29 companies (of which 25 are small or medium-sized enterprises) in eight</w:t>
      </w:r>
      <w:r>
        <w:t xml:space="preserve"> </w:t>
      </w:r>
      <w:r>
        <w:t xml:space="preserve">sectors80 would discontinue their activities if the limit value is brought down to 4.5 µg/100ml. The</w:t>
      </w:r>
      <w:r>
        <w:t xml:space="preserve"> </w:t>
      </w:r>
      <w:r>
        <w:t xml:space="preserve">ceramic ware production and enamelling sector would be particularly affected. It is assumed that 11.6%</w:t>
      </w:r>
      <w:r>
        <w:t xml:space="preserve"> </w:t>
      </w:r>
      <w:r>
        <w:t xml:space="preserve">of enterprises with exposed workers in those two sectors would exit the market under option 4. 75% of</w:t>
      </w:r>
      <w:r>
        <w:t xml:space="preserve"> </w:t>
      </w:r>
      <w:r>
        <w:t xml:space="preserve">the companies in those two sectors are based in Spain and Italy. Furthermore, between 5% and 8% of</w:t>
      </w:r>
      <w:r>
        <w:t xml:space="preserve"> </w:t>
      </w:r>
      <w:r>
        <w:t xml:space="preserve">the companies with exposed workers in the following sectors would also exit the market under option 4:</w:t>
      </w:r>
      <w:r>
        <w:t xml:space="preserve"> </w:t>
      </w:r>
      <w:r>
        <w:t xml:space="preserve">secondary lead production (including lead battery recycling), lead battery production, production of</w:t>
      </w:r>
      <w:r>
        <w:t xml:space="preserve"> </w:t>
      </w:r>
      <w:r>
        <w:t xml:space="preserve">articles of lead metal and foundries. While we do not have figures about foundries, between 43% and</w:t>
      </w:r>
      <w:r>
        <w:t xml:space="preserve"> </w:t>
      </w:r>
      <w:r>
        <w:t xml:space="preserve">60% of the companies operating in the first three sectors are based in Germany, Italy or Poland. The</w:t>
      </w:r>
      <w:r>
        <w:t xml:space="preserve"> </w:t>
      </w:r>
      <w:r>
        <w:t xml:space="preserve">consequences on the employment of enterprise closures are discussed in section 6.2.2. The costs to</w:t>
      </w:r>
      <w:r>
        <w:t xml:space="preserve"> </w:t>
      </w:r>
      <w:r>
        <w:t xml:space="preserve">comply with option 4 are significant and would lead companies in some sectors to dedicate more than</w:t>
      </w:r>
      <w:r>
        <w:t xml:space="preserve"> </w:t>
      </w:r>
      <w:r>
        <w:t xml:space="preserve">1% of their turnover to RMMs. About 75% of these compliance costs are one-off costs, which means</w:t>
      </w:r>
      <w:r>
        <w:t xml:space="preserve"> </w:t>
      </w:r>
      <w:r>
        <w:t xml:space="preserve">that companies wishing to enter the market would face a significant increase in capital costs to invest</w:t>
      </w:r>
      <w:r>
        <w:t xml:space="preserve"> </w:t>
      </w:r>
      <w:r>
        <w:t xml:space="preserve">when setting up the business. Consequently, it is expected that revising the limit value for lead at the</w:t>
      </w:r>
      <w:r>
        <w:t xml:space="preserve"> </w:t>
      </w:r>
      <w:r>
        <w:t xml:space="preserve">level of option 4 would increase market entry barriers, in particular for the sectors referred to in</w:t>
      </w:r>
      <w:r>
        <w:t xml:space="preserve"> </w:t>
      </w:r>
      <w:r>
        <w:t xml:space="preserve">footnote 74. On the contrary, the impact of reducing the limit value to the level of option 2 or 3 would</w:t>
      </w:r>
      <w:r>
        <w:t xml:space="preserve"> </w:t>
      </w:r>
      <w:r>
        <w:t xml:space="preserve">not be significant.</w:t>
      </w:r>
      <w:r>
        <w:br/>
      </w:r>
      <w:r>
        <w:t xml:space="preserve">The compliance costs will also have a negative impact on companies operating in sectors where lead-</w:t>
      </w:r>
      <w:r>
        <w:t xml:space="preserve"> </w:t>
      </w:r>
      <w:r>
        <w:t xml:space="preserve">free alternative products are available (e.g., ceramic frit, alloys, crystalline glass). Although it is not</w:t>
      </w:r>
      <w:r>
        <w:t xml:space="preserve"> </w:t>
      </w:r>
      <w:r>
        <w:t xml:space="preserve">possible to quantify this impact, those enterprises competing with lead-free products will be less cost</w:t>
      </w:r>
      <w:r>
        <w:t xml:space="preserve"> </w:t>
      </w:r>
      <w:r>
        <w:t xml:space="preserve">competitive, particularly under option 4, since they would bear high compliance costs.</w:t>
      </w:r>
    </w:p>
    <w:p>
      <w:pPr>
        <w:pStyle w:val="BodyText"/>
      </w:pPr>
      <w:r>
        <w:t xml:space="preserve">80 Secondary lead production (including lead battery recycling), lead battery production, production of articles of</w:t>
      </w:r>
      <w:r>
        <w:t xml:space="preserve"> </w:t>
      </w:r>
      <w:r>
        <w:t xml:space="preserve">lead metal, foundries, ceramic ware production and enamelling, work with lead metal, shooting ranges, and</w:t>
      </w:r>
      <w:r>
        <w:t xml:space="preserve"> </w:t>
      </w:r>
      <w:r>
        <w:t xml:space="preserve">demolition, repairing and scrap industry.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Revising downward the existing limit value for lead would increase harmonisation across the EU, as</w:t>
      </w:r>
      <w:r>
        <w:t xml:space="preserve"> </w:t>
      </w:r>
      <w:r>
        <w:t xml:space="preserve">Member States can only adopt limit values equal or lower than the EU one. This would have a positive</w:t>
      </w:r>
      <w:r>
        <w:t xml:space="preserve"> </w:t>
      </w:r>
      <w:r>
        <w:t xml:space="preserve">impact on the level playing field for companies across the internal market. Under option 3 or option 4</w:t>
      </w:r>
      <w:r>
        <w:t xml:space="preserve"> </w:t>
      </w:r>
      <w:r>
        <w:t xml:space="preserve">almost all Member States would have the same limit value.81 Medium and large companies with</w:t>
      </w:r>
      <w:r>
        <w:t xml:space="preserve"> </w:t>
      </w:r>
      <w:r>
        <w:t xml:space="preserve">facilities across the EU could in particular benefit from the regulatory simplification arising from this</w:t>
      </w:r>
      <w:r>
        <w:t xml:space="preserve"> </w:t>
      </w:r>
      <w:r>
        <w:t xml:space="preserve">increased harmonisation.</w:t>
      </w:r>
      <w:r>
        <w:t xml:space="preserve"> </w:t>
      </w:r>
      <w:r>
        <w:t xml:space="preserve">Diisocyanates</w:t>
      </w:r>
      <w:r>
        <w:t xml:space="preserve"> </w:t>
      </w:r>
      <w:r>
        <w:t xml:space="preserve">Under all policy options, the total costs over 40 years for companies would not represent a significant</w:t>
      </w:r>
      <w:r>
        <w:t xml:space="preserve"> </w:t>
      </w:r>
      <w:r>
        <w:t xml:space="preserve">share of their total turnover. Only small companies active in the repairs, apparel, vehicle repair,</w:t>
      </w:r>
      <w:r>
        <w:t xml:space="preserve"> </w:t>
      </w:r>
      <w:r>
        <w:t xml:space="preserve">specialised construction and textile sectors would have to dedicate between 0.1% and 0.2% of their</w:t>
      </w:r>
      <w:r>
        <w:t xml:space="preserve"> </w:t>
      </w:r>
      <w:r>
        <w:t xml:space="preserve">turnover to comply with an OEL (and its associated STEL) set at the level of option 4, which remains</w:t>
      </w:r>
      <w:r>
        <w:t xml:space="preserve"> </w:t>
      </w:r>
      <w:r>
        <w:t xml:space="preserve">relatively bearable. Therefore, the impact on companies using diisocyanates compared to the others not</w:t>
      </w:r>
      <w:r>
        <w:t xml:space="preserve"> </w:t>
      </w:r>
      <w:r>
        <w:t xml:space="preserve">using them in a same sector should be very limited.</w:t>
      </w:r>
      <w:r>
        <w:br/>
      </w:r>
      <w:r>
        <w:t xml:space="preserve">About 50 companies (mainly small enterprises) active in textiles and apparel sectors would close down</w:t>
      </w:r>
      <w:r>
        <w:t xml:space="preserve"> </w:t>
      </w:r>
      <w:r>
        <w:t xml:space="preserve">under option 4. They represent only 0.03% of the market for the two sectors (0.5% when considering</w:t>
      </w:r>
      <w:r>
        <w:t xml:space="preserve"> </w:t>
      </w:r>
      <w:r>
        <w:t xml:space="preserve">only companies with workers exposed to diisocyanates) and therefore no significant impact on</w:t>
      </w:r>
      <w:r>
        <w:t xml:space="preserve"> </w:t>
      </w:r>
      <w:r>
        <w:t xml:space="preserve">competition within the single market is expected. The other two options would not have any impact on</w:t>
      </w:r>
      <w:r>
        <w:t xml:space="preserve"> </w:t>
      </w:r>
      <w:r>
        <w:t xml:space="preserve">competition.</w:t>
      </w:r>
      <w:r>
        <w:br/>
      </w:r>
      <w:r>
        <w:t xml:space="preserve">Although some sectors (textiles and apparel) could be characterised by higher costs under option 4, they</w:t>
      </w:r>
      <w:r>
        <w:t xml:space="preserve"> </w:t>
      </w:r>
      <w:r>
        <w:t xml:space="preserve">are not as significant as to impact new entrants compared to existing firms. Since costs for companies</w:t>
      </w:r>
      <w:r>
        <w:t xml:space="preserve"> </w:t>
      </w:r>
      <w:r>
        <w:t xml:space="preserve">are lower under options 2 and 3, the same observation applies.</w:t>
      </w:r>
      <w:r>
        <w:br/>
      </w:r>
      <w:r>
        <w:t xml:space="preserve">The introduction of both an OEL and a STEL for diisocyanates will improve the functioning of the</w:t>
      </w:r>
      <w:r>
        <w:t xml:space="preserve"> </w:t>
      </w:r>
      <w:r>
        <w:t xml:space="preserve">single market by reducing disparities across Member States. To date, eight Member States in the EU</w:t>
      </w:r>
      <w:r>
        <w:t xml:space="preserve"> </w:t>
      </w:r>
      <w:r>
        <w:t xml:space="preserve">have no OELs and STELs for any kind of diisocyanates. Most of the remaining 19 Member States have</w:t>
      </w:r>
      <w:r>
        <w:t xml:space="preserve"> </w:t>
      </w:r>
      <w:r>
        <w:t xml:space="preserve">OEL or STELs for a few diisocyanates only, which are higher than those explored in this impact</w:t>
      </w:r>
      <w:r>
        <w:t xml:space="preserve"> </w:t>
      </w:r>
      <w:r>
        <w:t xml:space="preserve">assessment. Therefore, setting an OEL and a STEL for all diisocyanates and a lower level than what it</w:t>
      </w:r>
      <w:r>
        <w:t xml:space="preserve"> </w:t>
      </w:r>
      <w:r>
        <w:t xml:space="preserve">is currently in place in a majority of Member States will entail a more harmonised legal framework</w:t>
      </w:r>
      <w:r>
        <w:t xml:space="preserve"> </w:t>
      </w:r>
      <w:r>
        <w:t xml:space="preserve">within the EU. In particular, companies operating or wishing to operate in more than one Member State</w:t>
      </w:r>
      <w:r>
        <w:t xml:space="preserve"> </w:t>
      </w:r>
      <w:r>
        <w:t xml:space="preserve">would benefit from a less fragmented internal market. They will save on both research costs and design</w:t>
      </w:r>
      <w:r>
        <w:t xml:space="preserve"> </w:t>
      </w:r>
      <w:r>
        <w:t xml:space="preserve">costs through facilitating the adoption of common solutions to reduce exposure across plants in</w:t>
      </w:r>
      <w:r>
        <w:t xml:space="preserve"> </w:t>
      </w:r>
      <w:r>
        <w:t xml:space="preserve">different locations.</w:t>
      </w:r>
      <w:r>
        <w:br/>
      </w:r>
      <w:r>
        <w:t xml:space="preserve">6.3.3</w:t>
      </w:r>
      <w:r>
        <w:t xml:space="preserve"> </w:t>
      </w:r>
      <w:r>
        <w:t xml:space="preserve">Indirect economic impacts</w:t>
      </w:r>
      <w:r>
        <w:t xml:space="preserve"> </w:t>
      </w:r>
      <w:r>
        <w:t xml:space="preserve">Lead</w:t>
      </w:r>
      <w:r>
        <w:t xml:space="preserve"> </w:t>
      </w:r>
      <w:r>
        <w:t xml:space="preserve">This section relies on a qualitative assessment due to a lack of data. Research and development</w:t>
      </w:r>
      <w:r>
        <w:t xml:space="preserve"> </w:t>
      </w:r>
      <w:r>
        <w:t xml:space="preserve">(R&amp;D) are key activities in an industry’s capacity to develop new products and produce existing ones</w:t>
      </w:r>
      <w:r>
        <w:t xml:space="preserve"> </w:t>
      </w:r>
      <w:r>
        <w:t xml:space="preserve">more efficiently and sustainably, in a way that protects the safety of workers. The ability to engage in</w:t>
      </w:r>
      <w:r>
        <w:t xml:space="preserve"> </w:t>
      </w:r>
      <w:r>
        <w:t xml:space="preserve">R&amp;D activities is likely to be affected by the availability of financial resources to invest in R&amp;D; the</w:t>
      </w:r>
      <w:r>
        <w:t xml:space="preserve"> </w:t>
      </w:r>
      <w:r>
        <w:t xml:space="preserve">availability of human resources to conduct R&amp;D activities; and regulatory environment conducive to</w:t>
      </w:r>
      <w:r>
        <w:t xml:space="preserve"> </w:t>
      </w:r>
      <w:r>
        <w:t xml:space="preserve">investing in R&amp;D activities. Compliance costs, particularly under option 4, will have an impact on</w:t>
      </w:r>
      <w:r>
        <w:t xml:space="preserve"> </w:t>
      </w:r>
      <w:r>
        <w:t xml:space="preserve">enterprises’ capacity to innovate, as the research and innovation budget is likely to be partly diverted to</w:t>
      </w:r>
      <w:r>
        <w:t xml:space="preserve"> </w:t>
      </w:r>
      <w:r>
        <w:t xml:space="preserve">invest in RMMs.</w:t>
      </w:r>
    </w:p>
    <w:p>
      <w:pPr>
        <w:pStyle w:val="BodyText"/>
      </w:pPr>
      <w:r>
        <w:t xml:space="preserve">81 Unless they decide to set a more stringent limit value.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Consumers may be impacted if higher costs for enterprises increase their prices. Since the costs for</w:t>
      </w:r>
      <w:r>
        <w:t xml:space="preserve"> </w:t>
      </w:r>
      <w:r>
        <w:t xml:space="preserve">businesses under options 2 and 3 are estimated not to be significant, the impact on consumers should be</w:t>
      </w:r>
      <w:r>
        <w:t xml:space="preserve"> </w:t>
      </w:r>
      <w:r>
        <w:t xml:space="preserve">very limited. Under option 4, companies could be tempted to pass on a part of the compliance costs to</w:t>
      </w:r>
      <w:r>
        <w:t xml:space="preserve"> </w:t>
      </w:r>
      <w:r>
        <w:t xml:space="preserve">the consumers. However, most of the sectors are characterised by a high degree of competition;</w:t>
      </w:r>
      <w:r>
        <w:t xml:space="preserve"> </w:t>
      </w:r>
      <w:r>
        <w:t xml:space="preserve">therefore, this is unlikely to happen. For the sectors of primary lead production, production of lead</w:t>
      </w:r>
      <w:r>
        <w:t xml:space="preserve"> </w:t>
      </w:r>
      <w:r>
        <w:t xml:space="preserve">compounds and copper production, the costs will likely be passed on to consumers, owing to a</w:t>
      </w:r>
      <w:r>
        <w:t xml:space="preserve"> </w:t>
      </w:r>
      <w:r>
        <w:t xml:space="preserve">moderate to high market concentration.</w:t>
      </w:r>
      <w:r>
        <w:br/>
      </w:r>
      <w:r>
        <w:t xml:space="preserve">The impacts on international competitiveness of EU companies would significantly vary depending</w:t>
      </w:r>
      <w:r>
        <w:t xml:space="preserve"> </w:t>
      </w:r>
      <w:r>
        <w:t xml:space="preserve">on the option. The impacts on international competitiveness of EU companies under options 2 and 3</w:t>
      </w:r>
      <w:r>
        <w:t xml:space="preserve"> </w:t>
      </w:r>
      <w:r>
        <w:t xml:space="preserve">would be limited and moderate. A substantial number of EU sectors and enterprises pursue a voluntary</w:t>
      </w:r>
      <w:r>
        <w:t xml:space="preserve"> </w:t>
      </w:r>
      <w:r>
        <w:t xml:space="preserve">limit value of 20 µg/100ml (same as option 2). .Only three non-EU countries have a binding BLV in</w:t>
      </w:r>
      <w:r>
        <w:t xml:space="preserve"> </w:t>
      </w:r>
      <w:r>
        <w:t xml:space="preserve">place for lead, which range between the existing EU BLV and the proposed revised EU BLV (see</w:t>
      </w:r>
      <w:r>
        <w:t xml:space="preserve"> </w:t>
      </w:r>
      <w:r>
        <w:t xml:space="preserve">Annex 5), most of them have an OEL (according to the assessment, it would correspond to a BLV of 30</w:t>
      </w:r>
      <w:r>
        <w:t xml:space="preserve"> </w:t>
      </w:r>
      <w:r>
        <w:t xml:space="preserve">µg/100ml). The impacts under option 4 could be substantial as the companies operating in the EU</w:t>
      </w:r>
      <w:r>
        <w:t xml:space="preserve"> </w:t>
      </w:r>
      <w:r>
        <w:t xml:space="preserve">would have to deal with much higher compliance costs than companies outside the EU. This said, both</w:t>
      </w:r>
      <w:r>
        <w:t xml:space="preserve"> </w:t>
      </w:r>
      <w:r>
        <w:t xml:space="preserve">shooting ranges and demolition, repair and scrap sectors would not be impacted on the international</w:t>
      </w:r>
      <w:r>
        <w:t xml:space="preserve"> </w:t>
      </w:r>
      <w:r>
        <w:t xml:space="preserve">stage since their activities are exclusively executed on EU territory, requiring compliance with the EU</w:t>
      </w:r>
      <w:r>
        <w:t xml:space="preserve"> </w:t>
      </w:r>
      <w:r>
        <w:t xml:space="preserve">rules. The companies operating in those sectors account for 80% of the EU enterprises with exposed</w:t>
      </w:r>
      <w:r>
        <w:t xml:space="preserve"> </w:t>
      </w:r>
      <w:r>
        <w:t xml:space="preserve">workers to lead. For the preferred option, the impact on competitiveness for companies working with</w:t>
      </w:r>
      <w:r>
        <w:t xml:space="preserve"> </w:t>
      </w:r>
      <w:r>
        <w:t xml:space="preserve">lead should be moderate, although these costs could not be quantified</w:t>
      </w:r>
      <w:r>
        <w:t xml:space="preserve"> </w:t>
      </w:r>
      <w:r>
        <w:t xml:space="preserve">Diisocyanates</w:t>
      </w:r>
      <w:r>
        <w:t xml:space="preserve"> </w:t>
      </w:r>
      <w:r>
        <w:t xml:space="preserve">Any additional costs arising from the setting of an OEL and STEL at the EU level could in theory</w:t>
      </w:r>
      <w:r>
        <w:t xml:space="preserve"> </w:t>
      </w:r>
      <w:r>
        <w:t xml:space="preserve">impact companies willing to invest in research and development (R&amp;D). According to estimates,</w:t>
      </w:r>
      <w:r>
        <w:t xml:space="preserve"> </w:t>
      </w:r>
      <w:r>
        <w:t xml:space="preserve">expected R&amp;D expenditures of small companies over 40 years would be lower than the total costs for</w:t>
      </w:r>
      <w:r>
        <w:t xml:space="preserve"> </w:t>
      </w:r>
      <w:r>
        <w:t xml:space="preserve">businesses related to the setting of an OEL over the same period under the three policy options. The</w:t>
      </w:r>
      <w:r>
        <w:t xml:space="preserve"> </w:t>
      </w:r>
      <w:r>
        <w:t xml:space="preserve">stricter the OEL, the higher the number of impacted small companies. Although those small companies</w:t>
      </w:r>
      <w:r>
        <w:t xml:space="preserve"> </w:t>
      </w:r>
      <w:r>
        <w:t xml:space="preserve">would probably not dedicate all their R&amp;D budget to the incremental compliance costs, those additional</w:t>
      </w:r>
      <w:r>
        <w:t xml:space="preserve"> </w:t>
      </w:r>
      <w:r>
        <w:t xml:space="preserve">costs could negatively weight on their capacity to invest in R&amp;D. When it comes to medium and large</w:t>
      </w:r>
      <w:r>
        <w:t xml:space="preserve"> </w:t>
      </w:r>
      <w:r>
        <w:t xml:space="preserve">companies, the total costs are usually much lower than the expected R&amp;D expenditures. Therefore, the</w:t>
      </w:r>
      <w:r>
        <w:t xml:space="preserve"> </w:t>
      </w:r>
      <w:r>
        <w:t xml:space="preserve">expected impacts are much more limited and would not be significant.</w:t>
      </w:r>
      <w:r>
        <w:br/>
      </w:r>
      <w:r>
        <w:t xml:space="preserve">The impact on consumers should be very limited. The number of companies with workers exposed to</w:t>
      </w:r>
      <w:r>
        <w:t xml:space="preserve"> </w:t>
      </w:r>
      <w:r>
        <w:t xml:space="preserve">diisocyanates is between 150 and 2 500 000, depending on the sectors. Only two sectors count less than</w:t>
      </w:r>
      <w:r>
        <w:t xml:space="preserve"> </w:t>
      </w:r>
      <w:r>
        <w:t xml:space="preserve">1 000 companies. All these sectors are therefore highly competitive and mature, and therefore the</w:t>
      </w:r>
      <w:r>
        <w:t xml:space="preserve"> </w:t>
      </w:r>
      <w:r>
        <w:t xml:space="preserve">incremental costs, which are limited under each policy option, will not easily be passed on to</w:t>
      </w:r>
      <w:r>
        <w:t xml:space="preserve"> </w:t>
      </w:r>
      <w:r>
        <w:t xml:space="preserve">consumers. In addition, no closures are expected under options 2 and 3, which means that they will not</w:t>
      </w:r>
      <w:r>
        <w:t xml:space="preserve"> </w:t>
      </w:r>
      <w:r>
        <w:t xml:space="preserve">have any influence on the structure of the market or on the level of competition therein. Under option 4,</w:t>
      </w:r>
      <w:r>
        <w:t xml:space="preserve"> </w:t>
      </w:r>
      <w:r>
        <w:t xml:space="preserve">textiles and apparel sectors could be impacted by the closure of about 50 companies. However, since</w:t>
      </w:r>
      <w:r>
        <w:t xml:space="preserve"> </w:t>
      </w:r>
      <w:r>
        <w:t xml:space="preserve">they represent a very limited share of the total number of companies (around 2 500 000), the impact</w:t>
      </w:r>
      <w:r>
        <w:t xml:space="preserve"> </w:t>
      </w:r>
      <w:r>
        <w:t xml:space="preserve">should not be significant.</w:t>
      </w:r>
      <w:r>
        <w:br/>
      </w:r>
      <w:r>
        <w:t xml:space="preserve">The setting of EU-wide OEL and STEL for diisocyanates could potentially undermine the</w:t>
      </w:r>
      <w:r>
        <w:t xml:space="preserve"> </w:t>
      </w:r>
      <w:r>
        <w:t xml:space="preserve">international competitiveness of the companies based in the EU. The main competitors of the EU</w:t>
      </w:r>
      <w:r>
        <w:t xml:space="preserve"> </w:t>
      </w:r>
      <w:r>
        <w:t xml:space="preserve">have higher limit values in place than those explored in this impact assessment. However, those</w:t>
      </w:r>
      <w:r>
        <w:t xml:space="preserve"> </w:t>
      </w:r>
      <w:r>
        <w:t xml:space="preserve">countries often have different compliance rules and methods to define exposure, which makes the</w:t>
      </w:r>
      <w:r>
        <w:t xml:space="preserve"> </w:t>
      </w:r>
      <w:r>
        <w:t xml:space="preserve">comparison difficult. Furthermore, since most of the companies in the different sectors are small and</w:t>
      </w:r>
      <w:r>
        <w:t xml:space="preserve"> </w:t>
      </w:r>
      <w:r>
        <w:t xml:space="preserve">medium-sized enterprises (ranging from 88% to 99.9%), it is likely that they do not have existing plants</w:t>
      </w:r>
      <w:r>
        <w:t xml:space="preserve"> </w:t>
      </w:r>
      <w:r>
        <w:t xml:space="preserve">in third countries and operate on a national scale only. Therefore, those companies do not have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incentives to transfer their activities outside the EU in view of benefiting from less costly rules for the</w:t>
      </w:r>
      <w:r>
        <w:t xml:space="preserve"> </w:t>
      </w:r>
      <w:r>
        <w:t xml:space="preserve">protection of workers. Furthermore, companies operating in the construction and vehicle repair sectors</w:t>
      </w:r>
      <w:r>
        <w:t xml:space="preserve"> </w:t>
      </w:r>
      <w:r>
        <w:t xml:space="preserve">(representing more than 50% of the total companies) are usually not subject to international competition</w:t>
      </w:r>
      <w:r>
        <w:t xml:space="preserve"> </w:t>
      </w:r>
      <w:r>
        <w:t xml:space="preserve">due to the nature of the work. Finally, the total costs incurred by each of the policy options considered</w:t>
      </w:r>
      <w:r>
        <w:t xml:space="preserve"> </w:t>
      </w:r>
      <w:r>
        <w:t xml:space="preserve">in this impact assessment report are limited and should therefore not have an impact on the</w:t>
      </w:r>
      <w:r>
        <w:t xml:space="preserve"> </w:t>
      </w:r>
      <w:r>
        <w:t xml:space="preserve">competitiveness of the EU at international level.</w:t>
      </w:r>
      <w:r>
        <w:t xml:space="preserve"> </w:t>
      </w:r>
      <w:r>
        <w:t xml:space="preserve">6.3.4</w:t>
      </w:r>
      <w:r>
        <w:t xml:space="preserve"> </w:t>
      </w:r>
      <w:r>
        <w:t xml:space="preserve">Impact on public authorities</w:t>
      </w:r>
      <w:r>
        <w:t xml:space="preserve"> </w:t>
      </w:r>
      <w:r>
        <w:t xml:space="preserve">As both substances are already in the scope of the respective Directives, additional enforcement costs</w:t>
      </w:r>
      <w:r>
        <w:t xml:space="preserve"> </w:t>
      </w:r>
      <w:r>
        <w:t xml:space="preserve">are expected to be zero. National authorities are responsible for inspecting companies to check if they</w:t>
      </w:r>
      <w:r>
        <w:t xml:space="preserve"> </w:t>
      </w:r>
      <w:r>
        <w:t xml:space="preserve">are in compliance with the legal requirements already in the national OSH legislation transposing EU</w:t>
      </w:r>
      <w:r>
        <w:t xml:space="preserve"> </w:t>
      </w:r>
      <w:r>
        <w:t xml:space="preserve">directives. The limit values are only one of the requirements of the Directives and not the one triggering</w:t>
      </w:r>
      <w:r>
        <w:t xml:space="preserve"> </w:t>
      </w:r>
      <w:r>
        <w:t xml:space="preserve">inspections.</w:t>
      </w:r>
      <w:r>
        <w:br/>
      </w:r>
      <w:r>
        <w:t xml:space="preserve">Neither the CMRD nor the CAD contain any obligations for companies to notify public authorities of</w:t>
      </w:r>
      <w:r>
        <w:t xml:space="preserve"> </w:t>
      </w:r>
      <w:r>
        <w:t xml:space="preserve">their use of substances covered by these Directives, including lead and diisocyanates. Instead, the</w:t>
      </w:r>
      <w:r>
        <w:t xml:space="preserve"> </w:t>
      </w:r>
      <w:r>
        <w:t xml:space="preserve">checks for compliance by national authorities take place during the regular inspections. Therefore,</w:t>
      </w:r>
      <w:r>
        <w:t xml:space="preserve"> </w:t>
      </w:r>
      <w:r>
        <w:t xml:space="preserve">public authorities would not bear any additional costs linked to the processing of received notifications.</w:t>
      </w:r>
      <w:r>
        <w:t xml:space="preserve"> </w:t>
      </w:r>
      <w:r>
        <w:t xml:space="preserve">Besides, no notification costs are foreseen resulting from any need for public authorities to notify the</w:t>
      </w:r>
      <w:r>
        <w:t xml:space="preserve"> </w:t>
      </w:r>
      <w:r>
        <w:t xml:space="preserve">European Commission of their work to transpose the Directives, or of results of conducted inspections</w:t>
      </w:r>
      <w:r>
        <w:t xml:space="preserve"> </w:t>
      </w:r>
      <w:r>
        <w:t xml:space="preserve">to companies. The transfer of such information to the European Commission is carried out in the</w:t>
      </w:r>
      <w:r>
        <w:t xml:space="preserve"> </w:t>
      </w:r>
      <w:r>
        <w:t xml:space="preserve">framework of the reports on the practical implementation of the EU OSH Directives, submitted by the</w:t>
      </w:r>
      <w:r>
        <w:t xml:space="preserve"> </w:t>
      </w:r>
      <w:r>
        <w:t xml:space="preserve">Member States to the Commission every five years, in accordance with Article 17a of Directive</w:t>
      </w:r>
      <w:r>
        <w:t xml:space="preserve"> </w:t>
      </w:r>
      <w:r>
        <w:t xml:space="preserve">89/391/EEC. As a result, there are no notification costs for any of the options. As explained in section</w:t>
      </w:r>
      <w:r>
        <w:t xml:space="preserve"> </w:t>
      </w:r>
      <w:r>
        <w:t xml:space="preserve">6.9, notification costs thus are not subject to offsetting in the context of the ‘one in, one out’ approach.</w:t>
      </w:r>
      <w:r>
        <w:br/>
      </w:r>
      <w:r>
        <w:t xml:space="preserve">Lead</w:t>
      </w:r>
      <w:r>
        <w:t xml:space="preserve"> </w:t>
      </w:r>
      <w:r>
        <w:t xml:space="preserve">The benefits to the public authorities are composed of avoided costs of treatment (healthcare treatment</w:t>
      </w:r>
      <w:r>
        <w:t xml:space="preserve"> </w:t>
      </w:r>
      <w:r>
        <w:t xml:space="preserve">costs borne by public authorities) and increased tax revenues. Costs to the public authorities will</w:t>
      </w:r>
      <w:r>
        <w:t xml:space="preserve"> </w:t>
      </w:r>
      <w:r>
        <w:t xml:space="preserve">include transposition measures to introduce the updated limit values in their national legislation.</w:t>
      </w:r>
      <w:r>
        <w:br/>
      </w:r>
      <w:r>
        <w:t xml:space="preserve">Whatever the option, most of the Member States would need to bear the costs related to the</w:t>
      </w:r>
      <w:r>
        <w:t xml:space="preserve"> </w:t>
      </w:r>
      <w:r>
        <w:t xml:space="preserve">transposition of the new limit values, approximatively EUR 500 00082 (table 8). However, those costs</w:t>
      </w:r>
      <w:r>
        <w:t xml:space="preserve"> </w:t>
      </w:r>
      <w:r>
        <w:t xml:space="preserve">would be largely compensated by the benefits under each option. These benefits would vary from</w:t>
      </w:r>
      <w:r>
        <w:t xml:space="preserve"> </w:t>
      </w:r>
      <w:r>
        <w:t xml:space="preserve">EUR 90 to EUR 130 million depending on the option retained.</w:t>
      </w:r>
      <w:r>
        <w:br/>
      </w:r>
      <w:r>
        <w:t xml:space="preserve">Table 8: Costs and benefits to taxpayers/public authorities – lead (compared to baseline)</w:t>
      </w:r>
    </w:p>
    <w:p>
      <w:pPr>
        <w:pStyle w:val="BodyText"/>
      </w:pPr>
      <w:r>
        <w:t xml:space="preserve">82 Transpositions costs per Member State are estimated to be of EUR 20 000.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20 µg/100ml</w:t>
      </w:r>
      <w:r>
        <w:br/>
      </w:r>
      <w:r>
        <w:t xml:space="preserve">Option 3</w:t>
      </w:r>
      <w:r>
        <w:t xml:space="preserve"> </w:t>
      </w:r>
      <w:r>
        <w:t xml:space="preserve">15µg/100ml</w:t>
      </w:r>
      <w:r>
        <w:br/>
      </w:r>
      <w:r>
        <w:t xml:space="preserve">Option 4</w:t>
      </w:r>
      <w:r>
        <w:t xml:space="preserve"> </w:t>
      </w:r>
      <w:r>
        <w:t xml:space="preserve">4.5 µg/100ml</w:t>
      </w:r>
      <w:r>
        <w:br/>
      </w:r>
      <w:r>
        <w:t xml:space="preserve">Benefits (avoided costs of ill</w:t>
      </w:r>
      <w:r>
        <w:t xml:space="preserve"> </w:t>
      </w:r>
      <w:r>
        <w:t xml:space="preserve">health)</w:t>
      </w:r>
      <w:r>
        <w:t xml:space="preserve"> </w:t>
      </w:r>
      <w:r>
        <w:t xml:space="preserve">€90 000 000</w:t>
      </w:r>
      <w:r>
        <w:br/>
      </w:r>
      <w:r>
        <w:t xml:space="preserve">€100 000 000</w:t>
      </w:r>
      <w:r>
        <w:t xml:space="preserve"> </w:t>
      </w:r>
      <w:r>
        <w:t xml:space="preserve">€130 000 000</w:t>
      </w:r>
      <w:r>
        <w:t xml:space="preserve"> </w:t>
      </w:r>
      <w:r>
        <w:t xml:space="preserve">Transposition cost</w:t>
      </w:r>
      <w:r>
        <w:t xml:space="preserve"> </w:t>
      </w:r>
      <w:r>
        <w:t xml:space="preserve">€500 000</w:t>
      </w:r>
      <w:r>
        <w:t xml:space="preserve"> </w:t>
      </w:r>
      <w:r>
        <w:t xml:space="preserve">€520 000</w:t>
      </w:r>
      <w:r>
        <w:t xml:space="preserve"> </w:t>
      </w:r>
      <w:r>
        <w:t xml:space="preserve">€540 000</w:t>
      </w:r>
      <w:r>
        <w:t xml:space="preserve"> </w:t>
      </w:r>
      <w:r>
        <w:t xml:space="preserve">Net benefit (benefits – costs)</w:t>
      </w:r>
      <w:r>
        <w:t xml:space="preserve"> </w:t>
      </w:r>
      <w:r>
        <w:t xml:space="preserve">€89 500 000</w:t>
      </w:r>
      <w:r>
        <w:t xml:space="preserve"> </w:t>
      </w:r>
      <w:r>
        <w:t xml:space="preserve">€99 480 000</w:t>
      </w:r>
      <w:r>
        <w:t xml:space="preserve"> </w:t>
      </w:r>
      <w:r>
        <w:t xml:space="preserve">€129 460 000</w:t>
      </w:r>
      <w:r>
        <w:t xml:space="preserve"> </w:t>
      </w:r>
      <w:r>
        <w:t xml:space="preserve">Source: External study calculation, for EU 27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Diisocyanates</w:t>
      </w:r>
      <w:r>
        <w:t xml:space="preserve"> </w:t>
      </w:r>
      <w:r>
        <w:t xml:space="preserve">Since no Member States have an OEL and a STEL currently in place at the level of each policy option,</w:t>
      </w:r>
      <w:r>
        <w:t xml:space="preserve"> </w:t>
      </w:r>
      <w:r>
        <w:t xml:space="preserve">all of them will need to carry out a transposition under each option. In the 19 Member States having</w:t>
      </w:r>
      <w:r>
        <w:t xml:space="preserve"> </w:t>
      </w:r>
      <w:r>
        <w:t xml:space="preserve">already an OEL or STEL for one or several diisocyanates set in their legislation, the cost to revise it is</w:t>
      </w:r>
      <w:r>
        <w:t xml:space="preserve"> </w:t>
      </w:r>
      <w:r>
        <w:t xml:space="preserve">estimated at EUR 30 000 for the transposition. For eight Member States without any OEL or STEL, the</w:t>
      </w:r>
      <w:r>
        <w:t xml:space="preserve"> </w:t>
      </w:r>
      <w:r>
        <w:t xml:space="preserve">cost estimated is EUR 50 000. EU Member States will dedicate in total EUR 970 000 to the</w:t>
      </w:r>
      <w:r>
        <w:t xml:space="preserve"> </w:t>
      </w:r>
      <w:r>
        <w:t xml:space="preserve">transposition under each of the options explored in this impact assessment.</w:t>
      </w:r>
      <w:r>
        <w:t xml:space="preserve"> </w:t>
      </w:r>
      <w:r>
        <w:t xml:space="preserve">Member States will also benefit from setting limit values at the EU level due to reduced healthcare</w:t>
      </w:r>
      <w:r>
        <w:t xml:space="preserve"> </w:t>
      </w:r>
      <w:r>
        <w:t xml:space="preserve">costs. They would save about EUR 1 million under option 4, while the estimated benefits are null under</w:t>
      </w:r>
      <w:r>
        <w:t xml:space="preserve"> </w:t>
      </w:r>
      <w:r>
        <w:t xml:space="preserve">options 2 and 3. Those estimates are likely to be underestimated since peak exposures could not be</w:t>
      </w:r>
      <w:r>
        <w:t xml:space="preserve"> </w:t>
      </w:r>
      <w:r>
        <w:t xml:space="preserve">calculated, leading to an underestimation of the ill health cases.</w:t>
      </w:r>
      <w:r>
        <w:t xml:space="preserve"> </w:t>
      </w:r>
      <w:r>
        <w:t xml:space="preserve">Setting an OEL and a STEL at EU level enables to carry out one single impact assessment and scientific</w:t>
      </w:r>
      <w:r>
        <w:t xml:space="preserve"> </w:t>
      </w:r>
      <w:r>
        <w:t xml:space="preserve">opinion rather than 27, one in each Member State. Savings are estimated at about EUR 1 750 000.</w:t>
      </w:r>
      <w:r>
        <w:br/>
      </w:r>
      <w:r>
        <w:t xml:space="preserve">They range from EUR 50 000 to EUR 100 000 depending on whether the Member State already has an</w:t>
      </w:r>
      <w:r>
        <w:t xml:space="preserve"> </w:t>
      </w:r>
      <w:r>
        <w:t xml:space="preserve">OEL or a STEL in place or not.</w:t>
      </w:r>
      <w:r>
        <w:br/>
      </w:r>
      <w:r>
        <w:t xml:space="preserve">In conclusion, the benefits for public authorities outweigh the costs under each option: EUR 1 780 000</w:t>
      </w:r>
      <w:r>
        <w:t xml:space="preserve"> </w:t>
      </w:r>
      <w:r>
        <w:t xml:space="preserve">for option 4 and EUR 780 000 for options 2 and 3.</w:t>
      </w:r>
      <w:r>
        <w:br/>
      </w:r>
      <w:r>
        <w:t xml:space="preserve">Table 9: Costs and benefits to taxpayers/public authorities – diisocyanates (in comparison to</w:t>
      </w:r>
      <w:r>
        <w:t xml:space="preserve"> </w:t>
      </w:r>
      <w:r>
        <w:t xml:space="preserve">baseline)</w:t>
      </w:r>
      <w:r>
        <w:t xml:space="preserve"> </w:t>
      </w:r>
      <w:r>
        <w:t xml:space="preserve">6.4 Impacts on the environment and on climate change</w:t>
      </w:r>
      <w:r>
        <w:t xml:space="preserve"> </w:t>
      </w:r>
      <w:r>
        <w:t xml:space="preserve">Lead</w:t>
      </w:r>
      <w:r>
        <w:t xml:space="preserve"> </w:t>
      </w:r>
      <w:r>
        <w:t xml:space="preserve">Lead can naturally originate from the mineral bedrock that formed the soil. Natural background</w:t>
      </w:r>
      <w:r>
        <w:t xml:space="preserve"> </w:t>
      </w:r>
      <w:r>
        <w:t xml:space="preserve">concentrations are difficult to determine, since lead pollution has been going on for a long time.</w:t>
      </w:r>
      <w:r>
        <w:t xml:space="preserve"> </w:t>
      </w:r>
      <w:r>
        <w:t xml:space="preserve">Anthropogenic sources of lead in soil include the formerly used lead-containing petrol, mining</w:t>
      </w:r>
      <w:r>
        <w:t xml:space="preserve"> </w:t>
      </w:r>
      <w:r>
        <w:t xml:space="preserve">operations, metal processing as well as production, use and disposal of lead-containing products like</w:t>
      </w:r>
      <w:r>
        <w:t xml:space="preserve"> </w:t>
      </w:r>
      <w:r>
        <w:t xml:space="preserve">lead-acid batteries, lead sheets etc. Also, lead-containing ammunition have been deposited at or near</w:t>
      </w:r>
      <w:r>
        <w:t xml:space="preserve"> </w:t>
      </w:r>
      <w:r>
        <w:t xml:space="preserve">shooting ranges. Thus, soils in urban and industrial areas have increased concentrations of lead.</w:t>
      </w:r>
      <w:r>
        <w:br/>
      </w:r>
      <w:r>
        <w:t xml:space="preserve">Emissions from point sources to air, soil and water are reported in the European Pollutant Release and</w:t>
      </w:r>
      <w:r>
        <w:t xml:space="preserve"> </w:t>
      </w:r>
      <w:r>
        <w:t xml:space="preserve">Transfer Register. About 500 facilities reported lead emissions in 2017, emitting an estimated total of</w:t>
      </w:r>
      <w:r>
        <w:t xml:space="preserve"> </w:t>
      </w:r>
      <w:r>
        <w:t xml:space="preserve">260 tons, with main contributions from the energy sector (mainly thermal power stations and other</w:t>
      </w:r>
      <w:r>
        <w:t xml:space="preserve"> </w:t>
      </w:r>
      <w:r>
        <w:t xml:space="preserve">combustion installations) and metal production and processing (lead mining, smelting and refining).</w:t>
      </w:r>
      <w:r>
        <w:t xml:space="preserve"> </w:t>
      </w:r>
      <w:r>
        <w:t xml:space="preserve">The main emission is to the air (ca. 200 tons).</w:t>
      </w:r>
      <w:r>
        <w:t xml:space="preserve"> </w:t>
      </w:r>
      <w:r>
        <w:t xml:space="preserve">Alternative RMMs, due to comply with a stricter limit value may help to marginally improve</w:t>
      </w:r>
      <w:r>
        <w:t xml:space="preserve"> </w:t>
      </w:r>
      <w:r>
        <w:t xml:space="preserve">environmental exposure to lead (e.g., when a more efficient extraction system would better capture lead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10 µg NCO/m3</w:t>
      </w:r>
      <w:r>
        <w:t xml:space="preserve"> </w:t>
      </w:r>
      <w:r>
        <w:t xml:space="preserve">Option 3</w:t>
      </w:r>
      <w:r>
        <w:t xml:space="preserve"> </w:t>
      </w:r>
      <w:r>
        <w:t xml:space="preserve">6 µg NCO/m3</w:t>
      </w:r>
      <w:r>
        <w:t xml:space="preserve"> </w:t>
      </w:r>
      <w:r>
        <w:t xml:space="preserve">Option 4</w:t>
      </w:r>
      <w:r>
        <w:t xml:space="preserve"> </w:t>
      </w:r>
      <w:r>
        <w:t xml:space="preserve">3 µg NCO/m3</w:t>
      </w:r>
      <w:r>
        <w:t xml:space="preserve"> </w:t>
      </w:r>
      <w:r>
        <w:t xml:space="preserve">Benefits</w:t>
      </w:r>
      <w:r>
        <w:t xml:space="preserve"> </w:t>
      </w:r>
      <w:r>
        <w:t xml:space="preserve">€1 750 000</w:t>
      </w:r>
      <w:r>
        <w:br/>
      </w:r>
      <w:r>
        <w:t xml:space="preserve">€1 750 000</w:t>
      </w:r>
      <w:r>
        <w:t xml:space="preserve"> </w:t>
      </w:r>
      <w:r>
        <w:t xml:space="preserve">€2 750 000</w:t>
      </w:r>
      <w:r>
        <w:t xml:space="preserve"> </w:t>
      </w:r>
      <w:r>
        <w:t xml:space="preserve">Transposition cost</w:t>
      </w:r>
      <w:r>
        <w:t xml:space="preserve"> </w:t>
      </w:r>
      <w:r>
        <w:t xml:space="preserve">€970 000</w:t>
      </w:r>
      <w:r>
        <w:t xml:space="preserve"> </w:t>
      </w:r>
      <w:r>
        <w:t xml:space="preserve">€970 000</w:t>
      </w:r>
      <w:r>
        <w:t xml:space="preserve"> </w:t>
      </w:r>
      <w:r>
        <w:t xml:space="preserve">€970 000</w:t>
      </w:r>
      <w:r>
        <w:t xml:space="preserve"> </w:t>
      </w:r>
      <w:r>
        <w:t xml:space="preserve">Net benefit (benefits – costs)</w:t>
      </w:r>
      <w:r>
        <w:t xml:space="preserve"> </w:t>
      </w:r>
      <w:r>
        <w:t xml:space="preserve">€780 000</w:t>
      </w:r>
      <w:r>
        <w:t xml:space="preserve"> </w:t>
      </w:r>
      <w:r>
        <w:t xml:space="preserve">€780 000</w:t>
      </w:r>
      <w:r>
        <w:t xml:space="preserve"> </w:t>
      </w:r>
      <w:r>
        <w:t xml:space="preserve">€1 780 000</w:t>
      </w:r>
      <w:r>
        <w:t xml:space="preserve"> </w:t>
      </w:r>
      <w:r>
        <w:t xml:space="preserve">Source: External sStudy calculation, for EU27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dust). However, significant differences are unlikely to be recognised compared to the current situation.</w:t>
      </w:r>
      <w:r>
        <w:t xml:space="preserve"> </w:t>
      </w:r>
      <w:r>
        <w:t xml:space="preserve">In any case, these alternative RMMs will not result in additional negative impacts.</w:t>
      </w:r>
      <w:r>
        <w:t xml:space="preserve"> </w:t>
      </w:r>
      <w:r>
        <w:t xml:space="preserve">Reducing the limit values for lead is not expected to have an impact on climate change, though greater</w:t>
      </w:r>
      <w:r>
        <w:t xml:space="preserve"> </w:t>
      </w:r>
      <w:r>
        <w:t xml:space="preserve">use of lead batteries in, e.g., electric vehicles will contribute to a reduction in the use of fossil fuels.</w:t>
      </w:r>
      <w:r>
        <w:t xml:space="preserve"> </w:t>
      </w:r>
      <w:r>
        <w:t xml:space="preserve">Diisocyanates</w:t>
      </w:r>
      <w:r>
        <w:t xml:space="preserve"> </w:t>
      </w:r>
      <w:r>
        <w:t xml:space="preserve">Diisocyanates are a group of synthetic substances and do not have natural sources. Most diisocyanates</w:t>
      </w:r>
      <w:r>
        <w:t xml:space="preserve"> </w:t>
      </w:r>
      <w:r>
        <w:t xml:space="preserve">are not considered as having persistent qualities. They are highly reactive and when released into an</w:t>
      </w:r>
      <w:r>
        <w:t xml:space="preserve"> </w:t>
      </w:r>
      <w:r>
        <w:t xml:space="preserve">environment containing water (for example, in relation to air, aquatic environments, and soil)</w:t>
      </w:r>
      <w:r>
        <w:t xml:space="preserve"> </w:t>
      </w:r>
      <w:r>
        <w:t xml:space="preserve">diisocyanates produce a polyurea crust which is insoluble and inert. In practical terms this means that</w:t>
      </w:r>
      <w:r>
        <w:t xml:space="preserve"> </w:t>
      </w:r>
      <w:r>
        <w:t xml:space="preserve">there is no direct risk to the environment from unreacted diisocyanates. For the same reasons</w:t>
      </w:r>
      <w:r>
        <w:t xml:space="preserve"> </w:t>
      </w:r>
      <w:r>
        <w:t xml:space="preserve">bioaccumulation of diisocyanates is not considered possible. Based on the above there is no identifiable</w:t>
      </w:r>
      <w:r>
        <w:t xml:space="preserve"> </w:t>
      </w:r>
      <w:r>
        <w:t xml:space="preserve">significant impact on the environment.</w:t>
      </w:r>
      <w:r>
        <w:br/>
      </w:r>
      <w:r>
        <w:t xml:space="preserve">A greater use of insulating material based on diisocyanates will improve the thermal insulation of</w:t>
      </w:r>
      <w:r>
        <w:t xml:space="preserve"> </w:t>
      </w:r>
      <w:r>
        <w:t xml:space="preserve">buildings with a consequent reduction in the use of fossil fuels for heating, thus contributing to</w:t>
      </w:r>
      <w:r>
        <w:t xml:space="preserve"> </w:t>
      </w:r>
      <w:r>
        <w:t xml:space="preserve">mitigating climate change. This will not be directly impacted by the introduction of limit values.</w:t>
      </w:r>
      <w:r>
        <w:t xml:space="preserve"> </w:t>
      </w:r>
      <w:r>
        <w:t xml:space="preserve">6.5 Impacts on fundamental rights</w:t>
      </w:r>
      <w:r>
        <w:t xml:space="preserve"> </w:t>
      </w:r>
      <w:r>
        <w:t xml:space="preserve">All options align with the EU Charter of Fundamental Rights. Article 31 of the Charter states that</w:t>
      </w:r>
      <w:r>
        <w:t xml:space="preserve"> </w:t>
      </w:r>
      <w:r>
        <w:t xml:space="preserve">workers have the right to fair and just working conditions that respect their health, safety and dignity.</w:t>
      </w:r>
      <w:r>
        <w:t xml:space="preserve"> </w:t>
      </w:r>
      <w:r>
        <w:t xml:space="preserve">This is further developed in the European Pillar of Social Rights83 which aims to build a fairer and more</w:t>
      </w:r>
      <w:r>
        <w:t xml:space="preserve"> </w:t>
      </w:r>
      <w:r>
        <w:t xml:space="preserve">inclusive European Union. The initiative for lowering the OEL/BLV for lead and for introducing an</w:t>
      </w:r>
      <w:r>
        <w:t xml:space="preserve"> </w:t>
      </w:r>
      <w:r>
        <w:t xml:space="preserve">OEL/STEL for diisocyanates will thus have a direct positive impact on fundamental and social rights,</w:t>
      </w:r>
      <w:r>
        <w:t xml:space="preserve"> </w:t>
      </w:r>
      <w:r>
        <w:t xml:space="preserve">as it will further improve the protection of workers from the health risks posed by exposure. Taking into</w:t>
      </w:r>
      <w:r>
        <w:t xml:space="preserve"> </w:t>
      </w:r>
      <w:r>
        <w:t xml:space="preserve">account the avoided ill-health following the implementation of new, or revised, limit values, the respect</w:t>
      </w:r>
      <w:r>
        <w:t xml:space="preserve"> </w:t>
      </w:r>
      <w:r>
        <w:t xml:space="preserve">of these rights will also be positively impacted.</w:t>
      </w:r>
      <w:r>
        <w:br/>
      </w:r>
      <w:r>
        <w:t xml:space="preserve">6.6 Contribution to sustainable development</w:t>
      </w:r>
      <w:r>
        <w:t xml:space="preserve"> </w:t>
      </w:r>
      <w:r>
        <w:t xml:space="preserve">The initiative will contribute positively to sustainable development goals on good health and well-being</w:t>
      </w:r>
      <w:r>
        <w:t xml:space="preserve"> </w:t>
      </w:r>
      <w:r>
        <w:t xml:space="preserve">(3rd goal) and on decent work and economic growth (8th goal). A positive impact is also expected for</w:t>
      </w:r>
      <w:r>
        <w:t xml:space="preserve"> </w:t>
      </w:r>
      <w:r>
        <w:t xml:space="preserve">the SDG on industry, innovation and infrastructure (9th goal) and on responsible production and</w:t>
      </w:r>
      <w:r>
        <w:t xml:space="preserve"> </w:t>
      </w:r>
      <w:r>
        <w:t xml:space="preserve">consumption (12th goal).</w:t>
      </w:r>
      <w:r>
        <w:t xml:space="preserve"> </w:t>
      </w:r>
      <w:r>
        <w:t xml:space="preserve">6.7 Impacts on digitalisation</w:t>
      </w:r>
      <w:r>
        <w:t xml:space="preserve"> </w:t>
      </w:r>
      <w:r>
        <w:t xml:space="preserve">None of the policy options for both lead and diisocyanates would have any impacts on digitalisation.</w:t>
      </w:r>
    </w:p>
    <w:p>
      <w:pPr>
        <w:pStyle w:val="BodyText"/>
      </w:pPr>
      <w:r>
        <w:t xml:space="preserve">83https://ec.europa.eu/info/strategy/priorities-2019-2024/economy-works-people/jobs-growth-and-</w:t>
      </w:r>
      <w:r>
        <w:t xml:space="preserve"> </w:t>
      </w:r>
      <w:r>
        <w:t xml:space="preserve">investment/european-pillar-social-rights_en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6.8 Administrative impacts</w:t>
      </w:r>
      <w:r>
        <w:t xml:space="preserve"> </w:t>
      </w:r>
      <w:r>
        <w:t xml:space="preserve">As explained in sections 6.3.4, neither the CMRD nor the CAD contain any notification obligations.</w:t>
      </w:r>
      <w:r>
        <w:br/>
      </w:r>
      <w:r>
        <w:t xml:space="preserve">For lead, public authorities could incur administrative costs if, for example, they have to do more</w:t>
      </w:r>
      <w:r>
        <w:t xml:space="preserve"> </w:t>
      </w:r>
      <w:r>
        <w:t xml:space="preserve">reporting to the EU or there are other additional administrative burdens. However, no additional</w:t>
      </w:r>
      <w:r>
        <w:t xml:space="preserve"> </w:t>
      </w:r>
      <w:r>
        <w:t xml:space="preserve">reporting is anticipated and any other administrative burdens for Member States’ authorities than those</w:t>
      </w:r>
      <w:r>
        <w:t xml:space="preserve"> </w:t>
      </w:r>
      <w:r>
        <w:t xml:space="preserve">already referred in table 8 could not be identified and, therefore, quantified.</w:t>
      </w:r>
      <w:r>
        <w:br/>
      </w:r>
      <w:r>
        <w:t xml:space="preserve">For companies, since all the options considered in this impact assessment are about revising existing</w:t>
      </w:r>
      <w:r>
        <w:t xml:space="preserve"> </w:t>
      </w:r>
      <w:r>
        <w:t xml:space="preserve">limit values, such a revision would not introduce any additional administrative requirements. Therefore,</w:t>
      </w:r>
      <w:r>
        <w:t xml:space="preserve"> </w:t>
      </w:r>
      <w:r>
        <w:t xml:space="preserve">the administrative costs for companies are null under each option.</w:t>
      </w:r>
      <w:r>
        <w:br/>
      </w:r>
      <w:r>
        <w:t xml:space="preserve">Many activities are performed by companies working in one Member State only (micro-enterprises and</w:t>
      </w:r>
      <w:r>
        <w:t xml:space="preserve"> </w:t>
      </w:r>
      <w:r>
        <w:t xml:space="preserve">SMEs). However, several larger and to lesser extent medium-sized companies with facilities in different</w:t>
      </w:r>
      <w:r>
        <w:t xml:space="preserve"> </w:t>
      </w:r>
      <w:r>
        <w:t xml:space="preserve">Member States would benefit from administrative simplification, owing to a more harmonious set of</w:t>
      </w:r>
      <w:r>
        <w:t xml:space="preserve"> </w:t>
      </w:r>
      <w:r>
        <w:t xml:space="preserve">compliance requirements. Due to the lack of data, a quantification of those administrative savings was</w:t>
      </w:r>
      <w:r>
        <w:t xml:space="preserve"> </w:t>
      </w:r>
      <w:r>
        <w:t xml:space="preserve">not possible.</w:t>
      </w:r>
      <w:r>
        <w:t xml:space="preserve"> </w:t>
      </w:r>
      <w:r>
        <w:t xml:space="preserve">As for lead, none of the options explored for diisocyanates should entail additional administrative</w:t>
      </w:r>
      <w:r>
        <w:t xml:space="preserve"> </w:t>
      </w:r>
      <w:r>
        <w:t xml:space="preserve">burdens for Member States. The possible revision of the CAD would be limited to the setting of an OEL</w:t>
      </w:r>
      <w:r>
        <w:t xml:space="preserve"> </w:t>
      </w:r>
      <w:r>
        <w:t xml:space="preserve">and a STEL, with no additional requirements such as new reporting activities for public authorities.</w:t>
      </w:r>
      <w:r>
        <w:br/>
      </w:r>
      <w:r>
        <w:t xml:space="preserve">For companies, as described above, some costs are expected. Large companies would spend</w:t>
      </w:r>
      <w:r>
        <w:t xml:space="preserve"> </w:t>
      </w:r>
      <w:r>
        <w:t xml:space="preserve">EUR 22 230 over 40 years while small and medium-sized companies would dedicate EUR 2 223 and</w:t>
      </w:r>
      <w:r>
        <w:t xml:space="preserve"> </w:t>
      </w:r>
      <w:r>
        <w:t xml:space="preserve">EUR 11 115 respectively, over the same reference period. This brings the total for all companies to</w:t>
      </w:r>
      <w:r>
        <w:t xml:space="preserve"> </w:t>
      </w:r>
      <w:r>
        <w:t xml:space="preserve">€2.4bn for the whole 40-year period, as indicated in table 11 below.</w:t>
      </w:r>
      <w:r>
        <w:t xml:space="preserve"> </w:t>
      </w:r>
      <w:r>
        <w:t xml:space="preserve">6.9 ‘One in, one out’ approach</w:t>
      </w:r>
      <w:r>
        <w:t xml:space="preserve"> </w:t>
      </w:r>
      <w:r>
        <w:t xml:space="preserve">The administrative costs for companies operating with diisocyanates relate to the inspection on behalf</w:t>
      </w:r>
      <w:r>
        <w:t xml:space="preserve"> </w:t>
      </w:r>
      <w:r>
        <w:t xml:space="preserve">of public authorities and are therefore not subject to offsetting in the context of the ‘one in, one out’</w:t>
      </w:r>
      <w:r>
        <w:t xml:space="preserve"> </w:t>
      </w:r>
      <w:r>
        <w:t xml:space="preserve">approach84. Companies manufacturing or using lead will not face any additional administrative costs as</w:t>
      </w:r>
      <w:r>
        <w:t xml:space="preserve"> </w:t>
      </w:r>
      <w:r>
        <w:t xml:space="preserve">explained in the previous subsection. Therefore, there are no administrative costs to be offset according</w:t>
      </w:r>
      <w:r>
        <w:t xml:space="preserve"> </w:t>
      </w:r>
      <w:r>
        <w:t xml:space="preserve">to the ‘one in, one out’ approach.</w:t>
      </w:r>
      <w:r>
        <w:br/>
      </w:r>
      <w:r>
        <w:t xml:space="preserve">6.10 Summary of the impacts</w:t>
      </w:r>
      <w:r>
        <w:t xml:space="preserve"> </w:t>
      </w:r>
      <w:r>
        <w:t xml:space="preserve">The tables below provide a summary of the different impacts by policy options for both lead and</w:t>
      </w:r>
      <w:r>
        <w:t xml:space="preserve"> </w:t>
      </w:r>
      <w:r>
        <w:t xml:space="preserve">diisocyanates.</w:t>
      </w:r>
      <w:r>
        <w:br/>
      </w:r>
      <w:r>
        <w:t xml:space="preserve">Lead</w:t>
      </w:r>
      <w:r>
        <w:br/>
      </w:r>
      <w:r>
        <w:t xml:space="preserve">Table 10: Multi-criteria analysis on lead (all impacts over 40 years and additional to the baseline)</w:t>
      </w:r>
      <w:r>
        <w:t xml:space="preserve"> </w:t>
      </w:r>
      <w:r>
        <w:t xml:space="preserve">Impact</w:t>
      </w:r>
      <w:r>
        <w:t xml:space="preserve"> </w:t>
      </w:r>
      <w:r>
        <w:t xml:space="preserve">Stakeholders</w:t>
      </w:r>
      <w:r>
        <w:t xml:space="preserve"> </w:t>
      </w:r>
      <w:r>
        <w:t xml:space="preserve">affected</w:t>
      </w:r>
      <w:r>
        <w:t xml:space="preserve"> </w:t>
      </w:r>
      <w:r>
        <w:t xml:space="preserve">BLV options (μg/100ml)</w:t>
      </w:r>
      <w:r>
        <w:t xml:space="preserve"> </w:t>
      </w:r>
      <w:r>
        <w:t xml:space="preserve">Option 4: 4.5</w:t>
      </w:r>
      <w:r>
        <w:br/>
      </w:r>
      <w:r>
        <w:t xml:space="preserve">Option 3: 15</w:t>
      </w:r>
      <w:r>
        <w:br/>
      </w:r>
      <w:r>
        <w:t xml:space="preserve">Option 2: 20</w:t>
      </w:r>
    </w:p>
    <w:p>
      <w:pPr>
        <w:pStyle w:val="BodyText"/>
      </w:pPr>
      <w:r>
        <w:t xml:space="preserve">84 Better Regulation Tool #58 ‘EU Standard Cost Model’.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Impact</w:t>
      </w:r>
      <w:r>
        <w:t xml:space="preserve"> </w:t>
      </w:r>
      <w:r>
        <w:t xml:space="preserve">Stakeholders</w:t>
      </w:r>
      <w:r>
        <w:t xml:space="preserve"> </w:t>
      </w:r>
      <w:r>
        <w:t xml:space="preserve">affected</w:t>
      </w:r>
      <w:r>
        <w:t xml:space="preserve"> </w:t>
      </w:r>
      <w:r>
        <w:t xml:space="preserve">BLV options (μg/100ml)</w:t>
      </w:r>
      <w:r>
        <w:t xml:space="preserve"> </w:t>
      </w:r>
      <w:r>
        <w:t xml:space="preserve">Option 4: 4.5</w:t>
      </w:r>
      <w:r>
        <w:br/>
      </w:r>
      <w:r>
        <w:t xml:space="preserve">Option 3: 15</w:t>
      </w:r>
      <w:r>
        <w:br/>
      </w:r>
      <w:r>
        <w:t xml:space="preserve">Option 2: 20</w:t>
      </w:r>
      <w:r>
        <w:br/>
      </w:r>
      <w:r>
        <w:t xml:space="preserve">Direct costs – compliance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discontinuation</w:t>
      </w:r>
      <w:r>
        <w:t xml:space="preserve"> </w:t>
      </w:r>
      <w:r>
        <w:t xml:space="preserve">costs</w:t>
      </w:r>
      <w:r>
        <w:t xml:space="preserve"> </w:t>
      </w:r>
      <w:r>
        <w:t xml:space="preserve">(one-off and recurrent)</w:t>
      </w:r>
      <w:r>
        <w:t xml:space="preserve"> </w:t>
      </w:r>
      <w:r>
        <w:t xml:space="preserve">Companies</w:t>
      </w:r>
      <w:r>
        <w:t xml:space="preserve"> </w:t>
      </w:r>
      <w:r>
        <w:t xml:space="preserve">€6 300 million</w:t>
      </w:r>
      <w:r>
        <w:t xml:space="preserve"> </w:t>
      </w:r>
      <w:r>
        <w:t xml:space="preserve">€750</w:t>
      </w:r>
      <w:r>
        <w:br/>
      </w:r>
      <w:r>
        <w:t xml:space="preserve">million</w:t>
      </w:r>
      <w:r>
        <w:t xml:space="preserve"> </w:t>
      </w:r>
      <w:r>
        <w:t xml:space="preserve">€350</w:t>
      </w:r>
      <w:r>
        <w:br/>
      </w:r>
      <w:r>
        <w:t xml:space="preserve">million</w:t>
      </w:r>
      <w:r>
        <w:t xml:space="preserve"> </w:t>
      </w:r>
      <w:r>
        <w:t xml:space="preserve">Monitoring (sampling and</w:t>
      </w:r>
      <w:r>
        <w:t xml:space="preserve"> </w:t>
      </w:r>
      <w:r>
        <w:t xml:space="preserve">analysis)</w:t>
      </w:r>
      <w:r>
        <w:t xml:space="preserve"> </w:t>
      </w:r>
      <w:r>
        <w:t xml:space="preserve">Companies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Direct costs - administrative burdens</w:t>
      </w:r>
      <w:r>
        <w:t xml:space="preserve"> </w:t>
      </w:r>
      <w:r>
        <w:t xml:space="preserve">Company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additional administration</w:t>
      </w:r>
      <w:r>
        <w:t xml:space="preserve"> </w:t>
      </w:r>
      <w:r>
        <w:t xml:space="preserve">Companies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Direct costs –– total per company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monitoring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Companies</w:t>
      </w:r>
      <w:r>
        <w:t xml:space="preserve"> </w:t>
      </w:r>
      <w:r>
        <w:t xml:space="preserve">€300 000</w:t>
      </w:r>
      <w:r>
        <w:br/>
      </w:r>
      <w:r>
        <w:t xml:space="preserve">€31 000</w:t>
      </w:r>
      <w:r>
        <w:br/>
      </w:r>
      <w:r>
        <w:t xml:space="preserve">€15 000</w:t>
      </w:r>
      <w:r>
        <w:br/>
      </w:r>
      <w:r>
        <w:t xml:space="preserve">Direct costs - enforcement costs</w:t>
      </w:r>
      <w:r>
        <w:t xml:space="preserve"> </w:t>
      </w:r>
      <w:r>
        <w:t xml:space="preserve">Transposition costs</w:t>
      </w:r>
      <w:r>
        <w:t xml:space="preserve"> </w:t>
      </w:r>
      <w:r>
        <w:t xml:space="preserve">Public sector</w:t>
      </w:r>
      <w:r>
        <w:t xml:space="preserve"> </w:t>
      </w:r>
      <w:r>
        <w:t xml:space="preserve">€520 000</w:t>
      </w:r>
      <w:r>
        <w:t xml:space="preserve"> </w:t>
      </w:r>
      <w:r>
        <w:t xml:space="preserve">€500 000</w:t>
      </w:r>
      <w:r>
        <w:t xml:space="preserve"> </w:t>
      </w:r>
      <w:r>
        <w:t xml:space="preserve">€480 000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Public sector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Monitoring costs</w:t>
      </w:r>
      <w:r>
        <w:br/>
      </w:r>
      <w:r>
        <w:t xml:space="preserve">Public sector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Adjudication costs</w:t>
      </w:r>
      <w:r>
        <w:t xml:space="preserve"> </w:t>
      </w:r>
      <w:r>
        <w:t xml:space="preserve">Public sector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Indirect costs – other</w:t>
      </w:r>
      <w:r>
        <w:t xml:space="preserve"> </w:t>
      </w:r>
      <w:r>
        <w:t xml:space="preserve">Firms exiting the market -</w:t>
      </w:r>
      <w:r>
        <w:t xml:space="preserve"> </w:t>
      </w:r>
      <w:r>
        <w:t xml:space="preserve">No. of company closures</w:t>
      </w:r>
      <w:r>
        <w:t xml:space="preserve"> </w:t>
      </w:r>
      <w:r>
        <w:t xml:space="preserve">Companies</w:t>
      </w:r>
      <w:r>
        <w:t xml:space="preserve"> </w:t>
      </w:r>
      <w:r>
        <w:t xml:space="preserve">29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Employment – Jobs lost</w:t>
      </w:r>
      <w:r>
        <w:t xml:space="preserve"> </w:t>
      </w:r>
      <w:r>
        <w:t xml:space="preserve">Workers</w:t>
      </w:r>
      <w:r>
        <w:t xml:space="preserve"> </w:t>
      </w:r>
      <w:r>
        <w:t xml:space="preserve">&amp;</w:t>
      </w:r>
      <w:r>
        <w:t xml:space="preserve"> </w:t>
      </w:r>
      <w:r>
        <w:t xml:space="preserve">families</w:t>
      </w:r>
      <w:r>
        <w:t xml:space="preserve"> </w:t>
      </w:r>
      <w:r>
        <w:t xml:space="preserve">1 800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Employment – Social cost</w:t>
      </w:r>
      <w:r>
        <w:t xml:space="preserve"> </w:t>
      </w:r>
      <w:r>
        <w:t xml:space="preserve">Workers</w:t>
      </w:r>
      <w:r>
        <w:t xml:space="preserve"> </w:t>
      </w:r>
      <w:r>
        <w:t xml:space="preserve">&amp;</w:t>
      </w:r>
      <w:r>
        <w:t xml:space="preserve"> </w:t>
      </w:r>
      <w:r>
        <w:t xml:space="preserve">families</w:t>
      </w:r>
      <w:r>
        <w:t xml:space="preserve"> </w:t>
      </w:r>
      <w:r>
        <w:t xml:space="preserve">€150</w:t>
      </w:r>
      <w:r>
        <w:br/>
      </w:r>
      <w:r>
        <w:t xml:space="preserve">million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Companies</w:t>
      </w:r>
      <w:r>
        <w:t xml:space="preserve"> </w:t>
      </w:r>
      <w:r>
        <w:t xml:space="preserve">Substantial</w:t>
      </w:r>
      <w:r>
        <w:t xml:space="preserve"> </w:t>
      </w:r>
      <w:r>
        <w:t xml:space="preserve">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Moderate 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Limited 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Consumers</w:t>
      </w:r>
      <w:r>
        <w:t xml:space="preserve"> </w:t>
      </w:r>
      <w:r>
        <w:t xml:space="preserve">Limited impacts expected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Companies</w:t>
      </w:r>
      <w:r>
        <w:t xml:space="preserve"> </w:t>
      </w:r>
      <w:r>
        <w:t xml:space="preserve">Lowest/</w:t>
      </w:r>
      <w:r>
        <w:t xml:space="preserve"> </w:t>
      </w:r>
      <w:r>
        <w:t xml:space="preserve">highest BLV</w:t>
      </w:r>
      <w:r>
        <w:t xml:space="preserve"> </w:t>
      </w:r>
      <w:r>
        <w:t xml:space="preserve">from 4.5 to 4.5</w:t>
      </w:r>
      <w:r>
        <w:t xml:space="preserve"> </w:t>
      </w:r>
      <w:r>
        <w:t xml:space="preserve">Lowest/</w:t>
      </w:r>
      <w:r>
        <w:t xml:space="preserve"> </w:t>
      </w:r>
      <w:r>
        <w:t xml:space="preserve">highest BLV</w:t>
      </w:r>
      <w:r>
        <w:t xml:space="preserve"> </w:t>
      </w:r>
      <w:r>
        <w:t xml:space="preserve">from 10 to 15</w:t>
      </w:r>
      <w:r>
        <w:t xml:space="preserve"> </w:t>
      </w:r>
      <w:r>
        <w:t xml:space="preserve">Lowest/</w:t>
      </w:r>
      <w:r>
        <w:t xml:space="preserve"> </w:t>
      </w:r>
      <w:r>
        <w:t xml:space="preserve">highest BLV</w:t>
      </w:r>
      <w:r>
        <w:t xml:space="preserve"> </w:t>
      </w:r>
      <w:r>
        <w:t xml:space="preserve">from 10 to 20</w:t>
      </w:r>
      <w:r>
        <w:t xml:space="preserve"> </w:t>
      </w:r>
      <w:r>
        <w:t xml:space="preserve">Specific MSs/regions -</w:t>
      </w:r>
      <w:r>
        <w:t xml:space="preserve"> </w:t>
      </w:r>
      <w:r>
        <w:t xml:space="preserve">MSs that would have to</w:t>
      </w:r>
      <w:r>
        <w:t xml:space="preserve"> </w:t>
      </w:r>
      <w:r>
        <w:t xml:space="preserve">change BLVs</w:t>
      </w:r>
      <w:r>
        <w:t xml:space="preserve"> </w:t>
      </w:r>
      <w:r>
        <w:t xml:space="preserve">Public sector</w:t>
      </w:r>
      <w:r>
        <w:t xml:space="preserve"> </w:t>
      </w:r>
      <w:r>
        <w:t xml:space="preserve">All MS</w:t>
      </w:r>
      <w:r>
        <w:t xml:space="preserve"> </w:t>
      </w:r>
      <w:r>
        <w:t xml:space="preserve">All MS</w:t>
      </w:r>
      <w:r>
        <w:br/>
      </w:r>
      <w:r>
        <w:t xml:space="preserve">All MS</w:t>
      </w:r>
      <w:r>
        <w:t xml:space="preserve"> </w:t>
      </w:r>
      <w:r>
        <w:t xml:space="preserve">Regulation</w:t>
      </w:r>
      <w:r>
        <w:t xml:space="preserve"> </w:t>
      </w:r>
      <w:r>
        <w:t xml:space="preserve">Companies</w:t>
      </w:r>
      <w:r>
        <w:t xml:space="preserve"> </w:t>
      </w:r>
      <w:r>
        <w:t xml:space="preserve">Cumulative impact of many changes in regulations,</w:t>
      </w:r>
      <w:r>
        <w:t xml:space="preserve"> </w:t>
      </w:r>
      <w:r>
        <w:t xml:space="preserve">implemented or awaited</w:t>
      </w:r>
      <w:r>
        <w:t xml:space="preserve"> </w:t>
      </w:r>
      <w:r>
        <w:t xml:space="preserve">Direct benefits – improved well-being – health</w:t>
      </w:r>
      <w:r>
        <w:t xml:space="preserve"> </w:t>
      </w:r>
      <w:r>
        <w:t xml:space="preserve">Reduced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ill</w:t>
      </w:r>
      <w:r>
        <w:t xml:space="preserve"> </w:t>
      </w:r>
      <w:r>
        <w:t xml:space="preserve">health (all endpoints, excl.</w:t>
      </w:r>
      <w:r>
        <w:t xml:space="preserve"> </w:t>
      </w:r>
      <w:r>
        <w:t xml:space="preserve">developmental toxicity)</w:t>
      </w:r>
      <w:r>
        <w:t xml:space="preserve"> </w:t>
      </w:r>
      <w:r>
        <w:t xml:space="preserve">Workers</w:t>
      </w:r>
      <w:r>
        <w:t xml:space="preserve"> </w:t>
      </w:r>
      <w:r>
        <w:t xml:space="preserve">&amp;</w:t>
      </w:r>
      <w:r>
        <w:t xml:space="preserve"> </w:t>
      </w:r>
      <w:r>
        <w:t xml:space="preserve">families</w:t>
      </w:r>
      <w:r>
        <w:t xml:space="preserve"> </w:t>
      </w:r>
      <w:r>
        <w:t xml:space="preserve">13,000</w:t>
      </w:r>
      <w:r>
        <w:t xml:space="preserve"> </w:t>
      </w:r>
      <w:r>
        <w:t xml:space="preserve">10,500</w:t>
      </w:r>
      <w:r>
        <w:t xml:space="preserve"> </w:t>
      </w:r>
      <w:r>
        <w:t xml:space="preserve">8,500</w:t>
      </w:r>
      <w:r>
        <w:t xml:space="preserve"> </w:t>
      </w:r>
      <w:r>
        <w:t xml:space="preserve">Ill health avoided, incl. </w:t>
      </w:r>
      <w:r>
        <w:t xml:space="preserve"> </w:t>
      </w:r>
      <w:r>
        <w:t xml:space="preserve">intangible costs (M1 to</w:t>
      </w:r>
      <w:r>
        <w:t xml:space="preserve"> </w:t>
      </w:r>
      <w:r>
        <w:t xml:space="preserve">M2)</w:t>
      </w:r>
      <w:r>
        <w:t xml:space="preserve"> </w:t>
      </w:r>
      <w:r>
        <w:t xml:space="preserve">Workers</w:t>
      </w:r>
      <w:r>
        <w:t xml:space="preserve"> </w:t>
      </w:r>
      <w:r>
        <w:t xml:space="preserve">&amp;</w:t>
      </w:r>
      <w:r>
        <w:t xml:space="preserve"> </w:t>
      </w:r>
      <w:r>
        <w:t xml:space="preserve">families</w:t>
      </w:r>
      <w:r>
        <w:t xml:space="preserve"> </w:t>
      </w:r>
      <w:r>
        <w:t xml:space="preserve">€200 - 310</w:t>
      </w:r>
      <w:r>
        <w:br/>
      </w:r>
      <w:r>
        <w:t xml:space="preserve">million</w:t>
      </w:r>
      <w:r>
        <w:t xml:space="preserve"> </w:t>
      </w:r>
      <w:r>
        <w:t xml:space="preserve">€160 - 250 million</w:t>
      </w:r>
      <w:r>
        <w:t xml:space="preserve"> </w:t>
      </w:r>
      <w:r>
        <w:t xml:space="preserve">€130 - 200 million</w:t>
      </w:r>
      <w:r>
        <w:t xml:space="preserve"> </w:t>
      </w:r>
      <w:r>
        <w:t xml:space="preserve">Avoided costs</w:t>
      </w:r>
      <w:r>
        <w:t xml:space="preserve"> </w:t>
      </w:r>
      <w:r>
        <w:t xml:space="preserve">Companies</w:t>
      </w:r>
      <w:r>
        <w:t xml:space="preserve"> </w:t>
      </w:r>
      <w:r>
        <w:t xml:space="preserve">€6 million</w:t>
      </w:r>
      <w:r>
        <w:t xml:space="preserve"> </w:t>
      </w:r>
      <w:r>
        <w:t xml:space="preserve">€5 million</w:t>
      </w:r>
      <w:r>
        <w:t xml:space="preserve"> </w:t>
      </w:r>
      <w:r>
        <w:t xml:space="preserve">€4 million</w:t>
      </w:r>
      <w:r>
        <w:t xml:space="preserve"> </w:t>
      </w:r>
      <w:r>
        <w:t xml:space="preserve">Avoided costs</w:t>
      </w:r>
      <w:r>
        <w:t xml:space="preserve"> </w:t>
      </w:r>
      <w:r>
        <w:t xml:space="preserve">Public sector</w:t>
      </w:r>
      <w:r>
        <w:br/>
      </w:r>
      <w:r>
        <w:t xml:space="preserve">€130</w:t>
      </w:r>
      <w:r>
        <w:br/>
      </w:r>
      <w:r>
        <w:t xml:space="preserve">million</w:t>
      </w:r>
      <w:r>
        <w:t xml:space="preserve"> </w:t>
      </w:r>
      <w:r>
        <w:t xml:space="preserve">€100</w:t>
      </w:r>
      <w:r>
        <w:t xml:space="preserve"> </w:t>
      </w:r>
      <w:r>
        <w:t xml:space="preserve">million</w:t>
      </w:r>
      <w:r>
        <w:t xml:space="preserve"> </w:t>
      </w:r>
      <w:r>
        <w:t xml:space="preserve">€90</w:t>
      </w:r>
      <w:r>
        <w:br/>
      </w:r>
      <w:r>
        <w:t xml:space="preserve">million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Impact</w:t>
      </w:r>
      <w:r>
        <w:t xml:space="preserve"> </w:t>
      </w:r>
      <w:r>
        <w:t xml:space="preserve">Stakeholders</w:t>
      </w:r>
      <w:r>
        <w:t xml:space="preserve"> </w:t>
      </w:r>
      <w:r>
        <w:t xml:space="preserve">affected</w:t>
      </w:r>
      <w:r>
        <w:t xml:space="preserve"> </w:t>
      </w:r>
      <w:r>
        <w:t xml:space="preserve">BLV options (μg/100ml)</w:t>
      </w:r>
      <w:r>
        <w:t xml:space="preserve"> </w:t>
      </w:r>
      <w:r>
        <w:t xml:space="preserve">Option 4: 4.5</w:t>
      </w:r>
      <w:r>
        <w:br/>
      </w:r>
      <w:r>
        <w:t xml:space="preserve">Option 3: 15</w:t>
      </w:r>
      <w:r>
        <w:br/>
      </w:r>
      <w:r>
        <w:t xml:space="preserve">Option 2: 20</w:t>
      </w:r>
      <w:r>
        <w:br/>
      </w:r>
      <w:r>
        <w:t xml:space="preserve">Social policy agenda</w:t>
      </w:r>
      <w:r>
        <w:t xml:space="preserve"> </w:t>
      </w:r>
      <w:r>
        <w:t xml:space="preserve">All</w:t>
      </w:r>
      <w:r>
        <w:t xml:space="preserve"> </w:t>
      </w:r>
      <w:r>
        <w:t xml:space="preserve">Contribution to Green Deal: Chemicals Strategy for</w:t>
      </w:r>
      <w:r>
        <w:t xml:space="preserve"> </w:t>
      </w:r>
      <w:r>
        <w:t xml:space="preserve">Sustainability towards a toxic-free environment</w:t>
      </w:r>
      <w:r>
        <w:t xml:space="preserve"> </w:t>
      </w:r>
      <w:r>
        <w:t xml:space="preserve">Direct benefits – improved well-being – environmental</w:t>
      </w:r>
      <w:r>
        <w:t xml:space="preserve"> </w:t>
      </w:r>
      <w:r>
        <w:t xml:space="preserve">Environmental releases</w:t>
      </w:r>
      <w:r>
        <w:t xml:space="preserve"> </w:t>
      </w:r>
      <w:r>
        <w:t xml:space="preserve">All</w:t>
      </w:r>
      <w:r>
        <w:t xml:space="preserve"> </w:t>
      </w:r>
      <w:r>
        <w:t xml:space="preserve">No impact/limited impact</w:t>
      </w:r>
      <w:r>
        <w:br/>
      </w:r>
      <w:r>
        <w:t xml:space="preserve">Direct benefits – market efficiency</w:t>
      </w:r>
      <w:r>
        <w:t xml:space="preserve"> </w:t>
      </w:r>
      <w:r>
        <w:t xml:space="preserve">Level playing field</w:t>
      </w:r>
      <w:r>
        <w:t xml:space="preserve"> </w:t>
      </w:r>
      <w:r>
        <w:t xml:space="preserve">Companies</w:t>
      </w:r>
      <w:r>
        <w:t xml:space="preserve"> </w:t>
      </w:r>
      <w:r>
        <w:t xml:space="preserve">A harmonisation of the BLVs leads to a level playing field,</w:t>
      </w:r>
      <w:r>
        <w:t xml:space="preserve"> </w:t>
      </w:r>
      <w:r>
        <w:t xml:space="preserve">as all companies across all Member States follow a more</w:t>
      </w:r>
      <w:r>
        <w:t xml:space="preserve"> </w:t>
      </w:r>
      <w:r>
        <w:t xml:space="preserve">symmetric requirement. The level-playing field increases</w:t>
      </w:r>
      <w:r>
        <w:t xml:space="preserve"> </w:t>
      </w:r>
      <w:r>
        <w:t xml:space="preserve">with the stringency of BLVs</w:t>
      </w:r>
      <w:r>
        <w:t xml:space="preserve"> </w:t>
      </w:r>
      <w:r>
        <w:t xml:space="preserve">Indirect benefits</w:t>
      </w:r>
      <w:r>
        <w:br/>
      </w:r>
      <w:r>
        <w:t xml:space="preserve">Administrative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Companies</w:t>
      </w:r>
      <w:r>
        <w:t xml:space="preserve"> </w:t>
      </w:r>
      <w:r>
        <w:t xml:space="preserve">Large companies, and to a lesser extent medium ones with</w:t>
      </w:r>
      <w:r>
        <w:t xml:space="preserve"> </w:t>
      </w:r>
      <w:r>
        <w:t xml:space="preserve">facilities in different Member States, will experience</w:t>
      </w:r>
      <w:r>
        <w:t xml:space="preserve"> </w:t>
      </w:r>
      <w:r>
        <w:t xml:space="preserve">administrative simplification, owing to a more harmonious</w:t>
      </w:r>
      <w:r>
        <w:t xml:space="preserve"> </w:t>
      </w:r>
      <w:r>
        <w:t xml:space="preserve">set of compliance requirements. The sectors expected to</w:t>
      </w:r>
      <w:r>
        <w:t xml:space="preserve"> </w:t>
      </w:r>
      <w:r>
        <w:t xml:space="preserve">benefit most are sectors 1, 2, 3, 6, and 15.</w:t>
      </w:r>
      <w:r>
        <w:t xml:space="preserve"> </w:t>
      </w:r>
      <w:r>
        <w:t xml:space="preserve">Corporate</w:t>
      </w:r>
      <w:r>
        <w:t xml:space="preserve"> </w:t>
      </w:r>
      <w:r>
        <w:t xml:space="preserve">Social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Companies</w:t>
      </w:r>
      <w:r>
        <w:t xml:space="preserve"> </w:t>
      </w:r>
      <w:r>
        <w:t xml:space="preserve">Work with lead may be less perceived as a risky line of</w:t>
      </w:r>
      <w:r>
        <w:t xml:space="preserve"> </w:t>
      </w:r>
      <w:r>
        <w:t xml:space="preserve">work associated with health issues. As a result of such an</w:t>
      </w:r>
      <w:r>
        <w:t xml:space="preserve"> </w:t>
      </w:r>
      <w:r>
        <w:t xml:space="preserve">improved public image, companies may find it easier to</w:t>
      </w:r>
      <w:r>
        <w:t xml:space="preserve"> </w:t>
      </w:r>
      <w:r>
        <w:t xml:space="preserve">recruit and retain staff, reducing the cost of recruitment</w:t>
      </w:r>
      <w:r>
        <w:t xml:space="preserve"> </w:t>
      </w:r>
      <w:r>
        <w:t xml:space="preserve">and increasing the productivity of workers.</w:t>
      </w:r>
      <w:r>
        <w:t xml:space="preserve"> </w:t>
      </w:r>
      <w:r>
        <w:t xml:space="preserve">No cost of setting BLV</w:t>
      </w:r>
      <w:r>
        <w:t xml:space="preserve"> </w:t>
      </w:r>
      <w:r>
        <w:t xml:space="preserve">(saving</w:t>
      </w:r>
      <w:r>
        <w:t xml:space="preserve"> </w:t>
      </w:r>
      <w:r>
        <w:t xml:space="preserve">for</w:t>
      </w:r>
      <w:r>
        <w:t xml:space="preserve"> </w:t>
      </w:r>
      <w:r>
        <w:t xml:space="preserve">MS</w:t>
      </w:r>
      <w:r>
        <w:t xml:space="preserve"> </w:t>
      </w:r>
      <w:r>
        <w:t xml:space="preserve">for</w:t>
      </w:r>
      <w:r>
        <w:t xml:space="preserve"> </w:t>
      </w:r>
      <w:r>
        <w:t xml:space="preserve">developing lower national</w:t>
      </w:r>
      <w:r>
        <w:t xml:space="preserve"> </w:t>
      </w:r>
      <w:r>
        <w:t xml:space="preserve">BLVs)</w:t>
      </w:r>
      <w:r>
        <w:br/>
      </w:r>
      <w:r>
        <w:t xml:space="preserve">Public sector</w:t>
      </w:r>
      <w:r>
        <w:t xml:space="preserve"> </w:t>
      </w:r>
      <w:r>
        <w:t xml:space="preserve">Benefit (MS would expectedly not</w:t>
      </w:r>
      <w:r>
        <w:t xml:space="preserve"> </w:t>
      </w:r>
      <w:r>
        <w:t xml:space="preserve">implement lower BLV)</w:t>
      </w:r>
      <w:r>
        <w:t xml:space="preserve"> </w:t>
      </w:r>
      <w:r>
        <w:t xml:space="preserve">Small benefit</w:t>
      </w:r>
      <w:r>
        <w:t xml:space="preserve"> </w:t>
      </w:r>
      <w:r>
        <w:t xml:space="preserve">(some MS would</w:t>
      </w:r>
      <w:r>
        <w:t xml:space="preserve"> </w:t>
      </w:r>
      <w:r>
        <w:t xml:space="preserve">consider</w:t>
      </w:r>
      <w:r>
        <w:t xml:space="preserve"> </w:t>
      </w:r>
      <w:r>
        <w:t xml:space="preserve">implementing</w:t>
      </w:r>
      <w:r>
        <w:t xml:space="preserve"> </w:t>
      </w:r>
      <w:r>
        <w:t xml:space="preserve">lower BLV)</w:t>
      </w:r>
      <w:r>
        <w:t xml:space="preserve"> </w:t>
      </w:r>
      <w:r>
        <w:t xml:space="preserve">Source: RPA, 2021, External Study</w:t>
      </w:r>
      <w:r>
        <w:t xml:space="preserve"> </w:t>
      </w:r>
      <w:r>
        <w:t xml:space="preserve">Diisocyanates</w:t>
      </w:r>
      <w:r>
        <w:t xml:space="preserve"> </w:t>
      </w:r>
      <w:r>
        <w:t xml:space="preserve">Table 11: Multi-criteria analysis on diisocyanates (all impacts over 40 years and additional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Impact</w:t>
      </w:r>
      <w:r>
        <w:t xml:space="preserve"> </w:t>
      </w:r>
      <w:r>
        <w:t xml:space="preserve">Stakeholder</w:t>
      </w:r>
      <w:r>
        <w:t xml:space="preserve"> </w:t>
      </w:r>
      <w:r>
        <w:t xml:space="preserve">s affected</w:t>
      </w:r>
      <w:r>
        <w:t xml:space="preserve"> </w:t>
      </w:r>
      <w:r>
        <w:t xml:space="preserve">OEL options (μg NCO/m3)</w:t>
      </w:r>
      <w:r>
        <w:t xml:space="preserve"> </w:t>
      </w:r>
      <w:r>
        <w:t xml:space="preserve">Option4: 3</w:t>
      </w:r>
      <w:r>
        <w:t xml:space="preserve"> </w:t>
      </w:r>
      <w:r>
        <w:t xml:space="preserve">Option 3: 6</w:t>
      </w:r>
      <w:r>
        <w:t xml:space="preserve"> </w:t>
      </w:r>
      <w:r>
        <w:t xml:space="preserve">Option 2: 10</w:t>
      </w:r>
      <w:r>
        <w:t xml:space="preserve"> </w:t>
      </w:r>
      <w:r>
        <w:t xml:space="preserve">Direct costs – compliance</w:t>
      </w:r>
      <w:r>
        <w:t xml:space="preserve"> </w:t>
      </w:r>
      <w:r>
        <w:t xml:space="preserve">Risk management</w:t>
      </w:r>
      <w:r>
        <w:t xml:space="preserve"> </w:t>
      </w:r>
      <w:r>
        <w:t xml:space="preserve">measures and</w:t>
      </w:r>
      <w:r>
        <w:t xml:space="preserve"> </w:t>
      </w:r>
      <w:r>
        <w:t xml:space="preserve">discontinuation costs</w:t>
      </w:r>
      <w:r>
        <w:t xml:space="preserve"> </w:t>
      </w:r>
      <w:r>
        <w:t xml:space="preserve">(one-off and recurrent)</w:t>
      </w:r>
      <w:r>
        <w:t xml:space="preserve"> </w:t>
      </w:r>
      <w:r>
        <w:t xml:space="preserve">Companies</w:t>
      </w:r>
      <w:r>
        <w:t xml:space="preserve"> </w:t>
      </w:r>
      <w:r>
        <w:t xml:space="preserve">€830 million</w:t>
      </w:r>
      <w:r>
        <w:t xml:space="preserve"> </w:t>
      </w:r>
      <w:r>
        <w:t xml:space="preserve">€10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Monitoring (sampling and</w:t>
      </w:r>
      <w:r>
        <w:t xml:space="preserve"> </w:t>
      </w:r>
      <w:r>
        <w:t xml:space="preserve">analysis)</w:t>
      </w:r>
      <w:r>
        <w:t xml:space="preserve"> </w:t>
      </w:r>
      <w:r>
        <w:t xml:space="preserve">Companies</w:t>
      </w:r>
      <w:r>
        <w:t xml:space="preserve"> </w:t>
      </w:r>
      <w:r>
        <w:t xml:space="preserve">€11 000 million</w:t>
      </w:r>
      <w:r>
        <w:t xml:space="preserve"> </w:t>
      </w:r>
      <w:r>
        <w:t xml:space="preserve">€11 000 million</w:t>
      </w:r>
      <w:r>
        <w:t xml:space="preserve"> </w:t>
      </w:r>
      <w:r>
        <w:t xml:space="preserve">€4 600 million</w:t>
      </w:r>
      <w:r>
        <w:t xml:space="preserve"> </w:t>
      </w:r>
      <w:r>
        <w:t xml:space="preserve">Direct costs - administrative burdens</w:t>
      </w:r>
      <w:r>
        <w:t xml:space="preserve"> </w:t>
      </w:r>
      <w:r>
        <w:t xml:space="preserve">Company cost of</w:t>
      </w:r>
      <w:r>
        <w:t xml:space="preserve"> </w:t>
      </w:r>
      <w:r>
        <w:t xml:space="preserve">administration burden</w:t>
      </w:r>
      <w:r>
        <w:t xml:space="preserve"> </w:t>
      </w:r>
      <w:r>
        <w:t xml:space="preserve">Companies</w:t>
      </w:r>
      <w:r>
        <w:t xml:space="preserve"> </w:t>
      </w:r>
      <w:r>
        <w:t xml:space="preserve">€2 400 million</w:t>
      </w:r>
      <w:r>
        <w:t xml:space="preserve"> </w:t>
      </w:r>
      <w:r>
        <w:t xml:space="preserve">€2 400 million</w:t>
      </w:r>
      <w:r>
        <w:t xml:space="preserve"> </w:t>
      </w:r>
      <w:r>
        <w:t xml:space="preserve">€1 000 million</w:t>
      </w:r>
      <w:r>
        <w:t xml:space="preserve"> </w:t>
      </w:r>
      <w:r>
        <w:t xml:space="preserve">Direct costs – total per company</w:t>
      </w:r>
      <w:r>
        <w:t xml:space="preserve"> </w:t>
      </w:r>
      <w:r>
        <w:t xml:space="preserve">Compliance, monitoring</w:t>
      </w:r>
      <w:r>
        <w:t xml:space="preserve"> </w:t>
      </w:r>
      <w:r>
        <w:t xml:space="preserve">and administration burden</w:t>
      </w:r>
      <w:r>
        <w:t xml:space="preserve"> </w:t>
      </w:r>
      <w:r>
        <w:t xml:space="preserve">Companies</w:t>
      </w:r>
      <w:r>
        <w:t xml:space="preserve"> </w:t>
      </w:r>
      <w:r>
        <w:t xml:space="preserve">€5 900</w:t>
      </w:r>
      <w:r>
        <w:t xml:space="preserve"> </w:t>
      </w:r>
      <w:r>
        <w:t xml:space="preserve">€5 600</w:t>
      </w:r>
      <w:r>
        <w:t xml:space="preserve"> </w:t>
      </w:r>
      <w:r>
        <w:t xml:space="preserve">€2 300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Impact</w:t>
      </w:r>
      <w:r>
        <w:t xml:space="preserve"> </w:t>
      </w:r>
      <w:r>
        <w:t xml:space="preserve">Stakeholder</w:t>
      </w:r>
      <w:r>
        <w:t xml:space="preserve"> </w:t>
      </w:r>
      <w:r>
        <w:t xml:space="preserve">s affected</w:t>
      </w:r>
      <w:r>
        <w:t xml:space="preserve"> </w:t>
      </w:r>
      <w:r>
        <w:t xml:space="preserve">OEL options (μg NCO/m3)</w:t>
      </w:r>
      <w:r>
        <w:t xml:space="preserve"> </w:t>
      </w:r>
      <w:r>
        <w:t xml:space="preserve">Option4: 3</w:t>
      </w:r>
      <w:r>
        <w:t xml:space="preserve"> </w:t>
      </w:r>
      <w:r>
        <w:t xml:space="preserve">Option 3: 6</w:t>
      </w:r>
      <w:r>
        <w:t xml:space="preserve"> </w:t>
      </w:r>
      <w:r>
        <w:t xml:space="preserve">Option 2: 10</w:t>
      </w:r>
      <w:r>
        <w:t xml:space="preserve"> </w:t>
      </w:r>
      <w:r>
        <w:t xml:space="preserve">costs per company</w:t>
      </w:r>
      <w:r>
        <w:t xml:space="preserve"> </w:t>
      </w:r>
      <w:r>
        <w:t xml:space="preserve">Direct costs - enforcement costs</w:t>
      </w:r>
      <w:r>
        <w:t xml:space="preserve"> </w:t>
      </w:r>
      <w:r>
        <w:t xml:space="preserve">Transposition costs</w:t>
      </w:r>
      <w:r>
        <w:t xml:space="preserve"> </w:t>
      </w:r>
      <w:r>
        <w:t xml:space="preserve">Public sector</w:t>
      </w:r>
      <w:r>
        <w:t xml:space="preserve"> </w:t>
      </w:r>
      <w:r>
        <w:t xml:space="preserve">€970 000</w:t>
      </w:r>
      <w:r>
        <w:t xml:space="preserve"> </w:t>
      </w:r>
      <w:r>
        <w:t xml:space="preserve">€970 000</w:t>
      </w:r>
      <w:r>
        <w:t xml:space="preserve"> </w:t>
      </w:r>
      <w:r>
        <w:t xml:space="preserve">€970 000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Public sector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Monitoring costs</w:t>
      </w:r>
      <w:r>
        <w:br/>
      </w:r>
      <w:r>
        <w:t xml:space="preserve">Public sector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Adjudication costs</w:t>
      </w:r>
      <w:r>
        <w:t xml:space="preserve"> </w:t>
      </w:r>
      <w:r>
        <w:t xml:space="preserve">Public sector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Indirect costs – other</w:t>
      </w:r>
      <w:r>
        <w:t xml:space="preserve"> </w:t>
      </w:r>
      <w:r>
        <w:t xml:space="preserve">Firms exiting the market -</w:t>
      </w:r>
      <w:r>
        <w:t xml:space="preserve"> </w:t>
      </w:r>
      <w:r>
        <w:t xml:space="preserve">No. of company closures</w:t>
      </w:r>
      <w:r>
        <w:t xml:space="preserve"> </w:t>
      </w:r>
      <w:r>
        <w:t xml:space="preserve">Companies</w:t>
      </w:r>
      <w:r>
        <w:t xml:space="preserve"> </w:t>
      </w:r>
      <w:r>
        <w:t xml:space="preserve">53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Employment – Jobs lost</w:t>
      </w:r>
      <w:r>
        <w:t xml:space="preserve"> </w:t>
      </w:r>
      <w:r>
        <w:t xml:space="preserve">Workers</w:t>
      </w:r>
      <w:r>
        <w:t xml:space="preserve"> </w:t>
      </w:r>
      <w:r>
        <w:t xml:space="preserve">&amp;</w:t>
      </w:r>
      <w:r>
        <w:t xml:space="preserve"> </w:t>
      </w:r>
      <w:r>
        <w:t xml:space="preserve">families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Employment – Social cost</w:t>
      </w:r>
      <w:r>
        <w:t xml:space="preserve"> </w:t>
      </w:r>
      <w:r>
        <w:t xml:space="preserve">Workers</w:t>
      </w:r>
      <w:r>
        <w:t xml:space="preserve"> </w:t>
      </w:r>
      <w:r>
        <w:t xml:space="preserve">&amp;</w:t>
      </w:r>
      <w:r>
        <w:t xml:space="preserve"> </w:t>
      </w:r>
      <w:r>
        <w:t xml:space="preserve">families</w:t>
      </w:r>
      <w:r>
        <w:t xml:space="preserve"> </w:t>
      </w:r>
      <w:r>
        <w:t xml:space="preserve">€8.5 million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Companies</w:t>
      </w:r>
      <w:r>
        <w:t xml:space="preserve"> </w:t>
      </w:r>
      <w:r>
        <w:t xml:space="preserve">Several sectors are in price sensitive competitive markets</w:t>
      </w:r>
      <w:r>
        <w:t xml:space="preserve"> </w:t>
      </w:r>
      <w:r>
        <w:t xml:space="preserve">with many competitors outside the EU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Consumers</w:t>
      </w:r>
      <w:r>
        <w:t xml:space="preserve"> </w:t>
      </w:r>
      <w:r>
        <w:t xml:space="preserve">Limited impacts expected</w:t>
      </w:r>
      <w:r>
        <w:t xml:space="preserve"> </w:t>
      </w:r>
      <w:r>
        <w:t xml:space="preserve">Internal market</w:t>
      </w:r>
      <w:r>
        <w:br/>
      </w:r>
      <w:r>
        <w:t xml:space="preserve">Lowest to highest OEL</w:t>
      </w:r>
      <w:r>
        <w:t xml:space="preserve"> </w:t>
      </w:r>
      <w:r>
        <w:t xml:space="preserve">Companies</w:t>
      </w:r>
      <w:r>
        <w:t xml:space="preserve"> </w:t>
      </w:r>
      <w:r>
        <w:t xml:space="preserve">3 - 3</w:t>
      </w:r>
      <w:r>
        <w:t xml:space="preserve"> </w:t>
      </w:r>
      <w:r>
        <w:t xml:space="preserve">3 - 6</w:t>
      </w:r>
      <w:r>
        <w:t xml:space="preserve"> </w:t>
      </w:r>
      <w:r>
        <w:t xml:space="preserve">3 – 10</w:t>
      </w:r>
      <w:r>
        <w:t xml:space="preserve"> </w:t>
      </w:r>
      <w:r>
        <w:t xml:space="preserve">Specific MSs/regions -</w:t>
      </w:r>
      <w:r>
        <w:t xml:space="preserve"> </w:t>
      </w:r>
      <w:r>
        <w:t xml:space="preserve">MSs that would have to</w:t>
      </w:r>
      <w:r>
        <w:t xml:space="preserve"> </w:t>
      </w:r>
      <w:r>
        <w:t xml:space="preserve">change OELs</w:t>
      </w:r>
      <w:r>
        <w:t xml:space="preserve"> </w:t>
      </w:r>
      <w:r>
        <w:t xml:space="preserve">Public sector</w:t>
      </w:r>
      <w:r>
        <w:t xml:space="preserve"> </w:t>
      </w:r>
      <w:r>
        <w:t xml:space="preserve">All MS except</w:t>
      </w:r>
      <w:r>
        <w:t xml:space="preserve"> </w:t>
      </w:r>
      <w:r>
        <w:t xml:space="preserve">SE</w:t>
      </w:r>
      <w:r>
        <w:t xml:space="preserve"> </w:t>
      </w:r>
      <w:r>
        <w:t xml:space="preserve">All MS except</w:t>
      </w:r>
      <w:r>
        <w:t xml:space="preserve"> </w:t>
      </w:r>
      <w:r>
        <w:t xml:space="preserve">SE</w:t>
      </w:r>
      <w:r>
        <w:t xml:space="preserve"> </w:t>
      </w:r>
      <w:r>
        <w:t xml:space="preserve">All MS except IE,</w:t>
      </w:r>
      <w:r>
        <w:t xml:space="preserve"> </w:t>
      </w:r>
      <w:r>
        <w:t xml:space="preserve">SE, PL</w:t>
      </w:r>
      <w:r>
        <w:t xml:space="preserve"> </w:t>
      </w:r>
      <w:r>
        <w:t xml:space="preserve">Regulation</w:t>
      </w:r>
      <w:r>
        <w:t xml:space="preserve"> </w:t>
      </w:r>
      <w:r>
        <w:t xml:space="preserve">Companies</w:t>
      </w:r>
      <w:r>
        <w:t xml:space="preserve"> </w:t>
      </w:r>
      <w:r>
        <w:t xml:space="preserve">Cumulative impact of many changes in regulations,</w:t>
      </w:r>
      <w:r>
        <w:t xml:space="preserve"> </w:t>
      </w:r>
      <w:r>
        <w:t xml:space="preserve">implemented or awaited</w:t>
      </w:r>
      <w:r>
        <w:t xml:space="preserve"> </w:t>
      </w:r>
      <w:r>
        <w:t xml:space="preserve">Direct benefits – improved well-being – health</w:t>
      </w:r>
      <w:r>
        <w:t xml:space="preserve"> </w:t>
      </w:r>
      <w:r>
        <w:t xml:space="preserve">Reduced cases of ill</w:t>
      </w:r>
      <w:r>
        <w:t xml:space="preserve"> </w:t>
      </w:r>
      <w:r>
        <w:t xml:space="preserve">health (asthma)</w:t>
      </w:r>
      <w:r>
        <w:t xml:space="preserve"> </w:t>
      </w:r>
      <w:r>
        <w:t xml:space="preserve">Workers</w:t>
      </w:r>
      <w:r>
        <w:t xml:space="preserve"> </w:t>
      </w:r>
      <w:r>
        <w:t xml:space="preserve">&amp;</w:t>
      </w:r>
      <w:r>
        <w:t xml:space="preserve"> </w:t>
      </w:r>
      <w:r>
        <w:t xml:space="preserve">families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Reduced cases of ill</w:t>
      </w:r>
      <w:r>
        <w:t xml:space="preserve"> </w:t>
      </w:r>
      <w:r>
        <w:t xml:space="preserve">health (irritation)</w:t>
      </w:r>
      <w:r>
        <w:t xml:space="preserve"> </w:t>
      </w:r>
      <w:r>
        <w:t xml:space="preserve">Workers</w:t>
      </w:r>
      <w:r>
        <w:t xml:space="preserve"> </w:t>
      </w:r>
      <w:r>
        <w:t xml:space="preserve">&amp;</w:t>
      </w:r>
      <w:r>
        <w:t xml:space="preserve"> </w:t>
      </w:r>
      <w:r>
        <w:t xml:space="preserve">families</w:t>
      </w:r>
      <w:r>
        <w:t xml:space="preserve"> </w:t>
      </w:r>
      <w:r>
        <w:t xml:space="preserve">260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Ill health avoided, incl.</w:t>
      </w:r>
      <w:r>
        <w:br/>
      </w:r>
      <w:r>
        <w:t xml:space="preserve">intangible costs (M1 to</w:t>
      </w:r>
      <w:r>
        <w:t xml:space="preserve"> </w:t>
      </w:r>
      <w:r>
        <w:t xml:space="preserve">M2)</w:t>
      </w:r>
      <w:r>
        <w:t xml:space="preserve"> </w:t>
      </w:r>
      <w:r>
        <w:t xml:space="preserve">Workers</w:t>
      </w:r>
      <w:r>
        <w:t xml:space="preserve"> </w:t>
      </w:r>
      <w:r>
        <w:t xml:space="preserve">&amp;</w:t>
      </w:r>
      <w:r>
        <w:t xml:space="preserve"> </w:t>
      </w:r>
      <w:r>
        <w:t xml:space="preserve">families</w:t>
      </w:r>
      <w:r>
        <w:t xml:space="preserve"> </w:t>
      </w:r>
      <w:r>
        <w:t xml:space="preserve">€1 - 2</w:t>
      </w:r>
      <w:r>
        <w:br/>
      </w:r>
      <w:r>
        <w:t xml:space="preserve">million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Direct benefits – improved well-being – safety</w:t>
      </w:r>
      <w:r>
        <w:t xml:space="preserve"> </w:t>
      </w:r>
      <w:r>
        <w:t xml:space="preserve">Avoided costs</w:t>
      </w:r>
      <w:r>
        <w:t xml:space="preserve"> </w:t>
      </w:r>
      <w:r>
        <w:t xml:space="preserve">Companies</w:t>
      </w:r>
      <w:r>
        <w:t xml:space="preserve"> </w:t>
      </w:r>
      <w:r>
        <w:t xml:space="preserve">€0.4 million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Avoided costs</w:t>
      </w:r>
      <w:r>
        <w:t xml:space="preserve"> </w:t>
      </w:r>
      <w:r>
        <w:t xml:space="preserve">Public sector</w:t>
      </w:r>
      <w:r>
        <w:br/>
      </w:r>
      <w:r>
        <w:t xml:space="preserve">€1 million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Social policy agenda</w:t>
      </w:r>
      <w:r>
        <w:t xml:space="preserve"> </w:t>
      </w:r>
      <w:r>
        <w:t xml:space="preserve">All</w:t>
      </w:r>
      <w:r>
        <w:t xml:space="preserve"> </w:t>
      </w:r>
      <w:r>
        <w:t xml:space="preserve">Contribution to Green Deal: Chemicals Strategy for</w:t>
      </w:r>
      <w:r>
        <w:t xml:space="preserve"> </w:t>
      </w:r>
      <w:r>
        <w:t xml:space="preserve">Sustainability towards a toxic-free environment</w:t>
      </w:r>
      <w:r>
        <w:t xml:space="preserve"> </w:t>
      </w:r>
      <w:r>
        <w:t xml:space="preserve">Direct benefits – improved well-being – environmental</w:t>
      </w:r>
      <w:r>
        <w:t xml:space="preserve"> </w:t>
      </w:r>
      <w:r>
        <w:t xml:space="preserve">Environmental releases</w:t>
      </w:r>
      <w:r>
        <w:t xml:space="preserve"> </w:t>
      </w:r>
      <w:r>
        <w:t xml:space="preserve">All</w:t>
      </w:r>
      <w:r>
        <w:t xml:space="preserve"> </w:t>
      </w:r>
      <w:r>
        <w:t xml:space="preserve">No impact/limited impact</w:t>
      </w:r>
      <w:r>
        <w:br/>
      </w:r>
      <w:r>
        <w:t xml:space="preserve">Direct benefits – market efficiency</w:t>
      </w:r>
      <w:r>
        <w:t xml:space="preserve"> </w:t>
      </w:r>
      <w:r>
        <w:t xml:space="preserve">Level playing field</w:t>
      </w:r>
      <w:r>
        <w:t xml:space="preserve"> </w:t>
      </w:r>
      <w:r>
        <w:t xml:space="preserve">Companies</w:t>
      </w:r>
      <w:r>
        <w:t xml:space="preserve"> </w:t>
      </w:r>
      <w:r>
        <w:t xml:space="preserve">A harmonisation of the OEL and STEL leads to a level</w:t>
      </w:r>
      <w:r>
        <w:t xml:space="preserve"> </w:t>
      </w:r>
      <w:r>
        <w:t xml:space="preserve">playing field, as all companies across all Member States</w:t>
      </w:r>
      <w:r>
        <w:t xml:space="preserve"> </w:t>
      </w:r>
      <w:r>
        <w:t xml:space="preserve">follow a more symmetric requirement. The level-playing</w:t>
      </w:r>
      <w:r>
        <w:t xml:space="preserve"> </w:t>
      </w:r>
      <w:r>
        <w:t xml:space="preserve">field increases slightly with the stringency of OEL and</w:t>
      </w:r>
      <w:r>
        <w:t xml:space="preserve"> </w:t>
      </w:r>
      <w:r>
        <w:t xml:space="preserve">STEL</w:t>
      </w:r>
      <w:r>
        <w:t xml:space="preserve"> </w:t>
      </w:r>
      <w:r>
        <w:t xml:space="preserve">Indirect benefits</w:t>
      </w:r>
      <w:r>
        <w:br/>
      </w:r>
      <w:r>
        <w:t xml:space="preserve">Administrative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Companies</w:t>
      </w:r>
      <w:r>
        <w:t xml:space="preserve"> </w:t>
      </w:r>
      <w:r>
        <w:t xml:space="preserve">Large companies, and to a lesser extent medium ones, with</w:t>
      </w:r>
      <w:r>
        <w:t xml:space="preserve"> </w:t>
      </w:r>
      <w:r>
        <w:t xml:space="preserve">facilities in different Member States will experience</w:t>
      </w:r>
      <w:r>
        <w:t xml:space="preserve"> </w:t>
      </w:r>
      <w:r>
        <w:t xml:space="preserve">administrative simplification, owing to a more harmonious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Impact</w:t>
      </w:r>
      <w:r>
        <w:t xml:space="preserve"> </w:t>
      </w:r>
      <w:r>
        <w:t xml:space="preserve">Stakeholder</w:t>
      </w:r>
      <w:r>
        <w:t xml:space="preserve"> </w:t>
      </w:r>
      <w:r>
        <w:t xml:space="preserve">s affected</w:t>
      </w:r>
      <w:r>
        <w:t xml:space="preserve"> </w:t>
      </w:r>
      <w:r>
        <w:t xml:space="preserve">OEL options (μg NCO/m3)</w:t>
      </w:r>
      <w:r>
        <w:t xml:space="preserve"> </w:t>
      </w:r>
      <w:r>
        <w:t xml:space="preserve">Option4: 3</w:t>
      </w:r>
      <w:r>
        <w:t xml:space="preserve"> </w:t>
      </w:r>
      <w:r>
        <w:t xml:space="preserve">Option 3: 6</w:t>
      </w:r>
      <w:r>
        <w:t xml:space="preserve"> </w:t>
      </w:r>
      <w:r>
        <w:t xml:space="preserve">Option 2: 10</w:t>
      </w:r>
      <w:r>
        <w:t xml:space="preserve"> </w:t>
      </w:r>
      <w:r>
        <w:t xml:space="preserve">set of compliance requirements. The sectors expected to</w:t>
      </w:r>
      <w:r>
        <w:t xml:space="preserve"> </w:t>
      </w:r>
      <w:r>
        <w:t xml:space="preserve">benefit most are C20 Chemicals, C29 Motor vehicles and</w:t>
      </w:r>
      <w:r>
        <w:t xml:space="preserve"> </w:t>
      </w:r>
      <w:r>
        <w:t xml:space="preserve">C30 Transport.</w:t>
      </w:r>
      <w:r>
        <w:t xml:space="preserve"> </w:t>
      </w:r>
      <w:r>
        <w:t xml:space="preserve">Synergy</w:t>
      </w:r>
      <w:r>
        <w:t xml:space="preserve"> </w:t>
      </w:r>
      <w:r>
        <w:t xml:space="preserve">Companies</w:t>
      </w:r>
      <w:r>
        <w:t xml:space="preserve"> </w:t>
      </w:r>
      <w:r>
        <w:t xml:space="preserve">Synergies in terms of exposure reduction to other chemical</w:t>
      </w:r>
      <w:r>
        <w:t xml:space="preserve"> </w:t>
      </w:r>
      <w:r>
        <w:t xml:space="preserve">substances used in production sectors may occur. The</w:t>
      </w:r>
      <w:r>
        <w:t xml:space="preserve"> </w:t>
      </w:r>
      <w:r>
        <w:t xml:space="preserve">specific substances will vary between the sectors. The level</w:t>
      </w:r>
      <w:r>
        <w:t xml:space="preserve"> </w:t>
      </w:r>
      <w:r>
        <w:t xml:space="preserve">of synergy to be harnessed will also depend on the risk</w:t>
      </w:r>
      <w:r>
        <w:t xml:space="preserve"> </w:t>
      </w:r>
      <w:r>
        <w:t xml:space="preserve">management measures applied in each enterprise.</w:t>
      </w:r>
      <w:r>
        <w:t xml:space="preserve"> </w:t>
      </w:r>
      <w:r>
        <w:t xml:space="preserve">Corporate Social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Companies</w:t>
      </w:r>
      <w:r>
        <w:t xml:space="preserve"> </w:t>
      </w:r>
      <w:r>
        <w:t xml:space="preserve">Work with diisocyanates may be perceived as a less risky</w:t>
      </w:r>
      <w:r>
        <w:t xml:space="preserve"> </w:t>
      </w:r>
      <w:r>
        <w:t xml:space="preserve">line of work associated with health issues. As a result of</w:t>
      </w:r>
      <w:r>
        <w:t xml:space="preserve"> </w:t>
      </w:r>
      <w:r>
        <w:t xml:space="preserve">such an improvement in the public image, companies may</w:t>
      </w:r>
      <w:r>
        <w:t xml:space="preserve"> </w:t>
      </w:r>
      <w:r>
        <w:t xml:space="preserve">find it easier to recruit and retain staff, reducing the cost of</w:t>
      </w:r>
      <w:r>
        <w:t xml:space="preserve"> </w:t>
      </w:r>
      <w:r>
        <w:t xml:space="preserve">recruitment and increasing the productivity of workers.</w:t>
      </w:r>
      <w:r>
        <w:t xml:space="preserve"> </w:t>
      </w:r>
      <w:r>
        <w:t xml:space="preserve">Avoided cost of setting</w:t>
      </w:r>
      <w:r>
        <w:t xml:space="preserve"> </w:t>
      </w:r>
      <w:r>
        <w:t xml:space="preserve">OEL</w:t>
      </w:r>
      <w:r>
        <w:br/>
      </w:r>
      <w:r>
        <w:t xml:space="preserve">Public sector</w:t>
      </w:r>
      <w:r>
        <w:t xml:space="preserve"> </w:t>
      </w:r>
      <w:r>
        <w:t xml:space="preserve">€1 750 000</w:t>
      </w:r>
      <w:r>
        <w:t xml:space="preserve"> </w:t>
      </w:r>
      <w:r>
        <w:t xml:space="preserve">€1 750 000</w:t>
      </w:r>
      <w:r>
        <w:t xml:space="preserve"> </w:t>
      </w:r>
      <w:r>
        <w:t xml:space="preserve">€1 750 000</w:t>
      </w:r>
      <w:r>
        <w:t xml:space="preserve"> </w:t>
      </w:r>
      <w:r>
        <w:t xml:space="preserve">Source: RPA, 2021, External Study</w:t>
      </w:r>
    </w:p>
    <w:p>
      <w:pPr>
        <w:pStyle w:val="Compact"/>
        <w:numPr>
          <w:ilvl w:val="0"/>
          <w:numId w:val="1007"/>
        </w:numPr>
      </w:pPr>
      <w:r>
        <w:t xml:space="preserve">HOW DO THE OPTIONS COMPARE?</w:t>
      </w:r>
      <w:r>
        <w:t xml:space="preserve"> </w:t>
      </w:r>
      <w:r>
        <w:t xml:space="preserve">The main objective is to balance health considerations against economic impacts, by proposing limit</w:t>
      </w:r>
      <w:r>
        <w:t xml:space="preserve"> </w:t>
      </w:r>
      <w:r>
        <w:t xml:space="preserve">values that are still economically feasible while protecting a maximum number of workers. The aim is</w:t>
      </w:r>
      <w:r>
        <w:t xml:space="preserve"> </w:t>
      </w:r>
      <w:r>
        <w:t xml:space="preserve">therefore to ensure a balanced approach and to prevent industries from closures or severe disadvantages,</w:t>
      </w:r>
      <w:r>
        <w:t xml:space="preserve"> </w:t>
      </w:r>
      <w:r>
        <w:t xml:space="preserve">as a result of the adoption of stringent OELs. The comparison tables used to compare the different</w:t>
      </w:r>
      <w:r>
        <w:t xml:space="preserve"> </w:t>
      </w:r>
      <w:r>
        <w:t xml:space="preserve">options against the baseline scenario in terms of effectiveness, efficiency, feasibility and coherence</w:t>
      </w:r>
      <w:r>
        <w:t xml:space="preserve"> </w:t>
      </w:r>
      <w:r>
        <w:t xml:space="preserve">apply the following ranking symbols:</w:t>
      </w:r>
      <w:r>
        <w:t xml:space="preserve"> </w:t>
      </w:r>
      <w:r>
        <w:t xml:space="preserve">‘0’</w:t>
      </w:r>
      <w:r>
        <w:t xml:space="preserve"> </w:t>
      </w:r>
      <w:r>
        <w:t xml:space="preserve">– baseline,</w:t>
      </w:r>
      <w:r>
        <w:t xml:space="preserve"> </w:t>
      </w:r>
      <w:r>
        <w:t xml:space="preserve">‘≈’</w:t>
      </w:r>
      <w:r>
        <w:t xml:space="preserve"> </w:t>
      </w:r>
      <w:r>
        <w:t xml:space="preserve">– similar to baseline, from</w:t>
      </w:r>
      <w:r>
        <w:t xml:space="preserve"> </w:t>
      </w:r>
      <w:r>
        <w:t xml:space="preserve">‘+’</w:t>
      </w:r>
      <w:r>
        <w:t xml:space="preserve"> </w:t>
      </w:r>
      <w:r>
        <w:t xml:space="preserve">more</w:t>
      </w:r>
      <w:r>
        <w:t xml:space="preserve"> </w:t>
      </w:r>
      <w:r>
        <w:t xml:space="preserve">efficient/effective/feasible or coherent than baseline to</w:t>
      </w:r>
      <w:r>
        <w:t xml:space="preserve"> </w:t>
      </w:r>
      <w:r>
        <w:t xml:space="preserve">‘+++’</w:t>
      </w:r>
      <w:r>
        <w:t xml:space="preserve"> </w:t>
      </w:r>
      <w:r>
        <w:t xml:space="preserve">– much more efficient/effective/feasible or</w:t>
      </w:r>
      <w:r>
        <w:t xml:space="preserve"> </w:t>
      </w:r>
      <w:r>
        <w:t xml:space="preserve">coherent than baseline; from</w:t>
      </w:r>
      <w:r>
        <w:t xml:space="preserve"> </w:t>
      </w:r>
      <w:r>
        <w:t xml:space="preserve">‘-’</w:t>
      </w:r>
      <w:r>
        <w:t xml:space="preserve"> </w:t>
      </w:r>
      <w:r>
        <w:t xml:space="preserve">– less efficient/effective/feasible or coherent than baseline to</w:t>
      </w:r>
      <w:r>
        <w:t xml:space="preserve"> </w:t>
      </w:r>
      <w:r>
        <w:t xml:space="preserve">‘- - -’</w:t>
      </w:r>
      <w:r>
        <w:t xml:space="preserve"> </w:t>
      </w:r>
      <w:r>
        <w:t xml:space="preserve">–</w:t>
      </w:r>
      <w:r>
        <w:t xml:space="preserve"> </w:t>
      </w:r>
      <w:r>
        <w:t xml:space="preserve">much less efficient/effective/feasible or coherent than baseline.</w:t>
      </w:r>
      <w:r>
        <w:t xml:space="preserve"> </w:t>
      </w:r>
      <w:r>
        <w:t xml:space="preserve">Lead</w:t>
      </w:r>
      <w:r>
        <w:t xml:space="preserve"> </w:t>
      </w:r>
      <w:r>
        <w:t xml:space="preserve">Table 12: comparison of lead options</w:t>
      </w:r>
      <w:r>
        <w:br/>
      </w:r>
      <w:r>
        <w:t xml:space="preserve">Criteria</w:t>
      </w:r>
      <w:r>
        <w:t xml:space="preserve"> </w:t>
      </w:r>
      <w:r>
        <w:t xml:space="preserve">70 µg/100ml</w:t>
      </w:r>
      <w:r>
        <w:t xml:space="preserve"> </w:t>
      </w:r>
      <w:r>
        <w:t xml:space="preserve">(Baseline)</w:t>
      </w:r>
      <w:r>
        <w:t xml:space="preserve"> </w:t>
      </w:r>
      <w:r>
        <w:t xml:space="preserve">20 µg/100ml</w:t>
      </w:r>
      <w:r>
        <w:t xml:space="preserve"> </w:t>
      </w:r>
      <w:r>
        <w:t xml:space="preserve">(Option 2)</w:t>
      </w:r>
      <w:r>
        <w:t xml:space="preserve"> </w:t>
      </w:r>
      <w:r>
        <w:t xml:space="preserve">15 µg/100ml</w:t>
      </w:r>
      <w:r>
        <w:br/>
      </w:r>
      <w:r>
        <w:t xml:space="preserve">(Option 3)</w:t>
      </w:r>
      <w:r>
        <w:t xml:space="preserve"> </w:t>
      </w:r>
      <w:r>
        <w:t xml:space="preserve">4.5 µg/100ml</w:t>
      </w:r>
      <w:r>
        <w:br/>
      </w:r>
      <w:r>
        <w:t xml:space="preserve">(Option 4)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8"/>
        </w:numPr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FirstParagraph"/>
      </w:pPr>
      <w:r>
        <w:t xml:space="preserve">The effectiveness is analysed from the perspective of the prevention of adverse health effects. All three</w:t>
      </w:r>
      <w:r>
        <w:t xml:space="preserve"> </w:t>
      </w:r>
      <w:r>
        <w:t xml:space="preserve">policy options are more effective in terms of workers’ protection than not revising the current EU-wide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biological limit value (baseline). Option 4 is the most effective policy option in terms of number of ill</w:t>
      </w:r>
      <w:r>
        <w:t xml:space="preserve"> </w:t>
      </w:r>
      <w:r>
        <w:t xml:space="preserve">health cases avoided over 40 years (13 500 cases). Options 3 and 2 would also contribute to improving</w:t>
      </w:r>
      <w:r>
        <w:t xml:space="preserve"> </w:t>
      </w:r>
      <w:r>
        <w:t xml:space="preserve">the protection of workers, although to a lesser extent, by preventing about 10 500 and 8 500 cases of ill</w:t>
      </w:r>
      <w:r>
        <w:t xml:space="preserve"> </w:t>
      </w:r>
      <w:r>
        <w:t xml:space="preserve">health, respectively.</w:t>
      </w:r>
      <w:r>
        <w:br/>
      </w:r>
      <w:r>
        <w:t xml:space="preserve">With regard to the efficiency, the options are ranked according to a comparison of the benefits arising</w:t>
      </w:r>
      <w:r>
        <w:t xml:space="preserve"> </w:t>
      </w:r>
      <w:r>
        <w:t xml:space="preserve">from each policy option compared to the costs they would entail. Strictly looking at the monetised</w:t>
      </w:r>
      <w:r>
        <w:t xml:space="preserve"> </w:t>
      </w:r>
      <w:r>
        <w:t xml:space="preserve">impacts, option 2 has a costs/benefits ratio close to 1 (1.2 to 1.6, depending on the methodology used to</w:t>
      </w:r>
      <w:r>
        <w:t xml:space="preserve"> </w:t>
      </w:r>
      <w:r>
        <w:t xml:space="preserve">estimate the benefits for workers and their families), which means that the costs associated with this</w:t>
      </w:r>
      <w:r>
        <w:t xml:space="preserve"> </w:t>
      </w:r>
      <w:r>
        <w:t xml:space="preserve">option are quite close to its benefits. The costs/benefits ratio associated with option 3 indicates that the</w:t>
      </w:r>
      <w:r>
        <w:t xml:space="preserve"> </w:t>
      </w:r>
      <w:r>
        <w:t xml:space="preserve">costs are more than double the benefits (2.1 to 2.8). These two options are therefore less efficient than</w:t>
      </w:r>
      <w:r>
        <w:t xml:space="preserve"> </w:t>
      </w:r>
      <w:r>
        <w:t xml:space="preserve">the baseline. By contrast, the costs/benefits ratio associated with option 4 is much higher (from 14.5 to</w:t>
      </w:r>
      <w:r>
        <w:t xml:space="preserve"> </w:t>
      </w:r>
      <w:r>
        <w:t xml:space="preserve">19.2). Thus, option 4 is therefore much less efficient than the baseline.</w:t>
      </w:r>
      <w:r>
        <w:br/>
      </w:r>
      <w:r>
        <w:t xml:space="preserve">However, and although it is not reflected in the above table, it is worth mentioning that the costs for</w:t>
      </w:r>
      <w:r>
        <w:t xml:space="preserve"> </w:t>
      </w:r>
      <w:r>
        <w:t xml:space="preserve">companies under options 2 and 3 would represent less than 1% of the annual turnover and would not</w:t>
      </w:r>
      <w:r>
        <w:t xml:space="preserve"> </w:t>
      </w:r>
      <w:r>
        <w:t xml:space="preserve">lead to any discontinuation of companies, while both would ensure a much more adequate protection of</w:t>
      </w:r>
      <w:r>
        <w:t xml:space="preserve"> </w:t>
      </w:r>
      <w:r>
        <w:t xml:space="preserve">workers in comparison to baseline (preventing between around 8 500 and 10 350 ill-health cases). Since</w:t>
      </w:r>
      <w:r>
        <w:t xml:space="preserve"> </w:t>
      </w:r>
      <w:r>
        <w:t xml:space="preserve">the improvement of workers’ protection is the main objective, all the options could be seen as more</w:t>
      </w:r>
      <w:r>
        <w:t xml:space="preserve"> </w:t>
      </w:r>
      <w:r>
        <w:t xml:space="preserve">cost-effective85 than the baseline scenario which would not bring any benefits. Furthermore, both</w:t>
      </w:r>
      <w:r>
        <w:t xml:space="preserve"> </w:t>
      </w:r>
      <w:r>
        <w:t xml:space="preserve">options 2 and 3 improve the protection of workers while preventing closures and other severe</w:t>
      </w:r>
      <w:r>
        <w:t xml:space="preserve"> </w:t>
      </w:r>
      <w:r>
        <w:t xml:space="preserve">disadvantages for the industries. Although the benefits are slightly higher than for options 2 and 3, the</w:t>
      </w:r>
      <w:r>
        <w:t xml:space="preserve"> </w:t>
      </w:r>
      <w:r>
        <w:t xml:space="preserve">costs arising from the investments to comply with the limit value under option 4 would be substantially</w:t>
      </w:r>
      <w:r>
        <w:t xml:space="preserve"> </w:t>
      </w:r>
      <w:r>
        <w:t xml:space="preserve">higher than under options 2 and 3. As a consequence, 29 companies (of which 25 are small or medium-</w:t>
      </w:r>
      <w:r>
        <w:t xml:space="preserve"> </w:t>
      </w:r>
      <w:r>
        <w:t xml:space="preserve">sized enterprises) are estimated to exit the market.</w:t>
      </w:r>
      <w:r>
        <w:br/>
      </w:r>
      <w:r>
        <w:t xml:space="preserve">Table 13: Comparison of quantified costs and benefits for options for lead (over 40 years, in €</w:t>
      </w:r>
      <w:r>
        <w:t xml:space="preserve"> </w:t>
      </w:r>
      <w:r>
        <w:t xml:space="preserve">million)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(20 µg/100ml)</w:t>
      </w:r>
      <w:r>
        <w:t xml:space="preserve"> </w:t>
      </w:r>
      <w:r>
        <w:t xml:space="preserve">Option 3</w:t>
      </w:r>
      <w:r>
        <w:t xml:space="preserve"> </w:t>
      </w:r>
      <w:r>
        <w:t xml:space="preserve">(15 µg/100ml)</w:t>
      </w:r>
      <w:r>
        <w:t xml:space="preserve"> </w:t>
      </w:r>
      <w:r>
        <w:t xml:space="preserve">Option 4</w:t>
      </w:r>
      <w:r>
        <w:t xml:space="preserve"> </w:t>
      </w:r>
      <w:r>
        <w:t xml:space="preserve">(4.5 µg/100ml)</w:t>
      </w:r>
      <w:r>
        <w:t xml:space="preserve"> </w:t>
      </w:r>
      <w:r>
        <w:t xml:space="preserve">Costs for</w:t>
      </w:r>
      <w:r>
        <w:t xml:space="preserve"> </w:t>
      </w:r>
      <w:r>
        <w:t xml:space="preserve">businesses</w:t>
      </w:r>
      <w:r>
        <w:br/>
      </w:r>
      <w:r>
        <w:t xml:space="preserve">350</w:t>
      </w:r>
      <w:r>
        <w:t xml:space="preserve"> </w:t>
      </w:r>
      <w:r>
        <w:t xml:space="preserve">750</w:t>
      </w:r>
      <w:r>
        <w:t xml:space="preserve"> </w:t>
      </w:r>
      <w:r>
        <w:t xml:space="preserve">6 300</w:t>
      </w:r>
      <w:r>
        <w:t xml:space="preserve"> </w:t>
      </w:r>
      <w:r>
        <w:t xml:space="preserve">Benefits for</w:t>
      </w:r>
      <w:r>
        <w:t xml:space="preserve"> </w:t>
      </w:r>
      <w:r>
        <w:t xml:space="preserve">businesses</w:t>
      </w:r>
      <w:r>
        <w:br/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Costs for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0.5</w:t>
      </w:r>
      <w:r>
        <w:t xml:space="preserve"> </w:t>
      </w:r>
      <w:r>
        <w:t xml:space="preserve">0.52</w:t>
      </w:r>
      <w:r>
        <w:t xml:space="preserve"> </w:t>
      </w:r>
      <w:r>
        <w:t xml:space="preserve">0.54</w:t>
      </w:r>
      <w:r>
        <w:t xml:space="preserve"> </w:t>
      </w:r>
      <w:r>
        <w:t xml:space="preserve">Benefits for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90</w:t>
      </w:r>
      <w:r>
        <w:br/>
      </w:r>
      <w:r>
        <w:t xml:space="preserve">100</w:t>
      </w:r>
      <w:r>
        <w:br/>
      </w:r>
      <w:r>
        <w:t xml:space="preserve">130</w:t>
      </w:r>
      <w:r>
        <w:br/>
      </w:r>
      <w:r>
        <w:t xml:space="preserve">Health benefits</w:t>
      </w:r>
      <w:r>
        <w:t xml:space="preserve"> </w:t>
      </w:r>
      <w:r>
        <w:t xml:space="preserve">for workers and</w:t>
      </w:r>
      <w:r>
        <w:t xml:space="preserve"> </w:t>
      </w:r>
      <w:r>
        <w:t xml:space="preserve">families</w:t>
      </w:r>
      <w:r>
        <w:br/>
      </w:r>
      <w:r>
        <w:t xml:space="preserve">130 - 200</w:t>
      </w:r>
      <w:r>
        <w:t xml:space="preserve"> </w:t>
      </w:r>
      <w:r>
        <w:t xml:space="preserve">160 - 250</w:t>
      </w:r>
      <w:r>
        <w:t xml:space="preserve"> </w:t>
      </w:r>
      <w:r>
        <w:t xml:space="preserve">200 - 310</w:t>
      </w:r>
      <w:r>
        <w:t xml:space="preserve"> </w:t>
      </w:r>
      <w:r>
        <w:t xml:space="preserve">Source: RPA, 2021, External Study</w:t>
      </w:r>
    </w:p>
    <w:p>
      <w:pPr>
        <w:pStyle w:val="BodyText"/>
      </w:pPr>
      <w:r>
        <w:t xml:space="preserve">85 Cost-effectiveness analyses enable to quantify the benefits that would be generated by one euro of costs</w:t>
      </w:r>
      <w:r>
        <w:t xml:space="preserve"> </w:t>
      </w:r>
      <w:r>
        <w:t xml:space="preserve">imposed on society.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With regard to the coherence, the options are analysed on the basis of how coherent they are with other</w:t>
      </w:r>
      <w:r>
        <w:t xml:space="preserve"> </w:t>
      </w:r>
      <w:r>
        <w:t xml:space="preserve">EU policies (including the Charter for Fundamental Rights, the European Pillar of Social Rights and its</w:t>
      </w:r>
      <w:r>
        <w:t xml:space="preserve"> </w:t>
      </w:r>
      <w:r>
        <w:t xml:space="preserve">Action Plan, the Chemicals Strategy for Sustainability and REACH). Coherence with general EU</w:t>
      </w:r>
      <w:r>
        <w:t xml:space="preserve"> </w:t>
      </w:r>
      <w:r>
        <w:t xml:space="preserve">priorities and policies, as well as with the Charter of Fundamental Rights, goes hand in hand with the</w:t>
      </w:r>
      <w:r>
        <w:t xml:space="preserve"> </w:t>
      </w:r>
      <w:r>
        <w:t xml:space="preserve">level of the limit values. The lower the limit value, the more protective of workers’ health.</w:t>
      </w:r>
      <w:r>
        <w:br/>
      </w:r>
      <w:r>
        <w:t xml:space="preserve">Lowering the existing limit value at the level of each policy option would ensure a better protection of</w:t>
      </w:r>
      <w:r>
        <w:t xml:space="preserve"> </w:t>
      </w:r>
      <w:r>
        <w:t xml:space="preserve">workers’ health and would be in line with the Commission’s commitment to reducing workers’</w:t>
      </w:r>
      <w:r>
        <w:t xml:space="preserve"> </w:t>
      </w:r>
      <w:r>
        <w:t xml:space="preserve">exposure to hazardous chemicals. Therefore, these three options would ensure a greater coherence with</w:t>
      </w:r>
      <w:r>
        <w:t xml:space="preserve"> </w:t>
      </w:r>
      <w:r>
        <w:t xml:space="preserve">the Charter for Fundamental Rights, the EU Pillar of Social Rights and its Action Plan and the</w:t>
      </w:r>
      <w:r>
        <w:t xml:space="preserve"> </w:t>
      </w:r>
      <w:r>
        <w:t xml:space="preserve">Chemicals Strategy for Sustainability. Furthermore, lead has been identified as a substance of very high</w:t>
      </w:r>
      <w:r>
        <w:t xml:space="preserve"> </w:t>
      </w:r>
      <w:r>
        <w:t xml:space="preserve">concern and placed on the candidate list for inclusion into Annex XIV to REACH since June 2018, on</w:t>
      </w:r>
      <w:r>
        <w:t xml:space="preserve"> </w:t>
      </w:r>
      <w:r>
        <w:t xml:space="preserve">the grounds that it is a substance toxic to reproduction. Therefore, the lowering of the limit value at the</w:t>
      </w:r>
      <w:r>
        <w:t xml:space="preserve"> </w:t>
      </w:r>
      <w:r>
        <w:t xml:space="preserve">level of all the options (except option 1) will improve the protection from a substance considered as of</w:t>
      </w:r>
      <w:r>
        <w:t xml:space="preserve"> </w:t>
      </w:r>
      <w:r>
        <w:t xml:space="preserve">high concern and for which there is a need for vigilance.</w:t>
      </w:r>
      <w:r>
        <w:br/>
      </w:r>
      <w:r>
        <w:t xml:space="preserve">In addition, option 3 is coherent with the OEL recommended by two Interest Groups within the ACSH,</w:t>
      </w:r>
      <w:r>
        <w:t xml:space="preserve"> </w:t>
      </w:r>
      <w:r>
        <w:t xml:space="preserve">namely the employers’ and governments’ Interest Groups. The workers’ Interest Group recommended</w:t>
      </w:r>
      <w:r>
        <w:t xml:space="preserve"> </w:t>
      </w:r>
      <w:r>
        <w:t xml:space="preserve">an OEL at the level of option 4. Therefore, option 3 is the most coherent as it ensures the same</w:t>
      </w:r>
      <w:r>
        <w:t xml:space="preserve"> </w:t>
      </w:r>
      <w:r>
        <w:t xml:space="preserve">coherence with the other EU policies as options 2 and 4 while being coherent with the opinion endorsed</w:t>
      </w:r>
      <w:r>
        <w:t xml:space="preserve"> </w:t>
      </w:r>
      <w:r>
        <w:t xml:space="preserve">by a majority of members within the ACSH.</w:t>
      </w:r>
      <w:r>
        <w:t xml:space="preserve"> </w:t>
      </w:r>
      <w:r>
        <w:t xml:space="preserve">Diisocyanates</w:t>
      </w:r>
      <w:r>
        <w:t xml:space="preserve"> </w:t>
      </w:r>
      <w:r>
        <w:t xml:space="preserve">Table 14: comparison of diisocyanates options</w:t>
      </w:r>
      <w:r>
        <w:br/>
      </w:r>
      <w:r>
        <w:t xml:space="preserve">Criteria</w:t>
      </w:r>
      <w:r>
        <w:t xml:space="preserve"> </w:t>
      </w:r>
      <w:r>
        <w:t xml:space="preserve">No EU limit</w:t>
      </w:r>
      <w:r>
        <w:t xml:space="preserve"> </w:t>
      </w:r>
      <w:r>
        <w:t xml:space="preserve">values</w:t>
      </w:r>
      <w:r>
        <w:t xml:space="preserve"> </w:t>
      </w:r>
      <w:r>
        <w:t xml:space="preserve">(Baseline)</w:t>
      </w:r>
      <w:r>
        <w:t xml:space="preserve"> </w:t>
      </w:r>
      <w:r>
        <w:t xml:space="preserve">10 µg/m³</w:t>
      </w:r>
      <w:r>
        <w:t xml:space="preserve"> </w:t>
      </w:r>
      <w:r>
        <w:t xml:space="preserve">(Option 2)</w:t>
      </w:r>
      <w:r>
        <w:t xml:space="preserve"> </w:t>
      </w:r>
      <w:r>
        <w:t xml:space="preserve">6 µg/m³</w:t>
      </w:r>
      <w:r>
        <w:br/>
      </w:r>
      <w:r>
        <w:t xml:space="preserve">(Option 3)</w:t>
      </w:r>
      <w:r>
        <w:t xml:space="preserve"> </w:t>
      </w:r>
      <w:r>
        <w:t xml:space="preserve">3 µg/m³</w:t>
      </w:r>
      <w:r>
        <w:br/>
      </w:r>
      <w:r>
        <w:t xml:space="preserve">(Option 4)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—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With regard to the effectiveness, the options are analysed from the perspective of the prevention of</w:t>
      </w:r>
      <w:r>
        <w:t xml:space="preserve"> </w:t>
      </w:r>
      <w:r>
        <w:t xml:space="preserve">adverse health effects. According to the available data, options 2 and 3 would not bring any additional</w:t>
      </w:r>
      <w:r>
        <w:t xml:space="preserve"> </w:t>
      </w:r>
      <w:r>
        <w:t xml:space="preserve">benefits compared to the baseline. However, as explained above, the data available does not allow for a</w:t>
      </w:r>
      <w:r>
        <w:t xml:space="preserve"> </w:t>
      </w:r>
      <w:r>
        <w:t xml:space="preserve">comprehensive analysis since the ill-health cases due to peak exposures could not be calculated, which</w:t>
      </w:r>
      <w:r>
        <w:t xml:space="preserve"> </w:t>
      </w:r>
      <w:r>
        <w:t xml:space="preserve">results in a significant underestimation of the benefits. Therefore, the benefits of setting an OEL (and its</w:t>
      </w:r>
      <w:r>
        <w:t xml:space="preserve"> </w:t>
      </w:r>
      <w:r>
        <w:t xml:space="preserve">associated STEL) at the level of one of these options would in practice be higher (the stricter the STEL</w:t>
      </w:r>
      <w:r>
        <w:t xml:space="preserve"> </w:t>
      </w:r>
      <w:r>
        <w:t xml:space="preserve">the higher the avoided ill health cases) and this qualitative analysis is reflected in the above table (each</w:t>
      </w:r>
      <w:r>
        <w:t xml:space="preserve"> </w:t>
      </w:r>
      <w:r>
        <w:t xml:space="preserve">policy option is higher in terms of effectiveness than the baseline). The same data limitations apply to</w:t>
      </w:r>
      <w:r>
        <w:t xml:space="preserve"> </w:t>
      </w:r>
      <w:r>
        <w:t xml:space="preserve">option 4, which would in theory enable to prevent about 300 cases of asthma and irritation, while this</w:t>
      </w:r>
      <w:r>
        <w:t xml:space="preserve"> </w:t>
      </w:r>
      <w:r>
        <w:t xml:space="preserve">figure should be higher in practice. The benefits related to option 4 should be higher than under options</w:t>
      </w:r>
      <w:r>
        <w:t xml:space="preserve"> </w:t>
      </w:r>
      <w:r>
        <w:t xml:space="preserve">2 and 3. The lower the limit value, the more protective of workers’ health.</w:t>
      </w:r>
      <w:r>
        <w:br/>
      </w:r>
      <w:r>
        <w:t xml:space="preserve">With regard to the efficiency, the options should be ranked according to a comparison of the benefits</w:t>
      </w:r>
      <w:r>
        <w:t xml:space="preserve"> </w:t>
      </w:r>
      <w:r>
        <w:t xml:space="preserve">arising from each policy option compared to the costs they would entail. However, since the benefits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are underestimated due to data limitations, a purely quantitative comparison of the options does not</w:t>
      </w:r>
      <w:r>
        <w:t xml:space="preserve"> </w:t>
      </w:r>
      <w:r>
        <w:t xml:space="preserve">allow to properly assess their efficiency. As explained above, the three options should produce benefits</w:t>
      </w:r>
      <w:r>
        <w:t xml:space="preserve"> </w:t>
      </w:r>
      <w:r>
        <w:t xml:space="preserve">by reducing the number of ill health cases resulting from the exposure to diisocyanates. Still, it is likely</w:t>
      </w:r>
      <w:r>
        <w:t xml:space="preserve"> </w:t>
      </w:r>
      <w:r>
        <w:t xml:space="preserve">that the costs would outweigh the benefits for all policy options. Considering that the costs of option 4</w:t>
      </w:r>
      <w:r>
        <w:t xml:space="preserve"> </w:t>
      </w:r>
      <w:r>
        <w:t xml:space="preserve">are not only the highest but also that this option is the only one expected to lead to company closures</w:t>
      </w:r>
      <w:r>
        <w:t xml:space="preserve"> </w:t>
      </w:r>
      <w:r>
        <w:t xml:space="preserve">and job losses, it is rated as the least efficient.</w:t>
      </w:r>
    </w:p>
    <w:p>
      <w:pPr>
        <w:pStyle w:val="BodyText"/>
      </w:pPr>
      <w:r>
        <w:t xml:space="preserve">Table 15: comparison of quantified costs and benefits for diisocyanates options (over 40 years, in</w:t>
      </w:r>
      <w:r>
        <w:t xml:space="preserve"> </w:t>
      </w:r>
      <w:r>
        <w:t xml:space="preserve">€ million)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10 µg NCO/m3</w:t>
      </w:r>
      <w:r>
        <w:t xml:space="preserve"> </w:t>
      </w:r>
      <w:r>
        <w:t xml:space="preserve">Option 3</w:t>
      </w:r>
      <w:r>
        <w:t xml:space="preserve"> </w:t>
      </w:r>
      <w:r>
        <w:t xml:space="preserve">6 µg NCO/m3</w:t>
      </w:r>
      <w:r>
        <w:t xml:space="preserve"> </w:t>
      </w:r>
      <w:r>
        <w:t xml:space="preserve">Option 4</w:t>
      </w:r>
      <w:r>
        <w:t xml:space="preserve"> </w:t>
      </w:r>
      <w:r>
        <w:t xml:space="preserve">3 µg NCO/m3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5 600</w:t>
      </w:r>
      <w:r>
        <w:t xml:space="preserve"> </w:t>
      </w:r>
      <w:r>
        <w:t xml:space="preserve">13 410</w:t>
      </w:r>
      <w:r>
        <w:t xml:space="preserve"> </w:t>
      </w:r>
      <w:r>
        <w:t xml:space="preserve">14 230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0.4</w:t>
      </w:r>
      <w:r>
        <w:t xml:space="preserve"> </w:t>
      </w:r>
      <w:r>
        <w:t xml:space="preserve">Costs for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0.97</w:t>
      </w:r>
      <w:r>
        <w:t xml:space="preserve"> </w:t>
      </w:r>
      <w:r>
        <w:t xml:space="preserve">0.97</w:t>
      </w:r>
      <w:r>
        <w:t xml:space="preserve"> </w:t>
      </w:r>
      <w:r>
        <w:t xml:space="preserve">0.97</w:t>
      </w:r>
      <w:r>
        <w:t xml:space="preserve"> </w:t>
      </w:r>
      <w:r>
        <w:t xml:space="preserve">Benefits for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1.75</w:t>
      </w:r>
      <w:r>
        <w:t xml:space="preserve"> </w:t>
      </w:r>
      <w:r>
        <w:t xml:space="preserve">1.75</w:t>
      </w:r>
      <w:r>
        <w:br/>
      </w:r>
      <w:r>
        <w:t xml:space="preserve">2.75</w:t>
      </w:r>
      <w:r>
        <w:br/>
      </w:r>
      <w:r>
        <w:t xml:space="preserve">Health benefits for</w:t>
      </w:r>
      <w:r>
        <w:t xml:space="preserve"> </w:t>
      </w:r>
      <w:r>
        <w:t xml:space="preserve">workers</w:t>
      </w:r>
      <w:r>
        <w:t xml:space="preserve"> </w:t>
      </w:r>
      <w:r>
        <w:t xml:space="preserve">and</w:t>
      </w:r>
      <w:r>
        <w:t xml:space="preserve"> </w:t>
      </w:r>
      <w:r>
        <w:t xml:space="preserve">families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0.8 - 2.2</w:t>
      </w:r>
      <w:r>
        <w:t xml:space="preserve"> </w:t>
      </w:r>
      <w:r>
        <w:t xml:space="preserve">Source: RPA, 2021, External Study</w:t>
      </w:r>
      <w:r>
        <w:t xml:space="preserve"> </w:t>
      </w:r>
      <w:r>
        <w:t xml:space="preserve">With regard to the coherence, the options are analysed on the basis of how coherent they are with other</w:t>
      </w:r>
      <w:r>
        <w:t xml:space="preserve"> </w:t>
      </w:r>
      <w:r>
        <w:t xml:space="preserve">EU policies (including the Charter for Fundamental Rights, the European Pillar of Social Rights and its</w:t>
      </w:r>
      <w:r>
        <w:t xml:space="preserve"> </w:t>
      </w:r>
      <w:r>
        <w:t xml:space="preserve">Action Plan, the Chemicals Strategy for Sustainability and REACH). Coherence with general EU</w:t>
      </w:r>
      <w:r>
        <w:t xml:space="preserve"> </w:t>
      </w:r>
      <w:r>
        <w:t xml:space="preserve">priorities and policies, as well as with the Charter of Fundamental Rights, goes hand in hand with the</w:t>
      </w:r>
      <w:r>
        <w:t xml:space="preserve"> </w:t>
      </w:r>
      <w:r>
        <w:t xml:space="preserve">level of the OELs.</w:t>
      </w:r>
      <w:r>
        <w:br/>
      </w:r>
      <w:r>
        <w:t xml:space="preserve">Setting limit values at the level of each policy option would ensure a better protection of workers’</w:t>
      </w:r>
      <w:r>
        <w:t xml:space="preserve"> </w:t>
      </w:r>
      <w:r>
        <w:t xml:space="preserve">health and would be in line with the Commission’s commitment to reducing workers’ exposure to</w:t>
      </w:r>
      <w:r>
        <w:t xml:space="preserve"> </w:t>
      </w:r>
      <w:r>
        <w:t xml:space="preserve">hazardous chemicals. Therefore, these three options would ensure a greater coherence with the Charter</w:t>
      </w:r>
      <w:r>
        <w:t xml:space="preserve"> </w:t>
      </w:r>
      <w:r>
        <w:t xml:space="preserve">of Fundamental Rights, the European Pillar of Social Rights and its Action Plan and the Chemicals</w:t>
      </w:r>
      <w:r>
        <w:t xml:space="preserve"> </w:t>
      </w:r>
      <w:r>
        <w:t xml:space="preserve">Strategy for Sustainability. Furthermore, and whatever the option retained, the setting of an OEL and a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STEL will be coherent with and would complement the REACH restriction introducing specific training</w:t>
      </w:r>
      <w:r>
        <w:t xml:space="preserve"> </w:t>
      </w:r>
      <w:r>
        <w:t xml:space="preserve">requirements for workers using diisocyanates. Therefore, the lowering of the limit value at the level of</w:t>
      </w:r>
      <w:r>
        <w:t xml:space="preserve"> </w:t>
      </w:r>
      <w:r>
        <w:t xml:space="preserve">all the options (except option 1) will improve the protection from a substance considered as of high</w:t>
      </w:r>
      <w:r>
        <w:t xml:space="preserve"> </w:t>
      </w:r>
      <w:r>
        <w:t xml:space="preserve">concern and for which there is a need for vigilance.</w:t>
      </w:r>
      <w:r>
        <w:br/>
      </w:r>
      <w:r>
        <w:t xml:space="preserve">In addition, option 3 is coherent with the OEL unanimously recommended by the ACSH in its opinion.</w:t>
      </w:r>
      <w:r>
        <w:t xml:space="preserve"> </w:t>
      </w:r>
      <w:r>
        <w:t xml:space="preserve">Therefore, option 3 is the most coherent as it ensures the same coherence with the other EU policies as</w:t>
      </w:r>
      <w:r>
        <w:t xml:space="preserve"> </w:t>
      </w:r>
      <w:r>
        <w:t xml:space="preserve">options 2 and 4 while being coherent with the opinion of the ACSH.</w:t>
      </w:r>
    </w:p>
    <w:p>
      <w:pPr>
        <w:pStyle w:val="Compact"/>
        <w:numPr>
          <w:ilvl w:val="0"/>
          <w:numId w:val="1009"/>
        </w:numPr>
      </w:pPr>
      <w:r>
        <w:t xml:space="preserve">PREFERRED OPTION</w:t>
      </w:r>
      <w:r>
        <w:t xml:space="preserve"> </w:t>
      </w:r>
      <w:r>
        <w:t xml:space="preserve">Taking into account the impacts mentioned in the previous section as well as the opinions of the ACSH,</w:t>
      </w:r>
      <w:r>
        <w:t xml:space="preserve"> </w:t>
      </w:r>
      <w:r>
        <w:t xml:space="preserve">including the positions of its different interest groups, the preferred options are:</w:t>
      </w:r>
      <w:r>
        <w:t xml:space="preserve"> </w:t>
      </w:r>
      <w:r>
        <w:t xml:space="preserve">8.1 Lead</w:t>
      </w:r>
      <w:r>
        <w:t xml:space="preserve"> </w:t>
      </w:r>
      <w:r>
        <w:t xml:space="preserve">Option 3 ensures a balanced approach between adequate protection of workers at the EU level and</w:t>
      </w:r>
      <w:r>
        <w:t xml:space="preserve"> </w:t>
      </w:r>
      <w:r>
        <w:t xml:space="preserve">prevention of closures and other severe disadvantages for the concerned sectors. Furthermore, it ensures</w:t>
      </w:r>
      <w:r>
        <w:t xml:space="preserve"> </w:t>
      </w:r>
      <w:r>
        <w:t xml:space="preserve">coherence with key EU policies as demonstrated in the previous section.</w:t>
      </w:r>
      <w:r>
        <w:br/>
      </w:r>
      <w:r>
        <w:t xml:space="preserve">The three Interest Groups of the ACSH, in its opinion, agree on the need to revise downwards the</w:t>
      </w:r>
      <w:r>
        <w:t xml:space="preserve"> </w:t>
      </w:r>
      <w:r>
        <w:t xml:space="preserve">existing BLV as well as the OEL to better protect workers. Furthermore, they agree blood lead exposure</w:t>
      </w:r>
      <w:r>
        <w:t xml:space="preserve"> </w:t>
      </w:r>
      <w:r>
        <w:t xml:space="preserve">is the best exposure metric to assess exposure. The preferred option is based on the above analysis that</w:t>
      </w:r>
      <w:r>
        <w:t xml:space="preserve"> </w:t>
      </w:r>
      <w:r>
        <w:t xml:space="preserve">takes into account the RAC and ACSH opinions, together with relevant feasibility aspects.</w:t>
      </w:r>
      <w:r>
        <w:br/>
      </w:r>
      <w:r>
        <w:t xml:space="preserve">A BLV equal to 15 µg/100ml blood, accompanied by an associated OEL equal to 0.03mg/m3 as an 8-</w:t>
      </w:r>
      <w:r>
        <w:t xml:space="preserve"> </w:t>
      </w:r>
      <w:r>
        <w:t xml:space="preserve">hour TWA is therefore the preferred option.</w:t>
      </w:r>
      <w:r>
        <w:br/>
      </w:r>
      <w:r>
        <w:t xml:space="preserve">8.2 Diisocyanates</w:t>
      </w:r>
      <w:r>
        <w:t xml:space="preserve"> </w:t>
      </w:r>
      <w:r>
        <w:t xml:space="preserve">Option 3 ensures a balanced approach between preventing companies from closures or severe economic</w:t>
      </w:r>
      <w:r>
        <w:t xml:space="preserve"> </w:t>
      </w:r>
      <w:r>
        <w:t xml:space="preserve">disadvantages while providing an adequate protection of workers at the EU level. It also ensures</w:t>
      </w:r>
      <w:r>
        <w:t xml:space="preserve"> </w:t>
      </w:r>
      <w:r>
        <w:t xml:space="preserve">coherence with key EU policies. This option 3 is also coherent with the ACSH opinion, in which the</w:t>
      </w:r>
      <w:r>
        <w:t xml:space="preserve"> </w:t>
      </w:r>
      <w:r>
        <w:t xml:space="preserve">three Interest Groups recommended to set an OEL of 6 µg NCO/m3 (and an associated STEL of 12 µg</w:t>
      </w:r>
      <w:r>
        <w:t xml:space="preserve"> </w:t>
      </w:r>
      <w:r>
        <w:t xml:space="preserve">NCO/m3). An OEL equal to 6 µg/m³, accompanied with an associated STEL equal to 12 µg/m³, a</w:t>
      </w:r>
      <w:r>
        <w:t xml:space="preserve"> </w:t>
      </w:r>
      <w:r>
        <w:t xml:space="preserve">dermal and respiratory sensitisation notation and a skin notation is therefore the preferred option.</w:t>
      </w:r>
      <w:r>
        <w:br/>
      </w:r>
      <w:r>
        <w:t xml:space="preserve">However, as recommended by the ACSH, a transitional value at the level of option 2 (10 µg/m³) with</w:t>
      </w:r>
      <w:r>
        <w:t xml:space="preserve"> </w:t>
      </w:r>
      <w:r>
        <w:t xml:space="preserve">an associated STEL equal to 20 µg/m³ should apply until 31 December 2028. This transitional value is</w:t>
      </w:r>
      <w:r>
        <w:t xml:space="preserve"> </w:t>
      </w:r>
      <w:r>
        <w:t xml:space="preserve">considered as necessary for technical measurement feasibility reasons and to give sufficient time to the</w:t>
      </w:r>
      <w:r>
        <w:t xml:space="preserve"> </w:t>
      </w:r>
      <w:r>
        <w:t xml:space="preserve">industry to implement the necessary risk management measures, in particular in downstream sectors.</w:t>
      </w:r>
      <w:r>
        <w:t xml:space="preserve"> </w:t>
      </w:r>
      <w:r>
        <w:t xml:space="preserve">This should be complemented by health surveillance of workers to detect any early onset of ill-health</w:t>
      </w:r>
      <w:r>
        <w:t xml:space="preserve"> </w:t>
      </w:r>
      <w:r>
        <w:t xml:space="preserve">and subsequent management of the individual worker to prevent further risks due to exposure to</w:t>
      </w:r>
    </w:p>
    <w:p>
      <w:pPr>
        <w:pStyle w:val="FirstParagraph"/>
      </w:pPr>
      <w:r>
        <w:t xml:space="preserve">45</w:t>
      </w:r>
    </w:p>
    <w:p>
      <w:pPr>
        <w:pStyle w:val="BodyText"/>
      </w:pPr>
      <w:r>
        <w:t xml:space="preserve">diisocyanates. Collectively, this provides a high level of worker protection.8.3 Overall impact of the</w:t>
      </w:r>
      <w:r>
        <w:t xml:space="preserve"> </w:t>
      </w:r>
      <w:r>
        <w:t xml:space="preserve">preferred options.</w:t>
      </w:r>
      <w:r>
        <w:t xml:space="preserve"> </w:t>
      </w:r>
      <w:r>
        <w:t xml:space="preserve">Due to a lack of data, the impacts of a combination of several limit values for diisocyanates in the form</w:t>
      </w:r>
      <w:r>
        <w:t xml:space="preserve"> </w:t>
      </w:r>
      <w:r>
        <w:t xml:space="preserve">of a transitional measure and of the setting of notations could not be quantified. For that reason, the</w:t>
      </w:r>
      <w:r>
        <w:t xml:space="preserve"> </w:t>
      </w:r>
      <w:r>
        <w:t xml:space="preserve">costs and benefits described below are those for the preferred option only, without any transitional</w:t>
      </w:r>
      <w:r>
        <w:t xml:space="preserve"> </w:t>
      </w:r>
      <w:r>
        <w:t xml:space="preserve">measures and notations. However, it is reasonable to consider that accompanying the new EU</w:t>
      </w:r>
      <w:r>
        <w:t xml:space="preserve"> </w:t>
      </w:r>
      <w:r>
        <w:t xml:space="preserve">diisocyanates OEL with transitional measures would have limited impacts on the benefits and moderate</w:t>
      </w:r>
      <w:r>
        <w:t xml:space="preserve"> </w:t>
      </w:r>
      <w:r>
        <w:t xml:space="preserve">impacts on the costs. It is all the more true that the duration of these transitional measures will be</w:t>
      </w:r>
      <w:r>
        <w:t xml:space="preserve"> </w:t>
      </w:r>
      <w:r>
        <w:t xml:space="preserve">limited and it is likely that some companies have already started to make the necessary investments in</w:t>
      </w:r>
      <w:r>
        <w:t xml:space="preserve"> </w:t>
      </w:r>
      <w:r>
        <w:t xml:space="preserve">anticipation of the new or more stringent OELs to come.</w:t>
      </w:r>
      <w:r>
        <w:t xml:space="preserve"> </w:t>
      </w:r>
      <w:r>
        <w:t xml:space="preserve">It is difficult to predict with any certainty the expected future level of reduction in the number of cases</w:t>
      </w:r>
      <w:r>
        <w:t xml:space="preserve"> </w:t>
      </w:r>
      <w:r>
        <w:t xml:space="preserve">of ill-health due to exposure to both lead and diisocyanates. However, it is reasonable to predict that</w:t>
      </w:r>
      <w:r>
        <w:t xml:space="preserve"> </w:t>
      </w:r>
      <w:r>
        <w:t xml:space="preserve">following the implementation of the new and revised limit values, exposures will reduce with a</w:t>
      </w:r>
      <w:r>
        <w:t xml:space="preserve"> </w:t>
      </w:r>
      <w:r>
        <w:t xml:space="preserve">consequent reduction in the number of cases of ill-health. Within the framework of the evaluations</w:t>
      </w:r>
      <w:r>
        <w:t xml:space="preserve"> </w:t>
      </w:r>
      <w:r>
        <w:t xml:space="preserve">carried out under Article 17a of Directive 89/391/EEC, consideration could be given to developing a set</w:t>
      </w:r>
      <w:r>
        <w:t xml:space="preserve"> </w:t>
      </w:r>
      <w:r>
        <w:t xml:space="preserve">of objective indicators specific to each substance for which a limit value has been set under CAD and</w:t>
      </w:r>
      <w:r>
        <w:t xml:space="preserve"> </w:t>
      </w:r>
      <w:r>
        <w:t xml:space="preserve">CMRD.</w:t>
      </w:r>
    </w:p>
    <w:p>
      <w:pPr>
        <w:pStyle w:val="BodyText"/>
      </w:pPr>
      <w:r>
        <w:t xml:space="preserve">8.3.1</w:t>
      </w:r>
      <w:r>
        <w:t xml:space="preserve"> </w:t>
      </w:r>
      <w:r>
        <w:t xml:space="preserve">Impact on workers</w:t>
      </w:r>
      <w:r>
        <w:t xml:space="preserve"> </w:t>
      </w:r>
      <w:r>
        <w:t xml:space="preserve">The preferred options considered in this impact assessment should result in benefits in terms of avoided</w:t>
      </w:r>
      <w:r>
        <w:t xml:space="preserve"> </w:t>
      </w:r>
      <w:r>
        <w:t xml:space="preserve">work-related ill-health, and related monetised health benefits including avoidance of intangible costs</w:t>
      </w:r>
      <w:r>
        <w:t xml:space="preserve"> </w:t>
      </w:r>
      <w:r>
        <w:t xml:space="preserve">such as the reduced quality of life, the suffering of the workers and their families, the pain, etc. For lead</w:t>
      </w:r>
      <w:r>
        <w:t xml:space="preserve"> </w:t>
      </w:r>
      <w:r>
        <w:t xml:space="preserve">it is estimated that about 10 500 cases of ill-health could be prevented, and its monetised health benefit</w:t>
      </w:r>
      <w:r>
        <w:t xml:space="preserve"> </w:t>
      </w:r>
      <w:r>
        <w:t xml:space="preserve">is assessed as ranging from EUR 160 million to EUR 250 million. Regarding diisocyanates, the lack of</w:t>
      </w:r>
      <w:r>
        <w:t xml:space="preserve"> </w:t>
      </w:r>
      <w:r>
        <w:t xml:space="preserve">data does not allow to quantify the benefits for workers. However, it is largely agreed among relevant</w:t>
      </w:r>
      <w:r>
        <w:t xml:space="preserve"> </w:t>
      </w:r>
      <w:r>
        <w:t xml:space="preserve">stakeholders, including social partners, that the setting of a STEL would result in a decrease of the</w:t>
      </w:r>
      <w:r>
        <w:t xml:space="preserve"> </w:t>
      </w:r>
      <w:r>
        <w:t xml:space="preserve">number of ill-health cases.</w:t>
      </w:r>
    </w:p>
    <w:p>
      <w:pPr>
        <w:pStyle w:val="BodyText"/>
      </w:pPr>
      <w:r>
        <w:t xml:space="preserve">8.3.2</w:t>
      </w:r>
      <w:r>
        <w:t xml:space="preserve"> </w:t>
      </w:r>
      <w:r>
        <w:t xml:space="preserve">Impact on business, including SMEs</w:t>
      </w:r>
      <w:r>
        <w:t xml:space="preserve"> </w:t>
      </w:r>
      <w:r>
        <w:t xml:space="preserve">As regards costs incurred for risk reduction measures, the preferred options will affect operating costs</w:t>
      </w:r>
      <w:r>
        <w:t xml:space="preserve"> </w:t>
      </w:r>
      <w:r>
        <w:t xml:space="preserve">for companies which will have to adjust the working practices to comply with the new BLV and OEL</w:t>
      </w:r>
      <w:r>
        <w:t xml:space="preserve"> </w:t>
      </w:r>
      <w:r>
        <w:t xml:space="preserve">for lead and OEL, STEL and notations for diisocyanates. This will consist of incremental costs of</w:t>
      </w:r>
      <w:r>
        <w:t xml:space="preserve"> </w:t>
      </w:r>
      <w:r>
        <w:t xml:space="preserve">RMMs (including respiratory protective equipment (RPE)), cost of health surveillance, monitoring costs</w:t>
      </w:r>
      <w:r>
        <w:t xml:space="preserve"> </w:t>
      </w:r>
      <w:r>
        <w:t xml:space="preserve">and training costs86. The costs to business over the next 40 years are estimated to be about</w:t>
      </w:r>
      <w:r>
        <w:t xml:space="preserve"> </w:t>
      </w:r>
      <w:r>
        <w:t xml:space="preserve">EUR 750 million for companies operating with lead and EUR 13.5 billion for companies dealing with</w:t>
      </w:r>
      <w:r>
        <w:t xml:space="preserve"> </w:t>
      </w:r>
      <w:r>
        <w:t xml:space="preserve">diisocyanates.</w:t>
      </w:r>
      <w:r>
        <w:br/>
      </w:r>
      <w:r>
        <w:t xml:space="preserve">For lead, the average additional costs per company would be about EUR 30 000 over 40 years. This</w:t>
      </w:r>
      <w:r>
        <w:t xml:space="preserve"> </w:t>
      </w:r>
      <w:r>
        <w:t xml:space="preserve">represents less than 1% of their turnover and should therefore not lead to any closures. Furthermore, the</w:t>
      </w:r>
      <w:r>
        <w:t xml:space="preserve"> </w:t>
      </w:r>
      <w:r>
        <w:t xml:space="preserve">impacts on the expenses in research and development and on consumers should be very limited.</w:t>
      </w:r>
      <w:r>
        <w:br/>
      </w:r>
      <w:r>
        <w:t xml:space="preserve">As for diisocyanates, each of the companies would spend on average about EUR 6 000 over 40 years.</w:t>
      </w:r>
      <w:r>
        <w:t xml:space="preserve"> </w:t>
      </w:r>
      <w:r>
        <w:t xml:space="preserve">Since most of these costs are related to monitoring tasks, they spread over the reference period.</w:t>
      </w:r>
    </w:p>
    <w:p>
      <w:pPr>
        <w:pStyle w:val="BodyText"/>
      </w:pPr>
      <w:r>
        <w:t xml:space="preserve">86 Companies operating with lead will only face costs of RMMs.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Moreover, while all companies must comply with limit values, monitoring and the administrative</w:t>
      </w:r>
      <w:r>
        <w:t xml:space="preserve"> </w:t>
      </w:r>
      <w:r>
        <w:t xml:space="preserve">burden of monitoring can be reduced, according to CAD, as there is no need for monitoring if</w:t>
      </w:r>
      <w:r>
        <w:t xml:space="preserve"> </w:t>
      </w:r>
      <w:r>
        <w:t xml:space="preserve">companies can demonstrate adequate protection by other means. It is therefore possible that many</w:t>
      </w:r>
      <w:r>
        <w:t xml:space="preserve"> </w:t>
      </w:r>
      <w:r>
        <w:t xml:space="preserve">micro-enterprises (numerous in the construction and vehicle repair sectors) will not be required to</w:t>
      </w:r>
      <w:r>
        <w:t xml:space="preserve"> </w:t>
      </w:r>
      <w:r>
        <w:t xml:space="preserve">monitor their compliance. In such a case, the above indicated monitoring and administrative costs</w:t>
      </w:r>
      <w:r>
        <w:t xml:space="preserve"> </w:t>
      </w:r>
      <w:r>
        <w:t xml:space="preserve">would be significantly overestimated. Regarding one-off costs, companies operating in textiles and</w:t>
      </w:r>
      <w:r>
        <w:t xml:space="preserve"> </w:t>
      </w:r>
      <w:r>
        <w:t xml:space="preserve">apparel sectors would need to bear costs of EUR 4.5 billion and EUR 10.3 billion respectively. Since</w:t>
      </w:r>
      <w:r>
        <w:t xml:space="preserve"> </w:t>
      </w:r>
      <w:r>
        <w:t xml:space="preserve">most of the companies operate in sectors with a high degree of competition, the impacts on consumers</w:t>
      </w:r>
      <w:r>
        <w:t xml:space="preserve"> </w:t>
      </w:r>
      <w:r>
        <w:t xml:space="preserve">will be limited.</w:t>
      </w:r>
      <w:r>
        <w:br/>
      </w:r>
      <w:r>
        <w:t xml:space="preserve">The setting of new or revised limit values should bring benefits to companies, including for</w:t>
      </w:r>
      <w:r>
        <w:t xml:space="preserve"> </w:t>
      </w:r>
      <w:r>
        <w:t xml:space="preserve">diisocyanates, although these could not be quantified. For example, this would lead to cost savings</w:t>
      </w:r>
      <w:r>
        <w:t xml:space="preserve"> </w:t>
      </w:r>
      <w:r>
        <w:t xml:space="preserve">related to sick leave, labour productivity and other administrative and legal costs. However, these</w:t>
      </w:r>
      <w:r>
        <w:t xml:space="preserve"> </w:t>
      </w:r>
      <w:r>
        <w:t xml:space="preserve">benefits are much more limited compared to the costs arising from the setting of the limit values.</w:t>
      </w:r>
      <w:r>
        <w:br/>
      </w:r>
      <w:r>
        <w:t xml:space="preserve">99% of the companies working with lead and diisocyanates are SMEs and, therefore, these have been</w:t>
      </w:r>
      <w:r>
        <w:t xml:space="preserve"> </w:t>
      </w:r>
      <w:r>
        <w:t xml:space="preserve">the focus of this report’s cost analysis.</w:t>
      </w:r>
      <w:r>
        <w:br/>
      </w:r>
      <w:r>
        <w:t xml:space="preserve">8.3.3</w:t>
      </w:r>
      <w:r>
        <w:t xml:space="preserve"> </w:t>
      </w:r>
      <w:r>
        <w:t xml:space="preserve">Impact on competition and competitiveness</w:t>
      </w:r>
      <w:r>
        <w:t xml:space="preserve"> </w:t>
      </w:r>
      <w:r>
        <w:t xml:space="preserve">Companies that are already complying with any limit value being assessed will be impacted less in</w:t>
      </w:r>
      <w:r>
        <w:t xml:space="preserve"> </w:t>
      </w:r>
      <w:r>
        <w:t xml:space="preserve">terms of their competitiveness costs following the introduction of a lower OEL, STEL or BLV as</w:t>
      </w:r>
      <w:r>
        <w:t xml:space="preserve"> </w:t>
      </w:r>
      <w:r>
        <w:t xml:space="preserve">appropriate. This is particularly relevant for companies working with diisocyanates in Sweden, which</w:t>
      </w:r>
      <w:r>
        <w:t xml:space="preserve"> </w:t>
      </w:r>
      <w:r>
        <w:t xml:space="preserve">has lower national OELs for a few of them.</w:t>
      </w:r>
      <w:r>
        <w:br/>
      </w:r>
      <w:r>
        <w:t xml:space="preserve">However, whilst this might make them more cost-competitive against companies working in other</w:t>
      </w:r>
      <w:r>
        <w:t xml:space="preserve"> </w:t>
      </w:r>
      <w:r>
        <w:t xml:space="preserve">Member States, most of the work done with lead and diisocyanates is carried out in fixed installations</w:t>
      </w:r>
      <w:r>
        <w:t xml:space="preserve"> </w:t>
      </w:r>
      <w:r>
        <w:t xml:space="preserve">(e.g., lead battery manufacturing and recycling / primary manufacture of diisocyanates). Furthermore,</w:t>
      </w:r>
      <w:r>
        <w:t xml:space="preserve"> </w:t>
      </w:r>
      <w:r>
        <w:t xml:space="preserve">the costs related to the compliance with the preferred options should not have significant impacts in</w:t>
      </w:r>
      <w:r>
        <w:t xml:space="preserve"> </w:t>
      </w:r>
      <w:r>
        <w:t xml:space="preserve">terms of competition. However, companies working with lead could be less competitive compared to</w:t>
      </w:r>
      <w:r>
        <w:t xml:space="preserve"> </w:t>
      </w:r>
      <w:r>
        <w:t xml:space="preserve">those producing lead-free alternative products (e.g., ceramic frit, alloys or crystalline glass).</w:t>
      </w:r>
      <w:r>
        <w:t xml:space="preserve"> </w:t>
      </w:r>
      <w:r>
        <w:t xml:space="preserve">Regarding international competitiveness, only three non-EU countries have currently a BLV for lead.</w:t>
      </w:r>
      <w:r>
        <w:t xml:space="preserve"> </w:t>
      </w:r>
      <w:r>
        <w:t xml:space="preserve">However, most of them have an OEL which would correspond to a BLV of 30 µg/100ml. Therefore, the</w:t>
      </w:r>
      <w:r>
        <w:t xml:space="preserve"> </w:t>
      </w:r>
      <w:r>
        <w:t xml:space="preserve">impact on companies working with lead should be moderate. When it comes to diisocyanates, the main</w:t>
      </w:r>
      <w:r>
        <w:t xml:space="preserve"> </w:t>
      </w:r>
      <w:r>
        <w:t xml:space="preserve">competitors of the EU have higher limit values, which could undermine the competitiveness of</w:t>
      </w:r>
      <w:r>
        <w:t xml:space="preserve"> </w:t>
      </w:r>
      <w:r>
        <w:t xml:space="preserve">companies operating in markets characterised by a high price sensitivity. However, the potential</w:t>
      </w:r>
      <w:r>
        <w:t xml:space="preserve"> </w:t>
      </w:r>
      <w:r>
        <w:t xml:space="preserve">consequences are mitigated by several factors, including the limited incremental costs for companies</w:t>
      </w:r>
      <w:r>
        <w:t xml:space="preserve"> </w:t>
      </w:r>
      <w:r>
        <w:t xml:space="preserve">and the non-international nature of some of the concerned markets.</w:t>
      </w:r>
      <w:r>
        <w:br/>
      </w:r>
      <w:r>
        <w:t xml:space="preserve">8.4 Subsidiarity, proportionality and REFIT</w:t>
      </w:r>
      <w:r>
        <w:t xml:space="preserve"> </w:t>
      </w:r>
      <w:r>
        <w:t xml:space="preserve">In view of the available scientific evidence, it is necessary to review the OEL/BLV for lead and its</w:t>
      </w:r>
      <w:r>
        <w:t xml:space="preserve"> </w:t>
      </w:r>
      <w:r>
        <w:t xml:space="preserve">inorganic compounds and to introduce a limit value for diisocyanates. The protection of workers’ health</w:t>
      </w:r>
      <w:r>
        <w:t xml:space="preserve"> </w:t>
      </w:r>
      <w:r>
        <w:t xml:space="preserve">against risks arising from exposure to these substances is already covered by EU legislation, in</w:t>
      </w:r>
      <w:r>
        <w:t xml:space="preserve"> </w:t>
      </w:r>
      <w:r>
        <w:t xml:space="preserve">particular by the CAD and the CMRD, which can be amended only at EU level. The preferred options</w:t>
      </w:r>
      <w:r>
        <w:t xml:space="preserve"> </w:t>
      </w:r>
      <w:r>
        <w:t xml:space="preserve">build on long and intensive discussions with all stakeholders (representatives from workers’</w:t>
      </w:r>
      <w:r>
        <w:t xml:space="preserve"> </w:t>
      </w:r>
      <w:r>
        <w:t xml:space="preserve">associations, representatives from employers’ associations, and representatives from governments) that</w:t>
      </w:r>
      <w:r>
        <w:t xml:space="preserve"> </w:t>
      </w:r>
      <w:r>
        <w:t xml:space="preserve">helps to ensure that principles of subsidiarity and proportionality are well respected.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Updating the CAD and the CMRD is an effective way to ensure that preventive measures would be</w:t>
      </w:r>
      <w:r>
        <w:t xml:space="preserve"> </w:t>
      </w:r>
      <w:r>
        <w:t xml:space="preserve">updated accordingly in all Member States, providing a uniform level of minimum requirements</w:t>
      </w:r>
      <w:r>
        <w:t xml:space="preserve"> </w:t>
      </w:r>
      <w:r>
        <w:t xml:space="preserve">designed to guarantee a better standard of health and safety and thus minimising the disparities in health</w:t>
      </w:r>
      <w:r>
        <w:t xml:space="preserve"> </w:t>
      </w:r>
      <w:r>
        <w:t xml:space="preserve">and safety protection levels of workers between Member States.</w:t>
      </w:r>
      <w:r>
        <w:t xml:space="preserve"> </w:t>
      </w:r>
      <w:r>
        <w:t xml:space="preserve">Although competition in the internal market not being strongly impacted by the revision of the</w:t>
      </w:r>
      <w:r>
        <w:t xml:space="preserve"> </w:t>
      </w:r>
      <w:r>
        <w:t xml:space="preserve">OEL/BLV for lead and its inorganic compounds and by introducing an OEL for diisocyanates, the</w:t>
      </w:r>
      <w:r>
        <w:t xml:space="preserve"> </w:t>
      </w:r>
      <w:r>
        <w:t xml:space="preserve">harmonisation of minimum requirements would contribute to a level playing field for operators in the</w:t>
      </w:r>
      <w:r>
        <w:t xml:space="preserve"> </w:t>
      </w:r>
      <w:r>
        <w:t xml:space="preserve">internal market. Updating the CAD and the CMRD therefore complies with the principle of</w:t>
      </w:r>
      <w:r>
        <w:t xml:space="preserve"> </w:t>
      </w:r>
      <w:r>
        <w:t xml:space="preserve">subsidiarity.</w:t>
      </w:r>
      <w:r>
        <w:t xml:space="preserve"> </w:t>
      </w:r>
      <w:r>
        <w:t xml:space="preserve">The proportionality principle is respected as the preferred option is limited to introducing an OEL and</w:t>
      </w:r>
      <w:r>
        <w:t xml:space="preserve"> </w:t>
      </w:r>
      <w:r>
        <w:t xml:space="preserve">a STEL for diisocyanates by revising the annex to the CAD and by revising the limit values for lead by</w:t>
      </w:r>
      <w:r>
        <w:t xml:space="preserve"> </w:t>
      </w:r>
      <w:r>
        <w:t xml:space="preserve">amending the annexes to the CMRD on the basis of the scientific and technical data available. This</w:t>
      </w:r>
      <w:r>
        <w:t xml:space="preserve"> </w:t>
      </w:r>
      <w:r>
        <w:t xml:space="preserve">initiative aims to make a step forward to achieve the objectives set to improve health and safety of</w:t>
      </w:r>
      <w:r>
        <w:t xml:space="preserve"> </w:t>
      </w:r>
      <w:r>
        <w:t xml:space="preserve">workers. The preferred options ensure a balanced approach, i.e., preventing companies from closures or</w:t>
      </w:r>
      <w:r>
        <w:t xml:space="preserve"> </w:t>
      </w:r>
      <w:r>
        <w:t xml:space="preserve">severe economic disadvantages while providing an adequate protection of workers at the EU level. The</w:t>
      </w:r>
      <w:r>
        <w:t xml:space="preserve"> </w:t>
      </w:r>
      <w:r>
        <w:t xml:space="preserve">proposal is balanced and justified in light of the accrued and longer-term benefits in terms of reducing</w:t>
      </w:r>
      <w:r>
        <w:t xml:space="preserve"> </w:t>
      </w:r>
      <w:r>
        <w:t xml:space="preserve">health risks arising from workers’ exposure to lead and to diisocyanates and preventing occupational ill-</w:t>
      </w:r>
      <w:r>
        <w:t xml:space="preserve"> </w:t>
      </w:r>
      <w:r>
        <w:t xml:space="preserve">health. Therefore, it achieves the objectives of the Directives at the least cost.</w:t>
      </w:r>
      <w:r>
        <w:br/>
      </w:r>
      <w:r>
        <w:t xml:space="preserve">Companies working with diisocyanates will be required to take additional actions to comply with the</w:t>
      </w:r>
      <w:r>
        <w:t xml:space="preserve"> </w:t>
      </w:r>
      <w:r>
        <w:t xml:space="preserve">limit values; namely, by introducing additional Risk Management Measures, or reinforcing existing</w:t>
      </w:r>
      <w:r>
        <w:t xml:space="preserve"> </w:t>
      </w:r>
      <w:r>
        <w:t xml:space="preserve">ones. Nevertheless, without limit values at EU level, disparities in the protection of workers from</w:t>
      </w:r>
      <w:r>
        <w:t xml:space="preserve"> </w:t>
      </w:r>
      <w:r>
        <w:t xml:space="preserve">exposure to diisocyanates would remain. Besides, although Risk Management Measures will imply one-</w:t>
      </w:r>
      <w:r>
        <w:t xml:space="preserve"> </w:t>
      </w:r>
      <w:r>
        <w:t xml:space="preserve">off costs initially, these will later be compensated by savings. For instance, investing in local exhaust</w:t>
      </w:r>
      <w:r>
        <w:t xml:space="preserve"> </w:t>
      </w:r>
      <w:r>
        <w:t xml:space="preserve">ventilation systems will reduce the need to use respiratory protective equipment, which is characterised</w:t>
      </w:r>
      <w:r>
        <w:t xml:space="preserve"> </w:t>
      </w:r>
      <w:r>
        <w:t xml:space="preserve">by low one-off yet high recurrent costs. When it comes to lead, the need to take new action will be</w:t>
      </w:r>
      <w:r>
        <w:t xml:space="preserve"> </w:t>
      </w:r>
      <w:r>
        <w:t xml:space="preserve">limited, as no additional monitoring or administrative measures will be required.</w:t>
      </w:r>
      <w:r>
        <w:br/>
      </w:r>
      <w:r>
        <w:t xml:space="preserve">As shown above, the estimated costs outweigh the quantified benefits for all the options. The selection</w:t>
      </w:r>
      <w:r>
        <w:t xml:space="preserve"> </w:t>
      </w:r>
      <w:r>
        <w:t xml:space="preserve">of the most appropriate option per group of substances cannot be done merely on the basis of a</w:t>
      </w:r>
      <w:r>
        <w:t xml:space="preserve"> </w:t>
      </w:r>
      <w:r>
        <w:t xml:space="preserve">costs/benefits ratio comparison. Due to data limitations (see section 6.1), the assessment of</w:t>
      </w:r>
      <w:r>
        <w:t xml:space="preserve"> </w:t>
      </w:r>
      <w:r>
        <w:t xml:space="preserve">proportionality needs to go beyond a purely mathematical comparison of the costs and benefits. The</w:t>
      </w:r>
      <w:r>
        <w:t xml:space="preserve"> </w:t>
      </w:r>
      <w:r>
        <w:t xml:space="preserve">calculations presented in the report are those which could be quantified, which was easier for the costs,</w:t>
      </w:r>
      <w:r>
        <w:t xml:space="preserve"> </w:t>
      </w:r>
      <w:r>
        <w:t xml:space="preserve">as these are usually more certain and tangible than the benefits in the area of occupational safety and</w:t>
      </w:r>
      <w:r>
        <w:t xml:space="preserve"> </w:t>
      </w:r>
      <w:r>
        <w:t xml:space="preserve">health. Besides, important economic benefits like those linked to reputational risks and their impacts in</w:t>
      </w:r>
      <w:r>
        <w:t xml:space="preserve"> </w:t>
      </w:r>
      <w:r>
        <w:t xml:space="preserve">terms of business opportunities and the abilities to hire and retain skilled staff, could not be quantified.</w:t>
      </w:r>
      <w:r>
        <w:t xml:space="preserve"> </w:t>
      </w:r>
      <w:r>
        <w:t xml:space="preserve">The limitation of benefit calculations is particularly relevant for diisocyanates. The health benefits of</w:t>
      </w:r>
      <w:r>
        <w:t xml:space="preserve"> </w:t>
      </w:r>
      <w:r>
        <w:t xml:space="preserve">the STEL could not be calculated, and consequently, neither could the monetised benefits, which does</w:t>
      </w:r>
      <w:r>
        <w:t xml:space="preserve"> </w:t>
      </w:r>
      <w:r>
        <w:t xml:space="preserve">not allow for a full picture. Nevertheless, the preferred option was supported by the Employers’ Interest</w:t>
      </w:r>
      <w:r>
        <w:t xml:space="preserve"> </w:t>
      </w:r>
      <w:r>
        <w:t xml:space="preserve">Group of the ACSH, which suggests that the costs, although high, are bearable, and they would not</w:t>
      </w:r>
      <w:r>
        <w:t xml:space="preserve"> </w:t>
      </w:r>
      <w:r>
        <w:t xml:space="preserve">represent an insurmountable burden for businesses. Moreover, the costs are calculated for a total of 40</w:t>
      </w:r>
      <w:r>
        <w:t xml:space="preserve"> </w:t>
      </w:r>
      <w:r>
        <w:t xml:space="preserve">years, being therefore substantially lower when considered in annual terms. In addition, when the costs</w:t>
      </w:r>
      <w:r>
        <w:t xml:space="preserve"> </w:t>
      </w:r>
      <w:r>
        <w:t xml:space="preserve">are presented in relation to companies’ turnover, the preferred options both for lead and for</w:t>
      </w:r>
      <w:r>
        <w:t xml:space="preserve"> </w:t>
      </w:r>
      <w:r>
        <w:t xml:space="preserve">diisocyanates represent limited costs (e.g., less than 1% of turnover for companies working with lead).</w:t>
      </w:r>
      <w:r>
        <w:br/>
      </w:r>
      <w:r>
        <w:t xml:space="preserve">For diisocyanates, the preferred option includes a transitional measure to mitigate burdens and support</w:t>
      </w:r>
      <w:r>
        <w:t xml:space="preserve"> </w:t>
      </w:r>
      <w:r>
        <w:t xml:space="preserve">compliance which has been discussed and agreed by the relevant stakeholders, including in the opinion</w:t>
      </w:r>
      <w:r>
        <w:t xml:space="preserve"> </w:t>
      </w:r>
      <w:r>
        <w:t xml:space="preserve">of the ACSH. This transitional measure contributes to the proportionality of the preferred option by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ensuring a more appropriate period for businesses to adapt. While the preferred option for lead has the</w:t>
      </w:r>
      <w:r>
        <w:t xml:space="preserve"> </w:t>
      </w:r>
      <w:r>
        <w:t xml:space="preserve">support of employers and national governments represented within the ACSH, the preferred option for</w:t>
      </w:r>
      <w:r>
        <w:t xml:space="preserve"> </w:t>
      </w:r>
      <w:r>
        <w:t xml:space="preserve">diisocyanates is fully supported by all the interest groups within the same Committee. For</w:t>
      </w:r>
      <w:r>
        <w:t xml:space="preserve"> </w:t>
      </w:r>
      <w:r>
        <w:t xml:space="preserve">diisocyanates, since there are currently no EU limit values, all Member States will be affected by the</w:t>
      </w:r>
      <w:r>
        <w:t xml:space="preserve"> </w:t>
      </w:r>
      <w:r>
        <w:t xml:space="preserve">preferred option, although Member States with no limit values might be more affected than those with</w:t>
      </w:r>
      <w:r>
        <w:t xml:space="preserve"> </w:t>
      </w:r>
      <w:r>
        <w:t xml:space="preserve">limit values, even if these are higher than the preferred option. For lead, some Member States might be</w:t>
      </w:r>
      <w:r>
        <w:t xml:space="preserve"> </w:t>
      </w:r>
      <w:r>
        <w:t xml:space="preserve">particularly affected by the proposed options. Many of the sectors working with lead are particularly</w:t>
      </w:r>
      <w:r>
        <w:t xml:space="preserve"> </w:t>
      </w:r>
      <w:r>
        <w:t xml:space="preserve">present in France, Germany, Italy, Poland and Spain. Since, in addition to this, the current limit values</w:t>
      </w:r>
      <w:r>
        <w:t xml:space="preserve"> </w:t>
      </w:r>
      <w:r>
        <w:t xml:space="preserve">in those Member States are higher than the proposed option, it is likely that they be slightly more</w:t>
      </w:r>
      <w:r>
        <w:t xml:space="preserve"> </w:t>
      </w:r>
      <w:r>
        <w:t xml:space="preserve">affected. Furthermore, the preferred options offer a certain flexibility to Member States. In line with</w:t>
      </w:r>
      <w:r>
        <w:t xml:space="preserve"> </w:t>
      </w:r>
      <w:r>
        <w:t xml:space="preserve">Article 153(4) of the TFEU, setting OELs at EU level does not prevent Member States from</w:t>
      </w:r>
      <w:r>
        <w:t xml:space="preserve"> </w:t>
      </w:r>
      <w:r>
        <w:t xml:space="preserve">maintaining or introducing more stringent protective measures (i.e., lower limit values). However,</w:t>
      </w:r>
      <w:r>
        <w:t xml:space="preserve"> </w:t>
      </w:r>
      <w:r>
        <w:t xml:space="preserve">Member States cannot set higher limit values than the ones set in the annexes to the CAD and the</w:t>
      </w:r>
      <w:r>
        <w:t xml:space="preserve"> </w:t>
      </w:r>
      <w:r>
        <w:t xml:space="preserve">CMRD.</w:t>
      </w:r>
      <w:r>
        <w:br/>
      </w:r>
      <w:r>
        <w:t xml:space="preserve">Finally, regarding the simplification and the efficiency improvement of the existing legislation, the</w:t>
      </w:r>
      <w:r>
        <w:t xml:space="preserve"> </w:t>
      </w:r>
      <w:r>
        <w:t xml:space="preserve">preferred option per group of substances eliminates the need for Member States to conduct their own</w:t>
      </w:r>
      <w:r>
        <w:t xml:space="preserve"> </w:t>
      </w:r>
      <w:r>
        <w:t xml:space="preserve">scientific analysis to revise the OEL/BLV for lead or to introduce an OEL for diisocyanates. Employers</w:t>
      </w:r>
      <w:r>
        <w:t xml:space="preserve"> </w:t>
      </w:r>
      <w:r>
        <w:t xml:space="preserve">also benefit from the simplification in ensuring legal compliance, particularly those operating in</w:t>
      </w:r>
      <w:r>
        <w:t xml:space="preserve"> </w:t>
      </w:r>
      <w:r>
        <w:t xml:space="preserve">different Member States.</w:t>
      </w:r>
    </w:p>
    <w:p>
      <w:pPr>
        <w:pStyle w:val="Compact"/>
        <w:numPr>
          <w:ilvl w:val="0"/>
          <w:numId w:val="1010"/>
        </w:numPr>
      </w:pPr>
      <w:r>
        <w:t xml:space="preserve">HOW WILL ACTUAL IMPACTS BE MONITORED AND EVALUATED?</w:t>
      </w:r>
      <w:r>
        <w:t xml:space="preserve"> </w:t>
      </w:r>
      <w:r>
        <w:t xml:space="preserve">9.1 Monitoring arrangements</w:t>
      </w:r>
      <w:r>
        <w:t xml:space="preserve"> </w:t>
      </w:r>
      <w:r>
        <w:t xml:space="preserve">The table below presents the core indicators for each operational objective and the data sources for the</w:t>
      </w:r>
      <w:r>
        <w:t xml:space="preserve"> </w:t>
      </w:r>
      <w:r>
        <w:t xml:space="preserve">monitoring of the core indicators.</w:t>
      </w:r>
      <w:r>
        <w:t xml:space="preserve"> </w:t>
      </w:r>
      <w:r>
        <w:t xml:space="preserve">Table 16: Indicators and monitoring arrangements/data sources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Monitoring arrangements/data sources</w:t>
      </w:r>
      <w:r>
        <w:t xml:space="preserve"> </w:t>
      </w:r>
      <w:r>
        <w:t xml:space="preserve">for monitoring indicators</w:t>
      </w:r>
      <w:r>
        <w:t xml:space="preserve"> </w:t>
      </w:r>
      <w:r>
        <w:t xml:space="preserve">To</w:t>
      </w:r>
      <w:r>
        <w:t xml:space="preserve"> </w:t>
      </w:r>
      <w:r>
        <w:t xml:space="preserve">increase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 of the</w:t>
      </w:r>
      <w:r>
        <w:t xml:space="preserve"> </w:t>
      </w:r>
      <w:r>
        <w:t xml:space="preserve">CMRD and the CAD</w:t>
      </w:r>
      <w:r>
        <w:t xml:space="preserve"> </w:t>
      </w:r>
      <w:r>
        <w:t xml:space="preserve">(specific objectives 1</w:t>
      </w:r>
      <w:r>
        <w:t xml:space="preserve"> </w:t>
      </w:r>
      <w:r>
        <w:t xml:space="preserve">and 2).</w:t>
      </w:r>
      <w:r>
        <w:t xml:space="preserve"> </w:t>
      </w:r>
      <w:r>
        <w:t xml:space="preserve">The</w:t>
      </w:r>
      <w:r>
        <w:t xml:space="preserve"> </w:t>
      </w:r>
      <w:r>
        <w:t xml:space="preserve">reduction of</w:t>
      </w:r>
      <w:r>
        <w:t xml:space="preserve"> </w:t>
      </w:r>
      <w:r>
        <w:t xml:space="preserve">occupational</w:t>
      </w:r>
      <w:r>
        <w:t xml:space="preserve"> </w:t>
      </w:r>
      <w:r>
        <w:t xml:space="preserve">ill-health</w:t>
      </w:r>
      <w:r>
        <w:t xml:space="preserve"> </w:t>
      </w:r>
      <w:r>
        <w:t xml:space="preserve">in</w:t>
      </w:r>
      <w:r>
        <w:t xml:space="preserve"> </w:t>
      </w:r>
      <w:r>
        <w:t xml:space="preserve">the EU.</w:t>
      </w:r>
      <w:r>
        <w:t xml:space="preserve"> </w:t>
      </w:r>
      <w:r>
        <w:t xml:space="preserve">The number</w:t>
      </w:r>
      <w:r>
        <w:t xml:space="preserve"> </w:t>
      </w:r>
      <w:r>
        <w:t xml:space="preserve">of cases of</w:t>
      </w:r>
      <w:r>
        <w:t xml:space="preserve"> </w:t>
      </w:r>
      <w:r>
        <w:t xml:space="preserve">occupational</w:t>
      </w:r>
      <w:r>
        <w:t xml:space="preserve"> </w:t>
      </w:r>
      <w:r>
        <w:t xml:space="preserve">ill-health in</w:t>
      </w:r>
      <w:r>
        <w:t xml:space="preserve"> </w:t>
      </w:r>
      <w:r>
        <w:t xml:space="preserve">the EU.</w:t>
      </w:r>
      <w:r>
        <w:t xml:space="preserve"> </w:t>
      </w:r>
      <w:r>
        <w:t xml:space="preserve">The data sources for the monitoring of this</w:t>
      </w:r>
      <w:r>
        <w:t xml:space="preserve"> </w:t>
      </w:r>
      <w:r>
        <w:t xml:space="preserve">indicator are:</w:t>
      </w:r>
      <w:r>
        <w:br/>
      </w:r>
      <w:r>
        <w:t xml:space="preserve">Data</w:t>
      </w:r>
      <w:r>
        <w:t xml:space="preserve"> </w:t>
      </w:r>
      <w:r>
        <w:t xml:space="preserve">notified</w:t>
      </w:r>
      <w:r>
        <w:t xml:space="preserve"> </w:t>
      </w:r>
      <w:r>
        <w:t xml:space="preserve">by</w:t>
      </w:r>
      <w:r>
        <w:t xml:space="preserve"> </w:t>
      </w:r>
      <w:r>
        <w:t xml:space="preserve">employers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competent national authorities as regards</w:t>
      </w:r>
      <w:r>
        <w:t xml:space="preserve"> </w:t>
      </w:r>
      <w:r>
        <w:t xml:space="preserve">record keeping in accordance with national</w:t>
      </w:r>
      <w:r>
        <w:t xml:space="preserve"> </w:t>
      </w:r>
      <w:r>
        <w:t xml:space="preserve">law and/or practice as resulting from</w:t>
      </w:r>
      <w:r>
        <w:t xml:space="preserve"> </w:t>
      </w:r>
      <w:r>
        <w:t xml:space="preserve">occupational exposure to lead in accordance</w:t>
      </w:r>
      <w:r>
        <w:t xml:space="preserve"> </w:t>
      </w:r>
      <w:r>
        <w:t xml:space="preserve">with Art. 15, and which may be accessed by</w:t>
      </w:r>
      <w:r>
        <w:t xml:space="preserve"> </w:t>
      </w:r>
      <w:r>
        <w:t xml:space="preserve">the Commission in accordance with Article</w:t>
      </w:r>
      <w:r>
        <w:t xml:space="preserve"> </w:t>
      </w:r>
      <w:r>
        <w:t xml:space="preserve">18 of Directive 2004/37/EC;</w:t>
      </w:r>
    </w:p>
    <w:p>
      <w:pPr>
        <w:pStyle w:val="FirstParagraph"/>
      </w:pPr>
      <w:r>
        <w:t xml:space="preserve">Data submitted by Member States in the</w:t>
      </w:r>
      <w:r>
        <w:t xml:space="preserve"> </w:t>
      </w:r>
      <w:r>
        <w:t xml:space="preserve">national implementation reports on CAD</w:t>
      </w:r>
      <w:r>
        <w:t xml:space="preserve"> </w:t>
      </w:r>
      <w:r>
        <w:t xml:space="preserve">and CMRD on the implementation of the</w:t>
      </w:r>
      <w:r>
        <w:t xml:space="preserve"> </w:t>
      </w:r>
      <w:r>
        <w:t xml:space="preserve">directives, submitted in accordance with</w:t>
      </w:r>
      <w:r>
        <w:t xml:space="preserve"> </w:t>
      </w:r>
      <w:r>
        <w:t xml:space="preserve">Art. 17a of Directive 89/391/EEC. The next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evaluations will be for the periods 2018-</w:t>
      </w:r>
      <w:r>
        <w:t xml:space="preserve"> </w:t>
      </w:r>
      <w:r>
        <w:t xml:space="preserve">2022, 2023-2027 and 2028-2032.</w:t>
      </w:r>
      <w:r>
        <w:t xml:space="preserve"> </w:t>
      </w:r>
      <w:r>
        <w:t xml:space="preserve">To achieve a more</w:t>
      </w:r>
      <w:r>
        <w:t xml:space="preserve"> </w:t>
      </w:r>
      <w:r>
        <w:t xml:space="preserve">balanced</w:t>
      </w:r>
      <w:r>
        <w:t xml:space="preserve"> </w:t>
      </w:r>
      <w:r>
        <w:t xml:space="preserve">and</w:t>
      </w:r>
      <w:r>
        <w:t xml:space="preserve"> </w:t>
      </w:r>
      <w:r>
        <w:t xml:space="preserve">effective protection</w:t>
      </w:r>
      <w:r>
        <w:t xml:space="preserve"> </w:t>
      </w:r>
      <w:r>
        <w:t xml:space="preserve">of workers across the</w:t>
      </w:r>
      <w:r>
        <w:t xml:space="preserve"> </w:t>
      </w:r>
      <w:r>
        <w:t xml:space="preserve">EU against lead and</w:t>
      </w:r>
      <w:r>
        <w:t xml:space="preserve"> </w:t>
      </w:r>
      <w:r>
        <w:t xml:space="preserve">diisocyanates,</w:t>
      </w:r>
      <w:r>
        <w:t xml:space="preserve"> </w:t>
      </w:r>
      <w:r>
        <w:t xml:space="preserve">thereby contributing</w:t>
      </w:r>
      <w:r>
        <w:t xml:space="preserve"> </w:t>
      </w:r>
      <w:r>
        <w:t xml:space="preserve">to a reduction in 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occupational</w:t>
      </w:r>
      <w:r>
        <w:t xml:space="preserve"> </w:t>
      </w:r>
      <w:r>
        <w:t xml:space="preserve">ill-</w:t>
      </w:r>
      <w:r>
        <w:t xml:space="preserve"> </w:t>
      </w:r>
      <w:r>
        <w:t xml:space="preserve">health</w:t>
      </w:r>
      <w:r>
        <w:t xml:space="preserve"> </w:t>
      </w:r>
      <w:r>
        <w:t xml:space="preserve">(Specific</w:t>
      </w:r>
      <w:r>
        <w:t xml:space="preserve"> </w:t>
      </w:r>
      <w:r>
        <w:t xml:space="preserve">objective 3).</w:t>
      </w:r>
      <w:r>
        <w:t xml:space="preserve"> </w:t>
      </w:r>
      <w:r>
        <w:t xml:space="preserve">The</w:t>
      </w:r>
      <w:r>
        <w:t xml:space="preserve"> </w:t>
      </w:r>
      <w:r>
        <w:t xml:space="preserve">reduction of</w:t>
      </w:r>
      <w:r>
        <w:t xml:space="preserve"> </w:t>
      </w:r>
      <w:r>
        <w:t xml:space="preserve">costs related</w:t>
      </w:r>
      <w:r>
        <w:t xml:space="preserve"> </w:t>
      </w:r>
      <w:r>
        <w:t xml:space="preserve">to</w:t>
      </w:r>
      <w:r>
        <w:t xml:space="preserve"> </w:t>
      </w:r>
      <w:r>
        <w:t xml:space="preserve">occupational</w:t>
      </w:r>
      <w:r>
        <w:t xml:space="preserve"> </w:t>
      </w:r>
      <w:r>
        <w:t xml:space="preserve">ill-health for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 and</w:t>
      </w:r>
      <w:r>
        <w:t xml:space="preserve"> </w:t>
      </w:r>
      <w:r>
        <w:t xml:space="preserve">for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systems</w:t>
      </w:r>
      <w:r>
        <w:t xml:space="preserve"> </w:t>
      </w:r>
      <w:r>
        <w:t xml:space="preserve">in</w:t>
      </w:r>
      <w:r>
        <w:t xml:space="preserve"> </w:t>
      </w:r>
      <w:r>
        <w:t xml:space="preserve">the EU.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occupational</w:t>
      </w:r>
      <w:r>
        <w:t xml:space="preserve"> </w:t>
      </w:r>
      <w:r>
        <w:t xml:space="preserve">ill-health for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(e.g., loss of</w:t>
      </w:r>
      <w:r>
        <w:t xml:space="preserve"> </w:t>
      </w:r>
      <w:r>
        <w:t xml:space="preserve">productivity</w:t>
      </w:r>
      <w:r>
        <w:t xml:space="preserve"> </w:t>
      </w:r>
      <w:r>
        <w:t xml:space="preserve">) and 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systems</w:t>
      </w:r>
      <w:r>
        <w:t xml:space="preserve"> </w:t>
      </w:r>
      <w:r>
        <w:t xml:space="preserve">in</w:t>
      </w:r>
      <w:r>
        <w:t xml:space="preserve"> </w:t>
      </w:r>
      <w:r>
        <w:t xml:space="preserve">the EU.</w:t>
      </w:r>
      <w:r>
        <w:t xml:space="preserve"> </w:t>
      </w:r>
      <w:r>
        <w:t xml:space="preserve">The monitoring of this indicator would</w:t>
      </w:r>
      <w:r>
        <w:t xml:space="preserve"> </w:t>
      </w:r>
      <w:r>
        <w:t xml:space="preserve">require the comparison of the expected</w:t>
      </w:r>
      <w:r>
        <w:t xml:space="preserve"> </w:t>
      </w:r>
      <w:r>
        <w:t xml:space="preserve">figures on the burden of occupational ill-</w:t>
      </w:r>
      <w:r>
        <w:t xml:space="preserve"> </w:t>
      </w:r>
      <w:r>
        <w:t xml:space="preserve">health in terms of economic loss and health</w:t>
      </w:r>
      <w:r>
        <w:t xml:space="preserve"> </w:t>
      </w:r>
      <w:r>
        <w:t xml:space="preserve">care costs and the collected figures on these</w:t>
      </w:r>
      <w:r>
        <w:t xml:space="preserve"> </w:t>
      </w:r>
      <w:r>
        <w:t xml:space="preserve">matters after the adoption of the revision.</w:t>
      </w:r>
      <w:r>
        <w:t xml:space="preserve"> </w:t>
      </w:r>
      <w:r>
        <w:t xml:space="preserve">The productivity loss and health care costs</w:t>
      </w:r>
      <w:r>
        <w:t xml:space="preserve"> </w:t>
      </w:r>
      <w:r>
        <w:t xml:space="preserve">can be established on the basis of the data</w:t>
      </w:r>
      <w:r>
        <w:t xml:space="preserve"> </w:t>
      </w:r>
      <w:r>
        <w:t xml:space="preserve">on the number of cases of occupational ill-</w:t>
      </w:r>
      <w:r>
        <w:t xml:space="preserve"> </w:t>
      </w:r>
      <w:r>
        <w:t xml:space="preserve">health. The cases of occupational ill-health</w:t>
      </w:r>
      <w:r>
        <w:t xml:space="preserve"> </w:t>
      </w:r>
      <w:r>
        <w:t xml:space="preserve">accounted for should be those related to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lead</w:t>
      </w:r>
      <w:r>
        <w:t xml:space="preserve"> </w:t>
      </w:r>
      <w:r>
        <w:t xml:space="preserve">and</w:t>
      </w:r>
      <w:r>
        <w:t xml:space="preserve"> </w:t>
      </w:r>
      <w:r>
        <w:t xml:space="preserve">diisocyanates</w:t>
      </w:r>
      <w:r>
        <w:t xml:space="preserve"> </w:t>
      </w:r>
      <w:r>
        <w:t xml:space="preserve">respectively, for example, but not limited</w:t>
      </w:r>
      <w:r>
        <w:t xml:space="preserve"> </w:t>
      </w:r>
      <w:r>
        <w:t xml:space="preserve">to,</w:t>
      </w:r>
      <w:r>
        <w:t xml:space="preserve"> </w:t>
      </w:r>
      <w:r>
        <w:t xml:space="preserve">neurotoxicity,</w:t>
      </w:r>
      <w:r>
        <w:t xml:space="preserve"> </w:t>
      </w:r>
      <w:r>
        <w:t xml:space="preserve">renal</w:t>
      </w:r>
      <w:r>
        <w:t xml:space="preserve"> </w:t>
      </w:r>
      <w:r>
        <w:t xml:space="preserve">toxicity,</w:t>
      </w:r>
      <w:r>
        <w:t xml:space="preserve"> </w:t>
      </w:r>
      <w:r>
        <w:t xml:space="preserve">cardiovascular</w:t>
      </w:r>
      <w:r>
        <w:t xml:space="preserve"> </w:t>
      </w:r>
      <w:r>
        <w:t xml:space="preserve">effects,</w:t>
      </w:r>
      <w:r>
        <w:t xml:space="preserve"> </w:t>
      </w:r>
      <w:r>
        <w:t xml:space="preserve">haematological</w:t>
      </w:r>
      <w:r>
        <w:t xml:space="preserve"> </w:t>
      </w:r>
      <w:r>
        <w:t xml:space="preserve">effects and developmental toxicity in the</w:t>
      </w:r>
      <w:r>
        <w:t xml:space="preserve"> </w:t>
      </w:r>
      <w:r>
        <w:t xml:space="preserve">case of lead, and occupational asthma,</w:t>
      </w:r>
      <w:r>
        <w:t xml:space="preserve"> </w:t>
      </w:r>
      <w:r>
        <w:t xml:space="preserve">isocyanate</w:t>
      </w:r>
      <w:r>
        <w:t xml:space="preserve"> </w:t>
      </w:r>
      <w:r>
        <w:t xml:space="preserve">sensitisation,</w:t>
      </w:r>
      <w:r>
        <w:t xml:space="preserve"> </w:t>
      </w:r>
      <w:r>
        <w:t xml:space="preserve">bronchial</w:t>
      </w:r>
      <w:r>
        <w:t xml:space="preserve"> </w:t>
      </w:r>
      <w:r>
        <w:t xml:space="preserve">hyperresponsiveness,</w:t>
      </w:r>
      <w:r>
        <w:t xml:space="preserve"> </w:t>
      </w:r>
      <w:r>
        <w:t xml:space="preserve">and</w:t>
      </w:r>
      <w:r>
        <w:t xml:space="preserve"> </w:t>
      </w:r>
      <w:r>
        <w:t xml:space="preserve">dermal</w:t>
      </w:r>
      <w:r>
        <w:t xml:space="preserve"> </w:t>
      </w:r>
      <w:r>
        <w:t xml:space="preserve">occupational disease in the latter case.</w:t>
      </w:r>
    </w:p>
    <w:p>
      <w:pPr>
        <w:pStyle w:val="BodyText"/>
      </w:pPr>
      <w:r>
        <w:t xml:space="preserve">A two-stage compliance assessment (transposition and conformity checks) will be carried out by the</w:t>
      </w:r>
      <w:r>
        <w:t xml:space="preserve"> </w:t>
      </w:r>
      <w:r>
        <w:t xml:space="preserve">Commission for the transposition of the limit values. At workplace level, employers must ensure that</w:t>
      </w:r>
      <w:r>
        <w:t xml:space="preserve"> </w:t>
      </w:r>
      <w:r>
        <w:t xml:space="preserve">the exposure does not go above the limit values set out in the annexes to the CAD and the CMRD. The</w:t>
      </w:r>
      <w:r>
        <w:t xml:space="preserve"> </w:t>
      </w:r>
      <w:r>
        <w:t xml:space="preserve">monitoring of application and enforcement will be undertaken by national authorities, in particular the</w:t>
      </w:r>
      <w:r>
        <w:t xml:space="preserve"> </w:t>
      </w:r>
      <w:r>
        <w:t xml:space="preserve">national labour inspectorates. At EU level, the Committee of Senior Labour Inspectors (SLIC) informs</w:t>
      </w:r>
      <w:r>
        <w:t xml:space="preserve"> </w:t>
      </w:r>
      <w:r>
        <w:t xml:space="preserve">the Commission regarding problems relating to the enforcement of the two Directives.</w:t>
      </w:r>
      <w:r>
        <w:br/>
      </w:r>
      <w:r>
        <w:t xml:space="preserve">While collection of reliable data in this area is complex, the Commission and EU-OSHA are actively</w:t>
      </w:r>
      <w:r>
        <w:t xml:space="preserve"> </w:t>
      </w:r>
      <w:r>
        <w:t xml:space="preserve">working on improving data quality and availability so that the actual impacts of the proposed initiative</w:t>
      </w:r>
      <w:r>
        <w:t xml:space="preserve"> </w:t>
      </w:r>
      <w:r>
        <w:t xml:space="preserve">could be measured in a more accurate way and additional indicators could be developed in the future.</w:t>
      </w:r>
      <w:r>
        <w:t xml:space="preserve"> </w:t>
      </w:r>
      <w:r>
        <w:t xml:space="preserve">Legislative action needs to be followed up through effective implementation at the workplace.</w:t>
      </w:r>
      <w:r>
        <w:t xml:space="preserve"> </w:t>
      </w:r>
      <w:r>
        <w:t xml:space="preserve">Companies have a broad range of tools, information and good practices provided by EU-OSHA in the</w:t>
      </w:r>
      <w:r>
        <w:t xml:space="preserve"> </w:t>
      </w:r>
      <w:r>
        <w:t xml:space="preserve">context of a Healthy Workplaces Campaign on dangerous substances87.</w:t>
      </w:r>
    </w:p>
    <w:p>
      <w:pPr>
        <w:pStyle w:val="BodyText"/>
      </w:pPr>
      <w:r>
        <w:t xml:space="preserve">87 The campaign pursued several objectives, including raising awareness on the importance of preventing risks</w:t>
      </w:r>
      <w:r>
        <w:t xml:space="preserve"> </w:t>
      </w:r>
      <w:r>
        <w:t xml:space="preserve">from dangerous substances, promoting risk assessment, heightening awareness of risks to exposure to carcinogens</w:t>
      </w:r>
      <w:r>
        <w:t xml:space="preserve"> </w:t>
      </w:r>
      <w:r>
        <w:t xml:space="preserve">at work or increasing knowledge of the legislative framework. It was carried out in 2018-2019.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9.2 Evaluation arrangements</w:t>
      </w:r>
      <w:r>
        <w:t xml:space="preserve"> </w:t>
      </w:r>
      <w:r>
        <w:t xml:space="preserve">In accordance with Article 17a of Directive 89/391/EEC, every five years, Member States are required</w:t>
      </w:r>
      <w:r>
        <w:t xml:space="preserve"> </w:t>
      </w:r>
      <w:r>
        <w:t xml:space="preserve">to submit a report to the Commission on the practical implementation of the EU OSH directives,</w:t>
      </w:r>
      <w:r>
        <w:t xml:space="preserve"> </w:t>
      </w:r>
      <w:r>
        <w:t xml:space="preserve">including Directive 98/24/EC and Directive 2004/37/EC. Using these reports as a basis, the</w:t>
      </w:r>
      <w:r>
        <w:t xml:space="preserve"> </w:t>
      </w:r>
      <w:r>
        <w:t xml:space="preserve">Commission is required to evaluate the implementation of the directives and, to inform the European</w:t>
      </w:r>
      <w:r>
        <w:t xml:space="preserve"> </w:t>
      </w:r>
      <w:r>
        <w:t xml:space="preserve">Parliament, the Council, the European Economic and Social Committee and the ACSH of the results of</w:t>
      </w:r>
      <w:r>
        <w:t xml:space="preserve"> </w:t>
      </w:r>
      <w:r>
        <w:t xml:space="preserve">this evaluation and, if necessary, of any initiatives to improve the operation of the regulatory</w:t>
      </w:r>
      <w:r>
        <w:t xml:space="preserve"> </w:t>
      </w:r>
      <w:r>
        <w:t xml:space="preserve">framework. The next evaluations will be for the periods 2018-2022, 2023-2027 and 2028-2032.</w:t>
      </w:r>
      <w:r>
        <w:br/>
      </w:r>
      <w:r>
        <w:t xml:space="preserve">A key indicator to evaluate the implementation of the EU OSH Directives, and therefore the CAD and</w:t>
      </w:r>
      <w:r>
        <w:t xml:space="preserve"> </w:t>
      </w:r>
      <w:r>
        <w:t xml:space="preserve">the CMRD, is the full and correct transposition by the Member States. On the one hand, Member States</w:t>
      </w:r>
      <w:r>
        <w:t xml:space="preserve"> </w:t>
      </w:r>
      <w:r>
        <w:t xml:space="preserve">should notify the Commission of their transposition of EU Directives into national legislation. Where</w:t>
      </w:r>
      <w:r>
        <w:t xml:space="preserve"> </w:t>
      </w:r>
      <w:r>
        <w:t xml:space="preserve">they fail to do so (non-communication), do it only partially (partial communication), and/or fail to fully</w:t>
      </w:r>
      <w:r>
        <w:t xml:space="preserve"> </w:t>
      </w:r>
      <w:r>
        <w:t xml:space="preserve">transpose the Directive in an accurate and correct manner, the Commission can launch infringement</w:t>
      </w:r>
      <w:r>
        <w:t xml:space="preserve"> </w:t>
      </w:r>
      <w:r>
        <w:t xml:space="preserve">procedures.</w:t>
      </w:r>
      <w:r>
        <w:br/>
      </w:r>
      <w:r>
        <w:t xml:space="preserve">Until recently the number of binding limit values under CAD and CMRD was limited, and the above</w:t>
      </w:r>
      <w:r>
        <w:t xml:space="preserve"> </w:t>
      </w:r>
      <w:r>
        <w:t xml:space="preserve">evaluations tended not to address specific chemicals and instead had a focus on the general</w:t>
      </w:r>
      <w:r>
        <w:t xml:space="preserve"> </w:t>
      </w:r>
      <w:r>
        <w:t xml:space="preserve">requirements of the directives. Following successive legislative updates, there is now a significant</w:t>
      </w:r>
      <w:r>
        <w:t xml:space="preserve"> </w:t>
      </w:r>
      <w:r>
        <w:t xml:space="preserve">number of limit values. Therefore, for future evaluations under Article 17a of Directive 89/391/EEC, it</w:t>
      </w:r>
      <w:r>
        <w:t xml:space="preserve"> </w:t>
      </w:r>
      <w:r>
        <w:t xml:space="preserve">will be appropriate to consider developing a range of indicators to enable an assessment of the practical</w:t>
      </w:r>
      <w:r>
        <w:t xml:space="preserve"> </w:t>
      </w:r>
      <w:r>
        <w:t xml:space="preserve">implementation of the substance-specific limit values to be carried out in the future, together with a</w:t>
      </w:r>
      <w:r>
        <w:t xml:space="preserve"> </w:t>
      </w:r>
      <w:r>
        <w:t xml:space="preserve">continuation of the current practice of evaluating the general requirements of the directives.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DG: Directorate-General Employment, Social Affairs and Inclusion, Unit C2 - Health and Safety</w:t>
      </w:r>
      <w:r>
        <w:t xml:space="preserve"> </w:t>
      </w:r>
      <w:r>
        <w:t xml:space="preserve">at Work, EU-OSHA.</w:t>
      </w:r>
      <w:r>
        <w:br/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 first consultation of the Occupational Safety and Health Inter-service Steering Group (OSH ISG) on</w:t>
      </w:r>
      <w:r>
        <w:t xml:space="preserve"> </w:t>
      </w:r>
      <w:r>
        <w:t xml:space="preserve">the draft Impact Assessment Report (IAR) was launched on 7 March 2022 with a meeting scheduled for</w:t>
      </w:r>
      <w:r>
        <w:t xml:space="preserve"> </w:t>
      </w:r>
      <w:r>
        <w:t xml:space="preserve">10 March 2022. 12 services (SG, SJ, BUDG, GROW, ENER, ENV, RTD, CNECT, EAC, SANTE,</w:t>
      </w:r>
      <w:r>
        <w:t xml:space="preserve"> </w:t>
      </w:r>
      <w:r>
        <w:t xml:space="preserve">JUST, ESTAT) as well as EU-OSHA were consulted and invited to participate in the meeting. Most of</w:t>
      </w:r>
      <w:r>
        <w:t xml:space="preserve"> </w:t>
      </w:r>
      <w:r>
        <w:t xml:space="preserve">the comments provided by the services were addressed in the revised draft IAR.</w:t>
      </w:r>
      <w:r>
        <w:t xml:space="preserve"> </w:t>
      </w:r>
      <w:r>
        <w:t xml:space="preserve">A second consultation of the ISG on the revised draft IAR was launched on 29 June 2022 with a second</w:t>
      </w:r>
      <w:r>
        <w:t xml:space="preserve"> </w:t>
      </w:r>
      <w:r>
        <w:t xml:space="preserve">meeting scheduled on 6 July 2022. This second consultation was carried out with the same services as</w:t>
      </w:r>
      <w:r>
        <w:t xml:space="preserve"> </w:t>
      </w:r>
      <w:r>
        <w:t xml:space="preserve">for the first consultation. DG EMPL took most of these comments into consideration in the revised</w:t>
      </w:r>
      <w:r>
        <w:t xml:space="preserve"> </w:t>
      </w:r>
      <w:r>
        <w:t xml:space="preserve">version of the draft IAR.</w:t>
      </w:r>
      <w:r>
        <w:br/>
      </w:r>
      <w:r>
        <w:t xml:space="preserve">A third consultation of the ISG, on the legislative proposal, was launched on 19 October 2022, with a</w:t>
      </w:r>
      <w:r>
        <w:t xml:space="preserve"> </w:t>
      </w:r>
      <w:r>
        <w:t xml:space="preserve">meeting scheduled on 24 October 2022. DG EMPL took the comments into consideration in the revised</w:t>
      </w:r>
      <w:r>
        <w:t xml:space="preserve"> </w:t>
      </w:r>
      <w:r>
        <w:t xml:space="preserve">version of the legislative proposal.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draft IAR for this initiative was submitted to the RSB on 14 September 2022 and the meeting with</w:t>
      </w:r>
      <w:r>
        <w:t xml:space="preserve"> </w:t>
      </w:r>
      <w:r>
        <w:t xml:space="preserve">the RSB took place on 12 October 2022. Following this meeting, the RSB gave a positive opinion with</w:t>
      </w:r>
      <w:r>
        <w:t xml:space="preserve"> </w:t>
      </w:r>
      <w:r>
        <w:t xml:space="preserve">reservations on 14 October 2022.</w:t>
      </w:r>
      <w:r>
        <w:br/>
      </w:r>
      <w:r>
        <w:t xml:space="preserve">The table below summarises the RSB comments as well as the revisions introduced in response to them:</w:t>
      </w:r>
      <w:r>
        <w:br/>
      </w:r>
      <w:r>
        <w:t xml:space="preserve">Table 1: RSB comments and corresponding changes</w:t>
      </w:r>
      <w:r>
        <w:t xml:space="preserve"> </w:t>
      </w:r>
      <w:r>
        <w:t xml:space="preserve">RSB opinion’s comments</w:t>
      </w:r>
      <w:r>
        <w:t xml:space="preserve"> </w:t>
      </w:r>
      <w:r>
        <w:t xml:space="preserve">Corresponding changes to the draft IAR</w:t>
      </w:r>
      <w:r>
        <w:t xml:space="preserve"> </w:t>
      </w:r>
      <w:r>
        <w:t xml:space="preserve">The report should address upfront the coherence</w:t>
      </w:r>
      <w:r>
        <w:t xml:space="preserve"> </w:t>
      </w:r>
      <w:r>
        <w:t xml:space="preserve">of the initiative with the REACH Restriction</w:t>
      </w:r>
      <w:r>
        <w:t xml:space="preserve"> </w:t>
      </w:r>
      <w:r>
        <w:t xml:space="preserve">Regulation (Regulation (EU) 2020/1149) on</w:t>
      </w:r>
      <w:r>
        <w:t xml:space="preserve"> </w:t>
      </w:r>
      <w:r>
        <w:t xml:space="preserve">diisocyanates and the need to act now given their</w:t>
      </w:r>
      <w:r>
        <w:t xml:space="preserve"> </w:t>
      </w:r>
      <w:r>
        <w:t xml:space="preserve">similar objectives and the REACH Restriction</w:t>
      </w:r>
      <w:r>
        <w:t xml:space="preserve"> </w:t>
      </w:r>
      <w:r>
        <w:t xml:space="preserve">Regulation’s imminent entry into force in 2023.</w:t>
      </w:r>
      <w:r>
        <w:br/>
      </w:r>
      <w:r>
        <w:t xml:space="preserve">The revised report includes a more nuanced</w:t>
      </w:r>
      <w:r>
        <w:t xml:space="preserve"> </w:t>
      </w:r>
      <w:r>
        <w:t xml:space="preserve">reflection on the complementary benefits of the</w:t>
      </w:r>
      <w:r>
        <w:t xml:space="preserve"> </w:t>
      </w:r>
      <w:r>
        <w:t xml:space="preserve">introduction of limit values for diisocyanates and</w:t>
      </w:r>
      <w:r>
        <w:t xml:space="preserve"> </w:t>
      </w:r>
      <w:r>
        <w:t xml:space="preserve">the recently adopted restriction under REACH that</w:t>
      </w:r>
      <w:r>
        <w:t xml:space="preserve"> </w:t>
      </w:r>
      <w:r>
        <w:t xml:space="preserve">requires the mandatory training of workers who</w:t>
      </w:r>
      <w:r>
        <w:t xml:space="preserve"> </w:t>
      </w:r>
      <w:r>
        <w:t xml:space="preserve">may be exposed to diisocyanates. It explains that</w:t>
      </w:r>
      <w:r>
        <w:t xml:space="preserve"> </w:t>
      </w:r>
      <w:r>
        <w:t xml:space="preserve">this contributes to the common aim of OSH and</w:t>
      </w:r>
      <w:r>
        <w:t xml:space="preserve"> </w:t>
      </w:r>
      <w:r>
        <w:t xml:space="preserve">REACH to replace harmful chemicals by less</w:t>
      </w:r>
      <w:r>
        <w:t xml:space="preserve"> </w:t>
      </w:r>
      <w:r>
        <w:t xml:space="preserve">harmful ones. This is discussed in the introduction</w:t>
      </w:r>
      <w:r>
        <w:t xml:space="preserve"> </w:t>
      </w:r>
      <w:r>
        <w:t xml:space="preserve">and in section 2.2.3.2.</w:t>
      </w:r>
      <w:r>
        <w:t xml:space="preserve"> </w:t>
      </w:r>
      <w:r>
        <w:t xml:space="preserve">It should be clear about the relevance of the 2017</w:t>
      </w:r>
      <w:r>
        <w:t xml:space="preserve"> </w:t>
      </w:r>
      <w:r>
        <w:t xml:space="preserve">ex-post evaluation of the EU Occupational Safety</w:t>
      </w:r>
      <w:r>
        <w:t xml:space="preserve"> </w:t>
      </w:r>
      <w:r>
        <w:t xml:space="preserve">and Health Directives including the Chemical</w:t>
      </w:r>
      <w:r>
        <w:t xml:space="preserve"> </w:t>
      </w:r>
      <w:r>
        <w:t xml:space="preserve">Agents Directive and Carcinogens and Mutagens</w:t>
      </w:r>
      <w:r>
        <w:t xml:space="preserve"> </w:t>
      </w:r>
      <w:r>
        <w:t xml:space="preserve">Directive.</w:t>
      </w:r>
      <w:r>
        <w:t xml:space="preserve"> </w:t>
      </w:r>
      <w:r>
        <w:t xml:space="preserve">The revised report better explains that the 2017</w:t>
      </w:r>
      <w:r>
        <w:t xml:space="preserve"> </w:t>
      </w:r>
      <w:r>
        <w:t xml:space="preserve">ex-post evaluation identified the main issues</w:t>
      </w:r>
      <w:r>
        <w:t xml:space="preserve"> </w:t>
      </w:r>
      <w:r>
        <w:t xml:space="preserve">concerning the effectiveness and relevance of the</w:t>
      </w:r>
      <w:r>
        <w:t xml:space="preserve"> </w:t>
      </w:r>
      <w:r>
        <w:t xml:space="preserve">CAD and the (then) CMD, but that it did not</w:t>
      </w:r>
      <w:r>
        <w:t xml:space="preserve"> </w:t>
      </w:r>
      <w:r>
        <w:t xml:space="preserve">provide sufficient quantitative data (Section 2.1).</w:t>
      </w:r>
      <w:r>
        <w:br/>
      </w:r>
      <w:r>
        <w:t xml:space="preserve">For lead, the initiative’s potential contribution to The revised report clarifies in section 4.3.5 that,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the Europe’s Beating Cancer plan should be</w:t>
      </w:r>
      <w:r>
        <w:t xml:space="preserve"> </w:t>
      </w:r>
      <w:r>
        <w:t xml:space="preserve">qualified based on current scientific knowledge.</w:t>
      </w:r>
      <w:r>
        <w:t xml:space="preserve"> </w:t>
      </w:r>
      <w:r>
        <w:t xml:space="preserve">although the main adverse health effects resulting</w:t>
      </w:r>
      <w:r>
        <w:t xml:space="preserve"> </w:t>
      </w:r>
      <w:r>
        <w:t xml:space="preserve">from exposure to lead are on reproductive health,</w:t>
      </w:r>
      <w:r>
        <w:t xml:space="preserve"> </w:t>
      </w:r>
      <w:r>
        <w:t xml:space="preserve">in rare cases it could cause cancer, which a</w:t>
      </w:r>
      <w:r>
        <w:t xml:space="preserve"> </w:t>
      </w:r>
      <w:r>
        <w:t xml:space="preserve">reduction of limit values could further prevent.</w:t>
      </w:r>
      <w:r>
        <w:br/>
      </w:r>
      <w:r>
        <w:t xml:space="preserve">The report should better present the dynamic</w:t>
      </w:r>
      <w:r>
        <w:t xml:space="preserve"> </w:t>
      </w:r>
      <w:r>
        <w:t xml:space="preserve">baseline. It should be more transparent on the data</w:t>
      </w:r>
      <w:r>
        <w:t xml:space="preserve"> </w:t>
      </w:r>
      <w:r>
        <w:t xml:space="preserve">used for lead regarding exposed workers and</w:t>
      </w:r>
      <w:r>
        <w:t xml:space="preserve"> </w:t>
      </w:r>
      <w:r>
        <w:t xml:space="preserve">concentrations and clarify the baseline assumption</w:t>
      </w:r>
      <w:r>
        <w:t xml:space="preserve"> </w:t>
      </w:r>
      <w:r>
        <w:t xml:space="preserve">that exposure concentrations in lead will remain</w:t>
      </w:r>
      <w:r>
        <w:t xml:space="preserve"> </w:t>
      </w:r>
      <w:r>
        <w:t xml:space="preserve">stable. It should better describe how the main</w:t>
      </w:r>
      <w:r>
        <w:t xml:space="preserve"> </w:t>
      </w:r>
      <w:r>
        <w:t xml:space="preserve">markets using the two substances will be impacted</w:t>
      </w:r>
      <w:r>
        <w:t xml:space="preserve"> </w:t>
      </w:r>
      <w:r>
        <w:t xml:space="preserve">by the EU Green Deal and the consequent</w:t>
      </w:r>
      <w:r>
        <w:t xml:space="preserve"> </w:t>
      </w:r>
      <w:r>
        <w:t xml:space="preserve">electrification of transport, phasing out of internal</w:t>
      </w:r>
      <w:r>
        <w:t xml:space="preserve"> </w:t>
      </w:r>
      <w:r>
        <w:t xml:space="preserve">combustion engines, and overall use of greener</w:t>
      </w:r>
      <w:r>
        <w:t xml:space="preserve"> </w:t>
      </w:r>
      <w:r>
        <w:t xml:space="preserve">and safer materials. For di-isocyanates the report</w:t>
      </w:r>
      <w:r>
        <w:t xml:space="preserve"> </w:t>
      </w:r>
      <w:r>
        <w:t xml:space="preserve">should provide evidence supporting a growing</w:t>
      </w:r>
      <w:r>
        <w:t xml:space="preserve"> </w:t>
      </w:r>
      <w:r>
        <w:t xml:space="preserve">demand. The report should explain to what extent</w:t>
      </w:r>
      <w:r>
        <w:t xml:space="preserve"> </w:t>
      </w:r>
      <w:r>
        <w:t xml:space="preserve">the trend to automate industrial processes and its</w:t>
      </w:r>
      <w:r>
        <w:t xml:space="preserve"> </w:t>
      </w:r>
      <w:r>
        <w:t xml:space="preserve">consequence of reducing the exposure of workers</w:t>
      </w:r>
      <w:r>
        <w:t xml:space="preserve"> </w:t>
      </w:r>
      <w:r>
        <w:t xml:space="preserve">would affect the estimated future disease burden</w:t>
      </w:r>
      <w:r>
        <w:t xml:space="preserve"> </w:t>
      </w:r>
      <w:r>
        <w:t xml:space="preserve">and how these trends have been factored in the</w:t>
      </w:r>
      <w:r>
        <w:t xml:space="preserve"> </w:t>
      </w:r>
      <w:r>
        <w:t xml:space="preserve">dynamic baseline.</w:t>
      </w:r>
      <w:r>
        <w:t xml:space="preserve"> </w:t>
      </w:r>
      <w:r>
        <w:t xml:space="preserve">The revised report provides the sources of the data</w:t>
      </w:r>
      <w:r>
        <w:t xml:space="preserve"> </w:t>
      </w:r>
      <w:r>
        <w:t xml:space="preserve">used to determine the baseline scenario (Section</w:t>
      </w:r>
      <w:r>
        <w:t xml:space="preserve"> </w:t>
      </w:r>
      <w:r>
        <w:t xml:space="preserve">5.2). It also better explains how industry</w:t>
      </w:r>
      <w:r>
        <w:t xml:space="preserve"> </w:t>
      </w:r>
      <w:r>
        <w:t xml:space="preserve">developments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automatisation)</w:t>
      </w:r>
      <w:r>
        <w:t xml:space="preserve"> </w:t>
      </w:r>
      <w:r>
        <w:t xml:space="preserve">are</w:t>
      </w:r>
      <w:r>
        <w:t xml:space="preserve"> </w:t>
      </w:r>
      <w:r>
        <w:t xml:space="preserve">factored into it. The revised text also reflects on</w:t>
      </w:r>
      <w:r>
        <w:t xml:space="preserve"> </w:t>
      </w:r>
      <w:r>
        <w:t xml:space="preserve">the impact of the Green Deal and the Renovation</w:t>
      </w:r>
      <w:r>
        <w:t xml:space="preserve"> </w:t>
      </w:r>
      <w:r>
        <w:t xml:space="preserve">Wave.</w:t>
      </w:r>
      <w:r>
        <w:t xml:space="preserve"> </w:t>
      </w:r>
      <w:r>
        <w:t xml:space="preserve">The report should explain why the option of a</w:t>
      </w:r>
      <w:r>
        <w:t xml:space="preserve"> </w:t>
      </w:r>
      <w:r>
        <w:t xml:space="preserve">phasing out of the use of lead is not considered</w:t>
      </w:r>
      <w:r>
        <w:t xml:space="preserve"> </w:t>
      </w:r>
      <w:r>
        <w:t xml:space="preserve">given that lead is already banned in some Member</w:t>
      </w:r>
      <w:r>
        <w:t xml:space="preserve"> </w:t>
      </w:r>
      <w:r>
        <w:t xml:space="preserve">States and alternatives exist.</w:t>
      </w:r>
      <w:r>
        <w:t xml:space="preserve"> </w:t>
      </w:r>
      <w:r>
        <w:t xml:space="preserve">Under section 5.3 (options discarded at an early</w:t>
      </w:r>
      <w:r>
        <w:t xml:space="preserve"> </w:t>
      </w:r>
      <w:r>
        <w:t xml:space="preserve">stage), the revised report includes a new section</w:t>
      </w:r>
      <w:r>
        <w:t xml:space="preserve"> </w:t>
      </w:r>
      <w:r>
        <w:t xml:space="preserve">(5.3.1) on the phasing out of the use of lead. It</w:t>
      </w:r>
      <w:r>
        <w:t xml:space="preserve"> </w:t>
      </w:r>
      <w:r>
        <w:t xml:space="preserve">explains in detail why it was not considered a</w:t>
      </w:r>
      <w:r>
        <w:t xml:space="preserve"> </w:t>
      </w:r>
      <w:r>
        <w:t xml:space="preserve">realistic policy option, as lead remains necessary</w:t>
      </w:r>
      <w:r>
        <w:t xml:space="preserve"> </w:t>
      </w:r>
      <w:r>
        <w:t xml:space="preserve">for a number of critical purposes in a range of</w:t>
      </w:r>
      <w:r>
        <w:t xml:space="preserve"> </w:t>
      </w:r>
      <w:r>
        <w:t xml:space="preserve">sectors including construction activities and in</w:t>
      </w:r>
      <w:r>
        <w:t xml:space="preserve"> </w:t>
      </w:r>
      <w:r>
        <w:t xml:space="preserve">batteries for fossil fuel and electric vehicles.</w:t>
      </w:r>
      <w:r>
        <w:t xml:space="preserve"> </w:t>
      </w:r>
      <w:r>
        <w:t xml:space="preserve">Besides, it clarifies that the CMRD does not allow</w:t>
      </w:r>
      <w:r>
        <w:t xml:space="preserve"> </w:t>
      </w:r>
      <w:r>
        <w:t xml:space="preserve">for banning the use of substances and reflects on</w:t>
      </w:r>
      <w:r>
        <w:t xml:space="preserve"> </w:t>
      </w:r>
      <w:r>
        <w:t xml:space="preserve">the lack of benefits that a ban on lead would have</w:t>
      </w:r>
      <w:r>
        <w:t xml:space="preserve"> </w:t>
      </w:r>
      <w:r>
        <w:t xml:space="preserve">on workers who are exposed to materials for</w:t>
      </w:r>
      <w:r>
        <w:t xml:space="preserve"> </w:t>
      </w:r>
      <w:r>
        <w:t xml:space="preserve">which lead was used in the past.</w:t>
      </w:r>
      <w:r>
        <w:br/>
      </w:r>
      <w:r>
        <w:t xml:space="preserve">The report should better describe all relevant</w:t>
      </w:r>
      <w:r>
        <w:t xml:space="preserve"> </w:t>
      </w:r>
      <w:r>
        <w:t xml:space="preserve">(quantified and not-quantified) costs and benefits</w:t>
      </w:r>
      <w:r>
        <w:t xml:space="preserve"> </w:t>
      </w:r>
      <w:r>
        <w:t xml:space="preserve">and classify them correctly for the purpose of the</w:t>
      </w:r>
      <w:r>
        <w:t xml:space="preserve"> </w:t>
      </w:r>
      <w:r>
        <w:t xml:space="preserve">One In, One Out approach. It should better explain</w:t>
      </w:r>
      <w:r>
        <w:t xml:space="preserve"> </w:t>
      </w:r>
      <w:r>
        <w:t xml:space="preserve">why the benefits for the two options on di-</w:t>
      </w:r>
      <w:r>
        <w:t xml:space="preserve"> </w:t>
      </w:r>
      <w:r>
        <w:t xml:space="preserve">isocyanates (including the preferred one) are not</w:t>
      </w:r>
      <w:r>
        <w:t xml:space="preserve"> </w:t>
      </w:r>
      <w:r>
        <w:t xml:space="preserve">estimated. It should better justify the absence of</w:t>
      </w:r>
      <w:r>
        <w:t xml:space="preserve"> </w:t>
      </w:r>
      <w:r>
        <w:t xml:space="preserve">enforcement and notification costs.</w:t>
      </w:r>
      <w:r>
        <w:t xml:space="preserve"> </w:t>
      </w:r>
      <w:r>
        <w:t xml:space="preserve">A more balanced analysis of the quantifiable and</w:t>
      </w:r>
      <w:r>
        <w:t xml:space="preserve"> </w:t>
      </w:r>
      <w:r>
        <w:t xml:space="preserve">non-quantifiable costs is provided throughout the</w:t>
      </w:r>
      <w:r>
        <w:t xml:space="preserve"> </w:t>
      </w:r>
      <w:r>
        <w:t xml:space="preserve">report, and the analysis of the one in one out</w:t>
      </w:r>
      <w:r>
        <w:t xml:space="preserve"> </w:t>
      </w:r>
      <w:r>
        <w:t xml:space="preserve">approach is reinforced in section 6.9.</w:t>
      </w:r>
      <w:r>
        <w:br/>
      </w:r>
      <w:r>
        <w:t xml:space="preserve">It also explains the methodological limitations that</w:t>
      </w:r>
      <w:r>
        <w:t xml:space="preserve"> </w:t>
      </w:r>
      <w:r>
        <w:t xml:space="preserve">do not allow for an estimation of the benefits for</w:t>
      </w:r>
      <w:r>
        <w:t xml:space="preserve"> </w:t>
      </w:r>
      <w:r>
        <w:t xml:space="preserve">diisocyanates (sections 5.4.2 and 6.1)</w:t>
      </w:r>
      <w:r>
        <w:t xml:space="preserve"> </w:t>
      </w:r>
      <w:r>
        <w:t xml:space="preserve">The absence of additional enforcement and</w:t>
      </w:r>
      <w:r>
        <w:t xml:space="preserve"> </w:t>
      </w:r>
      <w:r>
        <w:t xml:space="preserve">notification costs is explained in sections 6.3.4 and</w:t>
      </w:r>
      <w:r>
        <w:t xml:space="preserve"> </w:t>
      </w:r>
      <w:r>
        <w:t xml:space="preserve">6.8.</w:t>
      </w:r>
      <w:r>
        <w:t xml:space="preserve"> </w:t>
      </w:r>
      <w:r>
        <w:t xml:space="preserve">The report should provide further details on the</w:t>
      </w:r>
      <w:r>
        <w:t xml:space="preserve"> </w:t>
      </w:r>
      <w:r>
        <w:t xml:space="preserve">methodological limitations and uncertainties and</w:t>
      </w:r>
      <w:r>
        <w:t xml:space="preserve"> </w:t>
      </w:r>
      <w:r>
        <w:t xml:space="preserve">explain how they affect the calculations.</w:t>
      </w:r>
      <w:r>
        <w:t xml:space="preserve"> </w:t>
      </w:r>
      <w:r>
        <w:t xml:space="preserve">Section 6.1 on the analytical methodology and</w:t>
      </w:r>
      <w:r>
        <w:t xml:space="preserve"> </w:t>
      </w:r>
      <w:r>
        <w:t xml:space="preserve">Annex 4 in the revised report include a detailed</w:t>
      </w:r>
      <w:r>
        <w:t xml:space="preserve"> </w:t>
      </w:r>
      <w:r>
        <w:t xml:space="preserve">explanation of the data limitations and of the</w:t>
      </w:r>
      <w:r>
        <w:t xml:space="preserve"> </w:t>
      </w:r>
      <w:r>
        <w:t xml:space="preserve">sensitivity analysis that was carried out. Especially</w:t>
      </w:r>
      <w:r>
        <w:t xml:space="preserve"> </w:t>
      </w:r>
      <w:r>
        <w:t xml:space="preserve">for diisocyanates, it explains how the lack of</w:t>
      </w:r>
      <w:r>
        <w:t xml:space="preserve"> </w:t>
      </w:r>
      <w:r>
        <w:t xml:space="preserve">scientific data related to the exposure-risk</w:t>
      </w:r>
      <w:r>
        <w:t xml:space="preserve"> </w:t>
      </w:r>
      <w:r>
        <w:t xml:space="preserve">relationship limits the estimation of ill-health</w:t>
      </w:r>
      <w:r>
        <w:t xml:space="preserve"> </w:t>
      </w:r>
      <w:r>
        <w:t xml:space="preserve">cases, and how this affects the cost benefit</w:t>
      </w:r>
      <w:r>
        <w:t xml:space="preserve"> </w:t>
      </w:r>
      <w:r>
        <w:t xml:space="preserve">calculations.</w:t>
      </w:r>
      <w:r>
        <w:br/>
      </w:r>
      <w:r>
        <w:t xml:space="preserve">In particular, it should provide further details on Further details on the estimation of companies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how the number of companies discontinuing</w:t>
      </w:r>
      <w:r>
        <w:t xml:space="preserve"> </w:t>
      </w:r>
      <w:r>
        <w:t xml:space="preserve">activities is estimated.</w:t>
      </w:r>
      <w:r>
        <w:t xml:space="preserve"> </w:t>
      </w:r>
      <w:r>
        <w:t xml:space="preserve">discontinuing their activities are provided in</w:t>
      </w:r>
      <w:r>
        <w:t xml:space="preserve"> </w:t>
      </w:r>
      <w:r>
        <w:t xml:space="preserve">section 6.3.2.</w:t>
      </w:r>
      <w:r>
        <w:t xml:space="preserve"> </w:t>
      </w:r>
      <w:r>
        <w:t xml:space="preserve">It should also consider, at least qualitatively, the</w:t>
      </w:r>
      <w:r>
        <w:t xml:space="preserve"> </w:t>
      </w:r>
      <w:r>
        <w:t xml:space="preserve">transfer of jobs to companies offering alternative</w:t>
      </w:r>
      <w:r>
        <w:t xml:space="preserve"> </w:t>
      </w:r>
      <w:r>
        <w:t xml:space="preserve">solutions.</w:t>
      </w:r>
      <w:r>
        <w:t xml:space="preserve"> </w:t>
      </w:r>
      <w:r>
        <w:t xml:space="preserve">The revised report reflects on this possibility yet</w:t>
      </w:r>
      <w:r>
        <w:t xml:space="preserve"> </w:t>
      </w:r>
      <w:r>
        <w:t xml:space="preserve">clarifies that the transfers could not be quantified</w:t>
      </w:r>
      <w:r>
        <w:t xml:space="preserve"> </w:t>
      </w:r>
      <w:r>
        <w:t xml:space="preserve">due to a lack of data (Section 6.2.2.)</w:t>
      </w:r>
      <w:r>
        <w:t xml:space="preserve"> </w:t>
      </w:r>
      <w:r>
        <w:t xml:space="preserve">The report should better justify the choice of 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for</w:t>
      </w:r>
      <w:r>
        <w:t xml:space="preserve"> </w:t>
      </w:r>
      <w:r>
        <w:t xml:space="preserve">both</w:t>
      </w:r>
      <w:r>
        <w:t xml:space="preserve"> </w:t>
      </w:r>
      <w:r>
        <w:t xml:space="preserve">substances</w:t>
      </w:r>
      <w:r>
        <w:t xml:space="preserve"> </w:t>
      </w:r>
      <w:r>
        <w:t xml:space="preserve">and</w:t>
      </w:r>
      <w:r>
        <w:t xml:space="preserve"> </w:t>
      </w:r>
      <w:r>
        <w:t xml:space="preserve">significantly</w:t>
      </w:r>
      <w:r>
        <w:t xml:space="preserve"> </w:t>
      </w:r>
      <w:r>
        <w:t xml:space="preserve">strengthen</w:t>
      </w:r>
      <w:r>
        <w:t xml:space="preserve"> </w:t>
      </w:r>
      <w:r>
        <w:t xml:space="preserve">their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assessments given that the costs outweigh the</w:t>
      </w:r>
      <w:r>
        <w:t xml:space="preserve"> </w:t>
      </w:r>
      <w:r>
        <w:t xml:space="preserve">benefits for the preferred option on lead and the</w:t>
      </w:r>
      <w:r>
        <w:t xml:space="preserve"> </w:t>
      </w:r>
      <w:r>
        <w:t xml:space="preserve">preferred option on di-isocyanates imposes the</w:t>
      </w:r>
      <w:r>
        <w:t xml:space="preserve"> </w:t>
      </w:r>
      <w:r>
        <w:t xml:space="preserve">high costs without any quantified benefits. The</w:t>
      </w:r>
      <w:r>
        <w:t xml:space="preserve"> </w:t>
      </w:r>
      <w:r>
        <w:t xml:space="preserve">report should bring together all quantified and</w:t>
      </w:r>
      <w:r>
        <w:t xml:space="preserve"> </w:t>
      </w:r>
      <w:r>
        <w:t xml:space="preserve">non-quantified costs and benefits and demonstrate</w:t>
      </w:r>
      <w:r>
        <w:t xml:space="preserve"> </w:t>
      </w:r>
      <w:r>
        <w:t xml:space="preserve">that the initiative meets the objectives at least cost.</w:t>
      </w:r>
      <w:r>
        <w:t xml:space="preserve"> </w:t>
      </w:r>
      <w:r>
        <w:t xml:space="preserve">The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assessment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improved, by providing a more critical approach.</w:t>
      </w:r>
      <w:r>
        <w:t xml:space="preserve"> </w:t>
      </w:r>
      <w:r>
        <w:t xml:space="preserve">It considers additional actions that would</w:t>
      </w:r>
      <w:r>
        <w:t xml:space="preserve"> </w:t>
      </w:r>
      <w:r>
        <w:t xml:space="preserve">potentially have to be taken by companies. It also</w:t>
      </w:r>
      <w:r>
        <w:t xml:space="preserve"> </w:t>
      </w:r>
      <w:r>
        <w:t xml:space="preserve">provides a more nuanced analysis of the costs and</w:t>
      </w:r>
      <w:r>
        <w:t xml:space="preserve"> </w:t>
      </w:r>
      <w:r>
        <w:t xml:space="preserve">benefits and the methodological limitations for</w:t>
      </w:r>
      <w:r>
        <w:t xml:space="preserve"> </w:t>
      </w:r>
      <w:r>
        <w:t xml:space="preserve">carrying</w:t>
      </w:r>
      <w:r>
        <w:t xml:space="preserve"> </w:t>
      </w:r>
      <w:r>
        <w:t xml:space="preserve">out</w:t>
      </w:r>
      <w:r>
        <w:t xml:space="preserve"> </w:t>
      </w:r>
      <w:r>
        <w:t xml:space="preserve">calculations,</w:t>
      </w:r>
      <w:r>
        <w:t xml:space="preserve"> </w:t>
      </w:r>
      <w:r>
        <w:t xml:space="preserve">therefore</w:t>
      </w:r>
      <w:r>
        <w:t xml:space="preserve"> </w:t>
      </w:r>
      <w:r>
        <w:t xml:space="preserve">better</w:t>
      </w:r>
      <w:r>
        <w:t xml:space="preserve"> </w:t>
      </w:r>
      <w:r>
        <w:t xml:space="preserve">justifying why the proportionality assessment</w:t>
      </w:r>
      <w:r>
        <w:t xml:space="preserve"> </w:t>
      </w:r>
      <w:r>
        <w:t xml:space="preserve">cannot be done solely on the basis of a purely</w:t>
      </w:r>
      <w:r>
        <w:t xml:space="preserve"> </w:t>
      </w:r>
      <w:r>
        <w:t xml:space="preserve">mathematical comparison.</w:t>
      </w:r>
      <w:r>
        <w:br/>
      </w:r>
      <w:r>
        <w:t xml:space="preserve">The report should specify how and by when the</w:t>
      </w:r>
      <w:r>
        <w:t xml:space="preserve"> </w:t>
      </w:r>
      <w:r>
        <w:t xml:space="preserve">initiative will be evaluated. The indicators and</w:t>
      </w:r>
      <w:r>
        <w:t xml:space="preserve"> </w:t>
      </w:r>
      <w:r>
        <w:t xml:space="preserve">proposed monitoring of all specific objectives</w:t>
      </w:r>
      <w:r>
        <w:t xml:space="preserve"> </w:t>
      </w:r>
      <w:r>
        <w:t xml:space="preserve">should be included in the report.</w:t>
      </w:r>
      <w:r>
        <w:t xml:space="preserve"> </w:t>
      </w:r>
      <w:r>
        <w:t xml:space="preserve">More detailed explanations of the evaluation</w:t>
      </w:r>
      <w:r>
        <w:t xml:space="preserve"> </w:t>
      </w:r>
      <w:r>
        <w:t xml:space="preserve">arrangements are provided in section 9.2.</w:t>
      </w:r>
    </w:p>
    <w:p>
      <w:pPr>
        <w:pStyle w:val="Compact"/>
        <w:numPr>
          <w:ilvl w:val="0"/>
          <w:numId w:val="1011"/>
        </w:numPr>
      </w:pPr>
      <w:r>
        <w:t xml:space="preserve">EVIDENCE, SOURCES AND QUALITY</w:t>
      </w:r>
      <w:r>
        <w:t xml:space="preserve"> </w:t>
      </w:r>
      <w:r>
        <w:t xml:space="preserve">Risk Assessment Committee’s Opinions</w:t>
      </w:r>
      <w:r>
        <w:t xml:space="preserve"> </w:t>
      </w:r>
      <w:r>
        <w:t xml:space="preserve">The assessment of health effects of the substances subject to this proposal is based on the relevant</w:t>
      </w:r>
      <w:r>
        <w:t xml:space="preserve"> </w:t>
      </w:r>
      <w:r>
        <w:t xml:space="preserve">scientific expertise from the European Chemicals Agency (ECHA)’s Committee for Risk Assessment</w:t>
      </w:r>
      <w:r>
        <w:t xml:space="preserve"> </w:t>
      </w:r>
      <w:r>
        <w:t xml:space="preserve">(RAC).</w:t>
      </w:r>
      <w:r>
        <w:t xml:space="preserve"> </w:t>
      </w:r>
      <w:r>
        <w:t xml:space="preserve">RAC prepares the opinions of the (ECHA related to the risks of substances to human health and the</w:t>
      </w:r>
      <w:r>
        <w:t xml:space="preserve"> </w:t>
      </w:r>
      <w:r>
        <w:t xml:space="preserve">environment. RAC examines among others the proposals for harmonised classification and labelling,</w:t>
      </w:r>
      <w:r>
        <w:t xml:space="preserve"> </w:t>
      </w:r>
      <w:r>
        <w:t xml:space="preserve">evaluates whether the proposed restriction on manufacture, placing on the market or use of a substance</w:t>
      </w:r>
      <w:r>
        <w:t xml:space="preserve"> </w:t>
      </w:r>
      <w:r>
        <w:t xml:space="preserve">is appropriate in reducing the risk to human health and the environment, and assesses the applications</w:t>
      </w:r>
      <w:r>
        <w:t xml:space="preserve"> </w:t>
      </w:r>
      <w:r>
        <w:t xml:space="preserve">for authorisation of chemicals. Moreover, opinions from RAC also support Union regulatory activity in</w:t>
      </w:r>
      <w:r>
        <w:t xml:space="preserve"> </w:t>
      </w:r>
      <w:r>
        <w:t xml:space="preserve">the field of occupational safety and health. More information about what this committee does can be</w:t>
      </w:r>
      <w:r>
        <w:t xml:space="preserve"> </w:t>
      </w:r>
      <w:r>
        <w:t xml:space="preserve">found on the website of ECHA88.</w:t>
      </w:r>
      <w:r>
        <w:t xml:space="preserve"> </w:t>
      </w:r>
      <w:r>
        <w:t xml:space="preserve">RAC develops high quality comparative analytical knowledge and ensures that Commission proposals,</w:t>
      </w:r>
      <w:r>
        <w:t xml:space="preserve"> </w:t>
      </w:r>
      <w:r>
        <w:t xml:space="preserve">decisions and policy relating to the protection of workers’ health and safety are based on sound</w:t>
      </w:r>
      <w:r>
        <w:t xml:space="preserve"> </w:t>
      </w:r>
      <w:r>
        <w:t xml:space="preserve">scientific evidence. Based on a Service Level Agreement (SLA) signed by DG EMPL and ECHA, this</w:t>
      </w:r>
      <w:r>
        <w:t xml:space="preserve"> </w:t>
      </w:r>
      <w:r>
        <w:t xml:space="preserve">Committee assists the Commission delivering scientific evaluations, upon request, on the toxicological</w:t>
      </w:r>
      <w:r>
        <w:t xml:space="preserve"> </w:t>
      </w:r>
      <w:r>
        <w:t xml:space="preserve">profiles of each of the selected priority chemical substances in relation to their adverse health effects on</w:t>
      </w:r>
      <w:r>
        <w:t xml:space="preserve"> </w:t>
      </w:r>
      <w:r>
        <w:t xml:space="preserve">workers. These scientific evaluations shall, where appropriate, include proposals for Occupational</w:t>
      </w:r>
      <w:r>
        <w:t xml:space="preserve"> </w:t>
      </w:r>
      <w:r>
        <w:t xml:space="preserve">Exposure Limit values (OELs), Short term Occupational Exposure Limit Values (STELs) biological</w:t>
      </w:r>
      <w:r>
        <w:t xml:space="preserve"> </w:t>
      </w:r>
      <w:r>
        <w:t xml:space="preserve">limit values (BLVs)/biological guidance values and/or notations. Based on such opinions, the</w:t>
      </w:r>
      <w:r>
        <w:t xml:space="preserve"> </w:t>
      </w:r>
      <w:r>
        <w:t xml:space="preserve">Commission will propose occupational exposure limits for the protection of workers from chemical</w:t>
      </w:r>
      <w:r>
        <w:t xml:space="preserve"> </w:t>
      </w:r>
      <w:r>
        <w:t xml:space="preserve">risks, to be set at Union level pursuant to Council Directive 98/24/EC, Council Directive 148/2009/EC,</w:t>
      </w:r>
      <w:r>
        <w:t xml:space="preserve"> </w:t>
      </w:r>
      <w:r>
        <w:t xml:space="preserve">and Directive 2004/37/EC of the European Parliament and of the Council.</w:t>
      </w:r>
    </w:p>
    <w:p>
      <w:pPr>
        <w:pStyle w:val="FirstParagraph"/>
      </w:pPr>
      <w:r>
        <w:t xml:space="preserve">88 https://echa.europa.eu/about-us/who-we-are/committee-for-risk-assessment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Members of RAC are highly qualified, specialised, independent experts selected on the basis of</w:t>
      </w:r>
      <w:r>
        <w:t xml:space="preserve"> </w:t>
      </w:r>
      <w:r>
        <w:t xml:space="preserve">objective criteria. They provide the Commission with Recommendations and Opinions that are helpful</w:t>
      </w:r>
      <w:r>
        <w:t xml:space="preserve"> </w:t>
      </w:r>
      <w:r>
        <w:t xml:space="preserve">for the development of EU policy on workers’ protection.</w:t>
      </w:r>
      <w:r>
        <w:br/>
      </w:r>
      <w:r>
        <w:t xml:space="preserve">For the purpose of this initiative, the Commission services have used the RAC opinion on scientific</w:t>
      </w:r>
      <w:r>
        <w:t xml:space="preserve"> </w:t>
      </w:r>
      <w:r>
        <w:t xml:space="preserve">evaluations for lead and diisocyanates.</w:t>
      </w:r>
      <w:r>
        <w:t xml:space="preserve"> </w:t>
      </w:r>
      <w:r>
        <w:t xml:space="preserve">RAC opinion on lead</w:t>
      </w:r>
      <w:r>
        <w:t xml:space="preserve"> </w:t>
      </w:r>
      <w:r>
        <w:t xml:space="preserve">The RAC opinion proposes a BLV of 15 µg lead/100ml blood for lead and its inorganic compounds and</w:t>
      </w:r>
      <w:r>
        <w:t xml:space="preserve"> </w:t>
      </w:r>
      <w:r>
        <w:t xml:space="preserve">an OEL of 0.004 mg lead/m3 (inhalable fraction) for lead and its inorganic compounds.</w:t>
      </w:r>
    </w:p>
    <w:p>
      <w:pPr>
        <w:pStyle w:val="BodyText"/>
      </w:pPr>
      <w:r>
        <w:t xml:space="preserve">RAC opinion on diisocyanates</w:t>
      </w:r>
      <w:r>
        <w:t xml:space="preserve"> </w:t>
      </w:r>
      <w:r>
        <w:t xml:space="preserve">A threshold for bronchial hyper-responsiveness or for the development of asthma could not be</w:t>
      </w:r>
      <w:r>
        <w:t xml:space="preserve"> </w:t>
      </w:r>
      <w:r>
        <w:t xml:space="preserve">observed. However, an OEL defined as an 8-hour time weighted average (TWA) exposure based on the</w:t>
      </w:r>
      <w:r>
        <w:t xml:space="preserve"> </w:t>
      </w:r>
      <w:r>
        <w:t xml:space="preserve">‘NCO group’ can be obtained from the exposure - excess risk relationships for hyperresponsiveness or</w:t>
      </w:r>
      <w:r>
        <w:t xml:space="preserve"> </w:t>
      </w:r>
      <w:r>
        <w:t xml:space="preserve">diisocyanate asthma as derived below, based on excess risk over a working life period.</w:t>
      </w:r>
      <w:r>
        <w:t xml:space="preserve"> </w:t>
      </w:r>
      <w:r>
        <w:t xml:space="preserve">The exposure - response relationship was derived, in µg/m3 NCO in air.</w:t>
      </w:r>
      <w:r>
        <w:t xml:space="preserve"> </w:t>
      </w:r>
      <w:r>
        <w:t xml:space="preserve">Table 2: Exposure-risk relationship</w:t>
      </w:r>
    </w:p>
    <w:p>
      <w:pPr>
        <w:pStyle w:val="BodyText"/>
      </w:pPr>
      <w:r>
        <w:t xml:space="preserve">STEL:</w:t>
      </w:r>
      <w:r>
        <w:t xml:space="preserve"> </w:t>
      </w:r>
      <w:r>
        <w:t xml:space="preserve">A 15-</w:t>
      </w:r>
      <w:r>
        <w:t xml:space="preserve"> </w:t>
      </w:r>
      <w:r>
        <w:t xml:space="preserve">minutes Short Term Exposure Limit (STEL) value which is maximally a factor 2 higher than a derived</w:t>
      </w:r>
      <w:r>
        <w:t xml:space="preserve"> </w:t>
      </w:r>
      <w:r>
        <w:t xml:space="preserve">OEL based on the exposure - excess risk relationship. This STEL value should not exceed 6 µg/m3</w:t>
      </w:r>
      <w:r>
        <w:t xml:space="preserve"> </w:t>
      </w:r>
      <w:r>
        <w:t xml:space="preserve">NCO.</w:t>
      </w:r>
      <w:r>
        <w:t xml:space="preserve"> </w:t>
      </w:r>
      <w:r>
        <w:t xml:space="preserve">Notations for skin sensitisation, respiratory sensitisation, ‘skin’ are warranted.</w:t>
      </w:r>
      <w:r>
        <w:t xml:space="preserve"> </w:t>
      </w:r>
      <w:r>
        <w:t xml:space="preserve">Studies performed by external consultants</w:t>
      </w:r>
      <w:r>
        <w:t xml:space="preserve"> </w:t>
      </w:r>
      <w:r>
        <w:t xml:space="preserve">The Commission launched on 30 April 2020 an open call for tender89 in order to collect information on</w:t>
      </w:r>
      <w:r>
        <w:t xml:space="preserve"> </w:t>
      </w:r>
      <w:r>
        <w:t xml:space="preserve">substances with the view to analyse health, socio-economic and environmental impacts in connection</w:t>
      </w:r>
      <w:r>
        <w:t xml:space="preserve"> </w:t>
      </w:r>
      <w:r>
        <w:t xml:space="preserve">with possible amendments of Directive 98/24/EC (Chemical Agents)90 and Directive 2009/148/EC</w:t>
      </w:r>
      <w:r>
        <w:t xml:space="preserve"> </w:t>
      </w:r>
      <w:r>
        <w:t xml:space="preserve">(Asbestos).</w:t>
      </w:r>
    </w:p>
    <w:p>
      <w:pPr>
        <w:pStyle w:val="BodyText"/>
      </w:pPr>
      <w:r>
        <w:t xml:space="preserve">89 Call for Tender documents available at: https://etendering.ted.europa.eu/cft/cft-display.html?cftId=3559</w:t>
      </w:r>
      <w:r>
        <w:t xml:space="preserve"> </w:t>
      </w:r>
      <w:r>
        <w:t xml:space="preserve">90 Following the adoption of CMRD the revised limit values for lead will be adopted under CMRD and not CAD.</w:t>
      </w:r>
      <w:r>
        <w:t xml:space="preserve"> </w:t>
      </w:r>
      <w:r>
        <w:t xml:space="preserve">Excess risk over a working life period</w:t>
      </w:r>
      <w:r>
        <w:t xml:space="preserve"> </w:t>
      </w:r>
      <w:r>
        <w:t xml:space="preserve">Exposure - response relations in</w:t>
      </w:r>
      <w:r>
        <w:t xml:space="preserve"> </w:t>
      </w:r>
      <w:r>
        <w:t xml:space="preserve">µg/m3 NCO in air</w:t>
      </w:r>
      <w:r>
        <w:t xml:space="preserve"> </w:t>
      </w:r>
      <w:r>
        <w:t xml:space="preserve">01%</w:t>
      </w:r>
      <w:r>
        <w:t xml:space="preserve"> </w:t>
      </w:r>
      <w:r>
        <w:t xml:space="preserve">&lt;0.025</w:t>
      </w:r>
      <w:r>
        <w:t xml:space="preserve"> </w:t>
      </w:r>
      <w:r>
        <w:t xml:space="preserve">0.5%</w:t>
      </w:r>
      <w:r>
        <w:t xml:space="preserve"> </w:t>
      </w:r>
      <w:r>
        <w:t xml:space="preserve">0.027-0.040</w:t>
      </w:r>
      <w:r>
        <w:t xml:space="preserve"> </w:t>
      </w:r>
      <w:r>
        <w:t xml:space="preserve">1%</w:t>
      </w:r>
      <w:r>
        <w:t xml:space="preserve"> </w:t>
      </w:r>
      <w:r>
        <w:t xml:space="preserve">0.055-0.070</w:t>
      </w:r>
      <w:r>
        <w:t xml:space="preserve"> </w:t>
      </w:r>
      <w:r>
        <w:t xml:space="preserve">2%</w:t>
      </w:r>
      <w:r>
        <w:t xml:space="preserve"> </w:t>
      </w:r>
      <w:r>
        <w:t xml:space="preserve">0.12-0.19</w:t>
      </w:r>
      <w:r>
        <w:t xml:space="preserve"> </w:t>
      </w:r>
      <w:r>
        <w:t xml:space="preserve">3%</w:t>
      </w:r>
      <w:r>
        <w:t xml:space="preserve"> </w:t>
      </w:r>
      <w:r>
        <w:t xml:space="preserve">0.22-0.33</w:t>
      </w:r>
      <w:r>
        <w:t xml:space="preserve"> </w:t>
      </w:r>
      <w:r>
        <w:t xml:space="preserve">4%</w:t>
      </w:r>
      <w:r>
        <w:t xml:space="preserve"> </w:t>
      </w:r>
      <w:r>
        <w:t xml:space="preserve">0.40-0.48</w:t>
      </w:r>
      <w:r>
        <w:t xml:space="preserve"> </w:t>
      </w:r>
      <w:r>
        <w:t xml:space="preserve">5%</w:t>
      </w:r>
      <w:r>
        <w:t xml:space="preserve"> </w:t>
      </w:r>
      <w:r>
        <w:t xml:space="preserve">&gt;0.67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The contract started on 28 October 2020 and lasted 10 months. The outcome of this study provides the</w:t>
      </w:r>
      <w:r>
        <w:t xml:space="preserve"> </w:t>
      </w:r>
      <w:r>
        <w:t xml:space="preserve">main basis for this Impact Assessment Report and is summarised in the relevant sections of this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The following consultation activities have been performed:</w:t>
      </w:r>
      <w:r>
        <w:br/>
      </w:r>
      <w:r>
        <w:t xml:space="preserve">1. Social Partners Consultation: as required by the TFEU Article 154, a formal two-stage</w:t>
      </w:r>
      <w:r>
        <w:t xml:space="preserve"> </w:t>
      </w:r>
      <w:r>
        <w:t xml:space="preserve">consultation of the social partners at EU level is required prior to submitting proposals in the</w:t>
      </w:r>
      <w:r>
        <w:t xml:space="preserve"> </w:t>
      </w:r>
      <w:r>
        <w:t xml:space="preserve">social policy field. Such a two-stage consultation was performed in 2020 and 2021. The first</w:t>
      </w:r>
      <w:r>
        <w:t xml:space="preserve"> </w:t>
      </w:r>
      <w:r>
        <w:t xml:space="preserve">phase of social partners’ consultation closed on 11 February 2021 with a confirmation of the</w:t>
      </w:r>
      <w:r>
        <w:t xml:space="preserve"> </w:t>
      </w:r>
      <w:r>
        <w:t xml:space="preserve">support for the revision of the current OEL and BLV for led and to propose, for the first time,</w:t>
      </w:r>
      <w:r>
        <w:t xml:space="preserve"> </w:t>
      </w:r>
      <w:r>
        <w:t xml:space="preserve">limit values for diisocyanates. The second phase consultation, focused on the envisaged content</w:t>
      </w:r>
      <w:r>
        <w:t xml:space="preserve"> </w:t>
      </w:r>
      <w:r>
        <w:t xml:space="preserve">of possible proposals, closed on 30 September 2021. More information about this two-stage</w:t>
      </w:r>
      <w:r>
        <w:t xml:space="preserve"> </w:t>
      </w:r>
      <w:r>
        <w:t xml:space="preserve">consultation is provided below in this Annex.</w:t>
      </w:r>
      <w:r>
        <w:t xml:space="preserve"> </w:t>
      </w:r>
      <w:r>
        <w:t xml:space="preserve">2. Tripartite consultation (ACSH): the tripartite Advisory Committee on Safety and Health at</w:t>
      </w:r>
      <w:r>
        <w:t xml:space="preserve"> </w:t>
      </w:r>
      <w:r>
        <w:t xml:space="preserve">Work (ACSH), composed of three full members per Member State, representing national</w:t>
      </w:r>
      <w:r>
        <w:t xml:space="preserve"> </w:t>
      </w:r>
      <w:r>
        <w:t xml:space="preserve">governments, workers’, and employers’ representative organisations, is consulted on a regular</w:t>
      </w:r>
      <w:r>
        <w:t xml:space="preserve"> </w:t>
      </w:r>
      <w:r>
        <w:t xml:space="preserve">basis. It gives, taking into account the scientific input of RAC as well as socio-economic and</w:t>
      </w:r>
      <w:r>
        <w:t xml:space="preserve"> </w:t>
      </w:r>
      <w:r>
        <w:t xml:space="preserve">feasibility factors, opinions which are used to prepare the Commission’s proposal. More</w:t>
      </w:r>
      <w:r>
        <w:t xml:space="preserve"> </w:t>
      </w:r>
      <w:r>
        <w:t xml:space="preserve">information about this tripartite consultation is provided below in this Annex.</w:t>
      </w:r>
      <w:r>
        <w:br/>
      </w:r>
      <w:r>
        <w:t xml:space="preserve">3. Consultation of other stakeholders (e.g., employers’ and workers’ associations specifically</w:t>
      </w:r>
      <w:r>
        <w:t xml:space="preserve"> </w:t>
      </w:r>
      <w:r>
        <w:t xml:space="preserve">concerned): These consultations have been carried out in the context of the external study in</w:t>
      </w:r>
      <w:r>
        <w:t xml:space="preserve"> </w:t>
      </w:r>
      <w:r>
        <w:t xml:space="preserve">order to collect detailed information on the potential impacts of establishing or revising limit</w:t>
      </w:r>
      <w:r>
        <w:t xml:space="preserve"> </w:t>
      </w:r>
      <w:r>
        <w:t xml:space="preserve">values under the CAD and CMRD that is not available in published literature and internet</w:t>
      </w:r>
      <w:r>
        <w:t xml:space="preserve"> </w:t>
      </w:r>
      <w:r>
        <w:t xml:space="preserve">searches.</w:t>
      </w:r>
      <w:r>
        <w:br/>
      </w:r>
      <w:r>
        <w:t xml:space="preserve">In line with the previous amendments of the OSH Directives (namely CMD/CMRD), no public</w:t>
      </w:r>
      <w:r>
        <w:t xml:space="preserve"> </w:t>
      </w:r>
      <w:r>
        <w:t xml:space="preserve">consultation on this initiative has been launched for the following reasons:</w:t>
      </w:r>
      <w:r>
        <w:t xml:space="preserve"> </w:t>
      </w:r>
      <w:r>
        <w:t xml:space="preserve"></w:t>
      </w:r>
      <w:r>
        <w:t xml:space="preserve"> </w:t>
      </w:r>
      <w:r>
        <w:t xml:space="preserve">A broad consultation of various stakeholders, social partners and Member States’ competent</w:t>
      </w:r>
      <w:r>
        <w:t xml:space="preserve"> </w:t>
      </w:r>
      <w:r>
        <w:t xml:space="preserve">authorities has been carried out in view of this initiative.</w:t>
      </w:r>
      <w:r>
        <w:br/>
      </w:r>
      <w:r>
        <w:t xml:space="preserve"></w:t>
      </w:r>
      <w:r>
        <w:t xml:space="preserve"> </w:t>
      </w:r>
      <w:r>
        <w:t xml:space="preserve">This initiative concerns a very technical topic for which the general public does not have</w:t>
      </w:r>
      <w:r>
        <w:t xml:space="preserve"> </w:t>
      </w:r>
      <w:r>
        <w:t xml:space="preserve">sufficient expertise. For that reason, a more targeted consultation was considered as a more</w:t>
      </w:r>
      <w:r>
        <w:t xml:space="preserve"> </w:t>
      </w:r>
      <w:r>
        <w:t xml:space="preserve">proportionate approach.</w:t>
      </w:r>
      <w:r>
        <w:t xml:space="preserve"> </w:t>
      </w:r>
      <w:r>
        <w:t xml:space="preserve"></w:t>
      </w:r>
      <w:r>
        <w:t xml:space="preserve"> </w:t>
      </w:r>
      <w:r>
        <w:t xml:space="preserve">In the context of the scientific opinions carried out by RAC, stakeholders were allowed to</w:t>
      </w:r>
      <w:r>
        <w:t xml:space="preserve"> </w:t>
      </w:r>
      <w:r>
        <w:t xml:space="preserve">express their views and concerns in the early phases of developing the scientific reports on the</w:t>
      </w:r>
      <w:r>
        <w:t xml:space="preserve"> </w:t>
      </w:r>
      <w:r>
        <w:t xml:space="preserve">occupational exposure limits for lead and diisocyanates.</w:t>
      </w:r>
      <w:r>
        <w:t xml:space="preserve"> </w:t>
      </w:r>
      <w:r>
        <w:t xml:space="preserve">A call for evidence was published on 21 February 2022 with a deadline of 21 March for stakeholders to</w:t>
      </w:r>
      <w:r>
        <w:t xml:space="preserve"> </w:t>
      </w:r>
      <w:r>
        <w:t xml:space="preserve">provide feedback91.</w:t>
      </w:r>
      <w:r>
        <w:t xml:space="preserve"> </w:t>
      </w:r>
      <w:r>
        <w:t xml:space="preserve">1. SOCIAL PARTNERS CONSULTATION</w:t>
      </w:r>
    </w:p>
    <w:p>
      <w:pPr>
        <w:pStyle w:val="BodyText"/>
      </w:pPr>
      <w:r>
        <w:t xml:space="preserve">1.1.</w:t>
      </w:r>
      <w:r>
        <w:t xml:space="preserve"> </w:t>
      </w:r>
      <w:r>
        <w:t xml:space="preserve">Results of the first phase of the Social Partners consultation.</w:t>
      </w:r>
      <w:r>
        <w:br/>
      </w:r>
      <w:r>
        <w:t xml:space="preserve">The first phase of the Social Partners consultation closed on 11 February 2021.</w:t>
      </w:r>
    </w:p>
    <w:p>
      <w:pPr>
        <w:pStyle w:val="BodyText"/>
      </w:pPr>
      <w:r>
        <w:t xml:space="preserve">91https://ec.europa.eu/info/law/better-regulation/have-your-say/initiatives/12745-Health-safety-at-work-protecting-</w:t>
      </w:r>
      <w:r>
        <w:t xml:space="preserve"> </w:t>
      </w:r>
      <w:r>
        <w:t xml:space="preserve">workers-from-exposure-to-chemicals-lead-and-di-isocyanates-_en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The Commission consulted the Social Partners on the approach regarding the revision of a limit value</w:t>
      </w:r>
      <w:r>
        <w:t xml:space="preserve"> </w:t>
      </w:r>
      <w:r>
        <w:t xml:space="preserve">for asbestos under the Asbestos at Work Directive, and the establishment or revision of binding</w:t>
      </w:r>
      <w:r>
        <w:t xml:space="preserve"> </w:t>
      </w:r>
      <w:r>
        <w:t xml:space="preserve">occupational exposure limit values for lead and its compounds and diisocyanates under the Chemical</w:t>
      </w:r>
      <w:r>
        <w:t xml:space="preserve"> </w:t>
      </w:r>
      <w:r>
        <w:t xml:space="preserve">Agents Directive.</w:t>
      </w:r>
      <w:r>
        <w:t xml:space="preserve"> </w:t>
      </w:r>
      <w:r>
        <w:t xml:space="preserve">Workers’ organisations</w:t>
      </w:r>
      <w:r>
        <w:br/>
      </w:r>
      <w:r>
        <w:t xml:space="preserve">Two trade unions replied to the first phase consultation, acknowledging the importance of the existing</w:t>
      </w:r>
      <w:r>
        <w:t xml:space="preserve"> </w:t>
      </w:r>
      <w:r>
        <w:t xml:space="preserve">legislation. The European Trade Union Confederation (ETUC) replied on both the revision of a limit</w:t>
      </w:r>
      <w:r>
        <w:t xml:space="preserve"> </w:t>
      </w:r>
      <w:r>
        <w:t xml:space="preserve">value for asbestos and the establishment or revision of binding occupational exposure limit values for</w:t>
      </w:r>
      <w:r>
        <w:t xml:space="preserve"> </w:t>
      </w:r>
      <w:r>
        <w:t xml:space="preserve">lead and its compounds and diisocyanates. The European Federation of Building and Woodworkers</w:t>
      </w:r>
      <w:r>
        <w:t xml:space="preserve"> </w:t>
      </w:r>
      <w:r>
        <w:t xml:space="preserve">(EFBWW) replied in detail only concerning asbestos.</w:t>
      </w:r>
      <w:r>
        <w:t xml:space="preserve"> </w:t>
      </w:r>
      <w:r>
        <w:t xml:space="preserve">Possible improvements to the EU legal framework</w:t>
      </w:r>
      <w:r>
        <w:t xml:space="preserve"> </w:t>
      </w:r>
      <w:r>
        <w:t xml:space="preserve">In response to the consultation questions (1) Do you agree with the issues identified? (2) Are they</w:t>
      </w:r>
      <w:r>
        <w:t xml:space="preserve"> </w:t>
      </w:r>
      <w:r>
        <w:t xml:space="preserve">accurately and sufficiently covered? (3) If so, do you consider that the EU should address this issue</w:t>
      </w:r>
      <w:r>
        <w:t xml:space="preserve"> </w:t>
      </w:r>
      <w:r>
        <w:t xml:space="preserve">through a binding instrument? ETUC and EFBWW are of the opinion that the EU must take new</w:t>
      </w:r>
      <w:r>
        <w:t xml:space="preserve"> </w:t>
      </w:r>
      <w:r>
        <w:t xml:space="preserve">legislative initiatives that are binding to Member States. The ETUC gave detailed comments on each</w:t>
      </w:r>
      <w:r>
        <w:t xml:space="preserve"> </w:t>
      </w:r>
      <w:r>
        <w:t xml:space="preserve">substance and EFBWW only on asbestos.</w:t>
      </w:r>
      <w:r>
        <w:t xml:space="preserve"> </w:t>
      </w:r>
      <w:r>
        <w:t xml:space="preserve">Lead and its compounds</w:t>
      </w:r>
      <w:r>
        <w:t xml:space="preserve"> </w:t>
      </w:r>
      <w:r>
        <w:t xml:space="preserve">ETUC, while in principle supported reducing the current limit values, expressed views that the</w:t>
      </w:r>
      <w:r>
        <w:t xml:space="preserve"> </w:t>
      </w:r>
      <w:r>
        <w:t xml:space="preserve">proposed BLV in the scientific opinion adopted by the Risk Assessment Committee of the European</w:t>
      </w:r>
      <w:r>
        <w:t xml:space="preserve"> </w:t>
      </w:r>
      <w:r>
        <w:t xml:space="preserve">Chemicals Agency would be discriminatory for women at the workplace92. Instead, they recommended</w:t>
      </w:r>
      <w:r>
        <w:t xml:space="preserve"> </w:t>
      </w:r>
      <w:r>
        <w:t xml:space="preserve">the adoption of a BLV that in their opinion would guarantee equal treatment of women and men at</w:t>
      </w:r>
      <w:r>
        <w:t xml:space="preserve"> </w:t>
      </w:r>
      <w:r>
        <w:t xml:space="preserve">work.</w:t>
      </w:r>
      <w:r>
        <w:t xml:space="preserve"> </w:t>
      </w:r>
      <w:r>
        <w:t xml:space="preserve">In addition, they put forward some general reflections concerning the need to improve workers’</w:t>
      </w:r>
      <w:r>
        <w:t xml:space="preserve"> </w:t>
      </w:r>
      <w:r>
        <w:t xml:space="preserve">protection from exposure to reprotoxic substances and concerning the Pregnant Workers Directive</w:t>
      </w:r>
      <w:r>
        <w:t xml:space="preserve"> </w:t>
      </w:r>
      <w:r>
        <w:t xml:space="preserve">92/85/EEC93 in this context.</w:t>
      </w:r>
      <w:r>
        <w:t xml:space="preserve"> </w:t>
      </w:r>
      <w:r>
        <w:t xml:space="preserve">Diisocyanates</w:t>
      </w:r>
      <w:r>
        <w:br/>
      </w:r>
      <w:r>
        <w:t xml:space="preserve">ETUC supported that a binding EU OEL is needed to ensure minimum requirements for the protection</w:t>
      </w:r>
      <w:r>
        <w:t xml:space="preserve"> </w:t>
      </w:r>
      <w:r>
        <w:t xml:space="preserve">of workers exposed to diisocyanates across the EU. At the same time, they expressed the view that this</w:t>
      </w:r>
      <w:r>
        <w:t xml:space="preserve"> </w:t>
      </w:r>
      <w:r>
        <w:t xml:space="preserve">is the first time an EU binding OEL would be established for sensitisers with the main aim to prevent</w:t>
      </w:r>
      <w:r>
        <w:t xml:space="preserve"> </w:t>
      </w:r>
      <w:r>
        <w:t xml:space="preserve">occupational asthma, and therefore this point should be discussed and agreed upon within the tripartite</w:t>
      </w:r>
      <w:r>
        <w:t xml:space="preserve"> </w:t>
      </w:r>
      <w:r>
        <w:t xml:space="preserve">Advisory Committee on Safety and Health at Work (ACSH) where workers, employers and</w:t>
      </w:r>
      <w:r>
        <w:t xml:space="preserve"> </w:t>
      </w:r>
      <w:r>
        <w:t xml:space="preserve">governments are represented.</w:t>
      </w:r>
      <w:r>
        <w:br/>
      </w:r>
      <w:r>
        <w:t xml:space="preserve">Willingness to enter into negotiations</w:t>
      </w:r>
      <w:r>
        <w:t xml:space="preserve"> </w:t>
      </w:r>
      <w:r>
        <w:t xml:space="preserve">The workers’ organisations believe that binding EU legislative action is needed on these issues and</w:t>
      </w:r>
      <w:r>
        <w:t xml:space="preserve"> </w:t>
      </w:r>
      <w:r>
        <w:t xml:space="preserve">therefore see no need to launch a negotiation procedure pursuant Article 155 TFEU.</w:t>
      </w:r>
    </w:p>
    <w:p>
      <w:pPr>
        <w:pStyle w:val="BodyText"/>
      </w:pPr>
      <w:r>
        <w:t xml:space="preserve">92 RAC recommends to state in the Chemical Agents Directive that the exposure of fertile women to lead should</w:t>
      </w:r>
      <w:r>
        <w:t xml:space="preserve"> </w:t>
      </w:r>
      <w:r>
        <w:t xml:space="preserve">be avoided or minimised in the workplace because the BLV for lead is not protective of the offspring of women of</w:t>
      </w:r>
      <w:r>
        <w:t xml:space="preserve"> </w:t>
      </w:r>
      <w:r>
        <w:t xml:space="preserve">childbearing age. In ETUC’s view, this is discriminatory as it could create a situation where women could not be</w:t>
      </w:r>
      <w:r>
        <w:t xml:space="preserve"> </w:t>
      </w:r>
      <w:r>
        <w:t xml:space="preserve">hired in workplaces where they can be exposed to lead and its compounds.</w:t>
      </w:r>
      <w:r>
        <w:br/>
      </w:r>
      <w:r>
        <w:t xml:space="preserve">93 See footnote 28.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ETUC indicates, however, that it might wish to discuss complementary issues with employers and seek</w:t>
      </w:r>
      <w:r>
        <w:t xml:space="preserve"> </w:t>
      </w:r>
      <w:r>
        <w:t xml:space="preserve">convergent positions on certain questions, such as the best legal instrument to protect workers from the</w:t>
      </w:r>
      <w:r>
        <w:t xml:space="preserve"> </w:t>
      </w:r>
      <w:r>
        <w:t xml:space="preserve">risk of exposure to substances that are toxic and affect reproduction or the need for a new methodology</w:t>
      </w:r>
      <w:r>
        <w:t xml:space="preserve"> </w:t>
      </w:r>
      <w:r>
        <w:t xml:space="preserve">to be used to limit the volume of non-threshold substances at EU level.</w:t>
      </w:r>
      <w:r>
        <w:t xml:space="preserve"> </w:t>
      </w:r>
      <w:r>
        <w:t xml:space="preserve">Employers’ organisations</w:t>
      </w:r>
      <w:r>
        <w:t xml:space="preserve"> </w:t>
      </w:r>
      <w:r>
        <w:t xml:space="preserve">Three employers’ organisations replied to the first phase consultation: Business Europe, SME united</w:t>
      </w:r>
      <w:r>
        <w:t xml:space="preserve"> </w:t>
      </w:r>
      <w:r>
        <w:t xml:space="preserve">(European Association of Crafts and SMEs) and the European Construction Industry Federation (FIEC).</w:t>
      </w:r>
      <w:r>
        <w:br/>
      </w:r>
      <w:r>
        <w:t xml:space="preserve">The employers’ organisations supported the objective to effectively protect workers from exposure to</w:t>
      </w:r>
      <w:r>
        <w:t xml:space="preserve"> </w:t>
      </w:r>
      <w:r>
        <w:t xml:space="preserve">hazardous chemicals, including by setting OELs at EU level, where appropriate. They consider this is in</w:t>
      </w:r>
      <w:r>
        <w:t xml:space="preserve"> </w:t>
      </w:r>
      <w:r>
        <w:t xml:space="preserve">the interest of workers and businesses and contributes to a level playing field. However, they also raised</w:t>
      </w:r>
      <w:r>
        <w:t xml:space="preserve"> </w:t>
      </w:r>
      <w:r>
        <w:t xml:space="preserve">some concerns about the approach taken when setting such values.</w:t>
      </w:r>
      <w:r>
        <w:t xml:space="preserve"> </w:t>
      </w:r>
      <w:r>
        <w:t xml:space="preserve">Possible improvements to the EU legal framework</w:t>
      </w:r>
      <w:r>
        <w:t xml:space="preserve"> </w:t>
      </w:r>
      <w:r>
        <w:t xml:space="preserve">Concerning the issues identified in the consultation paper, the employers’ organisations supported the</w:t>
      </w:r>
      <w:r>
        <w:t xml:space="preserve"> </w:t>
      </w:r>
      <w:r>
        <w:t xml:space="preserve">general direction of the Commission to a constant improvement of the protection of workers from</w:t>
      </w:r>
      <w:r>
        <w:t xml:space="preserve"> </w:t>
      </w:r>
      <w:r>
        <w:t xml:space="preserve">exposure to carcinogens and risks arising from chemical agents at the workplace, subject to certain</w:t>
      </w:r>
      <w:r>
        <w:t xml:space="preserve"> </w:t>
      </w:r>
      <w:r>
        <w:t xml:space="preserve">conditions. The process of setting limit values should be based on sound scientific evidence, technical</w:t>
      </w:r>
      <w:r>
        <w:t xml:space="preserve"> </w:t>
      </w:r>
      <w:r>
        <w:t xml:space="preserve">and economic feasibility, socio-economic impact assessment, and opinion of the tripartite ACSH, as it</w:t>
      </w:r>
      <w:r>
        <w:t xml:space="preserve"> </w:t>
      </w:r>
      <w:r>
        <w:t xml:space="preserve">is done currently by the Commission.</w:t>
      </w:r>
      <w:r>
        <w:br/>
      </w:r>
      <w:r>
        <w:t xml:space="preserve">Furthermore, they stressed that a lower limit value does not always mean better protection of workers,</w:t>
      </w:r>
      <w:r>
        <w:t xml:space="preserve"> </w:t>
      </w:r>
      <w:r>
        <w:t xml:space="preserve">as it depends on the feasibility to measure it and for employers to implement it.</w:t>
      </w:r>
      <w:r>
        <w:t xml:space="preserve"> </w:t>
      </w:r>
      <w:r>
        <w:t xml:space="preserve">Business Europe and SME United stressed the need to assess impact on small and medium-sized</w:t>
      </w:r>
      <w:r>
        <w:t xml:space="preserve"> </w:t>
      </w:r>
      <w:r>
        <w:t xml:space="preserve">enterprises (SMEs), in particular on micro-enterprises, in terms of proportionality and feasibility of</w:t>
      </w:r>
      <w:r>
        <w:t xml:space="preserve"> </w:t>
      </w:r>
      <w:r>
        <w:t xml:space="preserve">action, as well as to take account of sectoral differences.</w:t>
      </w:r>
      <w:r>
        <w:t xml:space="preserve"> </w:t>
      </w:r>
      <w:r>
        <w:t xml:space="preserve">Concerning the question on the binding instrument to be used for addressing the issues, SME United</w:t>
      </w:r>
      <w:r>
        <w:t xml:space="preserve"> </w:t>
      </w:r>
      <w:r>
        <w:t xml:space="preserve">pointed out that without a deeper analysis of the impact of the new values on crafts, SMEs, and</w:t>
      </w:r>
      <w:r>
        <w:t xml:space="preserve"> </w:t>
      </w:r>
      <w:r>
        <w:t xml:space="preserve">employers’ obligations, they cannot assess whether such an instrument would be appropriate.</w:t>
      </w:r>
      <w:r>
        <w:t xml:space="preserve"> </w:t>
      </w:r>
      <w:r>
        <w:t xml:space="preserve">Lead and its compounds</w:t>
      </w:r>
      <w:r>
        <w:t xml:space="preserve"> </w:t>
      </w:r>
      <w:r>
        <w:t xml:space="preserve">Business Europe referred to the voluntary agreements put in place by the industry to continuously lower</w:t>
      </w:r>
      <w:r>
        <w:t xml:space="preserve"> </w:t>
      </w:r>
      <w:r>
        <w:t xml:space="preserve">the exposure levels, as far as technology allows it.</w:t>
      </w:r>
      <w:r>
        <w:t xml:space="preserve"> </w:t>
      </w:r>
      <w:r>
        <w:t xml:space="preserve">They stressed that OSH legislation at EU and national level already provides a good level of protection</w:t>
      </w:r>
      <w:r>
        <w:t xml:space="preserve"> </w:t>
      </w:r>
      <w:r>
        <w:t xml:space="preserve">for workers and highlighted the importance of the existing binding OEL under CAD together with other</w:t>
      </w:r>
      <w:r>
        <w:t xml:space="preserve"> </w:t>
      </w:r>
      <w:r>
        <w:t xml:space="preserve">protective measures aside from the limit value.</w:t>
      </w:r>
      <w:r>
        <w:t xml:space="preserve"> </w:t>
      </w:r>
      <w:r>
        <w:t xml:space="preserve">SME United underlined that a concrete proposal on the new foreseen OEL should be submitted in order</w:t>
      </w:r>
      <w:r>
        <w:t xml:space="preserve"> </w:t>
      </w:r>
      <w:r>
        <w:t xml:space="preserve">to better assess the impact on companies.</w:t>
      </w:r>
      <w:r>
        <w:t xml:space="preserve"> </w:t>
      </w:r>
      <w:r>
        <w:t xml:space="preserve">Diisocyanates</w:t>
      </w:r>
      <w:r>
        <w:br/>
      </w:r>
      <w:r>
        <w:t xml:space="preserve">SME United is of the view that a detailed analysis of the risks for diisocyanates justifying setting a limit</w:t>
      </w:r>
      <w:r>
        <w:t xml:space="preserve"> </w:t>
      </w:r>
      <w:r>
        <w:t xml:space="preserve">value is missing. However, while in principle they did not oppose the introduction of a proportionate</w:t>
      </w:r>
      <w:r>
        <w:t xml:space="preserve"> </w:t>
      </w:r>
      <w:r>
        <w:t xml:space="preserve">and feasible OEL for diisocyanates in indoor workplaces, for outdoor workplaces they considered that</w:t>
      </w:r>
      <w:r>
        <w:t xml:space="preserve"> </w:t>
      </w:r>
      <w:r>
        <w:t xml:space="preserve">training requirements addressing the possible risks and hazards are sufficient.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Business Europe, although agreeing with the existence of risks for workers, highlighted that the</w:t>
      </w:r>
      <w:r>
        <w:t xml:space="preserve"> </w:t>
      </w:r>
      <w:r>
        <w:t xml:space="preserve">introduction of a new binding OEL would put additional obligations on employers not only to comply</w:t>
      </w:r>
      <w:r>
        <w:t xml:space="preserve"> </w:t>
      </w:r>
      <w:r>
        <w:t xml:space="preserve">with the limit value, but also with the other protective measures in CAD.</w:t>
      </w:r>
      <w:r>
        <w:br/>
      </w:r>
      <w:r>
        <w:t xml:space="preserve">They also stressed the importance of workers’ protection already provided under REACH through the</w:t>
      </w:r>
      <w:r>
        <w:t xml:space="preserve"> </w:t>
      </w:r>
      <w:r>
        <w:t xml:space="preserve">restriction, as well as obligations concerning the training of workers. Moreover, they noted that the Risk</w:t>
      </w:r>
      <w:r>
        <w:t xml:space="preserve"> </w:t>
      </w:r>
      <w:r>
        <w:t xml:space="preserve">Assessment Committee (RAC) in the framework of the restriction mentioned that the training of</w:t>
      </w:r>
      <w:r>
        <w:t xml:space="preserve"> </w:t>
      </w:r>
      <w:r>
        <w:t xml:space="preserve">workers is the most effective way of reducing exposure and impact on workers.</w:t>
      </w:r>
      <w:r>
        <w:t xml:space="preserve"> </w:t>
      </w:r>
      <w:r>
        <w:t xml:space="preserve">Business Europe expressed the need for the EU to provide more information and analysis on how</w:t>
      </w:r>
      <w:r>
        <w:t xml:space="preserve"> </w:t>
      </w:r>
      <w:r>
        <w:t xml:space="preserve">effective a binding OEL would be in addition to the existing restriction under REACH.</w:t>
      </w:r>
      <w:r>
        <w:t xml:space="preserve"> </w:t>
      </w:r>
      <w:r>
        <w:t xml:space="preserve">Willingness to enter into negotiations</w:t>
      </w:r>
      <w:r>
        <w:t xml:space="preserve"> </w:t>
      </w:r>
      <w:r>
        <w:t xml:space="preserve">The employers’ organisations considered that the existing preparatory procedures already involve social</w:t>
      </w:r>
      <w:r>
        <w:t xml:space="preserve"> </w:t>
      </w:r>
      <w:r>
        <w:t xml:space="preserve">partners, including the ACSH consultations. Therefore, they do not want to launch a negotiation</w:t>
      </w:r>
      <w:r>
        <w:t xml:space="preserve"> </w:t>
      </w:r>
      <w:r>
        <w:t xml:space="preserve">procedure pursuant Article 155 TFEU.</w:t>
      </w:r>
    </w:p>
    <w:p>
      <w:pPr>
        <w:pStyle w:val="BodyText"/>
      </w:pPr>
      <w:r>
        <w:t xml:space="preserve">1.2. Results of the second phase of the Social Partners consultation</w:t>
      </w:r>
      <w:r>
        <w:t xml:space="preserve"> </w:t>
      </w:r>
      <w:r>
        <w:t xml:space="preserve">The Commission launched a second phase consultation of the Social Partners which closed on 30</w:t>
      </w:r>
      <w:r>
        <w:t xml:space="preserve"> </w:t>
      </w:r>
      <w:r>
        <w:t xml:space="preserve">September 2021. This second phase consultation focused on the envisaged content of possible</w:t>
      </w:r>
      <w:r>
        <w:t xml:space="preserve"> </w:t>
      </w:r>
      <w:r>
        <w:t xml:space="preserve">proposals, as required under the Treaty.</w:t>
      </w:r>
      <w:r>
        <w:t xml:space="preserve"> </w:t>
      </w:r>
      <w:r>
        <w:t xml:space="preserve">Workers’ organisations</w:t>
      </w:r>
      <w:r>
        <w:t xml:space="preserve"> </w:t>
      </w:r>
      <w:r>
        <w:t xml:space="preserve">The ETUC replied to the second phase consultation. They recognised the importance of further</w:t>
      </w:r>
      <w:r>
        <w:t xml:space="preserve"> </w:t>
      </w:r>
      <w:r>
        <w:t xml:space="preserve">improving the protection of workers from exposure to lead and diisocyanates and support binding</w:t>
      </w:r>
      <w:r>
        <w:t xml:space="preserve"> </w:t>
      </w:r>
      <w:r>
        <w:t xml:space="preserve">action via the revision of the Directives.</w:t>
      </w:r>
      <w:r>
        <w:t xml:space="preserve"> </w:t>
      </w:r>
      <w:r>
        <w:t xml:space="preserve">Having already answered the first phase consultation, they reconfirmed their statements.</w:t>
      </w:r>
      <w:r>
        <w:t xml:space="preserve"> </w:t>
      </w:r>
      <w:r>
        <w:t xml:space="preserve">They do not see the need to enter negotiations under Article 155 TFEU to make progress on this.</w:t>
      </w:r>
      <w:r>
        <w:t xml:space="preserve"> </w:t>
      </w:r>
      <w:r>
        <w:t xml:space="preserve">Employers’ organisations</w:t>
      </w:r>
      <w:r>
        <w:t xml:space="preserve"> </w:t>
      </w:r>
      <w:r>
        <w:t xml:space="preserve">Business Europe and the Shipyards’ &amp; Maritime Equipment Association of Europe (SEA Europe)</w:t>
      </w:r>
      <w:r>
        <w:t xml:space="preserve"> </w:t>
      </w:r>
      <w:r>
        <w:t xml:space="preserve">replied to the second phase consultation.</w:t>
      </w:r>
      <w:r>
        <w:t xml:space="preserve"> </w:t>
      </w:r>
      <w:r>
        <w:t xml:space="preserve">Business Europe, having already answered the first phase consultation, reconfirmed their statements.</w:t>
      </w:r>
      <w:r>
        <w:t xml:space="preserve"> </w:t>
      </w:r>
      <w:r>
        <w:t xml:space="preserve">SEA Europe stated that diisocyanates are rarely used in their industry and if they could be no longer</w:t>
      </w:r>
      <w:r>
        <w:t xml:space="preserve"> </w:t>
      </w:r>
      <w:r>
        <w:t xml:space="preserve">used, they would find an alternative substance.</w:t>
      </w:r>
      <w:r>
        <w:t xml:space="preserve"> </w:t>
      </w:r>
      <w:r>
        <w:t xml:space="preserve">They considered that the existing preparatory procedures already involve social partners and that the</w:t>
      </w:r>
      <w:r>
        <w:t xml:space="preserve"> </w:t>
      </w:r>
      <w:r>
        <w:t xml:space="preserve">ACSH is the right place for dialogue with social partners, jointly with governments, on the next steps in</w:t>
      </w:r>
      <w:r>
        <w:t xml:space="preserve"> </w:t>
      </w:r>
      <w:r>
        <w:t xml:space="preserve">the process. Therefore, they do not want to launch a negotiation procedure pursuant Article 155 TFEU.</w:t>
      </w:r>
    </w:p>
    <w:p>
      <w:pPr>
        <w:pStyle w:val="Compact"/>
        <w:numPr>
          <w:ilvl w:val="0"/>
          <w:numId w:val="1012"/>
        </w:numPr>
      </w:pPr>
      <w:r>
        <w:t xml:space="preserve">CONSULTATION OF THE ACSH/WPC</w:t>
      </w:r>
    </w:p>
    <w:p>
      <w:pPr>
        <w:pStyle w:val="FirstParagraph"/>
      </w:pPr>
      <w:r>
        <w:t xml:space="preserve">60</w:t>
      </w:r>
    </w:p>
    <w:p>
      <w:pPr>
        <w:pStyle w:val="BodyText"/>
      </w:pPr>
      <w:r>
        <w:t xml:space="preserve">The Advisory Committee on Safety and Health at Work (ACSH) adopted, on 24 November 2021, an</w:t>
      </w:r>
      <w:r>
        <w:t xml:space="preserve"> </w:t>
      </w:r>
      <w:r>
        <w:t xml:space="preserve">opinion on lead for an EU binding OEL and a binding BLV under CAD (now CMRD), and an opinion</w:t>
      </w:r>
      <w:r>
        <w:t xml:space="preserve"> </w:t>
      </w:r>
      <w:r>
        <w:t xml:space="preserve">on diisocyanates for a binding OEL and STEL under CAD.</w:t>
      </w:r>
      <w:r>
        <w:br/>
      </w:r>
      <w:r>
        <w:t xml:space="preserve">Lead</w:t>
      </w:r>
      <w:r>
        <w:t xml:space="preserve"> </w:t>
      </w:r>
      <w:r>
        <w:t xml:space="preserve">Although there is consensus agreement on the need to substantially revise downwards the existing</w:t>
      </w:r>
      <w:r>
        <w:t xml:space="preserve"> </w:t>
      </w:r>
      <w:r>
        <w:t xml:space="preserve">binding OEL set at 0.15mg/m3 and BLV set at 70µg Pb/100ml blood for lead, to better protect workers’</w:t>
      </w:r>
      <w:r>
        <w:t xml:space="preserve"> </w:t>
      </w:r>
      <w:r>
        <w:t xml:space="preserve">health and safety, taking into account scientific and technical developments since the current OEL and</w:t>
      </w:r>
      <w:r>
        <w:t xml:space="preserve"> </w:t>
      </w:r>
      <w:r>
        <w:t xml:space="preserve">BLV were first adopted in 1982. No consensus was reached on the limit value to be proposed. Whilst</w:t>
      </w:r>
      <w:r>
        <w:t xml:space="preserve"> </w:t>
      </w:r>
      <w:r>
        <w:t xml:space="preserve">the Governments’ and Employers’ Interest Groups supported a BLV of 15µg/100 ml, the Workers’</w:t>
      </w:r>
      <w:r>
        <w:t xml:space="preserve"> </w:t>
      </w:r>
      <w:r>
        <w:t xml:space="preserve">Interest Group favoured a limit value of 4.5µg/100 ml. The differing views are presented below.</w:t>
      </w:r>
    </w:p>
    <w:p>
      <w:pPr>
        <w:pStyle w:val="BodyText"/>
      </w:pPr>
      <w:r>
        <w:t xml:space="preserve">Table 1: Views of the ACSH/WPC per interest group</w:t>
      </w:r>
      <w:r>
        <w:t xml:space="preserve"> </w:t>
      </w:r>
      <w:r>
        <w:t xml:space="preserve">ACSH</w:t>
      </w:r>
      <w:r>
        <w:t xml:space="preserve"> </w:t>
      </w:r>
      <w:r>
        <w:t xml:space="preserve">INTEREST</w:t>
      </w:r>
      <w:r>
        <w:t xml:space="preserve"> </w:t>
      </w:r>
      <w:r>
        <w:t xml:space="preserve">GROUP</w:t>
      </w:r>
      <w:r>
        <w:t xml:space="preserve"> </w:t>
      </w:r>
      <w:r>
        <w:t xml:space="preserve">OEL LIMIT VALUES</w:t>
      </w:r>
      <w:r>
        <w:t xml:space="preserve"> </w:t>
      </w:r>
      <w:r>
        <w:t xml:space="preserve">BIOLOGICAL LIMIT VALUE</w:t>
      </w:r>
      <w:r>
        <w:t xml:space="preserve"> </w:t>
      </w:r>
      <w:r>
        <w:t xml:space="preserve">Transitional</w:t>
      </w:r>
      <w:r>
        <w:t xml:space="preserve"> </w:t>
      </w:r>
      <w:r>
        <w:t xml:space="preserve">measures</w:t>
      </w:r>
      <w:r>
        <w:t xml:space="preserve"> </w:t>
      </w:r>
      <w:r>
        <w:t xml:space="preserve">8 hours</w:t>
      </w:r>
      <w:r>
        <w:t xml:space="preserve"> </w:t>
      </w:r>
      <w:r>
        <w:t xml:space="preserve">Short-term</w:t>
      </w:r>
    </w:p>
    <w:p>
      <w:pPr>
        <w:pStyle w:val="BodyText"/>
      </w:pPr>
      <w:r>
        <w:t xml:space="preserve">mg/m3</w:t>
      </w:r>
      <w:r>
        <w:t xml:space="preserve"> </w:t>
      </w:r>
      <w:r>
        <w:t xml:space="preserve">ppm</w:t>
      </w:r>
      <w:r>
        <w:t xml:space="preserve"> </w:t>
      </w:r>
      <w:r>
        <w:t xml:space="preserve">mg/m3</w:t>
      </w:r>
      <w:r>
        <w:t xml:space="preserve"> </w:t>
      </w:r>
      <w:r>
        <w:t xml:space="preserve">ppm</w:t>
      </w:r>
    </w:p>
    <w:p>
      <w:pPr>
        <w:pStyle w:val="BodyText"/>
      </w:pPr>
      <w:r>
        <w:t xml:space="preserve">GIG</w:t>
      </w:r>
      <w:r>
        <w:t xml:space="preserve"> </w:t>
      </w:r>
      <w:r>
        <w:t xml:space="preserve">0.031)</w:t>
      </w:r>
    </w:p>
    <w:p>
      <w:pPr>
        <w:pStyle w:val="Compact"/>
        <w:numPr>
          <w:ilvl w:val="0"/>
          <w:numId w:val="1013"/>
        </w:numPr>
      </w:pPr>
      <w:r>
        <w:t xml:space="preserve">15 µg Pb/100ml blood 1)</w:t>
      </w:r>
    </w:p>
    <w:p>
      <w:pPr>
        <w:pStyle w:val="FirstParagraph"/>
      </w:pPr>
      <w:r>
        <w:t xml:space="preserve">EIG</w:t>
      </w:r>
      <w:r>
        <w:t xml:space="preserve"> </w:t>
      </w:r>
      <w:r>
        <w:t xml:space="preserve">0.051)</w:t>
      </w:r>
    </w:p>
    <w:p>
      <w:pPr>
        <w:numPr>
          <w:ilvl w:val="0"/>
          <w:numId w:val="1014"/>
        </w:numPr>
      </w:pPr>
      <w:r>
        <w:t xml:space="preserve">15 µg Pb/100ml blood</w:t>
      </w:r>
      <w:r>
        <w:t xml:space="preserve"> </w:t>
      </w:r>
      <w:r>
        <w:t xml:space="preserve">Until 5 years after</w:t>
      </w:r>
      <w:r>
        <w:t xml:space="preserve"> </w:t>
      </w:r>
      <w:r>
        <w:t xml:space="preserve">entry into force a</w:t>
      </w:r>
      <w:r>
        <w:t xml:space="preserve"> </w:t>
      </w:r>
      <w:r>
        <w:t xml:space="preserve">BLV</w:t>
      </w:r>
      <w:r>
        <w:t xml:space="preserve"> </w:t>
      </w:r>
      <w:r>
        <w:t xml:space="preserve">of</w:t>
      </w:r>
      <w:r>
        <w:t xml:space="preserve"> </w:t>
      </w:r>
      <w:r>
        <w:t xml:space="preserve">20</w:t>
      </w:r>
      <w:r>
        <w:t xml:space="preserve"> </w:t>
      </w:r>
      <w:r>
        <w:t xml:space="preserve">µg</w:t>
      </w:r>
      <w:r>
        <w:t xml:space="preserve"> </w:t>
      </w:r>
      <w:r>
        <w:t xml:space="preserve">Pb/100ml applies.</w:t>
      </w:r>
      <w:r>
        <w:br/>
      </w:r>
      <w:r>
        <w:t xml:space="preserve">Sites engaged in the</w:t>
      </w:r>
      <w:r>
        <w:t xml:space="preserve"> </w:t>
      </w:r>
      <w:r>
        <w:t xml:space="preserve">processing of lead</w:t>
      </w:r>
      <w:r>
        <w:t xml:space="preserve"> </w:t>
      </w:r>
      <w:r>
        <w:t xml:space="preserve">ores</w:t>
      </w:r>
      <w:r>
        <w:t xml:space="preserve"> </w:t>
      </w:r>
      <w:r>
        <w:t xml:space="preserve">and</w:t>
      </w:r>
      <w:r>
        <w:t xml:space="preserve"> </w:t>
      </w:r>
      <w:r>
        <w:t xml:space="preserve">concentrates</w:t>
      </w:r>
      <w:r>
        <w:t xml:space="preserve"> </w:t>
      </w:r>
      <w:r>
        <w:t xml:space="preserve">(’Primary</w:t>
      </w:r>
      <w:r>
        <w:t xml:space="preserve"> </w:t>
      </w:r>
      <w:r>
        <w:t xml:space="preserve">Lead</w:t>
      </w:r>
      <w:r>
        <w:t xml:space="preserve"> </w:t>
      </w:r>
      <w:r>
        <w:t xml:space="preserve">Producers‘) receive</w:t>
      </w:r>
      <w:r>
        <w:t xml:space="preserve"> </w:t>
      </w:r>
      <w:r>
        <w:t xml:space="preserve">an extra transition</w:t>
      </w:r>
      <w:r>
        <w:t xml:space="preserve"> </w:t>
      </w:r>
      <w:r>
        <w:t xml:space="preserve">time of 3 years to</w:t>
      </w:r>
      <w:r>
        <w:t xml:space="preserve"> </w:t>
      </w:r>
      <w:r>
        <w:t xml:space="preserve">reach the BLV of 15</w:t>
      </w:r>
      <w:r>
        <w:t xml:space="preserve"> </w:t>
      </w:r>
      <w:r>
        <w:t xml:space="preserve">µg Pb/100ml blood</w:t>
      </w:r>
      <w:r>
        <w:t xml:space="preserve"> </w:t>
      </w:r>
      <w:r>
        <w:t xml:space="preserve">WIG</w:t>
      </w:r>
      <w:r>
        <w:t xml:space="preserve"> </w:t>
      </w:r>
      <w:r>
        <w:t xml:space="preserve">0.004</w:t>
      </w:r>
    </w:p>
    <w:p>
      <w:pPr>
        <w:numPr>
          <w:ilvl w:val="0"/>
          <w:numId w:val="1014"/>
        </w:numPr>
      </w:pPr>
      <w:r>
        <w:t xml:space="preserve">4.5 µg Pb/100ml blood</w:t>
      </w:r>
    </w:p>
    <w:p>
      <w:pPr>
        <w:pStyle w:val="Compact"/>
        <w:numPr>
          <w:ilvl w:val="0"/>
          <w:numId w:val="1015"/>
        </w:numPr>
      </w:pPr>
      <w:r>
        <w:t xml:space="preserve">Exposure of fertile women to lead should be avoided or minimised in the workplace because the BLV</w:t>
      </w:r>
      <w:r>
        <w:t xml:space="preserve"> </w:t>
      </w:r>
      <w:r>
        <w:t xml:space="preserve">for lead does not protect offspring of women of childbearing age. The blood lead level in women of</w:t>
      </w:r>
      <w:r>
        <w:t xml:space="preserve"> </w:t>
      </w:r>
      <w:r>
        <w:t xml:space="preserve">childbearing age should not exceed the (95 percentile) reference values of the general population not</w:t>
      </w:r>
      <w:r>
        <w:t xml:space="preserve"> </w:t>
      </w:r>
      <w:r>
        <w:t xml:space="preserve">occupationally exposed to lead in the respective EU country. Higher blood lead levels are an indicator</w:t>
      </w:r>
      <w:r>
        <w:t xml:space="preserve"> </w:t>
      </w:r>
      <w:r>
        <w:t xml:space="preserve">of potentially exceeded occupational exposure and should be followed up by an occupational hygiene</w:t>
      </w:r>
      <w:r>
        <w:t xml:space="preserve"> </w:t>
      </w:r>
      <w:r>
        <w:t xml:space="preserve">expert. When national reference levels are not available, blood lead levels in women of childbearing</w:t>
      </w:r>
      <w:r>
        <w:t xml:space="preserve"> </w:t>
      </w:r>
      <w:r>
        <w:t xml:space="preserve">age should not exceed the Biological Guidance Value (BGV) of 45 μg/L, the maximal European</w:t>
      </w:r>
      <w:r>
        <w:t xml:space="preserve"> </w:t>
      </w:r>
      <w:r>
        <w:t xml:space="preserve">reference value.</w:t>
      </w:r>
      <w:r>
        <w:t xml:space="preserve"> </w:t>
      </w:r>
      <w:r>
        <w:t xml:space="preserve">Diisocyanates</w:t>
      </w:r>
      <w:r>
        <w:t xml:space="preserve"> </w:t>
      </w:r>
      <w:r>
        <w:t xml:space="preserve">There is consensus agreement on the need to adopt a binding OEL and STEL under CAD to be set at:</w:t>
      </w:r>
      <w:r>
        <w:t xml:space="preserve"> </w:t>
      </w:r>
      <w:r>
        <w:t xml:space="preserve">Table 2: Consensus of the ACSH/WPC on diisocyanates</w:t>
      </w:r>
    </w:p>
    <w:p>
      <w:pPr>
        <w:pStyle w:val="FirstParagraph"/>
      </w:pPr>
      <w:r>
        <w:t xml:space="preserve">61</w:t>
      </w:r>
    </w:p>
    <w:p>
      <w:pPr>
        <w:pStyle w:val="BodyText"/>
      </w:pPr>
      <w:r>
        <w:t xml:space="preserve">NAME OF THE</w:t>
      </w:r>
      <w:r>
        <w:t xml:space="preserve"> </w:t>
      </w:r>
      <w:r>
        <w:t xml:space="preserve">CHEMICAL</w:t>
      </w:r>
      <w:r>
        <w:t xml:space="preserve"> </w:t>
      </w:r>
      <w:r>
        <w:t xml:space="preserve">AGENT</w:t>
      </w:r>
      <w:r>
        <w:t xml:space="preserve"> </w:t>
      </w:r>
      <w:r>
        <w:t xml:space="preserve">OEL LIMIT VALUES</w:t>
      </w:r>
      <w:r>
        <w:t xml:space="preserve"> </w:t>
      </w:r>
      <w:r>
        <w:t xml:space="preserve">Notation</w:t>
      </w:r>
      <w:r>
        <w:t xml:space="preserve"> </w:t>
      </w:r>
      <w:r>
        <w:t xml:space="preserve">Transitional</w:t>
      </w:r>
      <w:r>
        <w:t xml:space="preserve"> </w:t>
      </w:r>
      <w:r>
        <w:t xml:space="preserve">measures</w:t>
      </w:r>
      <w:r>
        <w:t xml:space="preserve"> </w:t>
      </w:r>
      <w:r>
        <w:t xml:space="preserve">8 hours</w:t>
      </w:r>
      <w:r>
        <w:t xml:space="preserve"> </w:t>
      </w:r>
      <w:r>
        <w:t xml:space="preserve">Short-term</w:t>
      </w:r>
      <w:r>
        <w:t xml:space="preserve"> </w:t>
      </w:r>
      <w:r>
        <w:t xml:space="preserve">µg</w:t>
      </w:r>
      <w:r>
        <w:t xml:space="preserve"> </w:t>
      </w:r>
      <w:r>
        <w:t xml:space="preserve">NCO/m3</w:t>
      </w:r>
      <w:r>
        <w:t xml:space="preserve"> </w:t>
      </w:r>
      <w:r>
        <w:t xml:space="preserve">ppm</w:t>
      </w:r>
      <w:r>
        <w:t xml:space="preserve"> </w:t>
      </w:r>
      <w:r>
        <w:t xml:space="preserve">µg</w:t>
      </w:r>
      <w:r>
        <w:t xml:space="preserve"> </w:t>
      </w:r>
      <w:r>
        <w:t xml:space="preserve">NCO/m3</w:t>
      </w:r>
      <w:r>
        <w:t xml:space="preserve"> </w:t>
      </w:r>
      <w:r>
        <w:t xml:space="preserve">ppm</w:t>
      </w:r>
      <w:r>
        <w:t xml:space="preserve"> </w:t>
      </w:r>
      <w:r>
        <w:t xml:space="preserve">Diisocyanates, O</w:t>
      </w:r>
      <w:r>
        <w:t xml:space="preserve"> </w:t>
      </w:r>
      <w:r>
        <w:t xml:space="preserve">= C=N-R-N =</w:t>
      </w:r>
      <w:r>
        <w:t xml:space="preserve"> </w:t>
      </w:r>
      <w:r>
        <w:t xml:space="preserve">C=O, with R an</w:t>
      </w:r>
      <w:r>
        <w:t xml:space="preserve"> </w:t>
      </w:r>
      <w:r>
        <w:t xml:space="preserve">aliphatic or</w:t>
      </w:r>
      <w:r>
        <w:t xml:space="preserve"> </w:t>
      </w:r>
      <w:r>
        <w:t xml:space="preserve">aromatic</w:t>
      </w:r>
      <w:r>
        <w:t xml:space="preserve"> </w:t>
      </w:r>
      <w:r>
        <w:t xml:space="preserve">hydrocarbon unit</w:t>
      </w:r>
      <w:r>
        <w:t xml:space="preserve"> </w:t>
      </w:r>
      <w:r>
        <w:t xml:space="preserve">of unspecified</w:t>
      </w:r>
      <w:r>
        <w:t xml:space="preserve"> </w:t>
      </w:r>
      <w:r>
        <w:t xml:space="preserve">length</w:t>
      </w:r>
      <w:r>
        <w:t xml:space="preserve"> </w:t>
      </w:r>
      <w:r>
        <w:t xml:space="preserve">6</w:t>
      </w:r>
    </w:p>
    <w:bookmarkStart w:id="9" w:name="section"/>
    <w:p>
      <w:pPr>
        <w:pStyle w:val="Heading2"/>
      </w:pPr>
      <w:r>
        <w:t xml:space="preserve">12</w:t>
      </w:r>
    </w:p>
    <w:p>
      <w:pPr>
        <w:pStyle w:val="FirstParagraph"/>
      </w:pPr>
      <w:r>
        <w:t xml:space="preserve">Dermal and respiratory</w:t>
      </w:r>
      <w:r>
        <w:t xml:space="preserve"> </w:t>
      </w:r>
      <w:r>
        <w:t xml:space="preserve">sensitization, Skin</w:t>
      </w:r>
      <w:r>
        <w:t xml:space="preserve"> </w:t>
      </w:r>
      <w:r>
        <w:t xml:space="preserve">20 µg NCO /m3 as</w:t>
      </w:r>
      <w:r>
        <w:t xml:space="preserve"> </w:t>
      </w:r>
      <w:r>
        <w:t xml:space="preserve">STEL and 10 µg</w:t>
      </w:r>
      <w:r>
        <w:t xml:space="preserve"> </w:t>
      </w:r>
      <w:r>
        <w:t xml:space="preserve">NCO /m3 as TWA</w:t>
      </w:r>
      <w:r>
        <w:t xml:space="preserve"> </w:t>
      </w:r>
      <w:r>
        <w:t xml:space="preserve">till 2029</w:t>
      </w:r>
    </w:p>
    <w:p>
      <w:pPr>
        <w:pStyle w:val="Compact"/>
        <w:numPr>
          <w:ilvl w:val="0"/>
          <w:numId w:val="1016"/>
        </w:numPr>
      </w:pPr>
      <w:r>
        <w:t xml:space="preserve">CONSULTATION OF OTHER STAKEHOLDERS</w:t>
      </w:r>
      <w:r>
        <w:t xml:space="preserve"> </w:t>
      </w:r>
      <w:r>
        <w:t xml:space="preserve">In the context of the external study, consultation activities have been carried out to collect detailed</w:t>
      </w:r>
      <w:r>
        <w:t xml:space="preserve"> </w:t>
      </w:r>
      <w:r>
        <w:t xml:space="preserve">information on the potential impacts of modifications to the CAD and CMRD that is not available in</w:t>
      </w:r>
      <w:r>
        <w:t xml:space="preserve"> </w:t>
      </w:r>
      <w:r>
        <w:t xml:space="preserve">published literature and internet searches. Although some information on OELs, STELs and BLVs is</w:t>
      </w:r>
      <w:r>
        <w:t xml:space="preserve"> </w:t>
      </w:r>
      <w:r>
        <w:t xml:space="preserve">available, limited information is available on the specific concrete risk management measures already in</w:t>
      </w:r>
      <w:r>
        <w:t xml:space="preserve"> </w:t>
      </w:r>
      <w:r>
        <w:t xml:space="preserve">place, as well as those that would need to be implemented, should the proposed new and revised limits</w:t>
      </w:r>
      <w:r>
        <w:t xml:space="preserve"> </w:t>
      </w:r>
      <w:r>
        <w:t xml:space="preserve">be introduced.</w:t>
      </w:r>
      <w:r>
        <w:br/>
      </w:r>
      <w:r>
        <w:t xml:space="preserve">The consultation aimed at gathering primarily factual information (e.g., on the existing Risk</w:t>
      </w:r>
      <w:r>
        <w:t xml:space="preserve"> </w:t>
      </w:r>
      <w:r>
        <w:t xml:space="preserve">Management Measures), which was then used to develop an accurate baseline scenario and outline</w:t>
      </w:r>
      <w:r>
        <w:t xml:space="preserve"> </w:t>
      </w:r>
      <w:r>
        <w:t xml:space="preserve">preliminary stakeholder views on the possible limit values and the consequences they could have for</w:t>
      </w:r>
      <w:r>
        <w:t xml:space="preserve"> </w:t>
      </w:r>
      <w:r>
        <w:t xml:space="preserve">companies, for example, on the initial investment needed and the recurrent costs that could be expected.</w:t>
      </w:r>
      <w:r>
        <w:t xml:space="preserve"> </w:t>
      </w:r>
      <w:r>
        <w:t xml:space="preserve">The information sought via consultation covered multiple factors, such as sizes of companies, sectors</w:t>
      </w:r>
      <w:r>
        <w:t xml:space="preserve"> </w:t>
      </w:r>
      <w:r>
        <w:t xml:space="preserve">and processes that would be affected, number of workers exposed, annual company turnover, the</w:t>
      </w:r>
      <w:r>
        <w:t xml:space="preserve"> </w:t>
      </w:r>
      <w:r>
        <w:t xml:space="preserve">specific substances related to their activities and the current air concentrations of substances concerned</w:t>
      </w:r>
      <w:r>
        <w:t xml:space="preserve"> </w:t>
      </w:r>
      <w:r>
        <w:t xml:space="preserve">(both 8-hour time weighted averages (8-h TWA) and 15-minutes reference periods), results of</w:t>
      </w:r>
      <w:r>
        <w:t xml:space="preserve"> </w:t>
      </w:r>
      <w:r>
        <w:t xml:space="preserve">biological monitoring, risk management measures currently in place, as well as risk management</w:t>
      </w:r>
      <w:r>
        <w:t xml:space="preserve"> </w:t>
      </w:r>
      <w:r>
        <w:t xml:space="preserve">measures that would need to be implemented should the OEL, and BLV for lead be revised and an OEL</w:t>
      </w:r>
      <w:r>
        <w:t xml:space="preserve"> </w:t>
      </w:r>
      <w:r>
        <w:t xml:space="preserve">and STEL for diisocyanates be introduced, together with associated costs. The consultation also sought</w:t>
      </w:r>
      <w:r>
        <w:t xml:space="preserve"> </w:t>
      </w:r>
      <w:r>
        <w:t xml:space="preserve">companies’ views on hypothetical future limit values, to obtain an anticipated estimate of the cost range</w:t>
      </w:r>
      <w:r>
        <w:t xml:space="preserve"> </w:t>
      </w:r>
      <w:r>
        <w:t xml:space="preserve">for any additional Risk Management Measures that would be necessary. Consequently, input from the</w:t>
      </w:r>
      <w:r>
        <w:t xml:space="preserve"> </w:t>
      </w:r>
      <w:r>
        <w:t xml:space="preserve">industry strongly fed into the cost calculations.</w:t>
      </w:r>
    </w:p>
    <w:p>
      <w:pPr>
        <w:pStyle w:val="FirstParagraph"/>
      </w:pPr>
      <w:r>
        <w:t xml:space="preserve">The consultation carried out for the purposes of the study consisted of the following main activities:</w:t>
      </w:r>
      <w:r>
        <w:t xml:space="preserve"> </w:t>
      </w:r>
      <w:r>
        <w:t xml:space="preserve"></w:t>
      </w:r>
      <w:r>
        <w:t xml:space="preserve"> </w:t>
      </w:r>
      <w:r>
        <w:t xml:space="preserve">Questionnaires;</w:t>
      </w:r>
      <w:r>
        <w:t xml:space="preserve"> </w:t>
      </w:r>
      <w:r>
        <w:t xml:space="preserve"></w:t>
      </w:r>
      <w:r>
        <w:t xml:space="preserve"> </w:t>
      </w:r>
      <w:r>
        <w:t xml:space="preserve">Email requests (possibly in combination with questionnaires);</w:t>
      </w:r>
      <w:r>
        <w:t xml:space="preserve"> </w:t>
      </w:r>
      <w:r>
        <w:t xml:space="preserve"></w:t>
      </w:r>
      <w:r>
        <w:t xml:space="preserve"> </w:t>
      </w:r>
      <w:r>
        <w:t xml:space="preserve">Telephone interviews;</w:t>
      </w:r>
      <w:r>
        <w:t xml:space="preserve"> </w:t>
      </w:r>
      <w:r>
        <w:t xml:space="preserve"></w:t>
      </w:r>
      <w:r>
        <w:t xml:space="preserve"> </w:t>
      </w:r>
      <w:r>
        <w:t xml:space="preserve">Site visits.</w:t>
      </w:r>
      <w:r>
        <w:t xml:space="preserve"> </w:t>
      </w:r>
      <w:r>
        <w:t xml:space="preserve">Mixed methods (combining e.g., questionnaire responses with telephone interviews and site visits) were</w:t>
      </w:r>
      <w:r>
        <w:t xml:space="preserve"> </w:t>
      </w:r>
      <w:r>
        <w:t xml:space="preserve">adopted to ensure that a large number of organisations and individuals were able to provide data and</w:t>
      </w:r>
      <w:r>
        <w:t xml:space="preserve"> </w:t>
      </w:r>
      <w:r>
        <w:t xml:space="preserve">provide their views within the time constraints and resource limits. Using mixed methods also enabled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the study team to gather varying details of information and to explore information further where the</w:t>
      </w:r>
      <w:r>
        <w:t xml:space="preserve"> </w:t>
      </w:r>
      <w:r>
        <w:t xml:space="preserve">need arose.</w:t>
      </w:r>
      <w:r>
        <w:t xml:space="preserve"> </w:t>
      </w:r>
      <w:r>
        <w:t xml:space="preserve">3.1. Targeted Online Questionnaires</w:t>
      </w:r>
      <w:r>
        <w:t xml:space="preserve"> </w:t>
      </w:r>
      <w:r>
        <w:t xml:space="preserve">Stakeholders were initially contacted via email. The e-mail provided an overview of the study and a link</w:t>
      </w:r>
      <w:r>
        <w:t xml:space="preserve"> </w:t>
      </w:r>
      <w:r>
        <w:t xml:space="preserve">to the questionnaires. Stakeholders were also able to download a PDF version of the questionnaire via</w:t>
      </w:r>
      <w:r>
        <w:t xml:space="preserve"> </w:t>
      </w:r>
      <w:r>
        <w:t xml:space="preserve">the website if they preferred (so that it could be shared among several colleagues, for example).</w:t>
      </w:r>
      <w:r>
        <w:t xml:space="preserve"> </w:t>
      </w:r>
      <w:r>
        <w:t xml:space="preserve">Three separate questionnaires were drawn up, each one created to gather information from different</w:t>
      </w:r>
      <w:r>
        <w:t xml:space="preserve"> </w:t>
      </w:r>
      <w:r>
        <w:t xml:space="preserve">stakeholder groups:</w:t>
      </w:r>
      <w:r>
        <w:t xml:space="preserve"> </w:t>
      </w:r>
      <w:r>
        <w:t xml:space="preserve"></w:t>
      </w:r>
      <w:r>
        <w:t xml:space="preserve"> </w:t>
      </w:r>
      <w:r>
        <w:t xml:space="preserve">Questionnaire 1 was aimed at companies whose workers were exposed to lead and/or</w:t>
      </w:r>
      <w:r>
        <w:t xml:space="preserve"> </w:t>
      </w:r>
      <w:r>
        <w:t xml:space="preserve">diisocyanates;</w:t>
      </w:r>
      <w:r>
        <w:t xml:space="preserve"> </w:t>
      </w:r>
      <w:r>
        <w:t xml:space="preserve"></w:t>
      </w:r>
      <w:r>
        <w:t xml:space="preserve"> </w:t>
      </w:r>
      <w:r>
        <w:t xml:space="preserve">Questionnaire 2 was aimed at occupational health and safety experts; and</w:t>
      </w:r>
      <w:r>
        <w:br/>
      </w:r>
      <w:r>
        <w:t xml:space="preserve"></w:t>
      </w:r>
      <w:r>
        <w:t xml:space="preserve"> </w:t>
      </w:r>
      <w:r>
        <w:t xml:space="preserve">Questionnaire 3 was aimed at Member State authorities.</w:t>
      </w:r>
      <w:r>
        <w:br/>
      </w:r>
      <w:r>
        <w:t xml:space="preserve">Specific values were established for the purposes of the stakeholder consultation. The specific values</w:t>
      </w:r>
      <w:r>
        <w:t xml:space="preserve"> </w:t>
      </w:r>
      <w:r>
        <w:t xml:space="preserve">function as reference points to the consultees, who may otherwise have found it impossible to provide</w:t>
      </w:r>
      <w:r>
        <w:t xml:space="preserve"> </w:t>
      </w:r>
      <w:r>
        <w:t xml:space="preserve">data on the costs of the measures being considered.</w:t>
      </w:r>
      <w:r>
        <w:br/>
      </w:r>
      <w:r>
        <w:t xml:space="preserve">The questions aimed to collect information on processes during which worker exposure to the</w:t>
      </w:r>
      <w:r>
        <w:t xml:space="preserve"> </w:t>
      </w:r>
      <w:r>
        <w:t xml:space="preserve">substances in question is likely to occur, risk management measures that are already in place, current</w:t>
      </w:r>
      <w:r>
        <w:t xml:space="preserve"> </w:t>
      </w:r>
      <w:r>
        <w:t xml:space="preserve">exposure concentrations, risk management measures that would need to be implemented should the</w:t>
      </w:r>
      <w:r>
        <w:t xml:space="preserve"> </w:t>
      </w:r>
      <w:r>
        <w:t xml:space="preserve">limit values for lead be lowered, and limit values for diisocyanates be introduced and any other impacts</w:t>
      </w:r>
      <w:r>
        <w:t xml:space="preserve"> </w:t>
      </w:r>
      <w:r>
        <w:t xml:space="preserve">that could result from these new and revised limit values at EU level.</w:t>
      </w:r>
      <w:r>
        <w:t xml:space="preserve"> </w:t>
      </w:r>
      <w:r>
        <w:t xml:space="preserve">Although many of the responses provided a significant amount of useful information, many of them</w:t>
      </w:r>
      <w:r>
        <w:t xml:space="preserve"> </w:t>
      </w:r>
      <w:r>
        <w:t xml:space="preserve">were not sufficiently detailed. Other methods of consultation, allowing experts to question and probe</w:t>
      </w:r>
      <w:r>
        <w:t xml:space="preserve"> </w:t>
      </w:r>
      <w:r>
        <w:t xml:space="preserve">answers further (namely telephone interviews and site visits), were therefore required to obtain a more</w:t>
      </w:r>
      <w:r>
        <w:t xml:space="preserve"> </w:t>
      </w:r>
      <w:r>
        <w:t xml:space="preserve">in-depth understanding of the potential impacts. This includes the below follow-ups.</w:t>
      </w:r>
      <w:r>
        <w:t xml:space="preserve"> </w:t>
      </w:r>
      <w:r>
        <w:t xml:space="preserve">3.2. Telephone interviews</w:t>
      </w:r>
      <w:r>
        <w:t xml:space="preserve"> </w:t>
      </w:r>
      <w:r>
        <w:t xml:space="preserve">Both national experts and substance experts were activated for the purposes of the telephone interviews.</w:t>
      </w:r>
      <w:r>
        <w:t xml:space="preserve"> </w:t>
      </w:r>
      <w:r>
        <w:t xml:space="preserve">Telephone interviews were asked for in the online questionnaires as well as through direct email and</w:t>
      </w:r>
      <w:r>
        <w:t xml:space="preserve"> </w:t>
      </w:r>
      <w:r>
        <w:t xml:space="preserve">phone contact.</w:t>
      </w:r>
      <w:r>
        <w:br/>
      </w:r>
      <w:r>
        <w:t xml:space="preserve">The purpose of the telephone interviews was to gain more insight into the answers provided in response</w:t>
      </w:r>
      <w:r>
        <w:t xml:space="preserve"> </w:t>
      </w:r>
      <w:r>
        <w:t xml:space="preserve">to the questionnaires. It enabled the collection of more detailed information on processes, to pinpoint</w:t>
      </w:r>
      <w:r>
        <w:t xml:space="preserve"> </w:t>
      </w:r>
      <w:r>
        <w:t xml:space="preserve">exactly where exposure is likely to occur, investigating what types of risk management measures are</w:t>
      </w:r>
      <w:r>
        <w:t xml:space="preserve"> </w:t>
      </w:r>
      <w:r>
        <w:t xml:space="preserve">already in place and how effective they are, as well as what risk management measures would be</w:t>
      </w:r>
      <w:r>
        <w:t xml:space="preserve"> </w:t>
      </w:r>
      <w:r>
        <w:t xml:space="preserve">required if the existing limits for lead were lowered, and limits introduced for the first time for</w:t>
      </w:r>
      <w:r>
        <w:t xml:space="preserve"> </w:t>
      </w:r>
      <w:r>
        <w:t xml:space="preserve">diisocyanates and other potential ramifications for the company.</w:t>
      </w:r>
      <w:r>
        <w:t xml:space="preserve"> </w:t>
      </w:r>
      <w:r>
        <w:t xml:space="preserve">3.3. Email requests</w:t>
      </w:r>
      <w:r>
        <w:t xml:space="preserve"> </w:t>
      </w:r>
      <w:r>
        <w:t xml:space="preserve">As supplement to the interviews, various information was obtained by email requests. The purpose and</w:t>
      </w:r>
      <w:r>
        <w:t xml:space="preserve"> </w:t>
      </w:r>
      <w:r>
        <w:t xml:space="preserve">questions were similar to those explained above for telephone interviews.</w:t>
      </w:r>
      <w:r>
        <w:t xml:space="preserve"> </w:t>
      </w:r>
      <w:r>
        <w:t xml:space="preserve">3.4. Site visits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Companies whose activities are likely to be affected by the potential modifications to the CAD and</w:t>
      </w:r>
      <w:r>
        <w:t xml:space="preserve"> </w:t>
      </w:r>
      <w:r>
        <w:t xml:space="preserve">CMRD were also asked whether they would be willing to host a site visit, real or virtual. Companies to</w:t>
      </w:r>
      <w:r>
        <w:t xml:space="preserve"> </w:t>
      </w:r>
      <w:r>
        <w:t xml:space="preserve">be visited were identified via the questionnaire, or the contact was established via EU trade</w:t>
      </w:r>
      <w:r>
        <w:t xml:space="preserve"> </w:t>
      </w:r>
      <w:r>
        <w:t xml:space="preserve">associations.</w:t>
      </w:r>
      <w:r>
        <w:t xml:space="preserve"> </w:t>
      </w:r>
      <w:r>
        <w:t xml:space="preserve">The purpose of the site visits was to obtain a detailed operational understanding of the risk management</w:t>
      </w:r>
      <w:r>
        <w:t xml:space="preserve"> </w:t>
      </w:r>
      <w:r>
        <w:t xml:space="preserve">measures that have already been implemented to protect workers from exposure to lead and</w:t>
      </w:r>
      <w:r>
        <w:t xml:space="preserve"> </w:t>
      </w:r>
      <w:r>
        <w:t xml:space="preserve">disocyanates, as well as of the risk management measures that would be needed, and their associated</w:t>
      </w:r>
      <w:r>
        <w:t xml:space="preserve"> </w:t>
      </w:r>
      <w:r>
        <w:t xml:space="preserve">costs should the limits be reduced.</w:t>
      </w:r>
      <w:r>
        <w:t xml:space="preserve"> </w:t>
      </w:r>
      <w:r>
        <w:t xml:space="preserve">Detailed notes from the site visit were drafted and sent back to the company to ensure that the</w:t>
      </w:r>
      <w:r>
        <w:t xml:space="preserve"> </w:t>
      </w:r>
      <w:r>
        <w:t xml:space="preserve">information recorded was accurate. This process also enabled the company to add more detail and</w:t>
      </w:r>
      <w:r>
        <w:t xml:space="preserve"> </w:t>
      </w:r>
      <w:r>
        <w:t xml:space="preserve">information to the study, where possible, and to confirm the level of confidentiality required to the</w:t>
      </w:r>
      <w:r>
        <w:t xml:space="preserve"> </w:t>
      </w:r>
      <w:r>
        <w:t xml:space="preserve">information.</w:t>
      </w:r>
      <w:r>
        <w:t xml:space="preserve"> </w:t>
      </w:r>
      <w:r>
        <w:t xml:space="preserve">Due to the COVID-19 restrictions in place for the duration of the study, fewer physical site visits took</w:t>
      </w:r>
      <w:r>
        <w:t xml:space="preserve"> </w:t>
      </w:r>
      <w:r>
        <w:t xml:space="preserve">place than for previous studies. Companies were furthermore reluctant to hold virtual site visits due to</w:t>
      </w:r>
      <w:r>
        <w:t xml:space="preserve"> </w:t>
      </w:r>
      <w:r>
        <w:t xml:space="preserve">the confidential nature of the information to be shared.</w:t>
      </w:r>
    </w:p>
    <w:p>
      <w:pPr>
        <w:pStyle w:val="BodyText"/>
      </w:pPr>
      <w:r>
        <w:t xml:space="preserve">3.5. Stakeholders targeted</w:t>
      </w:r>
      <w:r>
        <w:t xml:space="preserve"> </w:t>
      </w:r>
      <w:r>
        <w:t xml:space="preserve">The following table summarises information on stakeholder groups targeted and the interests</w:t>
      </w:r>
      <w:r>
        <w:t xml:space="preserve"> </w:t>
      </w:r>
      <w:r>
        <w:t xml:space="preserve">represented. The table demonstrates that all relevant stakeholder groups have been reached out to.</w:t>
      </w:r>
      <w:r>
        <w:br/>
      </w:r>
      <w:r>
        <w:t xml:space="preserve">Table 3: Stakeholders targeted and interests represented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Interests represented</w:t>
      </w:r>
      <w:r>
        <w:t xml:space="preserve"> </w:t>
      </w:r>
      <w:r>
        <w:t xml:space="preserve">EU Associations</w:t>
      </w:r>
      <w:r>
        <w:t xml:space="preserve"> </w:t>
      </w:r>
      <w:r>
        <w:t xml:space="preserve">Interest of industry</w:t>
      </w:r>
      <w:r>
        <w:t xml:space="preserve"> </w:t>
      </w:r>
      <w:r>
        <w:t xml:space="preserve">MS Authorities</w:t>
      </w:r>
      <w:r>
        <w:t xml:space="preserve"> </w:t>
      </w:r>
      <w:r>
        <w:t xml:space="preserve">Interest of MS authorities</w:t>
      </w:r>
      <w:r>
        <w:t xml:space="preserve"> </w:t>
      </w:r>
      <w:r>
        <w:t xml:space="preserve">Manufacturers/users</w:t>
      </w:r>
      <w:r>
        <w:t xml:space="preserve"> </w:t>
      </w:r>
      <w:r>
        <w:t xml:space="preserve">Interest of industry</w:t>
      </w:r>
      <w:r>
        <w:t xml:space="preserve"> </w:t>
      </w:r>
      <w:r>
        <w:t xml:space="preserve">National industry associations</w:t>
      </w:r>
      <w:r>
        <w:t xml:space="preserve"> </w:t>
      </w:r>
      <w:r>
        <w:t xml:space="preserve">Interest of industry</w:t>
      </w:r>
      <w:r>
        <w:t xml:space="preserve"> </w:t>
      </w:r>
      <w:r>
        <w:t xml:space="preserve">Trade Unions</w:t>
      </w:r>
      <w:r>
        <w:t xml:space="preserve"> </w:t>
      </w:r>
      <w:r>
        <w:t xml:space="preserve">Interest of workers</w:t>
      </w:r>
      <w:r>
        <w:t xml:space="preserve"> </w:t>
      </w:r>
      <w:r>
        <w:t xml:space="preserve">Occupational</w:t>
      </w:r>
      <w:r>
        <w:t xml:space="preserve"> </w:t>
      </w:r>
      <w:r>
        <w:t xml:space="preserve">Health</w:t>
      </w:r>
      <w:r>
        <w:t xml:space="preserve"> </w:t>
      </w:r>
      <w:r>
        <w:t xml:space="preserve">&amp;</w:t>
      </w:r>
      <w:r>
        <w:t xml:space="preserve"> </w:t>
      </w:r>
      <w:r>
        <w:t xml:space="preserve">Safety</w:t>
      </w:r>
      <w:r>
        <w:t xml:space="preserve"> </w:t>
      </w:r>
      <w:r>
        <w:t xml:space="preserve">Professionals</w:t>
      </w:r>
      <w:r>
        <w:t xml:space="preserve"> </w:t>
      </w:r>
      <w:r>
        <w:t xml:space="preserve">No particular interest - contacted in order to obtain</w:t>
      </w:r>
      <w:r>
        <w:t xml:space="preserve"> </w:t>
      </w:r>
      <w:r>
        <w:t xml:space="preserve">scientific information</w:t>
      </w:r>
      <w:r>
        <w:t xml:space="preserve"> </w:t>
      </w:r>
      <w:r>
        <w:t xml:space="preserve">ACSH Working Party on Chemicals</w:t>
      </w:r>
      <w:r>
        <w:t xml:space="preserve"> </w:t>
      </w:r>
      <w:r>
        <w:t xml:space="preserve">(WPC)</w:t>
      </w:r>
      <w:r>
        <w:t xml:space="preserve"> </w:t>
      </w:r>
      <w:r>
        <w:t xml:space="preserve">Interests of industry, workers and MS authorities</w:t>
      </w:r>
      <w:r>
        <w:t xml:space="preserve"> </w:t>
      </w:r>
      <w:r>
        <w:t xml:space="preserve">Laboratories</w:t>
      </w:r>
      <w:r>
        <w:t xml:space="preserve"> </w:t>
      </w:r>
      <w:r>
        <w:t xml:space="preserve">No particular interest - contacted in order to obtain</w:t>
      </w:r>
      <w:r>
        <w:t xml:space="preserve"> </w:t>
      </w:r>
      <w:r>
        <w:t xml:space="preserve">information on sampling and analysis</w:t>
      </w:r>
      <w:r>
        <w:t xml:space="preserve"> </w:t>
      </w:r>
      <w:r>
        <w:t xml:space="preserve">Source: External study (RPA 2021)</w:t>
      </w:r>
    </w:p>
    <w:p>
      <w:pPr>
        <w:pStyle w:val="Compact"/>
        <w:numPr>
          <w:ilvl w:val="0"/>
          <w:numId w:val="1017"/>
        </w:numPr>
      </w:pPr>
      <w:r>
        <w:t xml:space="preserve">CALL FOR EVIDENCE</w:t>
      </w:r>
      <w:r>
        <w:t xml:space="preserve"> </w:t>
      </w:r>
      <w:r>
        <w:t xml:space="preserve">A call for evidence was published on 21 February 2022 with the deadline for comments running until 21</w:t>
      </w:r>
      <w:r>
        <w:t xml:space="preserve"> </w:t>
      </w:r>
      <w:r>
        <w:t xml:space="preserve">March 2022. During this period, 38 formal replies were received from a variety of stakeholders and also</w:t>
      </w:r>
      <w:r>
        <w:t xml:space="preserve"> </w:t>
      </w:r>
      <w:r>
        <w:t xml:space="preserve">from an individual citizen. From the 38 replies, 1 was disregarded as it did not relate to lead and</w:t>
      </w:r>
      <w:r>
        <w:t xml:space="preserve"> </w:t>
      </w:r>
      <w:r>
        <w:t xml:space="preserve">diisocyanates. The replies are divided per type of organisation as follows:</w:t>
      </w:r>
    </w:p>
    <w:p>
      <w:pPr>
        <w:pStyle w:val="FirstParagraph"/>
      </w:pPr>
      <w:r>
        <w:t xml:space="preserve">64</w:t>
      </w:r>
    </w:p>
    <w:p>
      <w:pPr>
        <w:pStyle w:val="BodyText"/>
      </w:pPr>
      <w:r>
        <w:t xml:space="preserve">Type of organisation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13</w:t>
      </w:r>
      <w:r>
        <w:t xml:space="preserve"> </w:t>
      </w:r>
      <w:r>
        <w:t xml:space="preserve">Business Association</w:t>
      </w:r>
      <w:r>
        <w:br/>
      </w:r>
      <w:r>
        <w:t xml:space="preserve">12</w:t>
      </w:r>
      <w:r>
        <w:t xml:space="preserve"> </w:t>
      </w:r>
      <w:r>
        <w:t xml:space="preserve">Trade Union</w:t>
      </w:r>
      <w:r>
        <w:t xml:space="preserve"> </w:t>
      </w:r>
      <w:r>
        <w:t xml:space="preserve">5</w:t>
      </w:r>
      <w:r>
        <w:t xml:space="preserve"> </w:t>
      </w:r>
      <w:r>
        <w:t xml:space="preserve">NGO (Non-governmental organisation)</w:t>
      </w:r>
      <w:r>
        <w:t xml:space="preserve"> </w:t>
      </w:r>
      <w:r>
        <w:t xml:space="preserve">2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1</w:t>
      </w:r>
      <w:r>
        <w:t xml:space="preserve"> </w:t>
      </w:r>
      <w:r>
        <w:t xml:space="preserve">EU Citizen</w:t>
      </w:r>
      <w:r>
        <w:t xml:space="preserve"> </w:t>
      </w:r>
      <w:r>
        <w:t xml:space="preserve">1</w:t>
      </w:r>
      <w:r>
        <w:t xml:space="preserve"> </w:t>
      </w:r>
      <w:r>
        <w:t xml:space="preserve">Other</w:t>
      </w:r>
      <w:r>
        <w:t xml:space="preserve"> </w:t>
      </w:r>
      <w:r>
        <w:t xml:space="preserve">3</w:t>
      </w:r>
      <w:r>
        <w:t xml:space="preserve"> </w:t>
      </w:r>
      <w:r>
        <w:t xml:space="preserve">Grand Total</w:t>
      </w:r>
      <w:r>
        <w:t xml:space="preserve"> </w:t>
      </w:r>
      <w:r>
        <w:t xml:space="preserve">37</w:t>
      </w:r>
    </w:p>
    <w:p>
      <w:pPr>
        <w:pStyle w:val="BodyText"/>
      </w:pPr>
      <w:r>
        <w:t xml:space="preserve">In terms of the size of companies, 15 replies arrived from large companies (250 or more employees), 9</w:t>
      </w:r>
      <w:r>
        <w:t xml:space="preserve"> </w:t>
      </w:r>
      <w:r>
        <w:t xml:space="preserve">from small and medium companies (less than 250 employees) and 12 from micro companies (less than</w:t>
      </w:r>
      <w:r>
        <w:t xml:space="preserve"> </w:t>
      </w:r>
      <w:r>
        <w:t xml:space="preserve">10 employees) together with 1 EU citizen.</w:t>
      </w:r>
      <w:r>
        <w:br/>
      </w:r>
      <w:r>
        <w:t xml:space="preserve">The geographical spread and associated number of replies was PL 9, DE 8, BE 5, SE 4, CZ 3, FR 2 AT</w:t>
      </w:r>
      <w:r>
        <w:t xml:space="preserve"> </w:t>
      </w:r>
      <w:r>
        <w:t xml:space="preserve">1, FI 1, RO 1 and from outside EU 3 replies from the UK.</w:t>
      </w:r>
      <w:r>
        <w:t xml:space="preserve"> </w:t>
      </w:r>
      <w:r>
        <w:t xml:space="preserve">Feedback from trade unions reflects in principle the same concerns and opinions of the workers’</w:t>
      </w:r>
      <w:r>
        <w:t xml:space="preserve"> </w:t>
      </w:r>
      <w:r>
        <w:t xml:space="preserve">organisations as in their reply to the EU social partners’ consultation. Trade unions in general call for a</w:t>
      </w:r>
      <w:r>
        <w:t xml:space="preserve"> </w:t>
      </w:r>
      <w:r>
        <w:t xml:space="preserve">lowering of the limit values for lead and the introduction of limit values for diisocyanates. For lead,</w:t>
      </w:r>
      <w:r>
        <w:t xml:space="preserve"> </w:t>
      </w:r>
      <w:r>
        <w:t xml:space="preserve">they expressed concern about the need to protect the unborn foetus and the need to ensure equality of</w:t>
      </w:r>
      <w:r>
        <w:t xml:space="preserve"> </w:t>
      </w:r>
      <w:r>
        <w:t xml:space="preserve">treatment of men and women at work.</w:t>
      </w:r>
      <w:r>
        <w:t xml:space="preserve"> </w:t>
      </w:r>
      <w:r>
        <w:t xml:space="preserve">Companies’ and business organisations’ feedback is in line with the position of the employers’</w:t>
      </w:r>
      <w:r>
        <w:t xml:space="preserve"> </w:t>
      </w:r>
      <w:r>
        <w:t xml:space="preserve">organisations given during the EU social partners’ consultation. For lead, they recognise that both the</w:t>
      </w:r>
      <w:r>
        <w:t xml:space="preserve"> </w:t>
      </w:r>
      <w:r>
        <w:t xml:space="preserve">OEL and BLV are in need of revision. However, the revised limit values need to be proportionate to the</w:t>
      </w:r>
      <w:r>
        <w:t xml:space="preserve"> </w:t>
      </w:r>
      <w:r>
        <w:t xml:space="preserve">risk and consider the socio-economic impact and the level of investment required. Given the capital</w:t>
      </w:r>
      <w:r>
        <w:t xml:space="preserve"> </w:t>
      </w:r>
      <w:r>
        <w:t xml:space="preserve">investment required, a significant transition period may be necessary. For diisocyanates, they generally</w:t>
      </w:r>
      <w:r>
        <w:t xml:space="preserve"> </w:t>
      </w:r>
      <w:r>
        <w:t xml:space="preserve">welcome this initiative. There are some varying replies as regards the effectiveness of the REACH</w:t>
      </w:r>
      <w:r>
        <w:t xml:space="preserve"> </w:t>
      </w:r>
      <w:r>
        <w:t xml:space="preserve">restriction requiring workers to be trained before using diisocyanates. Some replies considered that the</w:t>
      </w:r>
      <w:r>
        <w:t xml:space="preserve"> </w:t>
      </w:r>
      <w:r>
        <w:t xml:space="preserve">OSH and REACH initiatives collectively provide a framework that fully protects workers, whilst some</w:t>
      </w:r>
      <w:r>
        <w:t xml:space="preserve"> </w:t>
      </w:r>
      <w:r>
        <w:t xml:space="preserve">others were critical of the REACH restriction and preferred regulation only under OSH.</w:t>
      </w:r>
      <w:r>
        <w:t xml:space="preserve"> </w:t>
      </w:r>
      <w:r>
        <w:t xml:space="preserve">The reply from academia supports the plans to set EU limit values for diisocyanates to prevent</w:t>
      </w:r>
      <w:r>
        <w:t xml:space="preserve"> </w:t>
      </w:r>
      <w:r>
        <w:t xml:space="preserve">occupational asthma.</w:t>
      </w:r>
      <w:r>
        <w:t xml:space="preserve"> </w:t>
      </w:r>
      <w:r>
        <w:t xml:space="preserve">The reply from the citizen focused on the use of lead in explosives and the need to lower the limit</w:t>
      </w:r>
      <w:r>
        <w:t xml:space="preserve"> </w:t>
      </w:r>
      <w:r>
        <w:t xml:space="preserve">values whilst ensuring the correct functionality of explosives and not to create regrettable substitution.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</w:p>
    <w:p>
      <w:pPr>
        <w:pStyle w:val="BodyText"/>
      </w:pPr>
      <w:r>
        <w:t xml:space="preserve">1.1. Consumers/Workers</w:t>
      </w:r>
    </w:p>
    <w:p>
      <w:pPr>
        <w:numPr>
          <w:ilvl w:val="0"/>
          <w:numId w:val="1018"/>
        </w:numPr>
      </w:pPr>
      <w:r>
        <w:t xml:space="preserve">Due to the high degree of competition in the affected sectors, there is a very limited risk of costs</w:t>
      </w:r>
      <w:r>
        <w:t xml:space="preserve"> </w:t>
      </w:r>
      <w:r>
        <w:t xml:space="preserve">arising from working under new or stricter limit values being passed on to citizens/consumers as</w:t>
      </w:r>
      <w:r>
        <w:t xml:space="preserve"> </w:t>
      </w:r>
      <w:r>
        <w:t xml:space="preserve">increased</w:t>
      </w:r>
      <w:r>
        <w:t xml:space="preserve"> </w:t>
      </w:r>
      <w:r>
        <w:t xml:space="preserve">prices;</w:t>
      </w:r>
    </w:p>
    <w:p>
      <w:pPr>
        <w:numPr>
          <w:ilvl w:val="0"/>
          <w:numId w:val="1018"/>
        </w:numPr>
      </w:pPr>
      <w:r>
        <w:t xml:space="preserve">Workers will have the duty to comply with the dispositions provided by the employers as regards</w:t>
      </w:r>
      <w:r>
        <w:t xml:space="preserve"> </w:t>
      </w:r>
      <w:r>
        <w:t xml:space="preserve">the use of preventive and protective measures necessary to comply with OSH legislation (e.g.,</w:t>
      </w:r>
      <w:r>
        <w:t xml:space="preserve"> </w:t>
      </w:r>
      <w:r>
        <w:t xml:space="preserve">revised OEL and BLV for lead and the newly established OEL and STEL for diisocyanates).</w:t>
      </w:r>
    </w:p>
    <w:p>
      <w:pPr>
        <w:pStyle w:val="FirstParagraph"/>
      </w:pPr>
      <w:r>
        <w:t xml:space="preserve">1.2. Businesses</w:t>
      </w:r>
      <w:r>
        <w:t xml:space="preserve"> </w:t>
      </w:r>
      <w:r>
        <w:t xml:space="preserve">Employers:</w:t>
      </w:r>
      <w:r>
        <w:t xml:space="preserve"> </w:t>
      </w:r>
      <w:r>
        <w:t xml:space="preserve">-</w:t>
      </w:r>
      <w:r>
        <w:t xml:space="preserve"> </w:t>
      </w:r>
      <w:r>
        <w:t xml:space="preserve">Must adjust the working practices to comply with the new and revised limit values, in particular</w:t>
      </w:r>
      <w:r>
        <w:t xml:space="preserve"> </w:t>
      </w:r>
      <w:r>
        <w:t xml:space="preserve">reinforcing existing risk management measures.</w:t>
      </w:r>
      <w:r>
        <w:t xml:space="preserve"> </w:t>
      </w:r>
      <w:r>
        <w:t xml:space="preserve">-</w:t>
      </w:r>
      <w:r>
        <w:t xml:space="preserve"> </w:t>
      </w:r>
      <w:r>
        <w:t xml:space="preserve">May find it easier to recruit and retain staff, reducing the cost of recruitment and increasing the</w:t>
      </w:r>
      <w:r>
        <w:t xml:space="preserve"> </w:t>
      </w:r>
      <w:r>
        <w:t xml:space="preserve">productivity of workers.</w:t>
      </w:r>
    </w:p>
    <w:p>
      <w:pPr>
        <w:pStyle w:val="BodyText"/>
      </w:pPr>
      <w:r>
        <w:t xml:space="preserve">1.3. Administrations</w:t>
      </w:r>
      <w:r>
        <w:t xml:space="preserve"> </w:t>
      </w:r>
      <w:r>
        <w:t xml:space="preserve">Member States must transpose the amended Directives (CAD &amp; CMRD) into national legislation.</w:t>
      </w:r>
    </w:p>
    <w:p>
      <w:pPr>
        <w:pStyle w:val="BodyText"/>
      </w:pPr>
      <w:r>
        <w:t xml:space="preserve">66</w:t>
      </w:r>
    </w:p>
    <w:p>
      <w:pPr>
        <w:pStyle w:val="Compact"/>
        <w:numPr>
          <w:ilvl w:val="0"/>
          <w:numId w:val="1019"/>
        </w:numPr>
      </w:pPr>
      <w:r>
        <w:t xml:space="preserve">SUMMARY OF COSTS AND BENEFITS FOR LEAD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€5 million</w:t>
      </w:r>
      <w:r>
        <w:t xml:space="preserve"> </w:t>
      </w:r>
      <w:r>
        <w:t xml:space="preserve">Reduced absenteeism, productivity losses and</w:t>
      </w:r>
      <w:r>
        <w:t xml:space="preserve"> </w:t>
      </w:r>
      <w:r>
        <w:t xml:space="preserve">insurance</w:t>
      </w:r>
      <w:r>
        <w:t xml:space="preserve"> </w:t>
      </w:r>
      <w:r>
        <w:t xml:space="preserve">payments.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not</w:t>
      </w:r>
      <w:r>
        <w:t xml:space="preserve"> </w:t>
      </w:r>
      <w:r>
        <w:t xml:space="preserve">quantified benefits include legal clarity,</w:t>
      </w:r>
      <w:r>
        <w:t xml:space="preserve"> </w:t>
      </w:r>
      <w:r>
        <w:t xml:space="preserve">simplification in ensuring legal compliance</w:t>
      </w:r>
      <w:r>
        <w:t xml:space="preserve"> </w:t>
      </w:r>
      <w:r>
        <w:t xml:space="preserve">and a more balanced level playing field for</w:t>
      </w:r>
      <w:r>
        <w:t xml:space="preserve"> </w:t>
      </w:r>
      <w:r>
        <w:t xml:space="preserve">businesses across the EU.</w:t>
      </w:r>
      <w:r>
        <w:t xml:space="preserve"> </w:t>
      </w:r>
      <w:r>
        <w:t xml:space="preserve">Savings for public</w:t>
      </w:r>
      <w:r>
        <w:t xml:space="preserve"> </w:t>
      </w:r>
      <w:r>
        <w:t xml:space="preserve">sector</w:t>
      </w:r>
      <w:r>
        <w:t xml:space="preserve"> </w:t>
      </w:r>
      <w:r>
        <w:t xml:space="preserve">€100 million</w:t>
      </w:r>
      <w:r>
        <w:t xml:space="preserve"> </w:t>
      </w:r>
      <w:r>
        <w:t xml:space="preserve">Having reduced health care costs. Avoidance</w:t>
      </w:r>
      <w:r>
        <w:t xml:space="preserve"> </w:t>
      </w:r>
      <w:r>
        <w:t xml:space="preserve">of loss of productivity and mitigation of</w:t>
      </w:r>
      <w:r>
        <w:t xml:space="preserve"> </w:t>
      </w:r>
      <w:r>
        <w:t xml:space="preserve">financial loss of national social security</w:t>
      </w:r>
      <w:r>
        <w:t xml:space="preserve"> </w:t>
      </w:r>
      <w:r>
        <w:t xml:space="preserve">systems, reducing the costs of healthcare and</w:t>
      </w:r>
      <w:r>
        <w:t xml:space="preserve"> </w:t>
      </w:r>
      <w:r>
        <w:t xml:space="preserve">the loss of tax revenue due to morbidity and</w:t>
      </w:r>
      <w:r>
        <w:t xml:space="preserve"> </w:t>
      </w:r>
      <w:r>
        <w:t xml:space="preserve">mortality.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workers &amp; families</w:t>
      </w:r>
      <w:r>
        <w:t xml:space="preserve"> </w:t>
      </w:r>
      <w:r>
        <w:t xml:space="preserve">€160 – 250 million</w:t>
      </w:r>
    </w:p>
    <w:p>
      <w:pPr>
        <w:pStyle w:val="FirstParagraph"/>
      </w:pPr>
      <w:r>
        <w:t xml:space="preserve">More effective protection of their health,</w:t>
      </w:r>
      <w:r>
        <w:t xml:space="preserve"> </w:t>
      </w:r>
      <w:r>
        <w:t xml:space="preserve">reducing suffering of workers and their</w:t>
      </w:r>
      <w:r>
        <w:t xml:space="preserve"> </w:t>
      </w:r>
      <w:r>
        <w:t xml:space="preserve">families,</w:t>
      </w:r>
      <w:r>
        <w:t xml:space="preserve"> </w:t>
      </w:r>
      <w:r>
        <w:t xml:space="preserve">increased</w:t>
      </w:r>
      <w:r>
        <w:t xml:space="preserve"> </w:t>
      </w:r>
      <w:r>
        <w:t xml:space="preserve">length,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productivity of their working lives, avoiding</w:t>
      </w:r>
      <w:r>
        <w:t xml:space="preserve"> </w:t>
      </w:r>
      <w:r>
        <w:t xml:space="preserve">ill-health (including their offspring), less costs</w:t>
      </w:r>
      <w:r>
        <w:t xml:space="preserve"> </w:t>
      </w:r>
      <w:r>
        <w:t xml:space="preserve">of informal care.</w:t>
      </w:r>
      <w:r>
        <w:t xml:space="preserve"> </w:t>
      </w:r>
      <w:r>
        <w:t xml:space="preserve">Note: Estimates are relative to the baseline as a whole (i.e., the impact of individual actions/obligations</w:t>
      </w:r>
      <w:r>
        <w:t xml:space="preserve"> </w:t>
      </w:r>
      <w:r>
        <w:t xml:space="preserve">of the preferred option are aggregated together).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Compliance costs</w:t>
      </w:r>
      <w:r>
        <w:br/>
      </w:r>
      <w:r>
        <w:t xml:space="preserve">€565 million</w:t>
      </w:r>
      <w:r>
        <w:t xml:space="preserve"> </w:t>
      </w:r>
      <w:r>
        <w:t xml:space="preserve">€180 million</w:t>
      </w:r>
      <w:r>
        <w:t xml:space="preserve"> </w:t>
      </w:r>
      <w:r>
        <w:t xml:space="preserve">€500,000</w:t>
      </w:r>
      <w:r>
        <w:t xml:space="preserve"> </w:t>
      </w:r>
      <w:r>
        <w:t xml:space="preserve">€0</w:t>
      </w:r>
      <w:r>
        <w:t xml:space="preserve"> </w:t>
      </w:r>
      <w:r>
        <w:t xml:space="preserve">Monitoring costs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€565 million</w:t>
      </w:r>
      <w:r>
        <w:t xml:space="preserve"> </w:t>
      </w:r>
      <w:r>
        <w:t xml:space="preserve">€180 million</w:t>
      </w:r>
    </w:p>
    <w:p>
      <w:pPr>
        <w:pStyle w:val="BodyText"/>
      </w:pPr>
      <w:r>
        <w:t xml:space="preserve">Indirect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</w:p>
    <w:p>
      <w:pPr>
        <w:pStyle w:val="BodyText"/>
      </w:pPr>
      <w:r>
        <w:t xml:space="preserve">Note: Estimates are relative to the baseline as a whole (i.e., the impact of individual actions/obligations</w:t>
      </w:r>
      <w:r>
        <w:t xml:space="preserve"> </w:t>
      </w:r>
      <w:r>
        <w:t xml:space="preserve">of the preferred option are aggregated together).</w:t>
      </w:r>
    </w:p>
    <w:p>
      <w:pPr>
        <w:pStyle w:val="BodyText"/>
      </w:pPr>
      <w:r>
        <w:t xml:space="preserve">67</w:t>
      </w:r>
    </w:p>
    <w:p>
      <w:pPr>
        <w:pStyle w:val="Compact"/>
        <w:numPr>
          <w:ilvl w:val="0"/>
          <w:numId w:val="1020"/>
        </w:numPr>
      </w:pPr>
      <w:r>
        <w:t xml:space="preserve">RELEVANT SUSTAINABLE DEVELOPMENT GOALS FOR LEAD</w:t>
      </w:r>
    </w:p>
    <w:p>
      <w:pPr>
        <w:pStyle w:val="Compact"/>
        <w:numPr>
          <w:ilvl w:val="0"/>
          <w:numId w:val="1021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</w:t>
      </w:r>
      <w:r>
        <w:t xml:space="preserve"> </w:t>
      </w:r>
      <w:r>
        <w:t xml:space="preserve">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3 – Good health</w:t>
      </w:r>
      <w:r>
        <w:t xml:space="preserve"> </w:t>
      </w:r>
      <w:r>
        <w:t xml:space="preserve">and well-being. Ensure</w:t>
      </w:r>
      <w:r>
        <w:t xml:space="preserve"> </w:t>
      </w:r>
      <w:r>
        <w:t xml:space="preserve">healthy lives and promote</w:t>
      </w:r>
      <w:r>
        <w:t xml:space="preserve"> </w:t>
      </w:r>
      <w:r>
        <w:t xml:space="preserve">well-being for all at all</w:t>
      </w:r>
      <w:r>
        <w:t xml:space="preserve"> </w:t>
      </w:r>
      <w:r>
        <w:t xml:space="preserve">ages</w:t>
      </w:r>
      <w:r>
        <w:t xml:space="preserve"> </w:t>
      </w:r>
      <w:r>
        <w:t xml:space="preserve">The initiative will contribute to</w:t>
      </w:r>
      <w:r>
        <w:t xml:space="preserve"> </w:t>
      </w:r>
      <w:r>
        <w:t xml:space="preserve">substantially increasing the health</w:t>
      </w:r>
      <w:r>
        <w:t xml:space="preserve"> </w:t>
      </w:r>
      <w:r>
        <w:t xml:space="preserve">of the workforce in the European</w:t>
      </w:r>
      <w:r>
        <w:t xml:space="preserve"> </w:t>
      </w:r>
      <w:r>
        <w:t xml:space="preserve">Union through the prevention of</w:t>
      </w:r>
      <w:r>
        <w:t xml:space="preserve"> </w:t>
      </w:r>
      <w:r>
        <w:t xml:space="preserve">ill-health due to exposure to lead.</w:t>
      </w:r>
    </w:p>
    <w:p>
      <w:pPr>
        <w:pStyle w:val="FirstParagraph"/>
      </w:pPr>
      <w:r>
        <w:t xml:space="preserve">The initiative will avoid</w:t>
      </w:r>
      <w:r>
        <w:t xml:space="preserve"> </w:t>
      </w:r>
      <w:r>
        <w:t xml:space="preserve">13 379 cases of ill-health</w:t>
      </w:r>
      <w:r>
        <w:t xml:space="preserve"> </w:t>
      </w:r>
      <w:r>
        <w:t xml:space="preserve">(including developmental</w:t>
      </w:r>
      <w:r>
        <w:t xml:space="preserve"> </w:t>
      </w:r>
      <w:r>
        <w:t xml:space="preserve">toxicity) to occur in the next</w:t>
      </w:r>
      <w:r>
        <w:t xml:space="preserve"> </w:t>
      </w:r>
      <w:r>
        <w:t xml:space="preserve">40 years from exposure to</w:t>
      </w:r>
      <w:r>
        <w:t xml:space="preserve"> </w:t>
      </w:r>
      <w:r>
        <w:t xml:space="preserve">lead.</w:t>
      </w:r>
      <w:r>
        <w:t xml:space="preserve"> </w:t>
      </w:r>
      <w:r>
        <w:t xml:space="preserve">SDG no. 8 - Decent work</w:t>
      </w:r>
      <w:r>
        <w:t xml:space="preserve"> </w:t>
      </w:r>
      <w:r>
        <w:t xml:space="preserve">and economic growth.</w:t>
      </w:r>
      <w:r>
        <w:t xml:space="preserve"> </w:t>
      </w:r>
      <w:r>
        <w:t xml:space="preserve">Promote sustained,</w:t>
      </w:r>
      <w:r>
        <w:t xml:space="preserve"> </w:t>
      </w:r>
      <w:r>
        <w:t xml:space="preserve">inclusive and sustainable</w:t>
      </w:r>
      <w:r>
        <w:t xml:space="preserve"> </w:t>
      </w:r>
      <w:r>
        <w:t xml:space="preserve">economic growth, full and</w:t>
      </w:r>
      <w:r>
        <w:t xml:space="preserve"> </w:t>
      </w:r>
      <w:r>
        <w:t xml:space="preserve">productive employment</w:t>
      </w:r>
      <w:r>
        <w:t xml:space="preserve"> </w:t>
      </w:r>
      <w:r>
        <w:t xml:space="preserve">and decent work for all</w:t>
      </w:r>
      <w:r>
        <w:t xml:space="preserve"> </w:t>
      </w:r>
      <w:r>
        <w:t xml:space="preserve">Through the lowering of the BLV</w:t>
      </w:r>
      <w:r>
        <w:t xml:space="preserve"> </w:t>
      </w:r>
      <w:r>
        <w:t xml:space="preserve">and OEL the initiative will</w:t>
      </w:r>
      <w:r>
        <w:t xml:space="preserve"> </w:t>
      </w:r>
      <w:r>
        <w:t xml:space="preserve">contribute directly to a decent work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The benefits of healthier staff</w:t>
      </w:r>
      <w:r>
        <w:t xml:space="preserve"> </w:t>
      </w:r>
      <w:r>
        <w:t xml:space="preserve">and better working conditions</w:t>
      </w:r>
      <w:r>
        <w:t xml:space="preserve"> </w:t>
      </w:r>
      <w:r>
        <w:t xml:space="preserve">will contribute to an easier</w:t>
      </w:r>
      <w:r>
        <w:t xml:space="preserve"> </w:t>
      </w:r>
      <w:r>
        <w:t xml:space="preserve">recruitment and retention of</w:t>
      </w:r>
      <w:r>
        <w:t xml:space="preserve"> </w:t>
      </w:r>
      <w:r>
        <w:t xml:space="preserve">staff. Workers’ productivity</w:t>
      </w:r>
      <w:r>
        <w:t xml:space="preserve"> </w:t>
      </w:r>
      <w:r>
        <w:t xml:space="preserve">will likely also increase, as a</w:t>
      </w:r>
      <w:r>
        <w:t xml:space="preserve"> </w:t>
      </w:r>
      <w:r>
        <w:t xml:space="preserve">result of lower absenteeism.</w:t>
      </w:r>
      <w:r>
        <w:t xml:space="preserve"> </w:t>
      </w:r>
      <w:r>
        <w:t xml:space="preserve">SDG no. 9 - Industry,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infrastructure. Build</w:t>
      </w:r>
      <w:r>
        <w:t xml:space="preserve"> </w:t>
      </w:r>
      <w:r>
        <w:t xml:space="preserve">resilient infrastructure,</w:t>
      </w:r>
      <w:r>
        <w:t xml:space="preserve"> </w:t>
      </w:r>
      <w:r>
        <w:t xml:space="preserve">promote inclusive 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industrialization and</w:t>
      </w:r>
      <w:r>
        <w:t xml:space="preserve"> </w:t>
      </w:r>
      <w:r>
        <w:t xml:space="preserve">foster innovation</w:t>
      </w:r>
      <w:r>
        <w:t xml:space="preserve"> </w:t>
      </w:r>
      <w:r>
        <w:t xml:space="preserve">The initiative will impact</w:t>
      </w:r>
      <w:r>
        <w:t xml:space="preserve"> </w:t>
      </w:r>
      <w:r>
        <w:t xml:space="preserve">positively the development of new</w:t>
      </w:r>
      <w:r>
        <w:t xml:space="preserve"> </w:t>
      </w:r>
      <w:r>
        <w:t xml:space="preserve">technology as a consequence of the</w:t>
      </w:r>
      <w:r>
        <w:t xml:space="preserve"> </w:t>
      </w:r>
      <w:r>
        <w:t xml:space="preserve">need to implement more efficient</w:t>
      </w:r>
      <w:r>
        <w:t xml:space="preserve"> </w:t>
      </w:r>
      <w:r>
        <w:t xml:space="preserve">risk management measures to</w:t>
      </w:r>
      <w:r>
        <w:t xml:space="preserve"> </w:t>
      </w:r>
      <w:r>
        <w:t xml:space="preserve">comply with the stricter BLV and</w:t>
      </w:r>
      <w:r>
        <w:t xml:space="preserve"> </w:t>
      </w:r>
      <w:r>
        <w:t xml:space="preserve">OEL.</w:t>
      </w:r>
    </w:p>
    <w:p>
      <w:pPr>
        <w:pStyle w:val="BodyText"/>
      </w:pPr>
      <w:r>
        <w:t xml:space="preserve">SDG no. 12 - Responsible</w:t>
      </w:r>
      <w:r>
        <w:t xml:space="preserve"> </w:t>
      </w:r>
      <w:r>
        <w:t xml:space="preserve">production and</w:t>
      </w:r>
      <w:r>
        <w:t xml:space="preserve"> </w:t>
      </w:r>
      <w:r>
        <w:t xml:space="preserve">consumption. Ensure</w:t>
      </w:r>
      <w:r>
        <w:t xml:space="preserve"> </w:t>
      </w:r>
      <w:r>
        <w:t xml:space="preserve">sustainable consumption</w:t>
      </w:r>
      <w:r>
        <w:t xml:space="preserve"> </w:t>
      </w:r>
      <w:r>
        <w:t xml:space="preserve">and production patterns</w:t>
      </w:r>
      <w:r>
        <w:t xml:space="preserve"> </w:t>
      </w:r>
      <w:r>
        <w:t xml:space="preserve">A reduction in exposure to lead is</w:t>
      </w:r>
      <w:r>
        <w:t xml:space="preserve"> </w:t>
      </w:r>
      <w:r>
        <w:t xml:space="preserve">expected as a result of risk</w:t>
      </w:r>
      <w:r>
        <w:t xml:space="preserve"> </w:t>
      </w:r>
      <w:r>
        <w:t xml:space="preserve">management measures put in place</w:t>
      </w:r>
      <w:r>
        <w:t xml:space="preserve"> </w:t>
      </w:r>
      <w:r>
        <w:t xml:space="preserve">to comply with a stricter BLV and</w:t>
      </w:r>
      <w:r>
        <w:t xml:space="preserve"> </w:t>
      </w:r>
      <w:r>
        <w:t xml:space="preserve">OEL.</w:t>
      </w:r>
      <w:r>
        <w:br/>
      </w:r>
      <w:r>
        <w:t xml:space="preserve">Thus, the initiative would have a</w:t>
      </w:r>
      <w:r>
        <w:t xml:space="preserve"> </w:t>
      </w:r>
      <w:r>
        <w:t xml:space="preserve">limited positive impact, namely on</w:t>
      </w:r>
      <w:r>
        <w:t xml:space="preserve"> </w:t>
      </w:r>
      <w:r>
        <w:t xml:space="preserve">the environmentally sound</w:t>
      </w:r>
      <w:r>
        <w:t xml:space="preserve"> </w:t>
      </w:r>
      <w:r>
        <w:t xml:space="preserve">management of chemicals and all</w:t>
      </w:r>
      <w:r>
        <w:t xml:space="preserve"> </w:t>
      </w:r>
      <w:r>
        <w:t xml:space="preserve">wastes throughout their life cycle.</w:t>
      </w:r>
    </w:p>
    <w:p>
      <w:pPr>
        <w:pStyle w:val="Compact"/>
        <w:numPr>
          <w:ilvl w:val="0"/>
          <w:numId w:val="1022"/>
        </w:numPr>
      </w:pPr>
      <w:r>
        <w:t xml:space="preserve">SUMMARY OF COSTS AND BENEFITS FOR DIISOCYANATES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€0</w:t>
      </w:r>
      <w:r>
        <w:t xml:space="preserve"> </w:t>
      </w:r>
      <w:r>
        <w:t xml:space="preserve">Reduced absenteeism, productivity losses and</w:t>
      </w:r>
      <w:r>
        <w:t xml:space="preserve"> </w:t>
      </w:r>
      <w:r>
        <w:t xml:space="preserve">insurance</w:t>
      </w:r>
      <w:r>
        <w:t xml:space="preserve"> </w:t>
      </w:r>
      <w:r>
        <w:t xml:space="preserve">payments.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not</w:t>
      </w:r>
      <w:r>
        <w:t xml:space="preserve"> </w:t>
      </w:r>
      <w:r>
        <w:t xml:space="preserve">quantified benefits include legal clarity,</w:t>
      </w:r>
      <w:r>
        <w:t xml:space="preserve"> </w:t>
      </w:r>
      <w:r>
        <w:t xml:space="preserve">simplification in ensuring legal compliance</w:t>
      </w:r>
      <w:r>
        <w:t xml:space="preserve"> </w:t>
      </w:r>
      <w:r>
        <w:t xml:space="preserve">and a more balanced level playing field for</w:t>
      </w:r>
      <w:r>
        <w:t xml:space="preserve"> </w:t>
      </w:r>
      <w:r>
        <w:t xml:space="preserve">businesses across the EU.</w:t>
      </w:r>
    </w:p>
    <w:p>
      <w:pPr>
        <w:pStyle w:val="FirstParagraph"/>
      </w:pPr>
      <w:r>
        <w:t xml:space="preserve">68</w:t>
      </w:r>
    </w:p>
    <w:p>
      <w:pPr>
        <w:pStyle w:val="BodyText"/>
      </w:pPr>
      <w:r>
        <w:t xml:space="preserve">Savings for public</w:t>
      </w:r>
      <w:r>
        <w:t xml:space="preserve"> </w:t>
      </w:r>
      <w:r>
        <w:t xml:space="preserve">sector</w:t>
      </w:r>
      <w:r>
        <w:t xml:space="preserve"> </w:t>
      </w:r>
      <w:r>
        <w:t xml:space="preserve">€0</w:t>
      </w:r>
      <w:r>
        <w:t xml:space="preserve"> </w:t>
      </w:r>
      <w:r>
        <w:t xml:space="preserve">Having reduced health care costs. Avoidance</w:t>
      </w:r>
      <w:r>
        <w:t xml:space="preserve"> </w:t>
      </w:r>
      <w:r>
        <w:t xml:space="preserve">of loss of productivity and mitigation of</w:t>
      </w:r>
      <w:r>
        <w:t xml:space="preserve"> </w:t>
      </w:r>
      <w:r>
        <w:t xml:space="preserve">financial loss of national social security</w:t>
      </w:r>
      <w:r>
        <w:t xml:space="preserve"> </w:t>
      </w:r>
      <w:r>
        <w:t xml:space="preserve">systems, reducing the costs of healthcare and</w:t>
      </w:r>
      <w:r>
        <w:t xml:space="preserve"> </w:t>
      </w:r>
      <w:r>
        <w:t xml:space="preserve">the loss of tax revenue due to morbidity and</w:t>
      </w:r>
      <w:r>
        <w:t xml:space="preserve"> </w:t>
      </w:r>
      <w:r>
        <w:t xml:space="preserve">mortality.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workers &amp; families</w:t>
      </w:r>
      <w:r>
        <w:t xml:space="preserve"> </w:t>
      </w:r>
      <w:r>
        <w:t xml:space="preserve">€0</w:t>
      </w:r>
    </w:p>
    <w:p>
      <w:pPr>
        <w:pStyle w:val="BodyText"/>
      </w:pPr>
      <w:r>
        <w:t xml:space="preserve">More effective protection of their health,</w:t>
      </w:r>
      <w:r>
        <w:t xml:space="preserve"> </w:t>
      </w:r>
      <w:r>
        <w:t xml:space="preserve">reducing suffering of workers and their</w:t>
      </w:r>
      <w:r>
        <w:t xml:space="preserve"> </w:t>
      </w:r>
      <w:r>
        <w:t xml:space="preserve">families,</w:t>
      </w:r>
      <w:r>
        <w:t xml:space="preserve"> </w:t>
      </w:r>
      <w:r>
        <w:t xml:space="preserve">increased</w:t>
      </w:r>
      <w:r>
        <w:t xml:space="preserve"> </w:t>
      </w:r>
      <w:r>
        <w:t xml:space="preserve">length,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productivity of their working lives, avoiding</w:t>
      </w:r>
      <w:r>
        <w:t xml:space="preserve"> </w:t>
      </w:r>
      <w:r>
        <w:t xml:space="preserve">ill-health, less costs of informal care.</w:t>
      </w:r>
      <w:r>
        <w:t xml:space="preserve"> </w:t>
      </w:r>
      <w:r>
        <w:t xml:space="preserve">Note: Estimates are relative to the baseline as a whole (i.e., the impact of individual actions/obligations</w:t>
      </w:r>
      <w:r>
        <w:t xml:space="preserve"> </w:t>
      </w:r>
      <w:r>
        <w:t xml:space="preserve">of the preferred option are aggregated together).</w:t>
      </w:r>
      <w:r>
        <w:br/>
      </w:r>
      <w:r>
        <w:t xml:space="preserve">II. Overview of costs – Preferred option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Compliance costs</w:t>
      </w:r>
      <w:r>
        <w:br/>
      </w:r>
      <w:r>
        <w:t xml:space="preserve">€14.8 million</w:t>
      </w:r>
      <w:r>
        <w:t xml:space="preserve"> </w:t>
      </w:r>
      <w:r>
        <w:t xml:space="preserve">-€4.4 million</w:t>
      </w:r>
      <w:r>
        <w:t xml:space="preserve"> </w:t>
      </w:r>
      <w:r>
        <w:t xml:space="preserve">€970,000</w:t>
      </w:r>
      <w:r>
        <w:t xml:space="preserve"> </w:t>
      </w:r>
      <w:r>
        <w:t xml:space="preserve">€0</w:t>
      </w:r>
      <w:r>
        <w:t xml:space="preserve"> </w:t>
      </w:r>
      <w:r>
        <w:t xml:space="preserve">Monitoring costs</w:t>
      </w:r>
      <w:r>
        <w:t xml:space="preserve"> </w:t>
      </w:r>
      <w:r>
        <w:t xml:space="preserve">€0</w:t>
      </w:r>
      <w:r>
        <w:t xml:space="preserve"> </w:t>
      </w:r>
      <w:r>
        <w:t xml:space="preserve">€11 000</w:t>
      </w:r>
      <w:r>
        <w:t xml:space="preserve"> </w:t>
      </w:r>
      <w:r>
        <w:t xml:space="preserve">million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€0</w:t>
      </w:r>
      <w:r>
        <w:t xml:space="preserve"> </w:t>
      </w:r>
      <w:r>
        <w:t xml:space="preserve">€2 400 million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€14.8 million</w:t>
      </w:r>
      <w:r>
        <w:t xml:space="preserve"> </w:t>
      </w:r>
      <w:r>
        <w:t xml:space="preserve">€11 000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Indirect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offsetting)94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</w:p>
    <w:p>
      <w:pPr>
        <w:pStyle w:val="BodyText"/>
      </w:pPr>
      <w:r>
        <w:t xml:space="preserve">Note: Estimates are relative to the baseline as a whole (i.e., the impact of individual actions/obligations</w:t>
      </w:r>
      <w:r>
        <w:t xml:space="preserve"> </w:t>
      </w:r>
      <w:r>
        <w:t xml:space="preserve">of the preferred option are aggregated together).</w:t>
      </w:r>
      <w:r>
        <w:t xml:space="preserve"> </w:t>
      </w:r>
      <w:r>
        <w:t xml:space="preserve">5. RELEVANT SUSTAINABLE DEVELOPMENT GOALS FOR DIISOCYANATES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</w:t>
      </w:r>
      <w:r>
        <w:t xml:space="preserve"> </w:t>
      </w:r>
      <w:r>
        <w:t xml:space="preserve">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3 – Good health</w:t>
      </w:r>
      <w:r>
        <w:t xml:space="preserve"> </w:t>
      </w:r>
      <w:r>
        <w:t xml:space="preserve">and well-being. Ensure</w:t>
      </w:r>
      <w:r>
        <w:t xml:space="preserve"> </w:t>
      </w:r>
      <w:r>
        <w:t xml:space="preserve">healthy lives and promote</w:t>
      </w:r>
      <w:r>
        <w:t xml:space="preserve"> </w:t>
      </w:r>
      <w:r>
        <w:t xml:space="preserve">well-being for all at all</w:t>
      </w:r>
      <w:r>
        <w:t xml:space="preserve"> </w:t>
      </w:r>
      <w:r>
        <w:t xml:space="preserve">The initiative will contribute to</w:t>
      </w:r>
      <w:r>
        <w:t xml:space="preserve"> </w:t>
      </w:r>
      <w:r>
        <w:t xml:space="preserve">substantially increasing the health</w:t>
      </w:r>
      <w:r>
        <w:t xml:space="preserve"> </w:t>
      </w:r>
      <w:r>
        <w:t xml:space="preserve">of the workforce in the European</w:t>
      </w:r>
      <w:r>
        <w:t xml:space="preserve"> </w:t>
      </w:r>
      <w:r>
        <w:t xml:space="preserve">Union through the prevention of</w:t>
      </w:r>
      <w:r>
        <w:t xml:space="preserve"> </w:t>
      </w:r>
      <w:r>
        <w:t xml:space="preserve">The initiative will avoid</w:t>
      </w:r>
      <w:r>
        <w:t xml:space="preserve"> </w:t>
      </w:r>
      <w:r>
        <w:t xml:space="preserve">106 910 cases of asthma and</w:t>
      </w:r>
      <w:r>
        <w:t xml:space="preserve"> </w:t>
      </w:r>
      <w:r>
        <w:t xml:space="preserve">10 099 cases of irritation to</w:t>
      </w:r>
      <w:r>
        <w:t xml:space="preserve"> </w:t>
      </w:r>
      <w:r>
        <w:t xml:space="preserve">occur in the next 40 years</w:t>
      </w:r>
    </w:p>
    <w:p>
      <w:pPr>
        <w:pStyle w:val="BodyText"/>
      </w:pPr>
      <w:r>
        <w:t xml:space="preserve">94 The above €2.4bn administrative costs are covered by one of the exemptions to the offsetting obligation in the</w:t>
      </w:r>
      <w:r>
        <w:t xml:space="preserve"> </w:t>
      </w:r>
      <w:r>
        <w:t xml:space="preserve">context of the ‘one in, one out’ approach in line with Better Regulation Tool #58 ‘EU Standard Cost Model’</w:t>
      </w:r>
      <w:r>
        <w:t xml:space="preserve"> </w:t>
      </w:r>
      <w:r>
        <w:t xml:space="preserve">(namely, inspections on behalf of public authorities).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ages</w:t>
      </w:r>
      <w:r>
        <w:t xml:space="preserve"> </w:t>
      </w:r>
      <w:r>
        <w:t xml:space="preserve">asthma and irritation due to</w:t>
      </w:r>
      <w:r>
        <w:t xml:space="preserve"> </w:t>
      </w:r>
      <w:r>
        <w:t xml:space="preserve">exposure to diisocyanates.</w:t>
      </w:r>
    </w:p>
    <w:p>
      <w:pPr>
        <w:pStyle w:val="BodyText"/>
      </w:pPr>
      <w:r>
        <w:t xml:space="preserve">from exposure to</w:t>
      </w:r>
      <w:r>
        <w:t xml:space="preserve"> </w:t>
      </w:r>
      <w:r>
        <w:t xml:space="preserve">diisocyanates.</w:t>
      </w:r>
      <w:r>
        <w:t xml:space="preserve"> </w:t>
      </w:r>
      <w:r>
        <w:t xml:space="preserve">SDG no. 8 - Decent work</w:t>
      </w:r>
      <w:r>
        <w:t xml:space="preserve"> </w:t>
      </w:r>
      <w:r>
        <w:t xml:space="preserve">and economic growth.</w:t>
      </w:r>
      <w:r>
        <w:t xml:space="preserve"> </w:t>
      </w:r>
      <w:r>
        <w:t xml:space="preserve">Promote sustained,</w:t>
      </w:r>
      <w:r>
        <w:t xml:space="preserve"> </w:t>
      </w:r>
      <w:r>
        <w:t xml:space="preserve">inclusive and sustainable</w:t>
      </w:r>
      <w:r>
        <w:t xml:space="preserve"> </w:t>
      </w:r>
      <w:r>
        <w:t xml:space="preserve">economic growth, full and</w:t>
      </w:r>
      <w:r>
        <w:t xml:space="preserve"> </w:t>
      </w:r>
      <w:r>
        <w:t xml:space="preserve">productive employment</w:t>
      </w:r>
      <w:r>
        <w:t xml:space="preserve"> </w:t>
      </w:r>
      <w:r>
        <w:t xml:space="preserve">and decent work for all</w:t>
      </w:r>
      <w:r>
        <w:t xml:space="preserve"> </w:t>
      </w:r>
      <w:r>
        <w:t xml:space="preserve">Through the introduction of the</w:t>
      </w:r>
      <w:r>
        <w:t xml:space="preserve"> </w:t>
      </w:r>
      <w:r>
        <w:t xml:space="preserve">OEL and STEL the initiative will</w:t>
      </w:r>
      <w:r>
        <w:t xml:space="preserve"> </w:t>
      </w:r>
      <w:r>
        <w:t xml:space="preserve">contribute directly to a decent work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The benefits of healthier staff</w:t>
      </w:r>
      <w:r>
        <w:t xml:space="preserve"> </w:t>
      </w:r>
      <w:r>
        <w:t xml:space="preserve">and better working conditions</w:t>
      </w:r>
      <w:r>
        <w:t xml:space="preserve"> </w:t>
      </w:r>
      <w:r>
        <w:t xml:space="preserve">will contribute to an easier</w:t>
      </w:r>
      <w:r>
        <w:t xml:space="preserve"> </w:t>
      </w:r>
      <w:r>
        <w:t xml:space="preserve">recruitment and retention of</w:t>
      </w:r>
      <w:r>
        <w:t xml:space="preserve"> </w:t>
      </w:r>
      <w:r>
        <w:t xml:space="preserve">staff. Workers’ productivity</w:t>
      </w:r>
      <w:r>
        <w:t xml:space="preserve"> </w:t>
      </w:r>
      <w:r>
        <w:t xml:space="preserve">will likely also increase, as a</w:t>
      </w:r>
      <w:r>
        <w:t xml:space="preserve"> </w:t>
      </w:r>
      <w:r>
        <w:t xml:space="preserve">result of lower absenteeism.</w:t>
      </w:r>
      <w:r>
        <w:t xml:space="preserve"> </w:t>
      </w:r>
      <w:r>
        <w:t xml:space="preserve">SDG no. 9 - Industry,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infrastructure. Build</w:t>
      </w:r>
      <w:r>
        <w:t xml:space="preserve"> </w:t>
      </w:r>
      <w:r>
        <w:t xml:space="preserve">resilient infrastructure,</w:t>
      </w:r>
      <w:r>
        <w:t xml:space="preserve"> </w:t>
      </w:r>
      <w:r>
        <w:t xml:space="preserve">promote inclusive 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industrialization and</w:t>
      </w:r>
      <w:r>
        <w:t xml:space="preserve"> </w:t>
      </w:r>
      <w:r>
        <w:t xml:space="preserve">foster innovation</w:t>
      </w:r>
      <w:r>
        <w:t xml:space="preserve"> </w:t>
      </w:r>
      <w:r>
        <w:t xml:space="preserve">The initiative will impact</w:t>
      </w:r>
      <w:r>
        <w:t xml:space="preserve"> </w:t>
      </w:r>
      <w:r>
        <w:t xml:space="preserve">positively the development of new</w:t>
      </w:r>
      <w:r>
        <w:t xml:space="preserve"> </w:t>
      </w:r>
      <w:r>
        <w:t xml:space="preserve">technology as a consequence of the</w:t>
      </w:r>
      <w:r>
        <w:t xml:space="preserve"> </w:t>
      </w:r>
      <w:r>
        <w:t xml:space="preserve">need to implement more efficient</w:t>
      </w:r>
      <w:r>
        <w:t xml:space="preserve"> </w:t>
      </w:r>
      <w:r>
        <w:t xml:space="preserve">risk management measures to</w:t>
      </w:r>
      <w:r>
        <w:t xml:space="preserve"> </w:t>
      </w:r>
      <w:r>
        <w:t xml:space="preserve">comply with the OEL and the</w:t>
      </w:r>
      <w:r>
        <w:t xml:space="preserve"> </w:t>
      </w:r>
      <w:r>
        <w:t xml:space="preserve">STEL.</w:t>
      </w:r>
    </w:p>
    <w:p>
      <w:pPr>
        <w:pStyle w:val="BodyText"/>
      </w:pPr>
      <w:r>
        <w:t xml:space="preserve">SDG no. 12 - Responsible</w:t>
      </w:r>
      <w:r>
        <w:t xml:space="preserve"> </w:t>
      </w:r>
      <w:r>
        <w:t xml:space="preserve">production and</w:t>
      </w:r>
      <w:r>
        <w:t xml:space="preserve"> </w:t>
      </w:r>
      <w:r>
        <w:t xml:space="preserve">consumption. Ensure</w:t>
      </w:r>
      <w:r>
        <w:t xml:space="preserve"> </w:t>
      </w:r>
      <w:r>
        <w:t xml:space="preserve">sustainable consumption</w:t>
      </w:r>
      <w:r>
        <w:t xml:space="preserve"> </w:t>
      </w:r>
      <w:r>
        <w:t xml:space="preserve">and production patterns</w:t>
      </w:r>
      <w:r>
        <w:t xml:space="preserve"> </w:t>
      </w:r>
      <w:r>
        <w:t xml:space="preserve">A reduction in exposure to</w:t>
      </w:r>
      <w:r>
        <w:t xml:space="preserve"> </w:t>
      </w:r>
      <w:r>
        <w:t xml:space="preserve">diisocyanates is expected as a</w:t>
      </w:r>
      <w:r>
        <w:t xml:space="preserve"> </w:t>
      </w:r>
      <w:r>
        <w:t xml:space="preserve">result of risk management</w:t>
      </w:r>
      <w:r>
        <w:t xml:space="preserve"> </w:t>
      </w:r>
      <w:r>
        <w:t xml:space="preserve">measures put in place to comply</w:t>
      </w:r>
      <w:r>
        <w:t xml:space="preserve"> </w:t>
      </w:r>
      <w:r>
        <w:t xml:space="preserve">with the OEL and the STEL.</w:t>
      </w:r>
      <w:r>
        <w:br/>
      </w:r>
      <w:r>
        <w:t xml:space="preserve">Thus, the initiative would have a</w:t>
      </w:r>
      <w:r>
        <w:t xml:space="preserve"> </w:t>
      </w:r>
      <w:r>
        <w:t xml:space="preserve">limited positive impact, namely on</w:t>
      </w:r>
      <w:r>
        <w:t xml:space="preserve"> </w:t>
      </w:r>
      <w:r>
        <w:t xml:space="preserve">the environmentally sound</w:t>
      </w:r>
      <w:r>
        <w:t xml:space="preserve"> </w:t>
      </w:r>
      <w:r>
        <w:t xml:space="preserve">management of chemicals and all</w:t>
      </w:r>
      <w:r>
        <w:t xml:space="preserve"> </w:t>
      </w:r>
      <w:r>
        <w:t xml:space="preserve">wastes throughout their life cycle.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ANNEX 4: ANALYTICAL METHODS</w:t>
      </w:r>
      <w:r>
        <w:br/>
      </w:r>
      <w:r>
        <w:t xml:space="preserve">The calculations of ill-health cases, and the cost-related calculations are based on a 40-year reference</w:t>
      </w:r>
      <w:r>
        <w:t xml:space="preserve"> </w:t>
      </w:r>
      <w:r>
        <w:t xml:space="preserve">period, to take into account the total risk over the working life. This allows to present a long-term view,</w:t>
      </w:r>
      <w:r>
        <w:t xml:space="preserve"> </w:t>
      </w:r>
      <w:r>
        <w:t xml:space="preserve">instead of considering only the risks that might manifest at the early stages of exposure.</w:t>
      </w:r>
      <w:r>
        <w:t xml:space="preserve"> </w:t>
      </w:r>
      <w:r>
        <w:t xml:space="preserve">4.1</w:t>
      </w:r>
      <w:r>
        <w:t xml:space="preserve"> </w:t>
      </w:r>
      <w:r>
        <w:t xml:space="preserve">Estimation and Monetisation of the Health Impacts</w:t>
      </w:r>
      <w:r>
        <w:t xml:space="preserve"> </w:t>
      </w:r>
      <w:r>
        <w:t xml:space="preserve">4.1.1</w:t>
      </w:r>
      <w:r>
        <w:t xml:space="preserve"> </w:t>
      </w:r>
      <w:r>
        <w:t xml:space="preserve">Health impacts</w:t>
      </w:r>
      <w:r>
        <w:t xml:space="preserve"> </w:t>
      </w:r>
      <w:r>
        <w:t xml:space="preserve">The revision of the current BLV and OEL for lead and new OEL and STEL for diisocyanates is</w:t>
      </w:r>
      <w:r>
        <w:t xml:space="preserve"> </w:t>
      </w:r>
      <w:r>
        <w:t xml:space="preserve">expected to result in a reduction of exposure to both substances. The extent of such reduction depends</w:t>
      </w:r>
      <w:r>
        <w:t xml:space="preserve"> </w:t>
      </w:r>
      <w:r>
        <w:t xml:space="preserve">on the current levels of exposure, as well as on projected future levels of exposure in the absence of the</w:t>
      </w:r>
      <w:r>
        <w:t xml:space="preserve"> </w:t>
      </w:r>
      <w:r>
        <w:t xml:space="preserve">proposed measures, i.e., the baseline scenario.</w:t>
      </w:r>
      <w:r>
        <w:t xml:space="preserve"> </w:t>
      </w:r>
      <w:r>
        <w:t xml:space="preserve">The current and future cases of ill health (current burden of disease and future burden of disease) have</w:t>
      </w:r>
      <w:r>
        <w:t xml:space="preserve"> </w:t>
      </w:r>
      <w:r>
        <w:t xml:space="preserve">been estimated for both cancer and non-cancer endpoints using the following inputs:</w:t>
      </w:r>
      <w:r>
        <w:t xml:space="preserve"> </w:t>
      </w:r>
      <w:r>
        <w:t xml:space="preserve"></w:t>
      </w:r>
      <w:r>
        <w:t xml:space="preserve"> </w:t>
      </w:r>
      <w:r>
        <w:t xml:space="preserve">ERRs and DRRs for the relevant health effects;</w:t>
      </w:r>
      <w:r>
        <w:t xml:space="preserve"> </w:t>
      </w:r>
      <w:r>
        <w:t xml:space="preserve"></w:t>
      </w:r>
      <w:r>
        <w:t xml:space="preserve"> </w:t>
      </w:r>
      <w:r>
        <w:t xml:space="preserve">numbers of workers exposed;</w:t>
      </w:r>
      <w:r>
        <w:t xml:space="preserve"> </w:t>
      </w:r>
      <w:r>
        <w:t xml:space="preserve"></w:t>
      </w:r>
      <w:r>
        <w:t xml:space="preserve"> </w:t>
      </w:r>
      <w:r>
        <w:t xml:space="preserve">exposure concentrations (diisocyanates) or blood lead levels (lead); and</w:t>
      </w:r>
      <w:r>
        <w:t xml:space="preserve"> </w:t>
      </w:r>
      <w:r>
        <w:t xml:space="preserve"></w:t>
      </w:r>
      <w:r>
        <w:t xml:space="preserve"> </w:t>
      </w:r>
      <w:r>
        <w:t xml:space="preserve">past and future trends in the exposed workforce and exposure concentrations.</w:t>
      </w:r>
      <w:r>
        <w:t xml:space="preserve"> </w:t>
      </w:r>
      <w:r>
        <w:t xml:space="preserve">This methodology section deals with the principles of this estimation procedure.</w:t>
      </w:r>
      <w:r>
        <w:br/>
      </w:r>
      <w:r>
        <w:t xml:space="preserve">The number of workers exposed</w:t>
      </w:r>
      <w:r>
        <w:t xml:space="preserve"> </w:t>
      </w:r>
      <w:r>
        <w:t xml:space="preserve">It is important to calculate the number of workers potentially exposed to a substance in order to</w:t>
      </w:r>
      <w:r>
        <w:t xml:space="preserve"> </w:t>
      </w:r>
      <w:r>
        <w:t xml:space="preserve">calculate the potential benefits of implementing any new measures.</w:t>
      </w:r>
      <w:r>
        <w:br/>
      </w:r>
      <w:r>
        <w:t xml:space="preserve">Data on exposed workforce are available from national databases in a number of Member States. The</w:t>
      </w:r>
      <w:r>
        <w:t xml:space="preserve"> </w:t>
      </w:r>
      <w:r>
        <w:t xml:space="preserve">data in general include exposed workforce from activities subject to notification. This data was then</w:t>
      </w:r>
      <w:r>
        <w:t xml:space="preserve"> </w:t>
      </w:r>
      <w:r>
        <w:t xml:space="preserve">extrapolated to the EU27 on a per capita basis.</w:t>
      </w:r>
      <w:r>
        <w:t xml:space="preserve"> </w:t>
      </w:r>
      <w:r>
        <w:t xml:space="preserve">4.1.2</w:t>
      </w:r>
      <w:r>
        <w:t xml:space="preserve"> </w:t>
      </w:r>
      <w:r>
        <w:t xml:space="preserve">Monetisation of the health impacts</w:t>
      </w:r>
      <w:r>
        <w:t xml:space="preserve"> </w:t>
      </w:r>
      <w:r>
        <w:t xml:space="preserve">Specific guidance is provided in the Better Regulation (BR) Toolbox for health impacts (BR Tool #32).</w:t>
      </w:r>
      <w:r>
        <w:t xml:space="preserve"> </w:t>
      </w:r>
      <w:r>
        <w:t xml:space="preserve">This is summarised in the table below.</w:t>
      </w:r>
    </w:p>
    <w:p>
      <w:pPr>
        <w:pStyle w:val="BodyText"/>
      </w:pPr>
      <w:r>
        <w:t xml:space="preserve">Table 1: Better Regulation Toolbox on health impacts</w:t>
      </w:r>
      <w:r>
        <w:t xml:space="preserve"> </w:t>
      </w:r>
      <w:r>
        <w:t xml:space="preserve">Aspect</w:t>
      </w:r>
      <w:r>
        <w:t xml:space="preserve"> </w:t>
      </w:r>
      <w:r>
        <w:t xml:space="preserve">Guidance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Health impacts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Indirect impacts: does the option influence the socio-economic environment that</w:t>
      </w:r>
      <w:r>
        <w:t xml:space="preserve"> </w:t>
      </w:r>
      <w:r>
        <w:t xml:space="preserve">can determine health status?</w:t>
      </w:r>
      <w:r>
        <w:t xml:space="preserve"> </w:t>
      </w:r>
      <w:r>
        <w:t xml:space="preserve">To assess direct and indirect health impacts monetary and non-monetary</w:t>
      </w:r>
      <w:r>
        <w:t xml:space="preserve"> </w:t>
      </w:r>
      <w:r>
        <w:t xml:space="preserve">methodologies can be used.</w:t>
      </w:r>
      <w:r>
        <w:t xml:space="preserve"> </w:t>
      </w:r>
      <w:r>
        <w:t xml:space="preserve">Non-monetary approaches: Quality adjusted life years (QALYs), Disability</w:t>
      </w:r>
      <w:r>
        <w:t xml:space="preserve"> </w:t>
      </w:r>
      <w:r>
        <w:t xml:space="preserve">adjusted life years) (DALYs), Healthy life years (HLYs).</w:t>
      </w:r>
      <w:r>
        <w:t xml:space="preserve"> </w:t>
      </w:r>
      <w:r>
        <w:t xml:space="preserve">Monetary approaches: preference-based approaches Willingness to pay (WTP),</w:t>
      </w:r>
      <w:r>
        <w:t xml:space="preserve"> </w:t>
      </w:r>
      <w:r>
        <w:t xml:space="preserve">Willingness to accept (WTA) -&gt; Value of Statistical Life (VOSL), Value of Life-</w:t>
      </w:r>
      <w:r>
        <w:t xml:space="preserve"> </w:t>
      </w:r>
      <w:r>
        <w:t xml:space="preserve">Year (VOLY), accounting-style approaches (cost of illness method=only medical</w:t>
      </w:r>
      <w:r>
        <w:t xml:space="preserve"> </w:t>
      </w:r>
      <w:r>
        <w:t xml:space="preserve">expenses, human capital method=loss of future earnings in case of disability or</w:t>
      </w:r>
      <w:r>
        <w:t xml:space="preserve"> </w:t>
      </w:r>
      <w:r>
        <w:t xml:space="preserve">premature death)</w:t>
      </w:r>
      <w:r>
        <w:t xml:space="preserve"> </w:t>
      </w:r>
      <w:r>
        <w:t xml:space="preserve">Source: External study. RPA (2021) (Source: Better Regulation (BR) Toolbox – Tool health impacts</w:t>
      </w:r>
      <w:r>
        <w:t xml:space="preserve"> </w:t>
      </w:r>
      <w:r>
        <w:t xml:space="preserve">(BR Tool #32))</w:t>
      </w:r>
    </w:p>
    <w:p>
      <w:pPr>
        <w:pStyle w:val="BodyText"/>
      </w:pPr>
      <w:r>
        <w:t xml:space="preserve"> Direct costs: These are the costs of healthcare, in other words, the medical costs associated with</w:t>
      </w:r>
      <w:r>
        <w:t xml:space="preserve"> </w:t>
      </w:r>
      <w:r>
        <w:t xml:space="preserve">the treatment of cancer and other costs, including non-medical costs. Other direct costs may be</w:t>
      </w:r>
      <w:r>
        <w:t xml:space="preserve"> </w:t>
      </w:r>
      <w:r>
        <w:t xml:space="preserve">incurred by the patients (say, the cost of transport to attend appointments) but also by their</w:t>
      </w:r>
      <w:r>
        <w:t xml:space="preserve"> </w:t>
      </w:r>
      <w:r>
        <w:t xml:space="preserve">families/friends, for example, through providing unpaid care.</w:t>
      </w:r>
      <w:r>
        <w:t xml:space="preserve"> </w:t>
      </w:r>
      <w:r>
        <w:t xml:space="preserve"> Indirect costs: These are the monetary losses associated with the time spent receiving medical</w:t>
      </w:r>
      <w:r>
        <w:t xml:space="preserve"> </w:t>
      </w:r>
      <w:r>
        <w:t xml:space="preserve">care, including productivity losses due to time spent away from work or other usual activities and</w:t>
      </w:r>
      <w:r>
        <w:t xml:space="preserve"> </w:t>
      </w:r>
      <w:r>
        <w:t xml:space="preserve">lost productivity due to premature death. Employers might also bear costs indirectly through inter</w:t>
      </w:r>
      <w:r>
        <w:t xml:space="preserve"> </w:t>
      </w:r>
      <w:r>
        <w:t xml:space="preserve">alia loss of output; payments related to sick leave; administrative costs related to a worker’s</w:t>
      </w:r>
      <w:r>
        <w:t xml:space="preserve"> </w:t>
      </w:r>
      <w:r>
        <w:t xml:space="preserve">absence; additional recruitment costs; loss of experience/expertise; overtime working;</w:t>
      </w:r>
      <w:r>
        <w:t xml:space="preserve"> </w:t>
      </w:r>
      <w:r>
        <w:t xml:space="preserve">compensation payments (although this may be covered by some form of employer’s liability</w:t>
      </w:r>
      <w:r>
        <w:t xml:space="preserve"> </w:t>
      </w:r>
      <w:r>
        <w:t xml:space="preserve">insurance); and insurance premiums. Depending on the national structure of social security</w:t>
      </w:r>
      <w:r>
        <w:t xml:space="preserve"> </w:t>
      </w:r>
      <w:r>
        <w:t xml:space="preserve">provision, the government (tax payers) may also bear the costs of any disability/social security</w:t>
      </w:r>
      <w:r>
        <w:t xml:space="preserve"> </w:t>
      </w:r>
      <w:r>
        <w:t xml:space="preserve">payments and will also suffer losses through foregone tax receipts.</w:t>
      </w:r>
      <w:r>
        <w:t xml:space="preserve"> </w:t>
      </w:r>
      <w:r>
        <w:t xml:space="preserve"> Intangible costs: These include the non-financial ‘human’ losses associated with cancer, e.g.,</w:t>
      </w:r>
      <w:r>
        <w:t xml:space="preserve"> </w:t>
      </w:r>
      <w:r>
        <w:t xml:space="preserve">reduced quality of life, pain, suffering, anxiety and grief.</w:t>
      </w:r>
      <w:r>
        <w:t xml:space="preserve"> </w:t>
      </w:r>
      <w:r>
        <w:t xml:space="preserve">In economic impact terms, the total social costs95 of ill health are measured by the costs borne for health</w:t>
      </w:r>
      <w:r>
        <w:t xml:space="preserve"> </w:t>
      </w:r>
      <w:r>
        <w:t xml:space="preserve">care provision, together with lost output (including productivity losses), gross wage and non-wage</w:t>
      </w:r>
      <w:r>
        <w:t xml:space="preserve"> </w:t>
      </w:r>
      <w:r>
        <w:t xml:space="preserve">labour costs of absent workers (such as loss of experience), administrative costs and the intangible</w:t>
      </w:r>
      <w:r>
        <w:t xml:space="preserve"> </w:t>
      </w:r>
      <w:r>
        <w:t xml:space="preserve">costs. These represent the direct and indirect resource costs and the non-market ‘external’ costs of</w:t>
      </w:r>
      <w:r>
        <w:t xml:space="preserve"> </w:t>
      </w:r>
      <w:r>
        <w:t xml:space="preserve">illness. The other costs listed above (e.g,. insurance premiums) relate to what are commonly referred to</w:t>
      </w:r>
      <w:r>
        <w:t xml:space="preserve"> </w:t>
      </w:r>
      <w:r>
        <w:t xml:space="preserve">as ‘transfer payments’, which do not give rise to net welfare effects. As a result, they are not considered</w:t>
      </w:r>
      <w:r>
        <w:t xml:space="preserve"> </w:t>
      </w:r>
      <w:r>
        <w:t xml:space="preserve">in economic analyses, even though they may be important in financial terms to an individual worker or</w:t>
      </w:r>
      <w:r>
        <w:t xml:space="preserve"> </w:t>
      </w:r>
      <w:r>
        <w:t xml:space="preserve">an employer.</w:t>
      </w:r>
      <w:r>
        <w:t xml:space="preserve"> </w:t>
      </w:r>
      <w:r>
        <w:t xml:space="preserve">4.1.3</w:t>
      </w:r>
      <w:r>
        <w:t xml:space="preserve"> </w:t>
      </w:r>
      <w:r>
        <w:t xml:space="preserve">Benefits model</w:t>
      </w:r>
      <w:r>
        <w:t xml:space="preserve"> </w:t>
      </w:r>
      <w:r>
        <w:t xml:space="preserve">4.1.3.1 Introduction</w:t>
      </w:r>
    </w:p>
    <w:p>
      <w:pPr>
        <w:pStyle w:val="BodyText"/>
      </w:pPr>
      <w:r>
        <w:t xml:space="preserve">95 From a welfare economic perspective.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The key health endpoints are summarised below. The inputs are those parameters whose variation</w:t>
      </w:r>
      <w:r>
        <w:t xml:space="preserve"> </w:t>
      </w:r>
      <w:r>
        <w:t xml:space="preserve">changes the results and for which the model is run multiple times to derive a benefits curve.</w:t>
      </w:r>
      <w:r>
        <w:t xml:space="preserve"> </w:t>
      </w:r>
      <w:r>
        <w:t xml:space="preserve">Table 2: Key health endpoints</w:t>
      </w:r>
      <w:r>
        <w:t xml:space="preserve"> </w:t>
      </w:r>
      <w:r>
        <w:t xml:space="preserve">Substance</w:t>
      </w:r>
      <w:r>
        <w:t xml:space="preserve"> </w:t>
      </w:r>
      <w:r>
        <w:t xml:space="preserve">Carcinogenic endpoints</w:t>
      </w:r>
      <w:r>
        <w:t xml:space="preserve"> </w:t>
      </w:r>
      <w:r>
        <w:t xml:space="preserve">Non-carcinogenic endpoints</w:t>
      </w:r>
      <w:r>
        <w:t xml:space="preserve"> </w:t>
      </w:r>
      <w:r>
        <w:t xml:space="preserve">Diisocyanates</w:t>
      </w:r>
      <w:r>
        <w:t xml:space="preserve"> </w:t>
      </w:r>
      <w:r>
        <w:t xml:space="preserve">-</w:t>
      </w:r>
      <w:r>
        <w:t xml:space="preserve"> </w:t>
      </w:r>
      <w:r>
        <w:t xml:space="preserve">Asthma</w:t>
      </w:r>
      <w:r>
        <w:t xml:space="preserve"> </w:t>
      </w:r>
      <w:r>
        <w:t xml:space="preserve">Irritation</w:t>
      </w:r>
      <w:r>
        <w:t xml:space="preserve"> </w:t>
      </w:r>
      <w:r>
        <w:t xml:space="preserve">Lead and its compounds</w:t>
      </w:r>
      <w:r>
        <w:t xml:space="preserve"> </w:t>
      </w:r>
      <w:r>
        <w:t xml:space="preserve">Central Nervous System (CNS</w:t>
      </w:r>
      <w:r>
        <w:t xml:space="preserve"> </w:t>
      </w:r>
      <w:r>
        <w:t xml:space="preserve">Cancer)</w:t>
      </w:r>
      <w:r>
        <w:t xml:space="preserve"> </w:t>
      </w:r>
      <w:r>
        <w:t xml:space="preserve">Neuropathy</w:t>
      </w:r>
      <w:r>
        <w:t xml:space="preserve"> </w:t>
      </w:r>
      <w:r>
        <w:t xml:space="preserve">Anaemia</w:t>
      </w:r>
      <w:r>
        <w:t xml:space="preserve"> </w:t>
      </w:r>
      <w:r>
        <w:t xml:space="preserve">Chronic kidney disease stage 1</w:t>
      </w:r>
      <w:r>
        <w:t xml:space="preserve"> </w:t>
      </w:r>
      <w:r>
        <w:t xml:space="preserve">Elevated blood pressure</w:t>
      </w:r>
      <w:r>
        <w:br/>
      </w:r>
      <w:r>
        <w:t xml:space="preserve">Male fertility</w:t>
      </w:r>
      <w:r>
        <w:t xml:space="preserve"> </w:t>
      </w:r>
      <w:r>
        <w:t xml:space="preserve">Pre-eclampsia</w:t>
      </w:r>
      <w:r>
        <w:t xml:space="preserve"> </w:t>
      </w:r>
      <w:r>
        <w:t xml:space="preserve">Developmental toxicity</w:t>
      </w:r>
    </w:p>
    <w:p>
      <w:pPr>
        <w:pStyle w:val="BodyText"/>
      </w:pPr>
      <w:r>
        <w:t xml:space="preserve">Source: External Study RPA (2021)</w:t>
      </w:r>
      <w:r>
        <w:t xml:space="preserve"> </w:t>
      </w:r>
      <w:r>
        <w:t xml:space="preserve">The key model inputs are used to estimate the number of cases of ill health over the relevant period.</w:t>
      </w:r>
      <w:r>
        <w:t xml:space="preserve"> </w:t>
      </w:r>
      <w:r>
        <w:t xml:space="preserve">The exposed workforce is divided into several bands which are characterised by variations in some of</w:t>
      </w:r>
      <w:r>
        <w:t xml:space="preserve"> </w:t>
      </w:r>
      <w:r>
        <w:t xml:space="preserve">these inputs and for which the incidence of ill health is estimated separately and subsequently</w:t>
      </w:r>
      <w:r>
        <w:t xml:space="preserve"> </w:t>
      </w:r>
      <w:r>
        <w:t xml:space="preserve">aggregated into totals for each substance.</w:t>
      </w:r>
    </w:p>
    <w:p>
      <w:pPr>
        <w:pStyle w:val="BodyText"/>
      </w:pPr>
      <w:r>
        <w:t xml:space="preserve">Table 3: Key model inputs</w:t>
      </w:r>
      <w:r>
        <w:t xml:space="preserve"> </w:t>
      </w:r>
      <w:r>
        <w:t xml:space="preserve">Parameter</w:t>
      </w:r>
      <w:r>
        <w:t xml:space="preserve"> </w:t>
      </w:r>
      <w:r>
        <w:t xml:space="preserve">Explanation</w:t>
      </w:r>
      <w:r>
        <w:t xml:space="preserve"> </w:t>
      </w:r>
      <w:r>
        <w:t xml:space="preserve">Exposure-risk/dose-response</w:t>
      </w:r>
      <w:r>
        <w:t xml:space="preserve"> </w:t>
      </w:r>
      <w:r>
        <w:t xml:space="preserve">relationship</w:t>
      </w:r>
      <w:r>
        <w:t xml:space="preserve"> </w:t>
      </w:r>
      <w:r>
        <w:t xml:space="preserve">Exposure-Risk Relationship (ERR) for cancer effects or Dose-</w:t>
      </w:r>
      <w:r>
        <w:t xml:space="preserve"> </w:t>
      </w:r>
      <w:r>
        <w:t xml:space="preserve">Response Relationship (DRR) for non-cancer effects.</w:t>
      </w:r>
      <w:r>
        <w:t xml:space="preserve"> </w:t>
      </w:r>
      <w:r>
        <w:t xml:space="preserve">Exposed workforce</w:t>
      </w:r>
      <w:r>
        <w:t xml:space="preserve"> </w:t>
      </w:r>
      <w:r>
        <w:t xml:space="preserve">Number of workers exposed.</w:t>
      </w:r>
      <w:r>
        <w:t xml:space="preserve"> </w:t>
      </w:r>
      <w:r>
        <w:t xml:space="preserve">Exposure concentration</w:t>
      </w:r>
      <w:r>
        <w:t xml:space="preserve"> </w:t>
      </w:r>
      <w:r>
        <w:t xml:space="preserve">For OELs: 8-hr TWA (time-weighted average) that the workers are</w:t>
      </w:r>
      <w:r>
        <w:t xml:space="preserve"> </w:t>
      </w:r>
      <w:r>
        <w:t xml:space="preserve">exposed to (real concentration, i.e., if personal protective equipment</w:t>
      </w:r>
      <w:r>
        <w:t xml:space="preserve"> </w:t>
      </w:r>
      <w:r>
        <w:t xml:space="preserve">(PPE) is currently worn, the measured concentrations are adjusted to</w:t>
      </w:r>
      <w:r>
        <w:t xml:space="preserve"> </w:t>
      </w:r>
      <w:r>
        <w:t xml:space="preserve">take into account PPE where possible).</w:t>
      </w:r>
      <w:r>
        <w:t xml:space="preserve"> </w:t>
      </w:r>
      <w:r>
        <w:t xml:space="preserve">For STELs: 15-min peak exposure (real concentration after taking into</w:t>
      </w:r>
      <w:r>
        <w:t xml:space="preserve"> </w:t>
      </w:r>
      <w:r>
        <w:t xml:space="preserve">account PPE).</w:t>
      </w:r>
      <w:r>
        <w:t xml:space="preserve"> </w:t>
      </w:r>
      <w:r>
        <w:t xml:space="preserve">For BLVs: the concentration of the relevant substance or metabolite in</w:t>
      </w:r>
      <w:r>
        <w:t xml:space="preserve"> </w:t>
      </w:r>
      <w:r>
        <w:t xml:space="preserve">the relevant biological media such as blood or urine.</w:t>
      </w:r>
      <w:r>
        <w:t xml:space="preserve"> </w:t>
      </w:r>
      <w:r>
        <w:t xml:space="preserve">Trends</w:t>
      </w:r>
      <w:r>
        <w:t xml:space="preserve"> </w:t>
      </w:r>
      <w:r>
        <w:t xml:space="preserve">Past and future trends in numbers of workers exposed and/or exposure</w:t>
      </w:r>
      <w:r>
        <w:t xml:space="preserve"> </w:t>
      </w:r>
      <w:r>
        <w:t xml:space="preserve">concentrations.</w:t>
      </w:r>
      <w:r>
        <w:br/>
      </w:r>
      <w:r>
        <w:t xml:space="preserve">Source: External Study RPA (2021)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In addition to the key inputs set out above, the model relies on a range of assumptions that determine</w:t>
      </w:r>
      <w:r>
        <w:t xml:space="preserve"> </w:t>
      </w:r>
      <w:r>
        <w:t xml:space="preserve">when the relevant effect occurs or is diagnosed, the nature and severity of its effects, and how long</w:t>
      </w:r>
      <w:r>
        <w:t xml:space="preserve"> </w:t>
      </w:r>
      <w:r>
        <w:t xml:space="preserve">these effects (or their consequences) last. These assumptions differ by substance and health outcome.</w:t>
      </w:r>
      <w:r>
        <w:t xml:space="preserve"> </w:t>
      </w:r>
      <w:r>
        <w:t xml:space="preserve">Some of these assumptions are a simplification of complex real-life scenarios or best estimates (where</w:t>
      </w:r>
      <w:r>
        <w:t xml:space="preserve"> </w:t>
      </w:r>
      <w:r>
        <w:t xml:space="preserve">authoritative evidence could not be identified from available literature).</w:t>
      </w:r>
      <w:r>
        <w:br/>
      </w:r>
      <w:r>
        <w:t xml:space="preserve">The key areas in which assumptions had to be made to enable the model to estimate and monetise the</w:t>
      </w:r>
      <w:r>
        <w:t xml:space="preserve"> </w:t>
      </w:r>
      <w:r>
        <w:t xml:space="preserve">incidence of ill-health over the relevant assessment period are set out below.</w:t>
      </w:r>
      <w:r>
        <w:t xml:space="preserve"> </w:t>
      </w:r>
      <w:r>
        <w:t xml:space="preserve">Table 4: Further assumptions and their consequences for the sensitivity analysis</w:t>
      </w:r>
      <w:r>
        <w:br/>
      </w:r>
      <w:r>
        <w:t xml:space="preserve">Parameter</w:t>
      </w:r>
      <w:r>
        <w:t xml:space="preserve"> </w:t>
      </w:r>
      <w:r>
        <w:t xml:space="preserve">Explanation</w:t>
      </w:r>
      <w:r>
        <w:t xml:space="preserve"> </w:t>
      </w:r>
      <w:r>
        <w:t xml:space="preserve">Onset of the disease</w:t>
      </w:r>
      <w:r>
        <w:t xml:space="preserve"> </w:t>
      </w:r>
      <w:r>
        <w:t xml:space="preserve">MinEx</w:t>
      </w:r>
      <w:r>
        <w:t xml:space="preserve"> </w:t>
      </w:r>
      <w:r>
        <w:t xml:space="preserve">The minimum exposure duration required to develop the endpoint.</w:t>
      </w:r>
      <w:r>
        <w:t xml:space="preserve"> </w:t>
      </w:r>
      <w:r>
        <w:t xml:space="preserve">MaxEx</w:t>
      </w:r>
      <w:r>
        <w:t xml:space="preserve"> </w:t>
      </w:r>
      <w:r>
        <w:t xml:space="preserve">The time needed to reach the maximum risk (i.e., after the MaxEx has been</w:t>
      </w:r>
      <w:r>
        <w:t xml:space="preserve"> </w:t>
      </w:r>
      <w:r>
        <w:t xml:space="preserve">reached, the risk does not increase further).</w:t>
      </w:r>
      <w:r>
        <w:t xml:space="preserve"> </w:t>
      </w:r>
      <w:r>
        <w:t xml:space="preserve">Lat</w:t>
      </w:r>
      <w:r>
        <w:t xml:space="preserve"> </w:t>
      </w:r>
      <w:r>
        <w:t xml:space="preserve">The latency with which the effect is demonstrated.</w:t>
      </w:r>
      <w:r>
        <w:t xml:space="preserve"> </w:t>
      </w:r>
      <w:r>
        <w:t xml:space="preserve">Dist</w:t>
      </w:r>
      <w:r>
        <w:t xml:space="preserve"> </w:t>
      </w:r>
      <w:r>
        <w:t xml:space="preserve">The distribution of cases over the period between MinEx and the MaxEx: the</w:t>
      </w:r>
      <w:r>
        <w:t xml:space="preserve"> </w:t>
      </w:r>
      <w:r>
        <w:t xml:space="preserve">default assumption is a linear accumulation of risk over the relevant period.</w:t>
      </w:r>
      <w:r>
        <w:t xml:space="preserve"> </w:t>
      </w:r>
      <w:r>
        <w:t xml:space="preserve">The effects of the disease</w:t>
      </w:r>
      <w:r>
        <w:t xml:space="preserve"> </w:t>
      </w:r>
      <w:r>
        <w:t xml:space="preserve">Mortality</w:t>
      </w:r>
      <w:r>
        <w:t xml:space="preserve"> </w:t>
      </w:r>
      <w:r>
        <w:t xml:space="preserve">Mortality rate as a result of the relevant condition.</w:t>
      </w:r>
      <w:r>
        <w:t xml:space="preserve"> </w:t>
      </w:r>
      <w:r>
        <w:t xml:space="preserve">Severity</w:t>
      </w:r>
      <w:r>
        <w:t xml:space="preserve"> </w:t>
      </w:r>
      <w:r>
        <w:t xml:space="preserve">The typical severity (mild to severe) of the relevant outcome – where a range of</w:t>
      </w:r>
      <w:r>
        <w:t xml:space="preserve"> </w:t>
      </w:r>
      <w:r>
        <w:t xml:space="preserve">severities is expected, a weighted average has been estimated.</w:t>
      </w:r>
      <w:r>
        <w:t xml:space="preserve"> </w:t>
      </w:r>
      <w:r>
        <w:t xml:space="preserve">Value of a case</w:t>
      </w:r>
      <w:r>
        <w:br/>
      </w:r>
      <w:r>
        <w:t xml:space="preserve">Monetary value of a case taking into account the direct, indirect, and intangible</w:t>
      </w:r>
      <w:r>
        <w:t xml:space="preserve"> </w:t>
      </w:r>
      <w:r>
        <w:t xml:space="preserve">costs estimated relying either on a) Willingness to Pay (WTP) for a case of</w:t>
      </w:r>
      <w:r>
        <w:t xml:space="preserve"> </w:t>
      </w:r>
      <w:r>
        <w:t xml:space="preserve">mortality or morbidity or b) monetised Disability Adjusted Life Years</w:t>
      </w:r>
      <w:r>
        <w:t xml:space="preserve"> </w:t>
      </w:r>
      <w:r>
        <w:t xml:space="preserve">(DALYs).</w:t>
      </w:r>
      <w:r>
        <w:t xml:space="preserve"> </w:t>
      </w:r>
      <w:r>
        <w:t xml:space="preserve">Source: External Study RPA (2021)</w:t>
      </w:r>
      <w:r>
        <w:t xml:space="preserve"> </w:t>
      </w:r>
      <w:r>
        <w:t xml:space="preserve">The model provides an approximation of the order of magnitude of the expected impacts and the core</w:t>
      </w:r>
      <w:r>
        <w:t xml:space="preserve"> </w:t>
      </w:r>
      <w:r>
        <w:t xml:space="preserve">calculations are supported by sensitivity analysis. The outputs of the model include:</w:t>
      </w:r>
      <w:r>
        <w:t xml:space="preserve"> </w:t>
      </w:r>
      <w:r>
        <w:t xml:space="preserve"> The number of new cases for each health endpoint assigned to a specific year in the assessment</w:t>
      </w:r>
      <w:r>
        <w:t xml:space="preserve"> </w:t>
      </w:r>
      <w:r>
        <w:t xml:space="preserve">period;</w:t>
      </w:r>
      <w:r>
        <w:t xml:space="preserve"> </w:t>
      </w:r>
      <w:r>
        <w:t xml:space="preserve"> the Present Value (PV) of the direct, indirect, and intangible costs of these cases.</w:t>
      </w:r>
    </w:p>
    <w:p>
      <w:pPr>
        <w:pStyle w:val="BodyText"/>
      </w:pPr>
      <w:r>
        <w:t xml:space="preserve">4.1.4</w:t>
      </w:r>
      <w:r>
        <w:t xml:space="preserve"> </w:t>
      </w:r>
      <w:r>
        <w:t xml:space="preserve">Key model inputs</w:t>
      </w:r>
      <w:r>
        <w:t xml:space="preserve"> </w:t>
      </w:r>
      <w:r>
        <w:t xml:space="preserve">4.1.4.1 Rx: estimate of the risk or fraction of workers affected</w:t>
      </w:r>
      <w:r>
        <w:t xml:space="preserve"> </w:t>
      </w:r>
      <w:r>
        <w:t xml:space="preserve">The risk of developing the relevant effect is estimated by combining exposure concentrations with:</w:t>
      </w:r>
      <w:r>
        <w:t xml:space="preserve"> </w:t>
      </w:r>
      <w:r>
        <w:t xml:space="preserve">For non-cancer endpoints: Dose-Response-Relationship (DRR), i.e., the proportion of workers that will</w:t>
      </w:r>
      <w:r>
        <w:t xml:space="preserve"> </w:t>
      </w:r>
      <w:r>
        <w:t xml:space="preserve">develop an endpoint when exposed to a certain level of exposure. The DRR is typically defined for the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health endpoint as it occurred in the underlying study and does not provide an indication for progression</w:t>
      </w:r>
      <w:r>
        <w:t xml:space="preserve"> </w:t>
      </w:r>
      <w:r>
        <w:t xml:space="preserve">of disease severity. This is taken into account in the course of monetisation of the cases estimated by the</w:t>
      </w:r>
      <w:r>
        <w:t xml:space="preserve"> </w:t>
      </w:r>
      <w:r>
        <w:t xml:space="preserve">model.</w:t>
      </w:r>
      <w:r>
        <w:br/>
      </w:r>
      <w:r>
        <w:t xml:space="preserve">For cancer: Exposure-Risk Relationship (ERR), i.e., excess risk of developing cancer due to lifetime</w:t>
      </w:r>
      <w:r>
        <w:t xml:space="preserve"> </w:t>
      </w:r>
      <w:r>
        <w:t xml:space="preserve">occupational exposure to a substance (40 years).</w:t>
      </w:r>
      <w:r>
        <w:t xml:space="preserve"> </w:t>
      </w:r>
      <w:r>
        <w:t xml:space="preserve">4.1.4.2 ExW: exposed workforce</w:t>
      </w:r>
      <w:r>
        <w:t xml:space="preserve"> </w:t>
      </w:r>
      <w:r>
        <w:t xml:space="preserve">The sources of data and assumptions used to estimate the numbers of workers exposed to the relevant</w:t>
      </w:r>
      <w:r>
        <w:t xml:space="preserve"> </w:t>
      </w:r>
      <w:r>
        <w:t xml:space="preserve">substance are detailed in the substance-specific reports, together with the expected future trends.</w:t>
      </w:r>
      <w:r>
        <w:t xml:space="preserve"> </w:t>
      </w:r>
      <w:r>
        <w:t xml:space="preserve">As a default value, it is assumed that there is a staff turnover of 5% per year. The 5% per year is lower</w:t>
      </w:r>
      <w:r>
        <w:t xml:space="preserve"> </w:t>
      </w:r>
      <w:r>
        <w:t xml:space="preserve">than the turnover ratios in most of the published literature and Eurostat, which are typically derived at</w:t>
      </w:r>
      <w:r>
        <w:t xml:space="preserve"> </w:t>
      </w:r>
      <w:r>
        <w:t xml:space="preserve">the level of individual companies rather than sectors. However, it is common that, e.g., construction</w:t>
      </w:r>
      <w:r>
        <w:t xml:space="preserve"> </w:t>
      </w:r>
      <w:r>
        <w:t xml:space="preserve">workers would continue to work within construction for a major part of their work life, but it is</w:t>
      </w:r>
      <w:r>
        <w:t xml:space="preserve"> </w:t>
      </w:r>
      <w:r>
        <w:t xml:space="preserve">uncertain to what extent they would continue with a job function with a specific exposure situation.</w:t>
      </w:r>
      <w:r>
        <w:t xml:space="preserve"> </w:t>
      </w:r>
      <w:r>
        <w:t xml:space="preserve">We consider, in accordance with the assumptions in the previous RPA &amp; COWI studies, that a ratio of</w:t>
      </w:r>
      <w:r>
        <w:t xml:space="preserve"> </w:t>
      </w:r>
      <w:r>
        <w:t xml:space="preserve">5% is deemed appropriate to account for the fact that some workers may continue to work in the same</w:t>
      </w:r>
      <w:r>
        <w:t xml:space="preserve"> </w:t>
      </w:r>
      <w:r>
        <w:t xml:space="preserve">sector and continue to be exposed to the same substances.</w:t>
      </w:r>
      <w:r>
        <w:t xml:space="preserve"> </w:t>
      </w:r>
      <w:r>
        <w:t xml:space="preserve">4.1.4.3 Cx: Exposure concentrations</w:t>
      </w:r>
      <w:r>
        <w:t xml:space="preserve"> </w:t>
      </w:r>
      <w:r>
        <w:t xml:space="preserve">For each substance, one or more exposure scenarios have been modelled based on data sourced from</w:t>
      </w:r>
      <w:r>
        <w:t xml:space="preserve"> </w:t>
      </w:r>
      <w:r>
        <w:t xml:space="preserve">literature and consultation – these scenarios are used for the estimation of the costs and benefits (cost</w:t>
      </w:r>
      <w:r>
        <w:t xml:space="preserve"> </w:t>
      </w:r>
      <w:r>
        <w:t xml:space="preserve">savings from reduced ill-health) of the OEL and BLV policy options.</w:t>
      </w:r>
      <w:r>
        <w:t xml:space="preserve"> </w:t>
      </w:r>
      <w:r>
        <w:t xml:space="preserve">The number of workers exposed at levels of relevance for the assessment of establishing an OEL is</w:t>
      </w:r>
      <w:r>
        <w:t xml:space="preserve"> </w:t>
      </w:r>
      <w:r>
        <w:t xml:space="preserve">derived from consultation with relevant companies and industry associations, databases, literature,</w:t>
      </w:r>
      <w:r>
        <w:t xml:space="preserve"> </w:t>
      </w:r>
      <w:r>
        <w:t xml:space="preserve">workers’ associations and other sources. For each of the relevant sectors, distributions of workers over</w:t>
      </w:r>
      <w:r>
        <w:t xml:space="preserve"> </w:t>
      </w:r>
      <w:r>
        <w:t xml:space="preserve">exposure levels were established. In general, it is assumed that the exposure concentrations are</w:t>
      </w:r>
      <w:r>
        <w:t xml:space="preserve"> </w:t>
      </w:r>
      <w:r>
        <w:t xml:space="preserve">lognormal distributed, and exposure data collected for this study are fitted to a lognormal distribution</w:t>
      </w:r>
      <w:r>
        <w:t xml:space="preserve"> </w:t>
      </w:r>
      <w:r>
        <w:t xml:space="preserve">for which the key parameters such as the 50th, 75th, 90th and 95th percentiles are estimated (please</w:t>
      </w:r>
      <w:r>
        <w:t xml:space="preserve"> </w:t>
      </w:r>
      <w:r>
        <w:t xml:space="preserve">note that these parameters may differ between substances).</w:t>
      </w:r>
      <w:r>
        <w:br/>
      </w:r>
      <w:r>
        <w:t xml:space="preserve">4.1.5</w:t>
      </w:r>
      <w:r>
        <w:t xml:space="preserve"> </w:t>
      </w:r>
      <w:r>
        <w:t xml:space="preserve">Key assumptions</w:t>
      </w:r>
      <w:r>
        <w:t xml:space="preserve"> </w:t>
      </w:r>
      <w:r>
        <w:t xml:space="preserve">4.1.5.1 Onset of the disease</w:t>
      </w:r>
      <w:r>
        <w:t xml:space="preserve"> </w:t>
      </w:r>
      <w:r>
        <w:t xml:space="preserve">MinEx &amp; MaxEx - The minimum and maximum exposure duration required to develop the endpoint</w:t>
      </w:r>
      <w:r>
        <w:t xml:space="preserve"> </w:t>
      </w:r>
      <w:r>
        <w:t xml:space="preserve">No cases arise until the minimum exposure duration required to develop the endpoint (MinEx) has been</w:t>
      </w:r>
      <w:r>
        <w:t xml:space="preserve"> </w:t>
      </w:r>
      <w:r>
        <w:t xml:space="preserve">reached. No further increase in risk is assumed to arise with increasing exposure time after the</w:t>
      </w:r>
      <w:r>
        <w:t xml:space="preserve"> </w:t>
      </w:r>
      <w:r>
        <w:t xml:space="preserve">expiration of the MaxEx.</w:t>
      </w:r>
      <w:r>
        <w:t xml:space="preserve"> </w:t>
      </w:r>
      <w:r>
        <w:t xml:space="preserve">The basis for estimation of MinEx and MaxEx for each of the substances is described in the substance-</w:t>
      </w:r>
      <w:r>
        <w:t xml:space="preserve"> </w:t>
      </w:r>
      <w:r>
        <w:t xml:space="preserve">specific reports. The default MinEx is two years for cancer, a standard assumption for a chronic</w:t>
      </w:r>
      <w:r>
        <w:t xml:space="preserve"> </w:t>
      </w:r>
      <w:r>
        <w:t xml:space="preserve">condition. However, for practical reasons, the risk of developing cancer is assumed by the model to start</w:t>
      </w:r>
      <w:r>
        <w:t xml:space="preserve"> </w:t>
      </w:r>
      <w:r>
        <w:t xml:space="preserve">in the first year of exposure and accumulate in a linear fashion up to a full risk estimated on the basis of</w:t>
      </w:r>
      <w:r>
        <w:t xml:space="preserve"> </w:t>
      </w:r>
      <w:r>
        <w:t xml:space="preserve">the ERR after 40 years of exposure – this may lead to a slight overestimation of the risk. The minimum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exposure (MinEx) periods in the table below have been derived using a precautionary approach that</w:t>
      </w:r>
      <w:r>
        <w:t xml:space="preserve"> </w:t>
      </w:r>
      <w:r>
        <w:t xml:space="preserve">maximises worker protection.</w:t>
      </w:r>
      <w:r>
        <w:br/>
      </w:r>
      <w:r>
        <w:t xml:space="preserve">The MaxEx reflects the time needed to reach the maximum risk estimated on the basis of the ERR/DRR</w:t>
      </w:r>
      <w:r>
        <w:t xml:space="preserve"> </w:t>
      </w:r>
      <w:r>
        <w:t xml:space="preserve">and exposure concentration or biomonitoring. MaxEx is either based on the situation in the key studies</w:t>
      </w:r>
      <w:r>
        <w:t xml:space="preserve"> </w:t>
      </w:r>
      <w:r>
        <w:t xml:space="preserve">used to derive the DRR (if workers were exposed for ten years in that study, it has been proposed that</w:t>
      </w:r>
      <w:r>
        <w:t xml:space="preserve"> </w:t>
      </w:r>
      <w:r>
        <w:t xml:space="preserve">MaxEx is ten years because this was the exposure time leading to the effect size used for the DRR) or</w:t>
      </w:r>
      <w:r>
        <w:t xml:space="preserve"> </w:t>
      </w:r>
      <w:r>
        <w:t xml:space="preserve">converted to a full working life (40 years).</w:t>
      </w:r>
      <w:r>
        <w:t xml:space="preserve"> </w:t>
      </w:r>
      <w:r>
        <w:t xml:space="preserve">Table 5: Minimum and maximum exposure duration to develop a condition (MinEx and MaxEx)</w:t>
      </w:r>
      <w:r>
        <w:t xml:space="preserve"> </w:t>
      </w:r>
      <w:r>
        <w:t xml:space="preserve">Substance</w:t>
      </w:r>
      <w:r>
        <w:t xml:space="preserve"> </w:t>
      </w:r>
      <w:r>
        <w:t xml:space="preserve">Endpoint (ERR or DRR)</w:t>
      </w:r>
      <w:r>
        <w:t xml:space="preserve"> </w:t>
      </w:r>
      <w:r>
        <w:t xml:space="preserve">MinEx (years)</w:t>
      </w:r>
      <w:r>
        <w:t xml:space="preserve"> </w:t>
      </w:r>
      <w:r>
        <w:t xml:space="preserve">MaxEx (years)</w:t>
      </w:r>
      <w:r>
        <w:t xml:space="preserve"> </w:t>
      </w:r>
      <w:r>
        <w:t xml:space="preserve">Diisocyanates</w:t>
      </w:r>
      <w:r>
        <w:t xml:space="preserve"> </w:t>
      </w:r>
      <w:r>
        <w:t xml:space="preserve">Asthma</w:t>
      </w:r>
      <w:r>
        <w:br/>
      </w:r>
      <w:r>
        <w:t xml:space="preserve">1 day (0 years)</w:t>
      </w:r>
      <w:r>
        <w:t xml:space="preserve"> </w:t>
      </w:r>
      <w:r>
        <w:t xml:space="preserve">40</w:t>
      </w:r>
      <w:r>
        <w:t xml:space="preserve"> </w:t>
      </w:r>
      <w:r>
        <w:t xml:space="preserve">Irritation</w:t>
      </w:r>
      <w:r>
        <w:t xml:space="preserve"> </w:t>
      </w:r>
      <w:r>
        <w:t xml:space="preserve">1 day (0 years)</w:t>
      </w:r>
      <w:r>
        <w:t xml:space="preserve"> </w:t>
      </w:r>
      <w:r>
        <w:t xml:space="preserve">1 day (0 years)</w:t>
      </w:r>
      <w:r>
        <w:t xml:space="preserve"> </w:t>
      </w:r>
      <w:r>
        <w:t xml:space="preserve">Lead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compounds</w:t>
      </w:r>
      <w:r>
        <w:t xml:space="preserve"> </w:t>
      </w:r>
      <w:r>
        <w:t xml:space="preserve">CNS cancer</w:t>
      </w:r>
      <w:r>
        <w:t xml:space="preserve"> </w:t>
      </w:r>
      <w:r>
        <w:t xml:space="preserve">2 (for practical</w:t>
      </w:r>
      <w:r>
        <w:t xml:space="preserve"> </w:t>
      </w:r>
      <w:r>
        <w:t xml:space="preserve">reasons the model</w:t>
      </w:r>
      <w:r>
        <w:t xml:space="preserve"> </w:t>
      </w:r>
      <w:r>
        <w:t xml:space="preserve">assumes 0)</w:t>
      </w:r>
      <w:r>
        <w:t xml:space="preserve"> </w:t>
      </w:r>
      <w:r>
        <w:t xml:space="preserve">40</w:t>
      </w:r>
      <w:r>
        <w:t xml:space="preserve"> </w:t>
      </w:r>
      <w:r>
        <w:t xml:space="preserve">Neuropathy</w:t>
      </w:r>
      <w:r>
        <w:t xml:space="preserve"> </w:t>
      </w:r>
      <w:r>
        <w:t xml:space="preserve">1 day (0 years)</w:t>
      </w:r>
      <w:r>
        <w:t xml:space="preserve"> </w:t>
      </w:r>
      <w:r>
        <w:t xml:space="preserve">7</w:t>
      </w:r>
      <w:r>
        <w:t xml:space="preserve"> </w:t>
      </w:r>
      <w:r>
        <w:t xml:space="preserve">Anaemia</w:t>
      </w:r>
      <w:r>
        <w:t xml:space="preserve"> </w:t>
      </w:r>
      <w:r>
        <w:t xml:space="preserve">1 day (0 years)</w:t>
      </w:r>
      <w:r>
        <w:t xml:space="preserve"> </w:t>
      </w:r>
      <w:r>
        <w:t xml:space="preserve">10</w:t>
      </w:r>
      <w:r>
        <w:t xml:space="preserve"> </w:t>
      </w:r>
      <w:r>
        <w:t xml:space="preserve">Chronic kidney disease</w:t>
      </w:r>
      <w:r>
        <w:t xml:space="preserve"> </w:t>
      </w:r>
      <w:r>
        <w:t xml:space="preserve">1 day (0 years)</w:t>
      </w:r>
      <w:r>
        <w:t xml:space="preserve"> </w:t>
      </w:r>
      <w:r>
        <w:t xml:space="preserve">5</w:t>
      </w:r>
      <w:r>
        <w:t xml:space="preserve"> </w:t>
      </w:r>
      <w:r>
        <w:t xml:space="preserve">Elevated BP</w:t>
      </w:r>
      <w:r>
        <w:t xml:space="preserve"> </w:t>
      </w:r>
      <w:r>
        <w:t xml:space="preserve">1 day (0 years)</w:t>
      </w:r>
      <w:r>
        <w:t xml:space="preserve"> </w:t>
      </w:r>
      <w:r>
        <w:t xml:space="preserve">10</w:t>
      </w:r>
      <w:r>
        <w:t xml:space="preserve"> </w:t>
      </w:r>
      <w:r>
        <w:t xml:space="preserve">Male fertility</w:t>
      </w:r>
      <w:r>
        <w:t xml:space="preserve"> </w:t>
      </w:r>
      <w:r>
        <w:t xml:space="preserve">1 day (0 years)</w:t>
      </w:r>
      <w:r>
        <w:t xml:space="preserve"> </w:t>
      </w:r>
      <w:r>
        <w:t xml:space="preserve">3</w:t>
      </w:r>
      <w:r>
        <w:t xml:space="preserve"> </w:t>
      </w:r>
      <w:r>
        <w:t xml:space="preserve">Pre-eclampsia</w:t>
      </w:r>
      <w:r>
        <w:t xml:space="preserve"> </w:t>
      </w:r>
      <w:r>
        <w:t xml:space="preserve">1 day (0 years)</w:t>
      </w:r>
      <w:r>
        <w:t xml:space="preserve"> </w:t>
      </w:r>
      <w:r>
        <w:t xml:space="preserve">No</w:t>
      </w:r>
      <w:r>
        <w:t xml:space="preserve"> </w:t>
      </w:r>
      <w:r>
        <w:t xml:space="preserve">information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–</w:t>
      </w:r>
      <w:r>
        <w:t xml:space="preserve"> </w:t>
      </w:r>
      <w:r>
        <w:t xml:space="preserve">assumed to be 1 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conservative</w:t>
      </w:r>
      <w:r>
        <w:t xml:space="preserve"> </w:t>
      </w:r>
      <w:r>
        <w:t xml:space="preserve">Developmental toxicity</w:t>
      </w:r>
      <w:r>
        <w:t xml:space="preserve"> </w:t>
      </w:r>
      <w:r>
        <w:t xml:space="preserve">1 day (0 years)</w:t>
      </w:r>
      <w:r>
        <w:t xml:space="preserve"> </w:t>
      </w:r>
      <w:r>
        <w:t xml:space="preserve">No</w:t>
      </w:r>
      <w:r>
        <w:t xml:space="preserve"> </w:t>
      </w:r>
      <w:r>
        <w:t xml:space="preserve">information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–</w:t>
      </w:r>
      <w:r>
        <w:t xml:space="preserve"> </w:t>
      </w:r>
      <w:r>
        <w:t xml:space="preserve">assumed to be 1 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conservative</w:t>
      </w:r>
      <w:r>
        <w:t xml:space="preserve"> </w:t>
      </w:r>
      <w:r>
        <w:t xml:space="preserve">Source: External Study RPA (2021)</w:t>
      </w:r>
    </w:p>
    <w:p>
      <w:pPr>
        <w:pStyle w:val="BodyText"/>
      </w:pPr>
      <w:r>
        <w:t xml:space="preserve">4.1.5.2 The distribution of cases over time</w:t>
      </w:r>
      <w:r>
        <w:t xml:space="preserve"> </w:t>
      </w:r>
      <w:r>
        <w:t xml:space="preserve">Valuing the cost of occupational illness involves applying discounted costs to future cases which</w:t>
      </w:r>
      <w:r>
        <w:t xml:space="preserve"> </w:t>
      </w:r>
      <w:r>
        <w:t xml:space="preserve">requires that the estimated cases over the period between MinEx and MaxEx are assigned to specific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The distribution of cases between start of exposure and the MaxEx is modelled based on the assumption</w:t>
      </w:r>
      <w:r>
        <w:t xml:space="preserve"> </w:t>
      </w:r>
      <w:r>
        <w:t xml:space="preserve">of a linear accumulation of risk over time with the maximum risk being achieved at MaxEx. The risk in</w:t>
      </w:r>
      <w:r>
        <w:t xml:space="preserve"> </w:t>
      </w:r>
      <w:r>
        <w:t xml:space="preserve">a given year thus equals Risk=Risk at MaxEx/(MaxEx-MinEx).</w:t>
      </w:r>
      <w:r>
        <w:t xml:space="preserve"> </w:t>
      </w:r>
      <w:r>
        <w:t xml:space="preserve">For reasons of simplicity, the following approach is used to distribute the total risk (i.e. not incidence</w:t>
      </w:r>
      <w:r>
        <w:t xml:space="preserve"> </w:t>
      </w:r>
      <w:r>
        <w:t xml:space="preserve">since incidence is delayed due to latency) over the 40 period assessed in this study. As noted above,</w:t>
      </w:r>
      <w:r>
        <w:t xml:space="preserve"> </w:t>
      </w:r>
      <w:r>
        <w:t xml:space="preserve">although in theory no risk arises until the MinEx of two years has expired, for practical reasons, the</w:t>
      </w:r>
      <w:r>
        <w:t xml:space="preserve"> </w:t>
      </w:r>
      <w:r>
        <w:t xml:space="preserve">models used for this study adopt a conservative approach and assume that risk arises from Year 1. It is</w:t>
      </w:r>
      <w:r>
        <w:t xml:space="preserve"> </w:t>
      </w:r>
      <w:r>
        <w:t xml:space="preserve">assumed that the distribution is linear, i.e. 1/40 of the excess risk arises in Year 1 and 100% of the</w:t>
      </w:r>
      <w:r>
        <w:t xml:space="preserve"> </w:t>
      </w:r>
      <w:r>
        <w:t xml:space="preserve">excess risk predicted for a specific exposure concentration arises by Year 40.</w:t>
      </w:r>
      <w:r>
        <w:t xml:space="preserve"> </w:t>
      </w:r>
      <w:r>
        <w:t xml:space="preserve">4.1.5.3 Latency</w:t>
      </w:r>
      <w:r>
        <w:t xml:space="preserve"> </w:t>
      </w:r>
      <w:r>
        <w:t xml:space="preserve">The estimated risk is combined with latency to estimate the specific year of diagnosis of a case.</w:t>
      </w:r>
      <w:r>
        <w:t xml:space="preserve"> </w:t>
      </w:r>
      <w:r>
        <w:t xml:space="preserve">For non-cancer endpoints the estimated latency period for the non-cancer endpoints in this study is 0</w:t>
      </w:r>
      <w:r>
        <w:t xml:space="preserve"> </w:t>
      </w:r>
      <w:r>
        <w:t xml:space="preserve">years. There is limited evidence for latency of the relevant non-cancer conditions and these are study</w:t>
      </w:r>
      <w:r>
        <w:t xml:space="preserve"> </w:t>
      </w:r>
      <w:r>
        <w:t xml:space="preserve">team assumptions derived for the purposes of the modelling for this study.</w:t>
      </w:r>
      <w:r>
        <w:t xml:space="preserve"> </w:t>
      </w:r>
      <w:r>
        <w:t xml:space="preserve">For cancer endpoints by way of simplification, default latency values are used unless more detailed</w:t>
      </w:r>
      <w:r>
        <w:t xml:space="preserve"> </w:t>
      </w:r>
      <w:r>
        <w:t xml:space="preserve">estimates exist for the specific substance. According to Rushton et al. (2012), all solid tumours are</w:t>
      </w:r>
      <w:r>
        <w:t xml:space="preserve"> </w:t>
      </w:r>
      <w:r>
        <w:t xml:space="preserve">expected to have a latency of 10-50 years, meaning that the average latency is 30 years.</w:t>
      </w:r>
    </w:p>
    <w:p>
      <w:pPr>
        <w:pStyle w:val="BodyText"/>
      </w:pPr>
      <w:r>
        <w:t xml:space="preserve">4.1.6</w:t>
      </w:r>
      <w:r>
        <w:t xml:space="preserve"> </w:t>
      </w:r>
      <w:r>
        <w:t xml:space="preserve">The effects of the disease</w:t>
      </w:r>
      <w:r>
        <w:t xml:space="preserve"> </w:t>
      </w:r>
      <w:r>
        <w:t xml:space="preserve">4.1.6.1 MoR - mortality rate</w:t>
      </w:r>
      <w:r>
        <w:t xml:space="preserve"> </w:t>
      </w:r>
      <w:r>
        <w:t xml:space="preserve">Mortality rate as a result of the relevant condition is important since different monetary values are</w:t>
      </w:r>
      <w:r>
        <w:t xml:space="preserve"> </w:t>
      </w:r>
      <w:r>
        <w:t xml:space="preserve">applied to mortality and morbidity. The mortality rates used in the model are 0% with the exception of</w:t>
      </w:r>
      <w:r>
        <w:t xml:space="preserve"> </w:t>
      </w:r>
      <w:r>
        <w:t xml:space="preserve">lead where 80% for CNS cancer and 1.5% for pre-eclampsia are used.</w:t>
      </w:r>
      <w:r>
        <w:t xml:space="preserve"> </w:t>
      </w:r>
      <w:r>
        <w:t xml:space="preserve">4.1.6.2 Treatment period</w:t>
      </w:r>
      <w:r>
        <w:t xml:space="preserve"> </w:t>
      </w:r>
      <w:r>
        <w:t xml:space="preserve">The treatment periods used in the model are given below. The end of the treatment period signifies</w:t>
      </w:r>
      <w:r>
        <w:t xml:space="preserve"> </w:t>
      </w:r>
      <w:r>
        <w:t xml:space="preserve">either a fatal or illness-free outcome.</w:t>
      </w:r>
      <w:r>
        <w:br/>
      </w:r>
      <w:r>
        <w:t xml:space="preserve">Table 6: Treatment periods</w:t>
      </w:r>
      <w:r>
        <w:t xml:space="preserve"> </w:t>
      </w:r>
      <w:r>
        <w:t xml:space="preserve">Substance</w:t>
      </w:r>
      <w:r>
        <w:t xml:space="preserve"> </w:t>
      </w:r>
      <w:r>
        <w:t xml:space="preserve">Endpoint</w:t>
      </w:r>
      <w:r>
        <w:t xml:space="preserve"> </w:t>
      </w:r>
      <w:r>
        <w:t xml:space="preserve">Treatment period (years)</w:t>
      </w:r>
      <w:r>
        <w:t xml:space="preserve"> </w:t>
      </w:r>
      <w:r>
        <w:t xml:space="preserve">Diisocyanates</w:t>
      </w:r>
      <w:r>
        <w:t xml:space="preserve"> </w:t>
      </w:r>
      <w:r>
        <w:t xml:space="preserve">Asthma</w:t>
      </w:r>
      <w:r>
        <w:t xml:space="preserve"> </w:t>
      </w:r>
      <w:r>
        <w:t xml:space="preserve">1</w:t>
      </w:r>
      <w:r>
        <w:t xml:space="preserve"> </w:t>
      </w:r>
      <w:r>
        <w:t xml:space="preserve">Irritation</w:t>
      </w:r>
      <w:r>
        <w:t xml:space="preserve"> </w:t>
      </w:r>
      <w:r>
        <w:t xml:space="preserve">1</w:t>
      </w:r>
      <w:r>
        <w:t xml:space="preserve"> </w:t>
      </w:r>
      <w:r>
        <w:t xml:space="preserve">Asbestos</w:t>
      </w:r>
      <w:r>
        <w:t xml:space="preserve"> </w:t>
      </w:r>
      <w:r>
        <w:t xml:space="preserve">Lung cancer and mesothelioma</w:t>
      </w:r>
      <w:r>
        <w:br/>
      </w:r>
      <w:r>
        <w:t xml:space="preserve">5</w:t>
      </w:r>
      <w:r>
        <w:t xml:space="preserve"> </w:t>
      </w:r>
      <w:r>
        <w:t xml:space="preserve">Lead and its compounds</w:t>
      </w:r>
      <w:r>
        <w:t xml:space="preserve"> </w:t>
      </w:r>
      <w:r>
        <w:t xml:space="preserve">CNS Cancer</w:t>
      </w:r>
      <w:r>
        <w:t xml:space="preserve"> </w:t>
      </w:r>
      <w:r>
        <w:t xml:space="preserve">5</w:t>
      </w:r>
      <w:r>
        <w:t xml:space="preserve"> </w:t>
      </w:r>
      <w:r>
        <w:t xml:space="preserve">Neuropathy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Substance</w:t>
      </w:r>
      <w:r>
        <w:t xml:space="preserve"> </w:t>
      </w:r>
      <w:r>
        <w:t xml:space="preserve">Endpoint</w:t>
      </w:r>
      <w:r>
        <w:t xml:space="preserve"> </w:t>
      </w:r>
      <w:r>
        <w:t xml:space="preserve">Treatment period (years)</w:t>
      </w:r>
      <w:r>
        <w:t xml:space="preserve"> </w:t>
      </w:r>
      <w:r>
        <w:t xml:space="preserve">Anaemia</w:t>
      </w:r>
      <w:r>
        <w:t xml:space="preserve"> </w:t>
      </w:r>
      <w:r>
        <w:t xml:space="preserve">1</w:t>
      </w:r>
      <w:r>
        <w:t xml:space="preserve"> </w:t>
      </w:r>
      <w:r>
        <w:t xml:space="preserve">Chronic kidney disease stage 1</w:t>
      </w:r>
      <w:r>
        <w:t xml:space="preserve"> </w:t>
      </w:r>
      <w:r>
        <w:t xml:space="preserve">20</w:t>
      </w:r>
      <w:r>
        <w:t xml:space="preserve"> </w:t>
      </w:r>
      <w:r>
        <w:t xml:space="preserve">Elevated blood pressure</w:t>
      </w:r>
      <w:r>
        <w:t xml:space="preserve"> </w:t>
      </w:r>
      <w:r>
        <w:t xml:space="preserve">20</w:t>
      </w:r>
      <w:r>
        <w:t xml:space="preserve"> </w:t>
      </w:r>
      <w:r>
        <w:t xml:space="preserve">Male fertility</w:t>
      </w:r>
      <w:r>
        <w:t xml:space="preserve"> </w:t>
      </w:r>
      <w:r>
        <w:t xml:space="preserve">5</w:t>
      </w:r>
      <w:r>
        <w:t xml:space="preserve"> </w:t>
      </w:r>
      <w:r>
        <w:t xml:space="preserve">Pre-eclampsia</w:t>
      </w:r>
      <w:r>
        <w:t xml:space="preserve"> </w:t>
      </w:r>
      <w:r>
        <w:t xml:space="preserve">1</w:t>
      </w:r>
      <w:r>
        <w:t xml:space="preserve"> </w:t>
      </w:r>
      <w:r>
        <w:t xml:space="preserve">Developmental toxicity</w:t>
      </w:r>
      <w:r>
        <w:t xml:space="preserve"> </w:t>
      </w:r>
      <w:r>
        <w:t xml:space="preserve">1</w:t>
      </w:r>
      <w:r>
        <w:t xml:space="preserve"> </w:t>
      </w:r>
      <w:r>
        <w:t xml:space="preserve">Source: External Study RPA (2021)</w:t>
      </w:r>
    </w:p>
    <w:p>
      <w:pPr>
        <w:pStyle w:val="BodyText"/>
      </w:pPr>
      <w:r>
        <w:t xml:space="preserve">4.1.6.3 Monetary value of the relevant endpoint</w:t>
      </w:r>
      <w:r>
        <w:t xml:space="preserve"> </w:t>
      </w:r>
      <w:r>
        <w:t xml:space="preserve">The approach to the monetisation of ill health effects is based on the following approach.</w:t>
      </w:r>
      <w:r>
        <w:t xml:space="preserve"> </w:t>
      </w:r>
      <w:r>
        <w:t xml:space="preserve">Table 7: Benefits framework</w:t>
      </w:r>
      <w:r>
        <w:t xml:space="preserve"> </w:t>
      </w:r>
      <w:r>
        <w:t xml:space="preserve">Category</w:t>
      </w:r>
      <w:r>
        <w:t xml:space="preserve"> </w:t>
      </w:r>
      <w:r>
        <w:t xml:space="preserve">Cost</w:t>
      </w:r>
      <w:r>
        <w:t xml:space="preserve"> </w:t>
      </w:r>
      <w:r>
        <w:t xml:space="preserve">Notes</w:t>
      </w:r>
      <w:r>
        <w:t xml:space="preserve"> </w:t>
      </w:r>
      <w:r>
        <w:t xml:space="preserve">Direct</w:t>
      </w:r>
      <w:r>
        <w:t xml:space="preserve"> </w:t>
      </w:r>
      <w:r>
        <w:t xml:space="preserve">Healthcare</w:t>
      </w:r>
      <w:r>
        <w:t xml:space="preserve"> </w:t>
      </w:r>
      <w:r>
        <w:t xml:space="preserve">Cost of medical treatment, including</w:t>
      </w:r>
      <w:r>
        <w:t xml:space="preserve"> </w:t>
      </w:r>
      <w:r>
        <w:t xml:space="preserve">hospitalisation,</w:t>
      </w:r>
      <w:r>
        <w:t xml:space="preserve"> </w:t>
      </w:r>
      <w:r>
        <w:t xml:space="preserve">surgery,</w:t>
      </w:r>
      <w:r>
        <w:t xml:space="preserve"> </w:t>
      </w:r>
      <w:r>
        <w:t xml:space="preserve">consultations,</w:t>
      </w:r>
      <w:r>
        <w:t xml:space="preserve"> </w:t>
      </w:r>
      <w:r>
        <w:t xml:space="preserve">radiation</w:t>
      </w:r>
      <w:r>
        <w:t xml:space="preserve"> </w:t>
      </w:r>
      <w:r>
        <w:t xml:space="preserve">therapy,</w:t>
      </w:r>
      <w:r>
        <w:t xml:space="preserve"> </w:t>
      </w:r>
      <w:r>
        <w:t xml:space="preserve">chemotherapy/immunotherapy, etc.</w:t>
      </w:r>
      <w:r>
        <w:t xml:space="preserve"> </w:t>
      </w:r>
      <w:r>
        <w:t xml:space="preserve">Informal care96</w:t>
      </w:r>
      <w:r>
        <w:t xml:space="preserve"> </w:t>
      </w:r>
      <w:r>
        <w:t xml:space="preserve">Opportunity cost of unpaid care (i.e., the</w:t>
      </w:r>
      <w:r>
        <w:t xml:space="preserve"> </w:t>
      </w:r>
      <w:r>
        <w:t xml:space="preserve">monetary value of the working and/or</w:t>
      </w:r>
      <w:r>
        <w:t xml:space="preserve"> </w:t>
      </w:r>
      <w:r>
        <w:t xml:space="preserve">leisure time that relatives or friends provide</w:t>
      </w:r>
      <w:r>
        <w:t xml:space="preserve"> </w:t>
      </w:r>
      <w:r>
        <w:t xml:space="preserve">to those with cancer)</w:t>
      </w:r>
      <w:r>
        <w:br/>
      </w:r>
      <w:r>
        <w:t xml:space="preserve">Cost for employers</w:t>
      </w:r>
      <w:r>
        <w:t xml:space="preserve"> </w:t>
      </w:r>
      <w:r>
        <w:t xml:space="preserve">Cost to employers due to insurance</w:t>
      </w:r>
      <w:r>
        <w:t xml:space="preserve"> </w:t>
      </w:r>
      <w:r>
        <w:t xml:space="preserve">payments and absence from work</w:t>
      </w:r>
      <w:r>
        <w:t xml:space="preserve"> </w:t>
      </w:r>
      <w:r>
        <w:t xml:space="preserve">Indirect</w:t>
      </w:r>
      <w:r>
        <w:t xml:space="preserve"> </w:t>
      </w:r>
      <w:r>
        <w:t xml:space="preserve">Mortality – productivity loss</w:t>
      </w:r>
      <w:r>
        <w:t xml:space="preserve"> </w:t>
      </w:r>
      <w:r>
        <w:t xml:space="preserve">The economic loss to society due to</w:t>
      </w:r>
      <w:r>
        <w:t xml:space="preserve"> </w:t>
      </w:r>
      <w:r>
        <w:t xml:space="preserve">premature death</w:t>
      </w:r>
      <w:r>
        <w:t xml:space="preserve"> </w:t>
      </w:r>
      <w:r>
        <w:t xml:space="preserve">Morbidity – lost working</w:t>
      </w:r>
      <w:r>
        <w:t xml:space="preserve"> </w:t>
      </w:r>
      <w:r>
        <w:t xml:space="preserve">days</w:t>
      </w:r>
      <w:r>
        <w:t xml:space="preserve"> </w:t>
      </w:r>
      <w:r>
        <w:t xml:space="preserve">Loss of earnings and output due to absence</w:t>
      </w:r>
      <w:r>
        <w:t xml:space="preserve"> </w:t>
      </w:r>
      <w:r>
        <w:t xml:space="preserve">from work due to illness or treatment</w:t>
      </w:r>
      <w:r>
        <w:t xml:space="preserve"> </w:t>
      </w:r>
      <w:r>
        <w:t xml:space="preserve">Intangible</w:t>
      </w:r>
      <w:r>
        <w:t xml:space="preserve"> </w:t>
      </w:r>
      <w:r>
        <w:t xml:space="preserve">Approach 1 WTP: Mortality</w:t>
      </w:r>
      <w:r>
        <w:t xml:space="preserve"> </w:t>
      </w:r>
      <w:r>
        <w:t xml:space="preserve">A monetary value of the impact on quality</w:t>
      </w:r>
      <w:r>
        <w:t xml:space="preserve"> </w:t>
      </w:r>
      <w:r>
        <w:t xml:space="preserve">of life of affected workers</w:t>
      </w:r>
      <w:r>
        <w:t xml:space="preserve"> </w:t>
      </w:r>
      <w:r>
        <w:t xml:space="preserve">Approach 1 WTP: Morbidity</w:t>
      </w:r>
    </w:p>
    <w:p>
      <w:pPr>
        <w:pStyle w:val="BodyText"/>
      </w:pPr>
      <w:r>
        <w:t xml:space="preserve">96 A decision has been taken to include informal care costs in this analysis even though some elements of these</w:t>
      </w:r>
      <w:r>
        <w:t xml:space="preserve"> </w:t>
      </w:r>
      <w:r>
        <w:t xml:space="preserve">costs may also have been included in individuals’ willingness to pay values to avoid a future case of ill health.</w:t>
      </w:r>
      <w:r>
        <w:t xml:space="preserve"> </w:t>
      </w:r>
      <w:r>
        <w:t xml:space="preserve">This decision may result in an overestimate of the cost savings (benefits) as generated by this study.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Category</w:t>
      </w:r>
      <w:r>
        <w:t xml:space="preserve"> </w:t>
      </w:r>
      <w:r>
        <w:t xml:space="preserve">Cost</w:t>
      </w:r>
      <w:r>
        <w:t xml:space="preserve"> </w:t>
      </w:r>
      <w:r>
        <w:t xml:space="preserve">Notes</w:t>
      </w:r>
      <w:r>
        <w:t xml:space="preserve"> </w:t>
      </w:r>
      <w:r>
        <w:t xml:space="preserve">Approach</w:t>
      </w:r>
      <w:r>
        <w:t xml:space="preserve"> </w:t>
      </w:r>
      <w:r>
        <w:t xml:space="preserve">2</w:t>
      </w:r>
      <w:r>
        <w:t xml:space="preserve"> </w:t>
      </w:r>
      <w:r>
        <w:t xml:space="preserve">DALY:</w:t>
      </w:r>
      <w:r>
        <w:t xml:space="preserve"> </w:t>
      </w:r>
      <w:r>
        <w:t xml:space="preserve">Mortality</w:t>
      </w:r>
      <w:r>
        <w:t xml:space="preserve"> </w:t>
      </w:r>
      <w:r>
        <w:t xml:space="preserve">Approach</w:t>
      </w:r>
      <w:r>
        <w:t xml:space="preserve"> </w:t>
      </w:r>
      <w:r>
        <w:t xml:space="preserve">2</w:t>
      </w:r>
      <w:r>
        <w:t xml:space="preserve"> </w:t>
      </w:r>
      <w:r>
        <w:t xml:space="preserve">DALY:</w:t>
      </w:r>
      <w:r>
        <w:t xml:space="preserve"> </w:t>
      </w:r>
      <w:r>
        <w:t xml:space="preserve">Morbidity</w:t>
      </w:r>
      <w:r>
        <w:t xml:space="preserve"> </w:t>
      </w:r>
      <w:r>
        <w:t xml:space="preserve">Source: External Study RPA (2021)</w:t>
      </w:r>
    </w:p>
    <w:p>
      <w:pPr>
        <w:pStyle w:val="BodyText"/>
      </w:pPr>
      <w:r>
        <w:t xml:space="preserve">All of the costs in the table above have been quantified to ensure that the study can estimate the impacts</w:t>
      </w:r>
      <w:r>
        <w:t xml:space="preserve"> </w:t>
      </w:r>
      <w:r>
        <w:t xml:space="preserve">on individual stakeholder groups. The approach to the derivation of the costs for each of the cost</w:t>
      </w:r>
      <w:r>
        <w:t xml:space="preserve"> </w:t>
      </w:r>
      <w:r>
        <w:t xml:space="preserve">categories above is set out below.</w:t>
      </w:r>
      <w:r>
        <w:t xml:space="preserve"> </w:t>
      </w:r>
      <w:r>
        <w:t xml:space="preserve">Two approaches to the monetisation of intangibles have been adopted for the purposes of this study:</w:t>
      </w:r>
      <w:r>
        <w:br/>
      </w:r>
      <w:r>
        <w:t xml:space="preserve">Method 1: Application of WTP values to each case (differentiating between mortality and morbidity);</w:t>
      </w:r>
      <w:r>
        <w:t xml:space="preserve"> </w:t>
      </w:r>
      <w:r>
        <w:t xml:space="preserve">and</w:t>
      </w:r>
      <w:r>
        <w:t xml:space="preserve"> </w:t>
      </w:r>
      <w:r>
        <w:t xml:space="preserve">Method 2: Use of DALYs (Disability adjusted life year) and their monetisation.</w:t>
      </w:r>
      <w:r>
        <w:t xml:space="preserve"> </w:t>
      </w:r>
      <w:r>
        <w:t xml:space="preserve">The only difference between Method 1 and Method 2 is the way in which avoided cases of ill health are</w:t>
      </w:r>
      <w:r>
        <w:t xml:space="preserve"> </w:t>
      </w:r>
      <w:r>
        <w:t xml:space="preserve">monetised. Both methods monetise the same number of avoided cases of ill health.</w:t>
      </w:r>
      <w:r>
        <w:t xml:space="preserve"> </w:t>
      </w:r>
      <w:r>
        <w:t xml:space="preserve">4.1.7</w:t>
      </w:r>
      <w:r>
        <w:t xml:space="preserve"> </w:t>
      </w:r>
      <w:r>
        <w:t xml:space="preserve">Benefits assessment</w:t>
      </w:r>
      <w:r>
        <w:t xml:space="preserve"> </w:t>
      </w:r>
      <w:r>
        <w:t xml:space="preserve">4.1.7.1 benefits to workers and families</w:t>
      </w:r>
      <w:r>
        <w:t xml:space="preserve"> </w:t>
      </w:r>
      <w:r>
        <w:t xml:space="preserve">The direct and indirect resource costs are estimated using market-based information, for example, data</w:t>
      </w:r>
      <w:r>
        <w:t xml:space="preserve"> </w:t>
      </w:r>
      <w:r>
        <w:t xml:space="preserve">on health care costs, and estimates of lost output (i.e., the value of a day of work).</w:t>
      </w:r>
      <w:r>
        <w:t xml:space="preserve"> </w:t>
      </w:r>
      <w:r>
        <w:t xml:space="preserve">Added to these are the ‘human’ or intangible costs associated with a case, which are measured in terms</w:t>
      </w:r>
      <w:r>
        <w:t xml:space="preserve"> </w:t>
      </w:r>
      <w:r>
        <w:t xml:space="preserve">of an individual’s willingness to pay for the reduction in the risk of mortality or morbidity (Approach 1)</w:t>
      </w:r>
      <w:r>
        <w:t xml:space="preserve"> </w:t>
      </w:r>
      <w:r>
        <w:t xml:space="preserve">or monetised DALYs (Approach 2).</w:t>
      </w:r>
      <w:r>
        <w:br/>
      </w:r>
      <w:r>
        <w:t xml:space="preserve">Under Approach 1, the most commonly used means of estimating individuals’ WTP for a reduction in</w:t>
      </w:r>
      <w:r>
        <w:t xml:space="preserve"> </w:t>
      </w:r>
      <w:r>
        <w:t xml:space="preserve">the risk of an illness is through the use of experimental markets and survey techniques (e.g., contingent</w:t>
      </w:r>
      <w:r>
        <w:t xml:space="preserve"> </w:t>
      </w:r>
      <w:r>
        <w:t xml:space="preserve">valuation or contingent ranking studies) to directly elicit individuals’ WTP for a reduction in the risk of</w:t>
      </w:r>
      <w:r>
        <w:t xml:space="preserve"> </w:t>
      </w:r>
      <w:r>
        <w:t xml:space="preserve">death or morbidity.</w:t>
      </w:r>
      <w:r>
        <w:br/>
      </w:r>
      <w:r>
        <w:t xml:space="preserve">The key measures are the value of a statistical life – a VSL – and the value of a case of morbidity (value</w:t>
      </w:r>
      <w:r>
        <w:t xml:space="preserve"> </w:t>
      </w:r>
      <w:r>
        <w:t xml:space="preserve">of cancer morbidity VCM or value of morbidity VM). The VSL is essentially a measure of a change in</w:t>
      </w:r>
      <w:r>
        <w:t xml:space="preserve"> </w:t>
      </w:r>
      <w:r>
        <w:t xml:space="preserve">the risk of fatality, where this is found by determining individuals’ willingness to pay for a small</w:t>
      </w:r>
      <w:r>
        <w:t xml:space="preserve"> </w:t>
      </w:r>
      <w:r>
        <w:t xml:space="preserve">change in risk which is then summed across the population at risk.</w:t>
      </w:r>
      <w:r>
        <w:br/>
      </w:r>
      <w:r>
        <w:t xml:space="preserve">4.1.7.2 Benefits to employers</w:t>
      </w:r>
      <w:r>
        <w:t xml:space="preserve"> </w:t>
      </w:r>
      <w:r>
        <w:t xml:space="preserve">Introducing limit values has obvious cost savings for workers, namely in terms of their health but also,</w:t>
      </w:r>
      <w:r>
        <w:t xml:space="preserve"> </w:t>
      </w:r>
      <w:r>
        <w:t xml:space="preserve">indirectly, on their earnings. Employers will also accrue cost savings from their employees being less at</w:t>
      </w:r>
      <w:r>
        <w:t xml:space="preserve"> </w:t>
      </w:r>
      <w:r>
        <w:t xml:space="preserve">risk of occupational illness. Such cost savings include: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higher labour productivity resulting from reductions in absenteeism and associated production</w:t>
      </w:r>
      <w:r>
        <w:t xml:space="preserve"> </w:t>
      </w:r>
      <w:r>
        <w:t xml:space="preserve">losses;</w:t>
      </w:r>
      <w:r>
        <w:t xml:space="preserve"> </w:t>
      </w:r>
      <w:r>
        <w:t xml:space="preserve"></w:t>
      </w:r>
      <w:r>
        <w:t xml:space="preserve"> </w:t>
      </w:r>
      <w:r>
        <w:t xml:space="preserve">reduced administrative or legal costs relating to employees who are ill;</w:t>
      </w:r>
      <w:r>
        <w:br/>
      </w:r>
      <w:r>
        <w:t xml:space="preserve"></w:t>
      </w:r>
      <w:r>
        <w:t xml:space="preserve"> </w:t>
      </w:r>
      <w:r>
        <w:t xml:space="preserve">reduced insurance premiums;</w:t>
      </w:r>
      <w:r>
        <w:t xml:space="preserve"> </w:t>
      </w:r>
      <w:r>
        <w:t xml:space="preserve"></w:t>
      </w:r>
      <w:r>
        <w:t xml:space="preserve"> </w:t>
      </w:r>
      <w:r>
        <w:t xml:space="preserve">reduced reputational risks; and</w:t>
      </w:r>
      <w:r>
        <w:t xml:space="preserve"> </w:t>
      </w:r>
      <w:r>
        <w:t xml:space="preserve"></w:t>
      </w:r>
      <w:r>
        <w:t xml:space="preserve"> </w:t>
      </w:r>
      <w:r>
        <w:t xml:space="preserve">reduced sick leave payments.</w:t>
      </w:r>
      <w:r>
        <w:t xml:space="preserve"> </w:t>
      </w:r>
      <w:r>
        <w:t xml:space="preserve">4.1.7.3 Benefits to employers and workers – lost earnings and productivity losses</w:t>
      </w:r>
      <w:r>
        <w:t xml:space="preserve"> </w:t>
      </w:r>
      <w:r>
        <w:t xml:space="preserve">Individuals will incur costs associated with their inability to work in terms of a loss of earnings,</w:t>
      </w:r>
      <w:r>
        <w:t xml:space="preserve"> </w:t>
      </w:r>
      <w:r>
        <w:t xml:space="preserve">including losses linked to days of treatment as well as days off due to illness. Luengo-Fernandez et al. </w:t>
      </w:r>
      <w:r>
        <w:t xml:space="preserve"> </w:t>
      </w:r>
      <w:r>
        <w:t xml:space="preserve">(2013)97 developed an estimate of the magnitude of such costs by Member State in terms of an average</w:t>
      </w:r>
      <w:r>
        <w:t xml:space="preserve"> </w:t>
      </w:r>
      <w:r>
        <w:t xml:space="preserve">cost per fatal or non-fatal cancer. These included what are referred to as ‘productivity losses’ due to</w:t>
      </w:r>
      <w:r>
        <w:t xml:space="preserve"> </w:t>
      </w:r>
      <w:r>
        <w:t xml:space="preserve">early death and then lost working days due to morbidity effects. Across all cancers, an average figure of</w:t>
      </w:r>
      <w:r>
        <w:t xml:space="preserve"> </w:t>
      </w:r>
      <w:r>
        <w:t xml:space="preserve">EUR 5 047 is given for productivity losses and EUR 1 118 for the costs associated with lost working</w:t>
      </w:r>
      <w:r>
        <w:t xml:space="preserve"> </w:t>
      </w:r>
      <w:r>
        <w:t xml:space="preserve">days due to morbidity effects (with these based on lost wages as the measure of lost output).</w:t>
      </w:r>
      <w:r>
        <w:br/>
      </w:r>
      <w:r>
        <w:t xml:space="preserve">There are difficulties in including the type of estimates generated by Luengo-Fernandez et al. (2013) for</w:t>
      </w:r>
      <w:r>
        <w:t xml:space="preserve"> </w:t>
      </w:r>
      <w:r>
        <w:t xml:space="preserve">lost working days within the analysis carried out here due to the potential for double counting. As</w:t>
      </w:r>
      <w:r>
        <w:t xml:space="preserve"> </w:t>
      </w:r>
      <w:r>
        <w:t xml:space="preserve">discussed above, it is not clear whether the figures adopted in the external study to reflect the intangible</w:t>
      </w:r>
      <w:r>
        <w:t xml:space="preserve"> </w:t>
      </w:r>
      <w:r>
        <w:t xml:space="preserve">or human costs of cancer mortality and morbidity also include an element related to the loss of income.</w:t>
      </w:r>
      <w:r>
        <w:t xml:space="preserve"> </w:t>
      </w:r>
      <w:r>
        <w:t xml:space="preserve">If they do, then to include a separate cost item to reflect lost income would result in a double-counting</w:t>
      </w:r>
      <w:r>
        <w:t xml:space="preserve"> </w:t>
      </w:r>
      <w:r>
        <w:t xml:space="preserve">of impacts.</w:t>
      </w:r>
      <w:r>
        <w:br/>
      </w:r>
      <w:r>
        <w:t xml:space="preserve">4.1.7.4 Benefits for the public sector - cost of healthcare</w:t>
      </w:r>
      <w:r>
        <w:t xml:space="preserve"> </w:t>
      </w:r>
      <w:r>
        <w:t xml:space="preserve">The unit costs used for monetisation are summarised below. Please note that some of the costs set out in</w:t>
      </w:r>
      <w:r>
        <w:t xml:space="preserve"> </w:t>
      </w:r>
      <w:r>
        <w:t xml:space="preserve">the preceding sections have been rounded. For the purposes of calculating the healthcare costs of</w:t>
      </w:r>
      <w:r>
        <w:t xml:space="preserve"> </w:t>
      </w:r>
      <w:r>
        <w:t xml:space="preserve">illness, we will make use of the average ‘all cancers’ figure of EUR 6 047 per case of cancer (updated</w:t>
      </w:r>
      <w:r>
        <w:t xml:space="preserve"> </w:t>
      </w:r>
      <w:r>
        <w:t xml:space="preserve">to 2021 as approximately EUR 7 200).</w:t>
      </w:r>
      <w:r>
        <w:br/>
      </w:r>
      <w:r>
        <w:t xml:space="preserve">Table 8: Unit costs used for monetisation</w:t>
      </w:r>
      <w:r>
        <w:t xml:space="preserve"> </w:t>
      </w:r>
      <w:r>
        <w:t xml:space="preserve">Endpoint</w:t>
      </w:r>
      <w:r>
        <w:t xml:space="preserve"> </w:t>
      </w:r>
      <w:r>
        <w:t xml:space="preserve">Direct costs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Intangible costs</w:t>
      </w:r>
      <w:r>
        <w:t xml:space="preserve"> </w:t>
      </w:r>
      <w:r>
        <w:t xml:space="preserve">Healthc</w:t>
      </w:r>
      <w:r>
        <w:t xml:space="preserve"> </w:t>
      </w:r>
      <w:r>
        <w:t xml:space="preserve">are</w:t>
      </w:r>
      <w:r>
        <w:t xml:space="preserve"> </w:t>
      </w:r>
      <w:r>
        <w:t xml:space="preserve">Inform</w:t>
      </w:r>
      <w:r>
        <w:t xml:space="preserve"> </w:t>
      </w:r>
      <w:r>
        <w:t xml:space="preserve">al care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employ</w:t>
      </w:r>
      <w:r>
        <w:t xml:space="preserve"> </w:t>
      </w:r>
      <w:r>
        <w:t xml:space="preserve">ers</w:t>
      </w:r>
      <w:r>
        <w:t xml:space="preserve"> </w:t>
      </w:r>
      <w:r>
        <w:t xml:space="preserve">Mortality</w:t>
      </w:r>
      <w:r>
        <w:t xml:space="preserve"> </w:t>
      </w:r>
      <w:r>
        <w:t xml:space="preserve">–</w:t>
      </w:r>
      <w:r>
        <w:t xml:space="preserve"> </w:t>
      </w:r>
      <w:r>
        <w:t xml:space="preserve">productiv</w:t>
      </w:r>
      <w:r>
        <w:t xml:space="preserve"> </w:t>
      </w:r>
      <w:r>
        <w:t xml:space="preserve">ity loss</w:t>
      </w:r>
      <w:r>
        <w:t xml:space="preserve"> </w:t>
      </w:r>
      <w:r>
        <w:t xml:space="preserve">Morbid</w:t>
      </w:r>
      <w:r>
        <w:t xml:space="preserve"> </w:t>
      </w:r>
      <w:r>
        <w:t xml:space="preserve">ity –</w:t>
      </w:r>
      <w:r>
        <w:t xml:space="preserve"> </w:t>
      </w:r>
      <w:r>
        <w:t xml:space="preserve">lost</w:t>
      </w:r>
      <w:r>
        <w:t xml:space="preserve"> </w:t>
      </w:r>
      <w:r>
        <w:t xml:space="preserve">workin</w:t>
      </w:r>
      <w:r>
        <w:t xml:space="preserve"> </w:t>
      </w:r>
      <w:r>
        <w:t xml:space="preserve">g days</w:t>
      </w:r>
      <w:r>
        <w:t xml:space="preserve"> </w:t>
      </w:r>
      <w:r>
        <w:t xml:space="preserve">Approa</w:t>
      </w:r>
      <w:r>
        <w:t xml:space="preserve"> </w:t>
      </w:r>
      <w:r>
        <w:t xml:space="preserve">ch 1</w:t>
      </w:r>
      <w:r>
        <w:t xml:space="preserve"> </w:t>
      </w:r>
      <w:r>
        <w:t xml:space="preserve">WTP:</w:t>
      </w:r>
      <w:r>
        <w:t xml:space="preserve"> </w:t>
      </w:r>
      <w:r>
        <w:t xml:space="preserve">Mortalit</w:t>
      </w:r>
      <w:r>
        <w:t xml:space="preserve"> </w:t>
      </w:r>
      <w:r>
        <w:t xml:space="preserve">y</w:t>
      </w:r>
      <w:r>
        <w:t xml:space="preserve"> </w:t>
      </w:r>
      <w:r>
        <w:t xml:space="preserve">Approa</w:t>
      </w:r>
      <w:r>
        <w:t xml:space="preserve"> </w:t>
      </w:r>
      <w:r>
        <w:t xml:space="preserve">ch 1</w:t>
      </w:r>
      <w:r>
        <w:t xml:space="preserve"> </w:t>
      </w:r>
      <w:r>
        <w:t xml:space="preserve">WTP:</w:t>
      </w:r>
      <w:r>
        <w:t xml:space="preserve"> </w:t>
      </w:r>
      <w:r>
        <w:t xml:space="preserve">Morbid</w:t>
      </w:r>
      <w:r>
        <w:t xml:space="preserve"> </w:t>
      </w:r>
      <w:r>
        <w:t xml:space="preserve">ity</w:t>
      </w:r>
      <w:r>
        <w:t xml:space="preserve"> </w:t>
      </w:r>
      <w:r>
        <w:t xml:space="preserve">Approa</w:t>
      </w:r>
      <w:r>
        <w:t xml:space="preserve"> </w:t>
      </w:r>
      <w:r>
        <w:t xml:space="preserve">ch 2</w:t>
      </w:r>
      <w:r>
        <w:t xml:space="preserve"> </w:t>
      </w:r>
      <w:r>
        <w:t xml:space="preserve">DALY:</w:t>
      </w:r>
      <w:r>
        <w:t xml:space="preserve"> </w:t>
      </w:r>
      <w:r>
        <w:t xml:space="preserve">Morbid</w:t>
      </w:r>
      <w:r>
        <w:t xml:space="preserve"> </w:t>
      </w:r>
      <w:r>
        <w:t xml:space="preserve">ity</w:t>
      </w:r>
      <w:r>
        <w:t xml:space="preserve"> </w:t>
      </w:r>
      <w:r>
        <w:t xml:space="preserve">Asthma</w:t>
      </w:r>
      <w:r>
        <w:t xml:space="preserve"> </w:t>
      </w:r>
      <w:r>
        <w:t xml:space="preserve">€30,000</w:t>
      </w:r>
      <w:r>
        <w:t xml:space="preserve"> </w:t>
      </w:r>
      <w:r>
        <w:t xml:space="preserve">€0</w:t>
      </w:r>
      <w:r>
        <w:t xml:space="preserve"> </w:t>
      </w:r>
      <w:r>
        <w:t xml:space="preserve">€12 000</w:t>
      </w:r>
      <w:r>
        <w:t xml:space="preserve"> </w:t>
      </w:r>
      <w:r>
        <w:t xml:space="preserve">€0</w:t>
      </w:r>
      <w:r>
        <w:t xml:space="preserve"> </w:t>
      </w:r>
      <w:r>
        <w:t xml:space="preserve">€31 106</w:t>
      </w:r>
      <w:r>
        <w:t xml:space="preserve"> </w:t>
      </w:r>
      <w:r>
        <w:t xml:space="preserve">€0</w:t>
      </w:r>
      <w:r>
        <w:t xml:space="preserve"> </w:t>
      </w:r>
      <w:r>
        <w:t xml:space="preserve">€32 000</w:t>
      </w:r>
      <w:r>
        <w:t xml:space="preserve"> </w:t>
      </w:r>
      <w:r>
        <w:t xml:space="preserve">Value of</w:t>
      </w:r>
      <w:r>
        <w:t xml:space="preserve"> </w:t>
      </w:r>
      <w:r>
        <w:t xml:space="preserve">a DALY</w:t>
      </w:r>
      <w:r>
        <w:t xml:space="preserve"> </w:t>
      </w:r>
      <w:r>
        <w:t xml:space="preserve">€100,00</w:t>
      </w:r>
      <w:r>
        <w:t xml:space="preserve"> </w:t>
      </w:r>
      <w:r>
        <w:t xml:space="preserve">0</w:t>
      </w:r>
      <w:r>
        <w:t xml:space="preserve"> </w:t>
      </w:r>
      <w:r>
        <w:t xml:space="preserve">Irritation</w:t>
      </w:r>
      <w:r>
        <w:t xml:space="preserve"> </w:t>
      </w:r>
      <w:r>
        <w:t xml:space="preserve">€500</w:t>
      </w:r>
      <w:r>
        <w:t xml:space="preserve"> </w:t>
      </w:r>
      <w:r>
        <w:t xml:space="preserve">€0</w:t>
      </w:r>
      <w:r>
        <w:t xml:space="preserve"> </w:t>
      </w:r>
      <w:r>
        <w:t xml:space="preserve">€500</w:t>
      </w:r>
      <w:r>
        <w:t xml:space="preserve"> </w:t>
      </w:r>
      <w:r>
        <w:t xml:space="preserve">€0</w:t>
      </w:r>
      <w:r>
        <w:t xml:space="preserve"> </w:t>
      </w:r>
      <w:r>
        <w:t xml:space="preserve">€500</w:t>
      </w:r>
      <w:r>
        <w:t xml:space="preserve"> </w:t>
      </w:r>
      <w:r>
        <w:t xml:space="preserve">€0</w:t>
      </w:r>
      <w:r>
        <w:t xml:space="preserve"> </w:t>
      </w:r>
      <w:r>
        <w:t xml:space="preserve">€500</w:t>
      </w:r>
      <w:r>
        <w:t xml:space="preserve"> </w:t>
      </w:r>
      <w:r>
        <w:t xml:space="preserve">Value of</w:t>
      </w:r>
      <w:r>
        <w:t xml:space="preserve"> </w:t>
      </w:r>
      <w:r>
        <w:t xml:space="preserve">a DALY</w:t>
      </w:r>
      <w:r>
        <w:t xml:space="preserve"> </w:t>
      </w:r>
      <w:r>
        <w:t xml:space="preserve">€100,00</w:t>
      </w:r>
    </w:p>
    <w:p>
      <w:pPr>
        <w:pStyle w:val="BodyText"/>
      </w:pPr>
      <w:r>
        <w:t xml:space="preserve">97 See https://www.thelancet.com/journals/lanonc/article/PIIS1470-2045(13)70442-X/fulltext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Endpoint</w:t>
      </w:r>
      <w:r>
        <w:t xml:space="preserve"> </w:t>
      </w:r>
      <w:r>
        <w:t xml:space="preserve">Direct costs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Intangible costs</w:t>
      </w:r>
      <w:r>
        <w:t xml:space="preserve"> </w:t>
      </w:r>
      <w:r>
        <w:t xml:space="preserve">Healthc</w:t>
      </w:r>
      <w:r>
        <w:t xml:space="preserve"> </w:t>
      </w:r>
      <w:r>
        <w:t xml:space="preserve">are</w:t>
      </w:r>
      <w:r>
        <w:t xml:space="preserve"> </w:t>
      </w:r>
      <w:r>
        <w:t xml:space="preserve">Inform</w:t>
      </w:r>
      <w:r>
        <w:t xml:space="preserve"> </w:t>
      </w:r>
      <w:r>
        <w:t xml:space="preserve">al care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employ</w:t>
      </w:r>
      <w:r>
        <w:t xml:space="preserve"> </w:t>
      </w:r>
      <w:r>
        <w:t xml:space="preserve">ers</w:t>
      </w:r>
      <w:r>
        <w:t xml:space="preserve"> </w:t>
      </w:r>
      <w:r>
        <w:t xml:space="preserve">Mortality</w:t>
      </w:r>
      <w:r>
        <w:t xml:space="preserve"> </w:t>
      </w:r>
      <w:r>
        <w:t xml:space="preserve">–</w:t>
      </w:r>
      <w:r>
        <w:t xml:space="preserve"> </w:t>
      </w:r>
      <w:r>
        <w:t xml:space="preserve">productiv</w:t>
      </w:r>
      <w:r>
        <w:t xml:space="preserve"> </w:t>
      </w:r>
      <w:r>
        <w:t xml:space="preserve">ity loss</w:t>
      </w:r>
      <w:r>
        <w:t xml:space="preserve"> </w:t>
      </w:r>
      <w:r>
        <w:t xml:space="preserve">Morbid</w:t>
      </w:r>
      <w:r>
        <w:t xml:space="preserve"> </w:t>
      </w:r>
      <w:r>
        <w:t xml:space="preserve">ity –</w:t>
      </w:r>
      <w:r>
        <w:t xml:space="preserve"> </w:t>
      </w:r>
      <w:r>
        <w:t xml:space="preserve">lost</w:t>
      </w:r>
      <w:r>
        <w:t xml:space="preserve"> </w:t>
      </w:r>
      <w:r>
        <w:t xml:space="preserve">workin</w:t>
      </w:r>
      <w:r>
        <w:t xml:space="preserve"> </w:t>
      </w:r>
      <w:r>
        <w:t xml:space="preserve">g days</w:t>
      </w:r>
      <w:r>
        <w:t xml:space="preserve"> </w:t>
      </w:r>
      <w:r>
        <w:t xml:space="preserve">Approa</w:t>
      </w:r>
      <w:r>
        <w:t xml:space="preserve"> </w:t>
      </w:r>
      <w:r>
        <w:t xml:space="preserve">ch 1</w:t>
      </w:r>
      <w:r>
        <w:t xml:space="preserve"> </w:t>
      </w:r>
      <w:r>
        <w:t xml:space="preserve">WTP:</w:t>
      </w:r>
      <w:r>
        <w:t xml:space="preserve"> </w:t>
      </w:r>
      <w:r>
        <w:t xml:space="preserve">Mortalit</w:t>
      </w:r>
      <w:r>
        <w:t xml:space="preserve"> </w:t>
      </w:r>
      <w:r>
        <w:t xml:space="preserve">y</w:t>
      </w:r>
      <w:r>
        <w:t xml:space="preserve"> </w:t>
      </w:r>
      <w:r>
        <w:t xml:space="preserve">Approa</w:t>
      </w:r>
      <w:r>
        <w:t xml:space="preserve"> </w:t>
      </w:r>
      <w:r>
        <w:t xml:space="preserve">ch 1</w:t>
      </w:r>
      <w:r>
        <w:t xml:space="preserve"> </w:t>
      </w:r>
      <w:r>
        <w:t xml:space="preserve">WTP:</w:t>
      </w:r>
      <w:r>
        <w:t xml:space="preserve"> </w:t>
      </w:r>
      <w:r>
        <w:t xml:space="preserve">Morbid</w:t>
      </w:r>
      <w:r>
        <w:t xml:space="preserve"> </w:t>
      </w:r>
      <w:r>
        <w:t xml:space="preserve">ity</w:t>
      </w:r>
      <w:r>
        <w:t xml:space="preserve"> </w:t>
      </w:r>
      <w:r>
        <w:t xml:space="preserve">Approa</w:t>
      </w:r>
      <w:r>
        <w:t xml:space="preserve"> </w:t>
      </w:r>
      <w:r>
        <w:t xml:space="preserve">ch 2</w:t>
      </w:r>
      <w:r>
        <w:t xml:space="preserve"> </w:t>
      </w:r>
      <w:r>
        <w:t xml:space="preserve">DALY:</w:t>
      </w:r>
      <w:r>
        <w:t xml:space="preserve"> </w:t>
      </w:r>
      <w:r>
        <w:t xml:space="preserve">Morbid</w:t>
      </w:r>
      <w:r>
        <w:t xml:space="preserve"> </w:t>
      </w:r>
      <w:r>
        <w:t xml:space="preserve">ity</w:t>
      </w:r>
      <w:r>
        <w:t xml:space="preserve"> </w:t>
      </w:r>
      <w:r>
        <w:t xml:space="preserve">0</w:t>
      </w:r>
      <w:r>
        <w:t xml:space="preserve"> </w:t>
      </w:r>
      <w:r>
        <w:t xml:space="preserve">CNS</w:t>
      </w:r>
      <w:r>
        <w:t xml:space="preserve"> </w:t>
      </w:r>
      <w:r>
        <w:t xml:space="preserve">Cancer</w:t>
      </w:r>
      <w:r>
        <w:t xml:space="preserve"> </w:t>
      </w:r>
      <w:r>
        <w:t xml:space="preserve">€7 200</w:t>
      </w:r>
      <w:r>
        <w:t xml:space="preserve"> </w:t>
      </w:r>
      <w:r>
        <w:t xml:space="preserve">€3 000</w:t>
      </w:r>
      <w:r>
        <w:t xml:space="preserve"> </w:t>
      </w:r>
      <w:r>
        <w:t xml:space="preserve">€12 900</w:t>
      </w:r>
      <w:r>
        <w:t xml:space="preserve"> </w:t>
      </w:r>
      <w:r>
        <w:t xml:space="preserve">€5 000</w:t>
      </w:r>
      <w:r>
        <w:t xml:space="preserve"> </w:t>
      </w:r>
      <w:r>
        <w:t xml:space="preserve">€5 416</w:t>
      </w:r>
      <w:r>
        <w:t xml:space="preserve"> </w:t>
      </w:r>
      <w:r>
        <w:t xml:space="preserve">€4 710 0</w:t>
      </w:r>
      <w:r>
        <w:t xml:space="preserve"> </w:t>
      </w:r>
      <w:r>
        <w:t xml:space="preserve">00</w:t>
      </w:r>
      <w:r>
        <w:t xml:space="preserve"> </w:t>
      </w:r>
      <w:r>
        <w:t xml:space="preserve">€455 00</w:t>
      </w:r>
      <w:r>
        <w:t xml:space="preserve"> </w:t>
      </w:r>
      <w:r>
        <w:t xml:space="preserve">0</w:t>
      </w:r>
      <w:r>
        <w:t xml:space="preserve"> </w:t>
      </w:r>
      <w:r>
        <w:t xml:space="preserve">Value of</w:t>
      </w:r>
      <w:r>
        <w:t xml:space="preserve"> </w:t>
      </w:r>
      <w:r>
        <w:t xml:space="preserve">a DALY</w:t>
      </w:r>
      <w:r>
        <w:t xml:space="preserve"> </w:t>
      </w:r>
      <w:r>
        <w:t xml:space="preserve">€100,00</w:t>
      </w:r>
      <w:r>
        <w:t xml:space="preserve"> </w:t>
      </w:r>
      <w:r>
        <w:t xml:space="preserve">0</w:t>
      </w:r>
      <w:r>
        <w:t xml:space="preserve"> </w:t>
      </w:r>
      <w:r>
        <w:t xml:space="preserve">Neuropathy</w:t>
      </w:r>
      <w:r>
        <w:t xml:space="preserve"> </w:t>
      </w:r>
      <w:r>
        <w:t xml:space="preserve">€1 000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€29 778</w:t>
      </w:r>
      <w:r>
        <w:t xml:space="preserve"> </w:t>
      </w:r>
      <w:r>
        <w:t xml:space="preserve">€4 710 0</w:t>
      </w:r>
      <w:r>
        <w:t xml:space="preserve"> </w:t>
      </w:r>
      <w:r>
        <w:t xml:space="preserve">00</w:t>
      </w:r>
      <w:r>
        <w:t xml:space="preserve"> </w:t>
      </w:r>
      <w:r>
        <w:t xml:space="preserve">€107 20</w:t>
      </w:r>
      <w:r>
        <w:t xml:space="preserve"> </w:t>
      </w:r>
      <w:r>
        <w:t xml:space="preserve">1</w:t>
      </w:r>
      <w:r>
        <w:t xml:space="preserve"> </w:t>
      </w:r>
      <w:r>
        <w:t xml:space="preserve">Value of</w:t>
      </w:r>
      <w:r>
        <w:t xml:space="preserve"> </w:t>
      </w:r>
      <w:r>
        <w:t xml:space="preserve">a DALY</w:t>
      </w:r>
      <w:r>
        <w:t xml:space="preserve"> </w:t>
      </w:r>
      <w:r>
        <w:t xml:space="preserve">€100,00</w:t>
      </w:r>
      <w:r>
        <w:t xml:space="preserve"> </w:t>
      </w:r>
      <w:r>
        <w:t xml:space="preserve">0</w:t>
      </w:r>
      <w:r>
        <w:t xml:space="preserve"> </w:t>
      </w:r>
      <w:r>
        <w:t xml:space="preserve">Anaemia</w:t>
      </w:r>
      <w:r>
        <w:t xml:space="preserve"> </w:t>
      </w:r>
      <w:r>
        <w:t xml:space="preserve">€4 000</w:t>
      </w:r>
      <w:r>
        <w:t xml:space="preserve"> </w:t>
      </w:r>
      <w:r>
        <w:t xml:space="preserve">€0</w:t>
      </w:r>
      <w:r>
        <w:t xml:space="preserve"> </w:t>
      </w:r>
      <w:r>
        <w:t xml:space="preserve">€2 400</w:t>
      </w:r>
      <w:r>
        <w:t xml:space="preserve"> </w:t>
      </w:r>
      <w:r>
        <w:t xml:space="preserve">€0</w:t>
      </w:r>
      <w:r>
        <w:t xml:space="preserve"> </w:t>
      </w:r>
      <w:r>
        <w:t xml:space="preserve">€1 500</w:t>
      </w:r>
      <w:r>
        <w:t xml:space="preserve"> </w:t>
      </w:r>
      <w:r>
        <w:t xml:space="preserve">€4 710 0</w:t>
      </w:r>
      <w:r>
        <w:t xml:space="preserve"> </w:t>
      </w:r>
      <w:r>
        <w:t xml:space="preserve">00</w:t>
      </w:r>
      <w:r>
        <w:t xml:space="preserve"> </w:t>
      </w:r>
      <w:r>
        <w:t xml:space="preserve">€5 000</w:t>
      </w:r>
      <w:r>
        <w:t xml:space="preserve"> </w:t>
      </w:r>
      <w:r>
        <w:t xml:space="preserve">Value of</w:t>
      </w:r>
      <w:r>
        <w:t xml:space="preserve"> </w:t>
      </w:r>
      <w:r>
        <w:t xml:space="preserve">a DALY</w:t>
      </w:r>
      <w:r>
        <w:t xml:space="preserve"> </w:t>
      </w:r>
      <w:r>
        <w:t xml:space="preserve">€100,00</w:t>
      </w:r>
      <w:r>
        <w:t xml:space="preserve"> </w:t>
      </w:r>
      <w:r>
        <w:t xml:space="preserve">0</w:t>
      </w:r>
      <w:r>
        <w:t xml:space="preserve"> </w:t>
      </w:r>
      <w:r>
        <w:t xml:space="preserve">Chronic</w:t>
      </w:r>
      <w:r>
        <w:t xml:space="preserve"> </w:t>
      </w:r>
      <w:r>
        <w:t xml:space="preserve">kidney</w:t>
      </w:r>
      <w:r>
        <w:t xml:space="preserve"> </w:t>
      </w:r>
      <w:r>
        <w:t xml:space="preserve">disease</w:t>
      </w:r>
      <w:r>
        <w:t xml:space="preserve"> </w:t>
      </w:r>
      <w:r>
        <w:t xml:space="preserve">stage 1</w:t>
      </w:r>
      <w:r>
        <w:t xml:space="preserve"> </w:t>
      </w:r>
      <w:r>
        <w:t xml:space="preserve">€1 400</w:t>
      </w:r>
      <w:r>
        <w:t xml:space="preserve"> </w:t>
      </w:r>
      <w:r>
        <w:t xml:space="preserve">€0</w:t>
      </w:r>
      <w:r>
        <w:t xml:space="preserve"> </w:t>
      </w:r>
      <w:r>
        <w:t xml:space="preserve">€1 800</w:t>
      </w:r>
      <w:r>
        <w:t xml:space="preserve"> </w:t>
      </w:r>
      <w:r>
        <w:t xml:space="preserve">€0</w:t>
      </w:r>
      <w:r>
        <w:t xml:space="preserve"> </w:t>
      </w:r>
      <w:r>
        <w:t xml:space="preserve">€29 778</w:t>
      </w:r>
      <w:r>
        <w:t xml:space="preserve"> </w:t>
      </w:r>
      <w:r>
        <w:t xml:space="preserve">€4 710 0</w:t>
      </w:r>
      <w:r>
        <w:t xml:space="preserve"> </w:t>
      </w:r>
      <w:r>
        <w:t xml:space="preserve">00</w:t>
      </w:r>
      <w:r>
        <w:t xml:space="preserve"> </w:t>
      </w:r>
      <w:r>
        <w:t xml:space="preserve">€1 000</w:t>
      </w:r>
      <w:r>
        <w:t xml:space="preserve"> </w:t>
      </w:r>
      <w:r>
        <w:t xml:space="preserve">Value of</w:t>
      </w:r>
      <w:r>
        <w:t xml:space="preserve"> </w:t>
      </w:r>
      <w:r>
        <w:t xml:space="preserve">a DALY</w:t>
      </w:r>
      <w:r>
        <w:t xml:space="preserve"> </w:t>
      </w:r>
      <w:r>
        <w:t xml:space="preserve">€100,00</w:t>
      </w:r>
      <w:r>
        <w:t xml:space="preserve"> </w:t>
      </w:r>
      <w:r>
        <w:t xml:space="preserve">0</w:t>
      </w:r>
      <w:r>
        <w:t xml:space="preserve"> </w:t>
      </w:r>
      <w:r>
        <w:t xml:space="preserve">Elevated</w:t>
      </w:r>
      <w:r>
        <w:t xml:space="preserve"> </w:t>
      </w:r>
      <w:r>
        <w:t xml:space="preserve">blood</w:t>
      </w:r>
      <w:r>
        <w:t xml:space="preserve"> </w:t>
      </w:r>
      <w:r>
        <w:t xml:space="preserve">pressure</w:t>
      </w:r>
      <w:r>
        <w:t xml:space="preserve"> </w:t>
      </w:r>
      <w:r>
        <w:t xml:space="preserve">€800</w:t>
      </w:r>
      <w:r>
        <w:t xml:space="preserve"> </w:t>
      </w:r>
      <w:r>
        <w:t xml:space="preserve">€0</w:t>
      </w:r>
      <w:r>
        <w:t xml:space="preserve"> </w:t>
      </w:r>
      <w:r>
        <w:t xml:space="preserve">€1 800</w:t>
      </w:r>
      <w:r>
        <w:t xml:space="preserve"> </w:t>
      </w:r>
      <w:r>
        <w:t xml:space="preserve">€0</w:t>
      </w:r>
      <w:r>
        <w:t xml:space="preserve"> </w:t>
      </w:r>
      <w:r>
        <w:t xml:space="preserve">€148 89</w:t>
      </w:r>
      <w:r>
        <w:t xml:space="preserve"> </w:t>
      </w:r>
      <w:r>
        <w:t xml:space="preserve">0</w:t>
      </w:r>
      <w:r>
        <w:t xml:space="preserve"> </w:t>
      </w:r>
      <w:r>
        <w:t xml:space="preserve">€4 710 0</w:t>
      </w:r>
      <w:r>
        <w:t xml:space="preserve"> </w:t>
      </w:r>
      <w:r>
        <w:t xml:space="preserve">00</w:t>
      </w:r>
      <w:r>
        <w:t xml:space="preserve"> </w:t>
      </w:r>
      <w:r>
        <w:t xml:space="preserve">€5 000</w:t>
      </w:r>
      <w:r>
        <w:t xml:space="preserve"> </w:t>
      </w:r>
      <w:r>
        <w:t xml:space="preserve">Value of</w:t>
      </w:r>
      <w:r>
        <w:t xml:space="preserve"> </w:t>
      </w:r>
      <w:r>
        <w:t xml:space="preserve">a DALY</w:t>
      </w:r>
      <w:r>
        <w:t xml:space="preserve"> </w:t>
      </w:r>
      <w:r>
        <w:t xml:space="preserve">€100,00</w:t>
      </w:r>
      <w:r>
        <w:t xml:space="preserve"> </w:t>
      </w:r>
      <w:r>
        <w:t xml:space="preserve">0</w:t>
      </w:r>
      <w:r>
        <w:t xml:space="preserve"> </w:t>
      </w:r>
      <w:r>
        <w:t xml:space="preserve">Male</w:t>
      </w:r>
      <w:r>
        <w:t xml:space="preserve"> </w:t>
      </w:r>
      <w:r>
        <w:t xml:space="preserve">fertility</w:t>
      </w:r>
      <w:r>
        <w:t xml:space="preserve"> </w:t>
      </w:r>
      <w:r>
        <w:t xml:space="preserve">€1 400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€4 710 0</w:t>
      </w:r>
      <w:r>
        <w:t xml:space="preserve"> </w:t>
      </w:r>
      <w:r>
        <w:t xml:space="preserve">00</w:t>
      </w:r>
      <w:r>
        <w:t xml:space="preserve"> </w:t>
      </w:r>
      <w:r>
        <w:t xml:space="preserve">€5 416</w:t>
      </w:r>
      <w:r>
        <w:t xml:space="preserve"> </w:t>
      </w:r>
      <w:r>
        <w:t xml:space="preserve">Value of</w:t>
      </w:r>
      <w:r>
        <w:t xml:space="preserve"> </w:t>
      </w:r>
      <w:r>
        <w:t xml:space="preserve">a DALY</w:t>
      </w:r>
      <w:r>
        <w:t xml:space="preserve"> </w:t>
      </w:r>
      <w:r>
        <w:t xml:space="preserve">€100,00</w:t>
      </w:r>
      <w:r>
        <w:t xml:space="preserve"> </w:t>
      </w:r>
      <w:r>
        <w:t xml:space="preserve">0</w:t>
      </w:r>
      <w:r>
        <w:t xml:space="preserve"> </w:t>
      </w:r>
      <w:r>
        <w:t xml:space="preserve">Pre-</w:t>
      </w:r>
      <w:r>
        <w:t xml:space="preserve"> </w:t>
      </w:r>
      <w:r>
        <w:t xml:space="preserve">eclampsia</w:t>
      </w:r>
      <w:r>
        <w:t xml:space="preserve"> </w:t>
      </w:r>
      <w:r>
        <w:t xml:space="preserve">€7 600</w:t>
      </w:r>
      <w:r>
        <w:t xml:space="preserve"> </w:t>
      </w:r>
      <w:r>
        <w:t xml:space="preserve">€900</w:t>
      </w:r>
      <w:r>
        <w:t xml:space="preserve"> </w:t>
      </w:r>
      <w:r>
        <w:t xml:space="preserve">€5 500</w:t>
      </w:r>
      <w:r>
        <w:t xml:space="preserve"> </w:t>
      </w:r>
      <w:r>
        <w:t xml:space="preserve">€5 000</w:t>
      </w:r>
      <w:r>
        <w:t xml:space="preserve"> </w:t>
      </w:r>
      <w:r>
        <w:t xml:space="preserve">€100</w:t>
      </w:r>
      <w:r>
        <w:t xml:space="preserve"> </w:t>
      </w:r>
      <w:r>
        <w:t xml:space="preserve">€4 710 0</w:t>
      </w:r>
      <w:r>
        <w:t xml:space="preserve"> </w:t>
      </w:r>
      <w:r>
        <w:t xml:space="preserve">00</w:t>
      </w:r>
      <w:r>
        <w:t xml:space="preserve"> </w:t>
      </w:r>
      <w:r>
        <w:t xml:space="preserve">€5 000</w:t>
      </w:r>
      <w:r>
        <w:t xml:space="preserve"> </w:t>
      </w:r>
      <w:r>
        <w:t xml:space="preserve">Value of</w:t>
      </w:r>
      <w:r>
        <w:t xml:space="preserve"> </w:t>
      </w:r>
      <w:r>
        <w:t xml:space="preserve">a DALY</w:t>
      </w:r>
      <w:r>
        <w:t xml:space="preserve"> </w:t>
      </w:r>
      <w:r>
        <w:t xml:space="preserve">€100,00</w:t>
      </w:r>
      <w:r>
        <w:t xml:space="preserve"> </w:t>
      </w:r>
      <w:r>
        <w:t xml:space="preserve">0</w:t>
      </w:r>
      <w:r>
        <w:t xml:space="preserve"> </w:t>
      </w:r>
      <w:r>
        <w:t xml:space="preserve">Developme</w:t>
      </w:r>
      <w:r>
        <w:t xml:space="preserve"> </w:t>
      </w:r>
      <w:r>
        <w:t xml:space="preserve">ntal toxicity</w:t>
      </w:r>
      <w:r>
        <w:br/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€20 300</w:t>
      </w:r>
      <w:r>
        <w:t xml:space="preserve"> </w:t>
      </w:r>
      <w:r>
        <w:t xml:space="preserve">€0</w:t>
      </w:r>
      <w:r>
        <w:t xml:space="preserve"> </w:t>
      </w:r>
      <w:r>
        <w:t xml:space="preserve">€9 600</w:t>
      </w:r>
      <w:r>
        <w:br/>
      </w:r>
      <w:r>
        <w:t xml:space="preserve">(per lost</w:t>
      </w:r>
      <w:r>
        <w:t xml:space="preserve"> </w:t>
      </w:r>
      <w:r>
        <w:t xml:space="preserve">IQ)</w:t>
      </w:r>
      <w:r>
        <w:t xml:space="preserve"> </w:t>
      </w:r>
      <w:r>
        <w:t xml:space="preserve">€0</w:t>
      </w:r>
      <w:r>
        <w:t xml:space="preserve"> </w:t>
      </w:r>
      <w:r>
        <w:t xml:space="preserve">Source: External Study RPA (2021)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COST MODEL</w:t>
      </w:r>
      <w:r>
        <w:t xml:space="preserve"> </w:t>
      </w:r>
      <w:r>
        <w:t xml:space="preserve">4.2.1 The Cost Model for Estimating Compliance Costs</w:t>
      </w:r>
      <w:r>
        <w:br/>
      </w:r>
      <w:r>
        <w:t xml:space="preserve">The cost framework used for the assessment focuses on the general features of the model for</w:t>
      </w:r>
      <w:r>
        <w:t xml:space="preserve"> </w:t>
      </w:r>
      <w:r>
        <w:t xml:space="preserve">estimating compliance costs for companies for diisocyanates and lead.</w:t>
      </w:r>
      <w:r>
        <w:br/>
      </w:r>
      <w:r>
        <w:t xml:space="preserve">Taking into account the direct and indirect behavioural changes as well as potential ultimate impacts,</w:t>
      </w:r>
      <w:r>
        <w:t xml:space="preserve"> </w:t>
      </w:r>
      <w:r>
        <w:t xml:space="preserve">the most relevant impacts were selected on the basis of the following factors:</w:t>
      </w:r>
      <w:r>
        <w:t xml:space="preserve"> </w:t>
      </w:r>
      <w:r>
        <w:t xml:space="preserve"></w:t>
      </w:r>
      <w:r>
        <w:t xml:space="preserve"> </w:t>
      </w:r>
      <w:r>
        <w:t xml:space="preserve">The relevance of the impact within the intervention logic;</w:t>
      </w:r>
      <w:r>
        <w:t xml:space="preserve"> </w:t>
      </w:r>
      <w:r>
        <w:t xml:space="preserve"></w:t>
      </w:r>
      <w:r>
        <w:t xml:space="preserve"> </w:t>
      </w:r>
      <w:r>
        <w:t xml:space="preserve">the absolute magnitude of the expected impacts;</w:t>
      </w:r>
      <w:r>
        <w:t xml:space="preserve"> </w:t>
      </w:r>
      <w:r>
        <w:t xml:space="preserve"></w:t>
      </w:r>
      <w:r>
        <w:t xml:space="preserve"> </w:t>
      </w:r>
      <w:r>
        <w:t xml:space="preserve">the relative size of expected impacts for specific stakeholders (such as impacts which may be</w:t>
      </w:r>
      <w:r>
        <w:t xml:space="preserve"> </w:t>
      </w:r>
      <w:r>
        <w:t xml:space="preserve">small in absolute terms but may be particularly significant to specific types of companies,</w:t>
      </w:r>
      <w:r>
        <w:t xml:space="preserve"> </w:t>
      </w:r>
      <w:r>
        <w:t xml:space="preserve">regions, sectors, etc.); and</w:t>
      </w:r>
      <w:r>
        <w:t xml:space="preserve"> </w:t>
      </w:r>
      <w:r>
        <w:t xml:space="preserve"></w:t>
      </w:r>
      <w:r>
        <w:t xml:space="preserve"> </w:t>
      </w:r>
      <w:r>
        <w:t xml:space="preserve">the importance of the impacts for the Commission’s horizontal objectives and policies.</w:t>
      </w:r>
      <w:r>
        <w:t xml:space="preserve"> </w:t>
      </w:r>
      <w:r>
        <w:t xml:space="preserve">The table below summarises the impact categories that could be significant and that are thus assessed</w:t>
      </w:r>
      <w:r>
        <w:t xml:space="preserve"> </w:t>
      </w:r>
      <w:r>
        <w:t xml:space="preserve">in this report.</w:t>
      </w:r>
      <w:r>
        <w:t xml:space="preserve"> </w:t>
      </w:r>
      <w:r>
        <w:t xml:space="preserve">Table 9: Assessment of the most significant economic impact categories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Key impacts</w:t>
      </w:r>
      <w:r>
        <w:t xml:space="preserve"> </w:t>
      </w:r>
      <w:r>
        <w:t xml:space="preserve">Operating costs and</w:t>
      </w:r>
      <w:r>
        <w:t xml:space="preserve"> </w:t>
      </w:r>
      <w:r>
        <w:t xml:space="preserve">conduct of business</w:t>
      </w:r>
      <w:r>
        <w:br/>
      </w:r>
      <w:r>
        <w:t xml:space="preserve">• Will it impose additional adjustment, compliance or transaction costs</w:t>
      </w:r>
      <w:r>
        <w:t xml:space="preserve"> </w:t>
      </w:r>
      <w:r>
        <w:t xml:space="preserve">on businesses?</w:t>
      </w:r>
      <w:r>
        <w:t xml:space="preserve"> </w:t>
      </w:r>
      <w:r>
        <w:t xml:space="preserve">• Does it impact on the investment cycle?</w:t>
      </w:r>
      <w:r>
        <w:t xml:space="preserve"> </w:t>
      </w:r>
      <w:r>
        <w:t xml:space="preserve">• Will it entail the withdrawal of certain products from the market?</w:t>
      </w:r>
      <w:r>
        <w:t xml:space="preserve"> </w:t>
      </w:r>
      <w:r>
        <w:t xml:space="preserve">• Will it lead to new or the closing down of businesses?</w:t>
      </w:r>
      <w:r>
        <w:t xml:space="preserve"> </w:t>
      </w:r>
      <w:r>
        <w:t xml:space="preserve">• Are some products or businesses treated differently from others in a</w:t>
      </w:r>
      <w:r>
        <w:t xml:space="preserve"> </w:t>
      </w:r>
      <w:r>
        <w:t xml:space="preserve">comparable situation?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on businesses</w:t>
      </w:r>
      <w:r>
        <w:br/>
      </w:r>
      <w:r>
        <w:t xml:space="preserve">• Does it affect the nature of information obligations placed on</w:t>
      </w:r>
      <w:r>
        <w:t xml:space="preserve"> </w:t>
      </w:r>
      <w:r>
        <w:t xml:space="preserve">businesses?</w:t>
      </w:r>
      <w:r>
        <w:t xml:space="preserve"> </w:t>
      </w:r>
      <w:r>
        <w:t xml:space="preserve">Trade and investment</w:t>
      </w:r>
      <w:r>
        <w:t xml:space="preserve"> </w:t>
      </w:r>
      <w:r>
        <w:t xml:space="preserve">flows</w:t>
      </w:r>
      <w:r>
        <w:br/>
      </w:r>
      <w:r>
        <w:t xml:space="preserve">• How will the option affect exports and imports out of and into the</w:t>
      </w:r>
      <w:r>
        <w:t xml:space="preserve"> </w:t>
      </w:r>
      <w:r>
        <w:t xml:space="preserve">EU? Will imported products be treated differently to domestic goods?</w:t>
      </w:r>
      <w:r>
        <w:t xml:space="preserve"> </w:t>
      </w:r>
      <w:r>
        <w:t xml:space="preserve">• How will investment flows be affected and the trade in services?</w:t>
      </w:r>
      <w:r>
        <w:t xml:space="preserve"> </w:t>
      </w:r>
      <w:r>
        <w:t xml:space="preserve">• Will the option affect regulatory convergence with third countries?</w:t>
      </w:r>
      <w:r>
        <w:t xml:space="preserve"> </w:t>
      </w:r>
      <w:r>
        <w:t xml:space="preserve">Have international standards and common regulatory approaches been</w:t>
      </w:r>
      <w:r>
        <w:t xml:space="preserve"> </w:t>
      </w:r>
      <w:r>
        <w:t xml:space="preserve">considered?</w:t>
      </w:r>
      <w:r>
        <w:t xml:space="preserve"> </w:t>
      </w:r>
      <w:r>
        <w:t xml:space="preserve">Public authorities</w:t>
      </w:r>
      <w:r>
        <w:br/>
      </w:r>
      <w:r>
        <w:t xml:space="preserve">• Does the option have budgetary consequences for public authorities at</w:t>
      </w:r>
      <w:r>
        <w:t xml:space="preserve"> </w:t>
      </w:r>
      <w:r>
        <w:t xml:space="preserve">different levels of government (EU own resources, national, regional,</w:t>
      </w:r>
      <w:r>
        <w:t xml:space="preserve"> </w:t>
      </w:r>
      <w:r>
        <w:t xml:space="preserve">local), both immediately and in the long run?</w:t>
      </w:r>
      <w:r>
        <w:t xml:space="preserve"> </w:t>
      </w:r>
      <w:r>
        <w:t xml:space="preserve">• Does it bring additional governmental administrative burden?</w:t>
      </w:r>
      <w:r>
        <w:t xml:space="preserve"> </w:t>
      </w:r>
      <w:r>
        <w:t xml:space="preserve">• Does the option require the creation of new or restructuring of</w:t>
      </w:r>
      <w:r>
        <w:t xml:space="preserve"> </w:t>
      </w:r>
      <w:r>
        <w:t xml:space="preserve">existing public authorities?</w:t>
      </w:r>
      <w:r>
        <w:t xml:space="preserve"> </w:t>
      </w:r>
      <w:r>
        <w:t xml:space="preserve">Consumers and</w:t>
      </w:r>
      <w:r>
        <w:t xml:space="preserve"> </w:t>
      </w:r>
      <w:r>
        <w:t xml:space="preserve">households</w:t>
      </w:r>
      <w:r>
        <w:br/>
      </w:r>
      <w:r>
        <w:t xml:space="preserve">• Does the option affect the prices consumers pay for goods and</w:t>
      </w:r>
      <w:r>
        <w:t xml:space="preserve"> </w:t>
      </w:r>
      <w:r>
        <w:t xml:space="preserve">services?</w:t>
      </w:r>
      <w:r>
        <w:t xml:space="preserve"> </w:t>
      </w:r>
      <w:r>
        <w:t xml:space="preserve">• Does it have an impact on the quality or safety of the goods/services</w:t>
      </w:r>
      <w:r>
        <w:t xml:space="preserve"> </w:t>
      </w:r>
      <w:r>
        <w:t xml:space="preserve">consumers receive?</w:t>
      </w:r>
      <w:r>
        <w:t xml:space="preserve"> </w:t>
      </w:r>
      <w:r>
        <w:t xml:space="preserve">• Does it affect consumer choice, trust or protection?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Impact category</w:t>
      </w:r>
      <w:r>
        <w:t xml:space="preserve"> </w:t>
      </w:r>
      <w:r>
        <w:t xml:space="preserve">Key impacts</w:t>
      </w:r>
      <w:r>
        <w:t xml:space="preserve"> </w:t>
      </w:r>
      <w:r>
        <w:t xml:space="preserve">• Does it have an impact on the availability or sustainability of</w:t>
      </w:r>
      <w:r>
        <w:t xml:space="preserve"> </w:t>
      </w:r>
      <w:r>
        <w:t xml:space="preserve">consumer goods and services?</w:t>
      </w:r>
      <w:r>
        <w:t xml:space="preserve"> </w:t>
      </w:r>
      <w:r>
        <w:t xml:space="preserve">Specific regions or</w:t>
      </w:r>
      <w:r>
        <w:t xml:space="preserve"> </w:t>
      </w:r>
      <w:r>
        <w:t xml:space="preserve">sectors</w:t>
      </w:r>
      <w:r>
        <w:br/>
      </w:r>
      <w:r>
        <w:t xml:space="preserve">• Does the option have significant effects on certain sectors?</w:t>
      </w:r>
      <w:r>
        <w:t xml:space="preserve"> </w:t>
      </w:r>
      <w:r>
        <w:t xml:space="preserve">• Will it have a specific impact on certain regions, for instance in terms</w:t>
      </w:r>
      <w:r>
        <w:t xml:space="preserve"> </w:t>
      </w:r>
      <w:r>
        <w:t xml:space="preserve">of jobs created or lost?</w:t>
      </w:r>
      <w:r>
        <w:t xml:space="preserve"> </w:t>
      </w:r>
      <w:r>
        <w:t xml:space="preserve">• Is there a single Member State, region or sector which is</w:t>
      </w:r>
      <w:r>
        <w:t xml:space="preserve"> </w:t>
      </w:r>
      <w:r>
        <w:t xml:space="preserve">disproportionately affected (so-called “outlier” impact)?</w:t>
      </w:r>
      <w:r>
        <w:t xml:space="preserve"> </w:t>
      </w:r>
      <w:r>
        <w:t xml:space="preserve">Source: Better Regulation (BR) Toolbox (BR Tool #19)</w:t>
      </w:r>
    </w:p>
    <w:p>
      <w:pPr>
        <w:pStyle w:val="BodyText"/>
      </w:pPr>
      <w:r>
        <w:t xml:space="preserve">4.2.1</w:t>
      </w:r>
      <w:r>
        <w:t xml:space="preserve"> </w:t>
      </w:r>
      <w:r>
        <w:t xml:space="preserve">Key features of the compliance cost model</w:t>
      </w:r>
      <w:r>
        <w:t xml:space="preserve"> </w:t>
      </w:r>
      <w:r>
        <w:t xml:space="preserve">4.2.1.1 Key factors influencing costs</w:t>
      </w:r>
      <w:r>
        <w:br/>
      </w:r>
      <w:r>
        <w:t xml:space="preserve">The key impact are the compliance costs for industry. These are estimated by means of a compliance</w:t>
      </w:r>
      <w:r>
        <w:t xml:space="preserve"> </w:t>
      </w:r>
      <w:r>
        <w:t xml:space="preserve">cost model. This considers the Risk Management Measures (RMMs) currently in place and estimates</w:t>
      </w:r>
      <w:r>
        <w:t xml:space="preserve"> </w:t>
      </w:r>
      <w:r>
        <w:t xml:space="preserve">the additional RMMs needed for reducing the air exposure levels from the actual levels to the target</w:t>
      </w:r>
      <w:r>
        <w:t xml:space="preserve"> </w:t>
      </w:r>
      <w:r>
        <w:t xml:space="preserve">level.</w:t>
      </w:r>
      <w:r>
        <w:t xml:space="preserve"> </w:t>
      </w:r>
      <w:r>
        <w:t xml:space="preserve">The model calculates the costs for a group of similar companies incurred in reducing exposure to a</w:t>
      </w:r>
      <w:r>
        <w:t xml:space="preserve"> </w:t>
      </w:r>
      <w:r>
        <w:t xml:space="preserve">target limit value based on an assumed sequence of RMM implementation which is determined by</w:t>
      </w:r>
      <w:r>
        <w:t xml:space="preserve"> </w:t>
      </w:r>
      <w:r>
        <w:t xml:space="preserve">suitability, effectiveness, and cost.</w:t>
      </w:r>
      <w:r>
        <w:t xml:space="preserve"> </w:t>
      </w:r>
      <w:r>
        <w:t xml:space="preserve">The output is the cost of implementing the OEL/BLV split by:</w:t>
      </w:r>
      <w:r>
        <w:t xml:space="preserve"> </w:t>
      </w:r>
      <w:r>
        <w:t xml:space="preserve"></w:t>
      </w:r>
      <w:r>
        <w:t xml:space="preserve"> </w:t>
      </w:r>
      <w:r>
        <w:t xml:space="preserve">Sector;</w:t>
      </w:r>
      <w:r>
        <w:t xml:space="preserve"> </w:t>
      </w:r>
      <w:r>
        <w:t xml:space="preserve"></w:t>
      </w:r>
      <w:r>
        <w:t xml:space="preserve"> </w:t>
      </w:r>
      <w:r>
        <w:t xml:space="preserve">company size: small, medium and large; and</w:t>
      </w:r>
      <w:r>
        <w:br/>
      </w:r>
      <w:r>
        <w:t xml:space="preserve"></w:t>
      </w:r>
      <w:r>
        <w:t xml:space="preserve"> </w:t>
      </w:r>
      <w:r>
        <w:t xml:space="preserve">capital expenditure (one-off) and operating expenditure (recurrent).</w:t>
      </w:r>
      <w:r>
        <w:t xml:space="preserve"> </w:t>
      </w:r>
      <w:r>
        <w:t xml:space="preserve">The model estimated the costs of compliance with the different target OELs for diisocyanates and</w:t>
      </w:r>
      <w:r>
        <w:t xml:space="preserve"> </w:t>
      </w:r>
      <w:r>
        <w:t xml:space="preserve">lead. The key model inputs and assumptions are:</w:t>
      </w:r>
      <w:r>
        <w:t xml:space="preserve"> </w:t>
      </w:r>
      <w:r>
        <w:t xml:space="preserve"></w:t>
      </w:r>
      <w:r>
        <w:t xml:space="preserve"> </w:t>
      </w:r>
      <w:r>
        <w:t xml:space="preserve">OEL/BLV options;</w:t>
      </w:r>
      <w:r>
        <w:t xml:space="preserve"> </w:t>
      </w:r>
      <w:r>
        <w:t xml:space="preserve"></w:t>
      </w:r>
      <w:r>
        <w:t xml:space="preserve"> </w:t>
      </w:r>
      <w:r>
        <w:t xml:space="preserve">assumptions about how compliance with the OEL/BLV is determined;</w:t>
      </w:r>
      <w:r>
        <w:t xml:space="preserve"> </w:t>
      </w:r>
      <w:r>
        <w:t xml:space="preserve"></w:t>
      </w:r>
      <w:r>
        <w:t xml:space="preserve"> </w:t>
      </w:r>
      <w:r>
        <w:t xml:space="preserve">number of small, medium and large enterprises at each of the current exposure</w:t>
      </w:r>
      <w:r>
        <w:t xml:space="preserve"> </w:t>
      </w:r>
      <w:r>
        <w:t xml:space="preserve">concentrations;</w:t>
      </w:r>
      <w:r>
        <w:t xml:space="preserve"> </w:t>
      </w:r>
      <w:r>
        <w:t xml:space="preserve"></w:t>
      </w:r>
      <w:r>
        <w:t xml:space="preserve"> </w:t>
      </w:r>
      <w:r>
        <w:t xml:space="preserve">estimated average number of exposed workers and workstations using the substance in a</w:t>
      </w:r>
      <w:r>
        <w:t xml:space="preserve"> </w:t>
      </w:r>
      <w:r>
        <w:t xml:space="preserve">company;</w:t>
      </w:r>
      <w:r>
        <w:t xml:space="preserve"> </w:t>
      </w:r>
      <w:r>
        <w:t xml:space="preserve"></w:t>
      </w:r>
      <w:r>
        <w:t xml:space="preserve"> </w:t>
      </w:r>
      <w:r>
        <w:t xml:space="preserve">discount rates;</w:t>
      </w:r>
      <w:r>
        <w:t xml:space="preserve"> </w:t>
      </w:r>
      <w:r>
        <w:t xml:space="preserve"></w:t>
      </w:r>
      <w:r>
        <w:t xml:space="preserve"> </w:t>
      </w:r>
      <w:r>
        <w:t xml:space="preserve">Current RMMs;</w:t>
      </w:r>
      <w:r>
        <w:t xml:space="preserve"> </w:t>
      </w:r>
      <w:r>
        <w:t xml:space="preserve"></w:t>
      </w:r>
      <w:r>
        <w:t xml:space="preserve"> </w:t>
      </w:r>
      <w:r>
        <w:t xml:space="preserve">RMM effectiveness;</w:t>
      </w:r>
      <w:r>
        <w:t xml:space="preserve"> </w:t>
      </w:r>
      <w:r>
        <w:t xml:space="preserve"></w:t>
      </w:r>
      <w:r>
        <w:t xml:space="preserve"> </w:t>
      </w:r>
      <w:r>
        <w:t xml:space="preserve">cost of RMMs (one-off and recurring) as well as their average lifespan; and</w:t>
      </w:r>
      <w:r>
        <w:t xml:space="preserve"> </w:t>
      </w:r>
      <w:r>
        <w:t xml:space="preserve"></w:t>
      </w:r>
      <w:r>
        <w:t xml:space="preserve"> </w:t>
      </w:r>
      <w:r>
        <w:t xml:space="preserve">suitability of specific RMM types for each of the sector.</w:t>
      </w:r>
      <w:r>
        <w:t xml:space="preserve"> </w:t>
      </w:r>
      <w:r>
        <w:t xml:space="preserve">4.2.1.2 Discount rates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The static discount rate is 4%: this is taken over the 40-year period. A dynamic discount rate is used</w:t>
      </w:r>
      <w:r>
        <w:t xml:space="preserve"> </w:t>
      </w:r>
      <w:r>
        <w:t xml:space="preserve">in the sensitivity analysis. The dynamic rate starts at 4% for the first 20 years; it then decreases to 3%</w:t>
      </w:r>
      <w:r>
        <w:t xml:space="preserve"> </w:t>
      </w:r>
      <w:r>
        <w:t xml:space="preserve">for the remaining 20 years.</w:t>
      </w:r>
      <w:r>
        <w:t xml:space="preserve"> </w:t>
      </w:r>
      <w:r>
        <w:t xml:space="preserve">4.2.1.3 Current RMMs</w:t>
      </w:r>
      <w:r>
        <w:t xml:space="preserve"> </w:t>
      </w:r>
      <w:r>
        <w:t xml:space="preserve">The breakdown of RMMs currently used by the relevant companies, differentiated by enterprise size</w:t>
      </w:r>
      <w:r>
        <w:t xml:space="preserve"> </w:t>
      </w:r>
      <w:r>
        <w:t xml:space="preserve">and sector, was estimated for each substance. The data sources and methods of estimation are</w:t>
      </w:r>
      <w:r>
        <w:t xml:space="preserve"> </w:t>
      </w:r>
      <w:r>
        <w:t xml:space="preserve">described in each of the substance-specific reports.</w:t>
      </w:r>
      <w:r>
        <w:t xml:space="preserve"> </w:t>
      </w:r>
      <w:r>
        <w:t xml:space="preserve">The following types of RMM are considered:</w:t>
      </w:r>
      <w:r>
        <w:t xml:space="preserve"> </w:t>
      </w:r>
      <w:r>
        <w:t xml:space="preserve"></w:t>
      </w:r>
      <w:r>
        <w:t xml:space="preserve"> </w:t>
      </w:r>
      <w:r>
        <w:t xml:space="preserve">Local Exhaust Ventilation (LEV), extraction at source;</w:t>
      </w:r>
      <w:r>
        <w:t xml:space="preserve"> </w:t>
      </w:r>
      <w:r>
        <w:t xml:space="preserve"></w:t>
      </w:r>
      <w:r>
        <w:t xml:space="preserve"> </w:t>
      </w:r>
      <w:r>
        <w:t xml:space="preserve">Worker Enclosures (WE), i.e. physical separation of workers in an enclosure or control room;</w:t>
      </w:r>
      <w:r>
        <w:t xml:space="preserve"> </w:t>
      </w:r>
      <w:r>
        <w:t xml:space="preserve"></w:t>
      </w:r>
      <w:r>
        <w:t xml:space="preserve"> </w:t>
      </w:r>
      <w:r>
        <w:t xml:space="preserve">Respiratory Protective Equipment (RPE);</w:t>
      </w:r>
      <w:r>
        <w:t xml:space="preserve"> </w:t>
      </w:r>
      <w:r>
        <w:t xml:space="preserve"></w:t>
      </w:r>
      <w:r>
        <w:t xml:space="preserve"> </w:t>
      </w:r>
      <w:r>
        <w:t xml:space="preserve">General Dilution Ventilation (GDV);</w:t>
      </w:r>
      <w:r>
        <w:t xml:space="preserve"> </w:t>
      </w:r>
      <w:r>
        <w:t xml:space="preserve"></w:t>
      </w:r>
      <w:r>
        <w:t xml:space="preserve"> </w:t>
      </w:r>
      <w:r>
        <w:t xml:space="preserve">Organisational &amp; Hygiene measures (OH).</w:t>
      </w:r>
      <w:r>
        <w:t xml:space="preserve"> </w:t>
      </w:r>
      <w:r>
        <w:t xml:space="preserve">For each type of RMM, several levels that companies can achieve have been defined. These levels are</w:t>
      </w:r>
      <w:r>
        <w:t xml:space="preserve"> </w:t>
      </w:r>
      <w:r>
        <w:t xml:space="preserve">summarised below.</w:t>
      </w:r>
      <w:r>
        <w:t xml:space="preserve"> </w:t>
      </w:r>
      <w:r>
        <w:t xml:space="preserve">The model is a simplification of reality and focuses on the primary RMM currently used to control</w:t>
      </w:r>
      <w:r>
        <w:t xml:space="preserve"> </w:t>
      </w:r>
      <w:r>
        <w:t xml:space="preserve">exposure. It is recognised that in reality a combination of RMMs may be used by a single company to</w:t>
      </w:r>
      <w:r>
        <w:t xml:space="preserve"> </w:t>
      </w:r>
      <w:r>
        <w:t xml:space="preserve">control exposure. A further simplification is that current RMMs are defined at sectoral rather than</w:t>
      </w:r>
      <w:r>
        <w:t xml:space="preserve"> </w:t>
      </w:r>
      <w:r>
        <w:t xml:space="preserve">company level – all companies in a certain sector are thus assumed to have the same RMMs in place.</w:t>
      </w:r>
      <w:r>
        <w:t xml:space="preserve"> </w:t>
      </w:r>
      <w:r>
        <w:t xml:space="preserve">Again, it is recognised that this is a simplification which may not be the case in real life.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4.2.1.4 How does the estimation model work?</w:t>
      </w:r>
      <w:r>
        <w:t xml:space="preserve"> </w:t>
      </w:r>
      <w:r>
        <w:t xml:space="preserve">The assumptions on the effectiveness and suitability of individual RMMs are used to determine</w:t>
      </w:r>
      <w:r>
        <w:t xml:space="preserve"> </w:t>
      </w:r>
      <w:r>
        <w:t xml:space="preserve">whether a specific RMM is suitable to reduce exposure in a specific sector by the required degree. If</w:t>
      </w:r>
      <w:r>
        <w:t xml:space="preserve"> </w:t>
      </w:r>
      <w:r>
        <w:t xml:space="preserve">several RMMs are suitable and effective enough, the cheapest one is selected. RMMs that companies</w:t>
      </w:r>
      <w:r>
        <w:t xml:space="preserve"> </w:t>
      </w:r>
      <w:r>
        <w:t xml:space="preserve">already have in place are taken into account and a more effective RMM is chosen.</w:t>
      </w:r>
      <w:r>
        <w:t xml:space="preserve"> </w:t>
      </w:r>
      <w:r>
        <w:t xml:space="preserve">The logic process underpinning each company level decision is illustrated in the figure below.</w:t>
      </w:r>
      <w:r>
        <w:t xml:space="preserve"> </w:t>
      </w:r>
      <w:r>
        <w:t xml:space="preserve">Figure 1</w:t>
      </w:r>
      <w:r>
        <w:t xml:space="preserve"> </w:t>
      </w:r>
      <w:r>
        <w:t xml:space="preserve">Decision making process in the cost estimation model for diisocyanates and lead</w:t>
      </w:r>
      <w:r>
        <w:t xml:space="preserve"> </w:t>
      </w:r>
      <w:r>
        <w:t xml:space="preserve">(estimated for each company)</w:t>
      </w:r>
    </w:p>
    <w:p>
      <w:pPr>
        <w:pStyle w:val="BodyText"/>
      </w:pPr>
      <w:r>
        <w:t xml:space="preserve">Source: External Study RPA (2021)</w:t>
      </w:r>
      <w:r>
        <w:t xml:space="preserve"> </w:t>
      </w:r>
      <w:r>
        <w:t xml:space="preserve">The total cost of reduction is then calculated as a sum of all company-level decisions.</w:t>
      </w:r>
      <w:r>
        <w:t xml:space="preserve"> </w:t>
      </w:r>
      <w:r>
        <w:t xml:space="preserve">4.2.1.5 Discontinuations in the cost model</w:t>
      </w:r>
      <w:r>
        <w:t xml:space="preserve"> </w:t>
      </w:r>
      <w:r>
        <w:t xml:space="preserve">Where the RMMs considered in the cost model are not sufficiently effective to achieve the reduction</w:t>
      </w:r>
      <w:r>
        <w:t xml:space="preserve"> </w:t>
      </w:r>
      <w:r>
        <w:t xml:space="preserve">in exposure levels required to comply with an OEL/STEL/BLV option, it is expected that the</w:t>
      </w:r>
      <w:r>
        <w:t xml:space="preserve"> </w:t>
      </w:r>
      <w:r>
        <w:t xml:space="preserve">company in question would have to substitute the substance, or where this is not possible, discontinue</w:t>
      </w:r>
      <w:r>
        <w:t xml:space="preserve"> </w:t>
      </w:r>
      <w:r>
        <w:t xml:space="preserve">the activities that involve exposure to the substance. In a worst-case scenario, the company may have</w:t>
      </w:r>
      <w:r>
        <w:t xml:space="preserve"> </w:t>
      </w:r>
      <w:r>
        <w:t xml:space="preserve">to shut down.</w:t>
      </w:r>
      <w:r>
        <w:t xml:space="preserve"> </w:t>
      </w:r>
      <w:r>
        <w:t xml:space="preserve">The discontinuation of activities by companies is calculated based on the cost of the RMMs in relation</w:t>
      </w:r>
      <w:r>
        <w:t xml:space="preserve"> </w:t>
      </w:r>
      <w:r>
        <w:t xml:space="preserve">the turnover and profit margin for an individual enterprise. The discontinuation cost is taken as the</w:t>
      </w:r>
      <w:r>
        <w:t xml:space="preserve"> </w:t>
      </w:r>
      <w:r>
        <w:t xml:space="preserve">loss of profit taken over 20 years and the average profit is assumed to be 10% of turnover. A</w:t>
      </w:r>
      <w:r>
        <w:t xml:space="preserve"> </w:t>
      </w:r>
      <w:r>
        <w:t xml:space="preserve">prediction of whether a company would have to discontinue its operations is one of the outcomes</w:t>
      </w:r>
      <w:r>
        <w:t xml:space="preserve"> </w:t>
      </w:r>
      <w:r>
        <w:t xml:space="preserve">considered in the cost model, usually the one associated with the highest cost. Therefore, generally,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the model only chooses discontinuation if no RMM (or combination of RMMs) can achieve the</w:t>
      </w:r>
      <w:r>
        <w:t xml:space="preserve"> </w:t>
      </w:r>
      <w:r>
        <w:t xml:space="preserve">required reduction in exposure. The model assumes that small and medium enterprises discontinuing</w:t>
      </w:r>
      <w:r>
        <w:t xml:space="preserve"> </w:t>
      </w:r>
      <w:r>
        <w:t xml:space="preserve">the operations that involve exposure to the relevant substance would result in the entire company</w:t>
      </w:r>
      <w:r>
        <w:t xml:space="preserve"> </w:t>
      </w:r>
      <w:r>
        <w:t xml:space="preserve">going out of business. The logic behind this is that small and medium organisations are more likely to</w:t>
      </w:r>
      <w:r>
        <w:t xml:space="preserve"> </w:t>
      </w:r>
      <w:r>
        <w:t xml:space="preserve">experience closure if their sole or main operation becomes unfeasible. In contrast, large companies are</w:t>
      </w:r>
      <w:r>
        <w:t xml:space="preserve"> </w:t>
      </w:r>
      <w:r>
        <w:t xml:space="preserve">more likely to discontinue divisions, lines or specific operations which would not result in the full</w:t>
      </w:r>
      <w:r>
        <w:t xml:space="preserve"> </w:t>
      </w:r>
      <w:r>
        <w:t xml:space="preserve">closure of the business but the discontinuation of the line/process using the relevant substance.</w:t>
      </w:r>
      <w:r>
        <w:br/>
      </w:r>
      <w:r>
        <w:t xml:space="preserve">If the sector is entirely based on the substance, it is possible that 100% of large companies would also</w:t>
      </w:r>
      <w:r>
        <w:t xml:space="preserve"> </w:t>
      </w:r>
      <w:r>
        <w:t xml:space="preserve">be forced to close. In the lead report, the business of the companies in the main sectors (primary and</w:t>
      </w:r>
      <w:r>
        <w:t xml:space="preserve"> </w:t>
      </w:r>
      <w:r>
        <w:t xml:space="preserve">secondary lead producers, lead acid battery manufacturers, lead article manufacture) is entirely based</w:t>
      </w:r>
      <w:r>
        <w:t xml:space="preserve"> </w:t>
      </w:r>
      <w:r>
        <w:t xml:space="preserve">on lead, meaning that, if they could not meet the relevant BLV/OEL option, the relevant companies</w:t>
      </w:r>
      <w:r>
        <w:t xml:space="preserve"> </w:t>
      </w:r>
      <w:r>
        <w:t xml:space="preserve">would shut down. For other sectors with exposure to lead, discontinuation would only apply to certain</w:t>
      </w:r>
      <w:r>
        <w:t xml:space="preserve"> </w:t>
      </w:r>
      <w:r>
        <w:t xml:space="preserve">activities or divisions of the company. For example, a glass manufacturer may discontinue production</w:t>
      </w:r>
      <w:r>
        <w:t xml:space="preserve"> </w:t>
      </w:r>
      <w:r>
        <w:t xml:space="preserve">of lead crystal glass tableware but continue to produce tableware of lead-free glass. In such cases,</w:t>
      </w:r>
      <w:r>
        <w:t xml:space="preserve"> </w:t>
      </w:r>
      <w:r>
        <w:t xml:space="preserve">only the lost profit of the division or activity including lead exposure should be accounted for in the</w:t>
      </w:r>
      <w:r>
        <w:t xml:space="preserve"> </w:t>
      </w:r>
      <w:r>
        <w:t xml:space="preserve">calculation of discontinuation costs. However, such granular data have not been available, and the</w:t>
      </w:r>
      <w:r>
        <w:t xml:space="preserve"> </w:t>
      </w:r>
      <w:r>
        <w:t xml:space="preserve">discontinuation of certain divisions or activities is therefore not accounted for. This leads to an</w:t>
      </w:r>
      <w:r>
        <w:t xml:space="preserve"> </w:t>
      </w:r>
      <w:r>
        <w:t xml:space="preserve">overestimation of the discontinuation costs in the case of lead.</w:t>
      </w:r>
    </w:p>
    <w:p>
      <w:pPr>
        <w:pStyle w:val="BodyText"/>
      </w:pPr>
      <w:r>
        <w:t xml:space="preserve">4.2.1.6 Exposure sampling and analysis</w:t>
      </w:r>
      <w:r>
        <w:br/>
      </w:r>
      <w:r>
        <w:t xml:space="preserve">The costs of monitoring air concentrations (sampling and analysis) are estimated separately to the</w:t>
      </w:r>
      <w:r>
        <w:t xml:space="preserve"> </w:t>
      </w:r>
      <w:r>
        <w:t xml:space="preserve">core model.</w:t>
      </w:r>
      <w:r>
        <w:br/>
      </w:r>
      <w:r>
        <w:t xml:space="preserve">4.3 Methodological limitations</w:t>
      </w:r>
      <w:r>
        <w:t xml:space="preserve"> </w:t>
      </w:r>
      <w:r>
        <w:t xml:space="preserve">The calculations in the report are subject to certain methodological limitations. Regarding lead,</w:t>
      </w:r>
      <w:r>
        <w:t xml:space="preserve"> </w:t>
      </w:r>
      <w:r>
        <w:t xml:space="preserve">exposure concentrations, the number of workers and their turnover are key determinants of the costs</w:t>
      </w:r>
      <w:r>
        <w:t xml:space="preserve"> </w:t>
      </w:r>
      <w:r>
        <w:t xml:space="preserve">and benefits. A sensitivity analysis was performed to simulate two scenarios for each of those three</w:t>
      </w:r>
      <w:r>
        <w:t xml:space="preserve"> </w:t>
      </w:r>
      <w:r>
        <w:t xml:space="preserve">factors, one with an increase and one with a decrease. In the case of concentration levels, these were</w:t>
      </w:r>
      <w:r>
        <w:t xml:space="preserve"> </w:t>
      </w:r>
      <w:r>
        <w:t xml:space="preserve">calculated with a 5% increase and a 5% decrease, while for the number of exposed workers each</w:t>
      </w:r>
      <w:r>
        <w:t xml:space="preserve"> </w:t>
      </w:r>
      <w:r>
        <w:t xml:space="preserve">scenario corresponded to a 50% increase or decrease. To include the turnover in the sensitivity</w:t>
      </w:r>
      <w:r>
        <w:t xml:space="preserve"> </w:t>
      </w:r>
      <w:r>
        <w:t xml:space="preserve">analysis, a doubling of the annual rate from 5% to 10%, resulting in a turnover of workers of 100% in</w:t>
      </w:r>
      <w:r>
        <w:t xml:space="preserve"> </w:t>
      </w:r>
      <w:r>
        <w:t xml:space="preserve">10 years was used for the increased scenario, while for the decreased scenario a halving of the annual</w:t>
      </w:r>
      <w:r>
        <w:t xml:space="preserve"> </w:t>
      </w:r>
      <w:r>
        <w:t xml:space="preserve">rate (from 5% to 2.5%, resulting in a 100% turnover of workers over 40 years), was used. In general,</w:t>
      </w:r>
      <w:r>
        <w:t xml:space="preserve"> </w:t>
      </w:r>
      <w:r>
        <w:t xml:space="preserve">costs-benefit ratios did not change significantly for the two first. Only in the case of worker turnover</w:t>
      </w:r>
      <w:r>
        <w:t xml:space="preserve"> </w:t>
      </w:r>
      <w:r>
        <w:t xml:space="preserve">(as it affects only the calculation of the benefits) did the ratio improve (higher turnover) or decreased</w:t>
      </w:r>
      <w:r>
        <w:t xml:space="preserve"> </w:t>
      </w:r>
      <w:r>
        <w:t xml:space="preserve">(lower turnover) more significantly. Besides, a discount rate was factored in the calculations; namely,</w:t>
      </w:r>
      <w:r>
        <w:t xml:space="preserve"> </w:t>
      </w:r>
      <w:r>
        <w:t xml:space="preserve">a declining discount rate of 4% over the first 20 years and of 3% in the last 20 years. The results</w:t>
      </w:r>
      <w:r>
        <w:t xml:space="preserve"> </w:t>
      </w:r>
      <w:r>
        <w:t xml:space="preserve">showed that costs and benefits are mainly equally distributed over time.</w:t>
      </w:r>
      <w:r>
        <w:t xml:space="preserve"> </w:t>
      </w:r>
      <w:r>
        <w:t xml:space="preserve">For diisocyanates, the main methodological limitation impacting the robustness of projections is the</w:t>
      </w:r>
      <w:r>
        <w:t xml:space="preserve"> </w:t>
      </w:r>
      <w:r>
        <w:t xml:space="preserve">lack of scientific data to assess the health benefits of the different options. Whilst peak exposures are</w:t>
      </w:r>
      <w:r>
        <w:t xml:space="preserve"> </w:t>
      </w:r>
      <w:r>
        <w:t xml:space="preserve">particularly important in the development of occupational asthma, related ill-health cases could not be</w:t>
      </w:r>
      <w:r>
        <w:t xml:space="preserve"> </w:t>
      </w:r>
      <w:r>
        <w:t xml:space="preserve">modelled due to a lack of data on short-term exposures (see section 5.4.2). This results in an</w:t>
      </w:r>
      <w:r>
        <w:t xml:space="preserve"> </w:t>
      </w:r>
      <w:r>
        <w:t xml:space="preserve">underestimation of the costs and a significant underestimation of the benefits (asthma accounts for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more than 90% of the future disease burden) and the impossibility to calculate the impact of the</w:t>
      </w:r>
      <w:r>
        <w:t xml:space="preserve"> </w:t>
      </w:r>
      <w:r>
        <w:t xml:space="preserve">different STEL options in terms of ill-health cases avoided. Consequently, it does not allow for a</w:t>
      </w:r>
      <w:r>
        <w:t xml:space="preserve"> </w:t>
      </w:r>
      <w:r>
        <w:t xml:space="preserve">purely quantitative comparison of the options.</w:t>
      </w:r>
      <w:r>
        <w:br/>
      </w:r>
      <w:r>
        <w:t xml:space="preserve">Although no sensitivity analysis could be performed to factor in the uncertainties related to short-term</w:t>
      </w:r>
      <w:r>
        <w:t xml:space="preserve"> </w:t>
      </w:r>
      <w:r>
        <w:t xml:space="preserve">exposure, a sensitivity analysis was indeed performed for diisocyanates accounting for a number of</w:t>
      </w:r>
      <w:r>
        <w:t xml:space="preserve"> </w:t>
      </w:r>
      <w:r>
        <w:t xml:space="preserve">factors. Where exposure levels are below the limit of quantification, a default value of 0.25 µg</w:t>
      </w:r>
      <w:r>
        <w:t xml:space="preserve"> </w:t>
      </w:r>
      <w:r>
        <w:t xml:space="preserve">NCO/m3 is assigned and then further reduced by 50% to 0.125 µg NCO/m3 to take account of the</w:t>
      </w:r>
      <w:r>
        <w:t xml:space="preserve"> </w:t>
      </w:r>
      <w:r>
        <w:t xml:space="preserve">REACH Restriction. Then, levels were reduced through a given set of values, and percentiles were</w:t>
      </w:r>
      <w:r>
        <w:t xml:space="preserve"> </w:t>
      </w:r>
      <w:r>
        <w:t xml:space="preserve">calculated using a log normal distribution. Finally, all exposure levels were reduced by 50% to</w:t>
      </w:r>
      <w:r>
        <w:t xml:space="preserve"> </w:t>
      </w:r>
      <w:r>
        <w:t xml:space="preserve">account for the impacts of the REACH restriction.</w:t>
      </w:r>
      <w:r>
        <w:br/>
      </w:r>
      <w:r>
        <w:t xml:space="preserve">When considering the assumed impacts of the REACH restriction, however, due to the difficulties</w:t>
      </w:r>
      <w:r>
        <w:t xml:space="preserve"> </w:t>
      </w:r>
      <w:r>
        <w:t xml:space="preserve">regarding the calculation of the benefits, the sensitivity analysis performed is less straightforward than</w:t>
      </w:r>
      <w:r>
        <w:t xml:space="preserve"> </w:t>
      </w:r>
      <w:r>
        <w:t xml:space="preserve">in the case of lead. The sensitivity analysis considered also a reduction in exposure concentrations of</w:t>
      </w:r>
      <w:r>
        <w:t xml:space="preserve"> </w:t>
      </w:r>
      <w:r>
        <w:t xml:space="preserve">30% and 70% in addition to the retained assumption (50%). A sensitivity analysis was also performed</w:t>
      </w:r>
      <w:r>
        <w:t xml:space="preserve"> </w:t>
      </w:r>
      <w:r>
        <w:t xml:space="preserve">by removing micro enterprises (those with between one and nine employees) in construction and</w:t>
      </w:r>
      <w:r>
        <w:t xml:space="preserve"> </w:t>
      </w:r>
      <w:r>
        <w:t xml:space="preserve">vehicle repairs from calculations of monitoring and administrative costs. Many of these companies</w:t>
      </w:r>
      <w:r>
        <w:t xml:space="preserve"> </w:t>
      </w:r>
      <w:r>
        <w:t xml:space="preserve">employ one person, and data on micro enterprises in construction is difficult to obtain, given the high</w:t>
      </w:r>
      <w:r>
        <w:t xml:space="preserve"> </w:t>
      </w:r>
      <w:r>
        <w:t xml:space="preserve">numbers of self-employed. Since it is likely that many of these companies would not be required to</w:t>
      </w:r>
      <w:r>
        <w:t xml:space="preserve"> </w:t>
      </w:r>
      <w:r>
        <w:t xml:space="preserve">monitor compliance (if it can be proven by other means), including them in the calculations could</w:t>
      </w:r>
      <w:r>
        <w:t xml:space="preserve"> </w:t>
      </w:r>
      <w:r>
        <w:t xml:space="preserve">result in an overestimation of the costs. This results in unchanged benefits but improved cost-benefit</w:t>
      </w:r>
      <w:r>
        <w:t xml:space="preserve"> </w:t>
      </w:r>
      <w:r>
        <w:t xml:space="preserve">ratios.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ANNEX 5: RELEVANT SECTORS, USES AND EXISTING LIMIT VALUES</w:t>
      </w:r>
      <w:r>
        <w:t xml:space="preserve"> </w:t>
      </w:r>
      <w:r>
        <w:t xml:space="preserve">5.1 Lead</w:t>
      </w:r>
      <w:r>
        <w:t xml:space="preserve"> </w:t>
      </w:r>
      <w:r>
        <w:t xml:space="preserve">5.1.1</w:t>
      </w:r>
      <w:r>
        <w:t xml:space="preserve"> </w:t>
      </w:r>
      <w:r>
        <w:t xml:space="preserve">Mining and manufacture of lead</w:t>
      </w:r>
      <w:r>
        <w:br/>
      </w:r>
      <w:r>
        <w:t xml:space="preserve">Mining of lead ore takes place in eight Member States as shown in the table below. According to the</w:t>
      </w:r>
      <w:r>
        <w:t xml:space="preserve"> </w:t>
      </w:r>
      <w:r>
        <w:t xml:space="preserve">Euromines (2020), the total lead content of the mined ores increased from 197 000 tonnes in 2008 to</w:t>
      </w:r>
      <w:r>
        <w:t xml:space="preserve"> </w:t>
      </w:r>
      <w:r>
        <w:t xml:space="preserve">282 000 tonnes in 2018. The two main mining countries are Sweden and Poland. There are seven</w:t>
      </w:r>
      <w:r>
        <w:t xml:space="preserve"> </w:t>
      </w:r>
      <w:r>
        <w:t xml:space="preserve">active lead mines in Sweden, while in Poland exploitation is currently carried out from three deposits</w:t>
      </w:r>
      <w:r>
        <w:t xml:space="preserve"> </w:t>
      </w:r>
      <w:r>
        <w:t xml:space="preserve">(ECHA, 2019).</w:t>
      </w:r>
      <w:r>
        <w:t xml:space="preserve"> </w:t>
      </w:r>
      <w:r>
        <w:t xml:space="preserve">The total refined lead production in the EU is about 2.7 million t/year, meaning that the mining within</w:t>
      </w:r>
      <w:r>
        <w:t xml:space="preserve"> </w:t>
      </w:r>
      <w:r>
        <w:t xml:space="preserve">the EU in 2018 only accounts for about 10%. The remaining ca. 90% of lead concentrate used for the</w:t>
      </w:r>
      <w:r>
        <w:t xml:space="preserve"> </w:t>
      </w:r>
      <w:r>
        <w:t xml:space="preserve">primary production of lead was imported from countries outside the EU.</w:t>
      </w:r>
      <w:r>
        <w:br/>
      </w:r>
      <w:r>
        <w:t xml:space="preserve">The production of refined lead is distributed all over the EU and refining takes place in 18 Member</w:t>
      </w:r>
      <w:r>
        <w:t xml:space="preserve"> </w:t>
      </w:r>
      <w:r>
        <w:t xml:space="preserve">States. The major Member States in terms of production of refined lead are Germany (24.2% of total),</w:t>
      </w:r>
      <w:r>
        <w:t xml:space="preserve"> </w:t>
      </w:r>
      <w:r>
        <w:t xml:space="preserve">Spain (9.8%), Italy (9.5%), Poland (8.8%), and Belgium (7.9%). These figures are from 2014, where</w:t>
      </w:r>
      <w:r>
        <w:t xml:space="preserve"> </w:t>
      </w:r>
      <w:r>
        <w:t xml:space="preserve">the UK contributed with 15.8% of the EU refined lead production. The balance between primary and</w:t>
      </w:r>
      <w:r>
        <w:t xml:space="preserve"> </w:t>
      </w:r>
      <w:r>
        <w:t xml:space="preserve">secondary production has shifted since 1998, and in 2011 secondary sources accounted for more than</w:t>
      </w:r>
      <w:r>
        <w:t xml:space="preserve"> </w:t>
      </w:r>
      <w:r>
        <w:t xml:space="preserve">77% of EU production (BREF, 2017). Lead-acid batteries are the main source of scrap for secondary</w:t>
      </w:r>
      <w:r>
        <w:t xml:space="preserve"> </w:t>
      </w:r>
      <w:r>
        <w:t xml:space="preserve">refining.</w:t>
      </w:r>
      <w:r>
        <w:t xml:space="preserve"> </w:t>
      </w:r>
      <w:r>
        <w:t xml:space="preserve">The distribution of lead mining and refined lead production (primary and secondary) can be used as a</w:t>
      </w:r>
      <w:r>
        <w:t xml:space="preserve"> </w:t>
      </w:r>
      <w:r>
        <w:t xml:space="preserve">rough indication of the distribution of workers exposed to lead within these sectors.</w:t>
      </w:r>
      <w:r>
        <w:br/>
      </w:r>
      <w:r>
        <w:t xml:space="preserve">Table 1: Mining production and production of refined lead (primary and secondary) by</w:t>
      </w:r>
      <w:r>
        <w:t xml:space="preserve"> </w:t>
      </w:r>
      <w:r>
        <w:t xml:space="preserve">Member State in EU-27 (from 2020)</w:t>
      </w:r>
    </w:p>
    <w:p>
      <w:pPr>
        <w:pStyle w:val="BodyText"/>
      </w:pPr>
      <w:r>
        <w:t xml:space="preserve">Mining</w:t>
      </w:r>
      <w:r>
        <w:t xml:space="preserve"> </w:t>
      </w:r>
      <w:r>
        <w:t xml:space="preserve">production</w:t>
      </w:r>
      <w:r>
        <w:t xml:space="preserve"> </w:t>
      </w:r>
      <w:r>
        <w:t xml:space="preserve">in</w:t>
      </w:r>
      <w:r>
        <w:t xml:space="preserve"> </w:t>
      </w:r>
      <w:r>
        <w:t xml:space="preserve">2008, t/year*</w:t>
      </w:r>
      <w:r>
        <w:t xml:space="preserve"> </w:t>
      </w:r>
      <w:r>
        <w:t xml:space="preserve">Mining</w:t>
      </w:r>
      <w:r>
        <w:t xml:space="preserve"> </w:t>
      </w:r>
      <w:r>
        <w:t xml:space="preserve">production</w:t>
      </w:r>
      <w:r>
        <w:t xml:space="preserve"> </w:t>
      </w:r>
      <w:r>
        <w:t xml:space="preserve">in</w:t>
      </w:r>
      <w:r>
        <w:t xml:space="preserve"> </w:t>
      </w:r>
      <w:r>
        <w:t xml:space="preserve">2018, t/year*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refined lead in</w:t>
      </w:r>
      <w:r>
        <w:t xml:space="preserve"> </w:t>
      </w:r>
      <w:r>
        <w:t xml:space="preserve">2014, t/year**</w:t>
      </w:r>
      <w:r>
        <w:t xml:space="preserve"> </w:t>
      </w: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total production</w:t>
      </w:r>
      <w:r>
        <w:t xml:space="preserve"> </w:t>
      </w:r>
      <w:r>
        <w:t xml:space="preserve">of refined lead</w:t>
      </w:r>
      <w:r>
        <w:t xml:space="preserve"> </w:t>
      </w:r>
      <w:r>
        <w:t xml:space="preserve">Austria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37 122</w:t>
      </w:r>
      <w:r>
        <w:t xml:space="preserve"> </w:t>
      </w:r>
      <w:r>
        <w:t xml:space="preserve">2.6%</w:t>
      </w:r>
      <w:r>
        <w:t xml:space="preserve"> </w:t>
      </w:r>
      <w:r>
        <w:t xml:space="preserve">Belgium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133 252</w:t>
      </w:r>
      <w:r>
        <w:t xml:space="preserve"> </w:t>
      </w:r>
      <w:r>
        <w:t xml:space="preserve">9.4%</w:t>
      </w:r>
      <w:r>
        <w:t xml:space="preserve"> </w:t>
      </w:r>
      <w:r>
        <w:t xml:space="preserve">Bulgaria</w:t>
      </w:r>
      <w:r>
        <w:t xml:space="preserve"> </w:t>
      </w:r>
      <w:r>
        <w:t xml:space="preserve">14 600</w:t>
      </w:r>
      <w:r>
        <w:t xml:space="preserve"> </w:t>
      </w:r>
      <w:r>
        <w:t xml:space="preserve">24 200</w:t>
      </w:r>
      <w:r>
        <w:t xml:space="preserve"> </w:t>
      </w:r>
      <w:r>
        <w:t xml:space="preserve">92 000</w:t>
      </w:r>
      <w:r>
        <w:t xml:space="preserve"> </w:t>
      </w:r>
      <w:r>
        <w:t xml:space="preserve">6.5%</w:t>
      </w:r>
      <w:r>
        <w:t xml:space="preserve"> </w:t>
      </w:r>
      <w:r>
        <w:t xml:space="preserve">Czechia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44 000</w:t>
      </w:r>
      <w:r>
        <w:t xml:space="preserve"> </w:t>
      </w:r>
      <w:r>
        <w:t xml:space="preserve">3.1%</w:t>
      </w:r>
      <w:r>
        <w:t xml:space="preserve"> </w:t>
      </w:r>
      <w:r>
        <w:t xml:space="preserve">Estonia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8 588</w:t>
      </w:r>
      <w:r>
        <w:t xml:space="preserve"> </w:t>
      </w:r>
      <w:r>
        <w:t xml:space="preserve">0.6%</w:t>
      </w:r>
      <w:r>
        <w:t xml:space="preserve"> </w:t>
      </w:r>
      <w:r>
        <w:t xml:space="preserve">France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72 000</w:t>
      </w:r>
      <w:r>
        <w:t xml:space="preserve"> </w:t>
      </w:r>
      <w:r>
        <w:t xml:space="preserve">5.1%</w:t>
      </w:r>
      <w:r>
        <w:t xml:space="preserve"> </w:t>
      </w:r>
      <w:r>
        <w:t xml:space="preserve">Germany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408 000</w:t>
      </w:r>
      <w:r>
        <w:t xml:space="preserve"> </w:t>
      </w:r>
      <w:r>
        <w:t xml:space="preserve">28.7%</w:t>
      </w:r>
      <w:r>
        <w:t xml:space="preserve"> </w:t>
      </w:r>
      <w:r>
        <w:t xml:space="preserve">Greece</w:t>
      </w:r>
      <w:r>
        <w:t xml:space="preserve"> </w:t>
      </w:r>
      <w:r>
        <w:t xml:space="preserve">16 100</w:t>
      </w:r>
      <w:r>
        <w:t xml:space="preserve"> </w:t>
      </w:r>
      <w:r>
        <w:t xml:space="preserve">15 300</w:t>
      </w:r>
      <w:r>
        <w:t xml:space="preserve"> </w:t>
      </w:r>
      <w:r>
        <w:t xml:space="preserve">6 000</w:t>
      </w:r>
      <w:r>
        <w:t xml:space="preserve"> </w:t>
      </w:r>
      <w:r>
        <w:t xml:space="preserve">0.4%</w:t>
      </w:r>
      <w:r>
        <w:t xml:space="preserve"> </w:t>
      </w:r>
      <w:r>
        <w:t xml:space="preserve">Ireland,</w:t>
      </w:r>
      <w:r>
        <w:t xml:space="preserve"> </w:t>
      </w:r>
      <w:r>
        <w:t xml:space="preserve">Rep. </w:t>
      </w:r>
      <w:r>
        <w:t xml:space="preserve"> </w:t>
      </w:r>
      <w:r>
        <w:t xml:space="preserve">of</w:t>
      </w:r>
      <w:r>
        <w:t xml:space="preserve"> </w:t>
      </w:r>
      <w:r>
        <w:t xml:space="preserve">50 300</w:t>
      </w:r>
      <w:r>
        <w:t xml:space="preserve"> </w:t>
      </w:r>
      <w:r>
        <w:t xml:space="preserve">16 700</w:t>
      </w:r>
      <w:r>
        <w:t xml:space="preserve"> </w:t>
      </w:r>
      <w:r>
        <w:t xml:space="preserve">17 200</w:t>
      </w:r>
      <w:r>
        <w:t xml:space="preserve"> </w:t>
      </w:r>
      <w:r>
        <w:t xml:space="preserve">1.2%</w:t>
      </w:r>
      <w:r>
        <w:t xml:space="preserve"> </w:t>
      </w:r>
      <w:r>
        <w:t xml:space="preserve">Italy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160 000</w:t>
      </w:r>
      <w:r>
        <w:t xml:space="preserve"> </w:t>
      </w:r>
      <w:r>
        <w:t xml:space="preserve">11.3%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Mining</w:t>
      </w:r>
      <w:r>
        <w:t xml:space="preserve"> </w:t>
      </w:r>
      <w:r>
        <w:t xml:space="preserve">production</w:t>
      </w:r>
      <w:r>
        <w:t xml:space="preserve"> </w:t>
      </w:r>
      <w:r>
        <w:t xml:space="preserve">in</w:t>
      </w:r>
      <w:r>
        <w:t xml:space="preserve"> </w:t>
      </w:r>
      <w:r>
        <w:t xml:space="preserve">2008, t/year*</w:t>
      </w:r>
      <w:r>
        <w:t xml:space="preserve"> </w:t>
      </w:r>
      <w:r>
        <w:t xml:space="preserve">Mining</w:t>
      </w:r>
      <w:r>
        <w:t xml:space="preserve"> </w:t>
      </w:r>
      <w:r>
        <w:t xml:space="preserve">production</w:t>
      </w:r>
      <w:r>
        <w:t xml:space="preserve"> </w:t>
      </w:r>
      <w:r>
        <w:t xml:space="preserve">in</w:t>
      </w:r>
      <w:r>
        <w:t xml:space="preserve"> </w:t>
      </w:r>
      <w:r>
        <w:t xml:space="preserve">2018, t/year*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refined lead in</w:t>
      </w:r>
      <w:r>
        <w:t xml:space="preserve"> </w:t>
      </w:r>
      <w:r>
        <w:t xml:space="preserve">2014, t/year**</w:t>
      </w:r>
      <w:r>
        <w:t xml:space="preserve"> </w:t>
      </w: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total production</w:t>
      </w:r>
      <w:r>
        <w:t xml:space="preserve"> </w:t>
      </w:r>
      <w:r>
        <w:t xml:space="preserve">of refined lead</w:t>
      </w:r>
      <w:r>
        <w:t xml:space="preserve"> </w:t>
      </w:r>
      <w:r>
        <w:t xml:space="preserve">Netherlands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31 000</w:t>
      </w:r>
      <w:r>
        <w:t xml:space="preserve"> </w:t>
      </w:r>
      <w:r>
        <w:t xml:space="preserve">2.2%</w:t>
      </w:r>
      <w:r>
        <w:t xml:space="preserve"> </w:t>
      </w:r>
      <w:r>
        <w:t xml:space="preserve">Poland</w:t>
      </w:r>
      <w:r>
        <w:t xml:space="preserve"> </w:t>
      </w:r>
      <w:r>
        <w:t xml:space="preserve">47 900</w:t>
      </w:r>
      <w:r>
        <w:t xml:space="preserve"> </w:t>
      </w:r>
      <w:r>
        <w:t xml:space="preserve">40 200</w:t>
      </w:r>
      <w:r>
        <w:t xml:space="preserve"> </w:t>
      </w:r>
      <w:r>
        <w:t xml:space="preserve">149 000</w:t>
      </w:r>
      <w:r>
        <w:t xml:space="preserve"> </w:t>
      </w:r>
      <w:r>
        <w:t xml:space="preserve">10.5%</w:t>
      </w:r>
      <w:r>
        <w:t xml:space="preserve"> </w:t>
      </w:r>
      <w:r>
        <w:t xml:space="preserve">Portugal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5 000</w:t>
      </w:r>
      <w:r>
        <w:t xml:space="preserve"> </w:t>
      </w:r>
      <w:r>
        <w:t xml:space="preserve">0.4%</w:t>
      </w:r>
      <w:r>
        <w:t xml:space="preserve"> </w:t>
      </w:r>
      <w:r>
        <w:t xml:space="preserve">Romania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12 000</w:t>
      </w:r>
      <w:r>
        <w:t xml:space="preserve"> </w:t>
      </w:r>
      <w:r>
        <w:t xml:space="preserve">0.8%</w:t>
      </w:r>
      <w:r>
        <w:t xml:space="preserve"> </w:t>
      </w:r>
      <w:r>
        <w:t xml:space="preserve">Slovenia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11 000</w:t>
      </w:r>
      <w:r>
        <w:t xml:space="preserve"> </w:t>
      </w:r>
      <w:r>
        <w:t xml:space="preserve">0.8%</w:t>
      </w:r>
      <w:r>
        <w:t xml:space="preserve"> </w:t>
      </w:r>
      <w:r>
        <w:t xml:space="preserve">Slovakia</w:t>
      </w:r>
      <w:r>
        <w:t xml:space="preserve"> </w:t>
      </w:r>
      <w:r>
        <w:t xml:space="preserve">1 800</w:t>
      </w:r>
      <w:r>
        <w:t xml:space="preserve"> </w:t>
      </w:r>
      <w:r>
        <w:t xml:space="preserve">100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Spain</w:t>
      </w:r>
      <w:r>
        <w:t xml:space="preserve"> </w:t>
      </w:r>
      <w:r>
        <w:t xml:space="preserve">2 400</w:t>
      </w:r>
      <w:r>
        <w:t xml:space="preserve"> </w:t>
      </w:r>
      <w:r>
        <w:t xml:space="preserve">20 300</w:t>
      </w:r>
      <w:r>
        <w:t xml:space="preserve"> </w:t>
      </w:r>
      <w:r>
        <w:t xml:space="preserve">166 000</w:t>
      </w:r>
      <w:r>
        <w:t xml:space="preserve"> </w:t>
      </w:r>
      <w:r>
        <w:t xml:space="preserve">11.7%</w:t>
      </w:r>
      <w:r>
        <w:t xml:space="preserve"> </w:t>
      </w:r>
      <w:r>
        <w:t xml:space="preserve">Sweden</w:t>
      </w:r>
      <w:r>
        <w:t xml:space="preserve"> </w:t>
      </w:r>
      <w:r>
        <w:t xml:space="preserve">63 500</w:t>
      </w:r>
      <w:r>
        <w:t xml:space="preserve"> </w:t>
      </w:r>
      <w:r>
        <w:t xml:space="preserve">64 800</w:t>
      </w:r>
      <w:r>
        <w:t xml:space="preserve"> </w:t>
      </w:r>
      <w:r>
        <w:t xml:space="preserve">68 708</w:t>
      </w:r>
      <w:r>
        <w:t xml:space="preserve"> </w:t>
      </w:r>
      <w:r>
        <w:t xml:space="preserve">4.8%</w:t>
      </w:r>
      <w:r>
        <w:t xml:space="preserve"> </w:t>
      </w:r>
      <w:r>
        <w:t xml:space="preserve">Total</w:t>
      </w:r>
      <w:r>
        <w:t xml:space="preserve"> </w:t>
      </w:r>
      <w:r>
        <w:t xml:space="preserve">196 600</w:t>
      </w:r>
      <w:r>
        <w:t xml:space="preserve"> </w:t>
      </w:r>
      <w:r>
        <w:t xml:space="preserve">181 600</w:t>
      </w:r>
      <w:r>
        <w:t xml:space="preserve"> </w:t>
      </w:r>
      <w:r>
        <w:t xml:space="preserve">1 420 870</w:t>
      </w:r>
      <w:r>
        <w:t xml:space="preserve"> </w:t>
      </w:r>
      <w:r>
        <w:t xml:space="preserve">100%</w:t>
      </w:r>
      <w:r>
        <w:t xml:space="preserve"> </w:t>
      </w:r>
      <w:r>
        <w:t xml:space="preserve">*</w:t>
      </w:r>
      <w:r>
        <w:t xml:space="preserve"> </w:t>
      </w:r>
      <w:r>
        <w:t xml:space="preserve">Source:</w:t>
      </w:r>
      <w:r>
        <w:t xml:space="preserve"> </w:t>
      </w:r>
      <w:r>
        <w:t xml:space="preserve">Euromines</w:t>
      </w:r>
      <w:r>
        <w:t xml:space="preserve"> </w:t>
      </w:r>
      <w:r>
        <w:t xml:space="preserve">(2020)</w:t>
      </w:r>
      <w:r>
        <w:t xml:space="preserve"> </w:t>
      </w:r>
      <w:r>
        <w:t xml:space="preserve">at:</w:t>
      </w:r>
      <w:r>
        <w:t xml:space="preserve"> </w:t>
      </w:r>
      <w:r>
        <w:t xml:space="preserve">http://www.euromines.org/mining-europe/production-</w:t>
      </w:r>
      <w:r>
        <w:t xml:space="preserve"> </w:t>
      </w:r>
      <w:r>
        <w:t xml:space="preserve">mineral#Lead. Rounded figures.</w:t>
      </w:r>
      <w:r>
        <w:t xml:space="preserve"> </w:t>
      </w:r>
      <w:r>
        <w:t xml:space="preserve">**</w:t>
      </w:r>
      <w:r>
        <w:t xml:space="preserve"> </w:t>
      </w:r>
      <w:r>
        <w:t xml:space="preserve">Source: USGS, 2017. Mining production expressed as lead content of concentrate. The 2017</w:t>
      </w:r>
      <w:r>
        <w:t xml:space="preserve"> </w:t>
      </w:r>
      <w:r>
        <w:t xml:space="preserve">publication is the most recent Minerals Yearbook for lead.</w:t>
      </w:r>
    </w:p>
    <w:p>
      <w:pPr>
        <w:pStyle w:val="BodyText"/>
      </w:pPr>
      <w:r>
        <w:t xml:space="preserve">5.1.2 Primary production of lead</w:t>
      </w:r>
      <w:r>
        <w:t xml:space="preserve"> </w:t>
      </w:r>
      <w:r>
        <w:t xml:space="preserve">The production rate of lead and its compounds in the EU is in excess of 10 million tonnes per year.</w:t>
      </w:r>
      <w:r>
        <w:t xml:space="preserve"> </w:t>
      </w:r>
      <w:r>
        <w:t xml:space="preserve">Occupational exposure of workers happens primarily in industries that produce or recycle lead or use</w:t>
      </w:r>
      <w:r>
        <w:t xml:space="preserve"> </w:t>
      </w:r>
      <w:r>
        <w:t xml:space="preserve">large quantities of lead or lead compounds (such as lead battery production). Exposure also occurs in</w:t>
      </w:r>
      <w:r>
        <w:t xml:space="preserve"> </w:t>
      </w:r>
      <w:r>
        <w:t xml:space="preserve">the ceramics and lead crystal glass sectors and PVC processing98.</w:t>
      </w:r>
      <w:r>
        <w:t xml:space="preserve"> </w:t>
      </w:r>
      <w:r>
        <w:t xml:space="preserve">Lead is registered under REACH in the tonnage band 1 000 000 – 10 000 000 tonnes per annum. Its</w:t>
      </w:r>
      <w:r>
        <w:t xml:space="preserve"> </w:t>
      </w:r>
      <w:r>
        <w:t xml:space="preserve">registered uses are:</w:t>
      </w:r>
      <w:r>
        <w:br/>
      </w:r>
      <w:r>
        <w:t xml:space="preserve"> Lead battery production;</w:t>
      </w:r>
      <w:r>
        <w:br/>
      </w:r>
      <w:r>
        <w:t xml:space="preserve"> lead sheet production;</w:t>
      </w:r>
      <w:r>
        <w:t xml:space="preserve"> </w:t>
      </w:r>
      <w:r>
        <w:t xml:space="preserve"> lead powder production:</w:t>
      </w:r>
      <w:r>
        <w:br/>
      </w:r>
      <w:r>
        <w:t xml:space="preserve"> use of lead metal in the production of a range of lead articles (e.g., cast, rolled and extruded</w:t>
      </w:r>
      <w:r>
        <w:t xml:space="preserve"> </w:t>
      </w:r>
      <w:r>
        <w:t xml:space="preserve">products, ammunition, lead shot):</w:t>
      </w:r>
      <w:r>
        <w:br/>
      </w:r>
      <w:r>
        <w:t xml:space="preserve"> use of lead metal in the production of leaded steels;</w:t>
      </w:r>
      <w:r>
        <w:br/>
      </w:r>
      <w:r>
        <w:t xml:space="preserve"> use of lead metal in lead oxide production and use of lead oxide in stabiliser production;</w:t>
      </w:r>
    </w:p>
    <w:p>
      <w:pPr>
        <w:pStyle w:val="BodyText"/>
      </w:pPr>
      <w:r>
        <w:t xml:space="preserve">5.1.3</w:t>
      </w:r>
      <w:r>
        <w:t xml:space="preserve"> </w:t>
      </w:r>
      <w:r>
        <w:t xml:space="preserve">Secondary production of lead</w:t>
      </w:r>
      <w:r>
        <w:t xml:space="preserve"> </w:t>
      </w:r>
      <w:r>
        <w:t xml:space="preserve">The complex waste products used for the production of secondary lead may provide indications of</w:t>
      </w:r>
      <w:r>
        <w:t xml:space="preserve"> </w:t>
      </w:r>
      <w:r>
        <w:t xml:space="preserve">processes, where exposure to lead can occur when generating the wastes. The substances listed in the</w:t>
      </w:r>
    </w:p>
    <w:p>
      <w:pPr>
        <w:pStyle w:val="BodyText"/>
      </w:pPr>
      <w:r>
        <w:t xml:space="preserve">98 SUBSPORT Specific Substances Alternatives Assessment – Lead and its inorganic compounds, March 2013</w:t>
      </w:r>
      <w:r>
        <w:t xml:space="preserve"> </w:t>
      </w:r>
      <w:r>
        <w:t xml:space="preserve">accessed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https://www.subsportplus.eu/subsportplus/_Downloads/SUBSPORT-</w:t>
      </w:r>
      <w:r>
        <w:t xml:space="preserve"> </w:t>
      </w:r>
      <w:r>
        <w:t xml:space="preserve">Lead.pdf?__blob=publicationFile on 19 January 2021.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following table account for 97.5% of REACH registered tonnage used in the secondary manufacture</w:t>
      </w:r>
      <w:r>
        <w:t xml:space="preserve"> </w:t>
      </w:r>
      <w:r>
        <w:t xml:space="preserve">of lead (ECHA, 2019).</w:t>
      </w:r>
      <w:r>
        <w:t xml:space="preserve"> </w:t>
      </w:r>
      <w:r>
        <w:t xml:space="preserve">Table 2: Substances used in the secondary manufacture of lead (ECHA, 2019)</w:t>
      </w:r>
    </w:p>
    <w:p>
      <w:pPr>
        <w:pStyle w:val="BodyText"/>
      </w:pPr>
      <w:r>
        <w:t xml:space="preserve">EC</w:t>
      </w:r>
      <w:r>
        <w:t xml:space="preserve"> </w:t>
      </w:r>
      <w:r>
        <w:t xml:space="preserve">number</w:t>
      </w:r>
      <w:r>
        <w:t xml:space="preserve"> </w:t>
      </w:r>
      <w:r>
        <w:t xml:space="preserve">Name</w:t>
      </w:r>
      <w:r>
        <w:t xml:space="preserve"> </w:t>
      </w:r>
      <w:r>
        <w:t xml:space="preserve">Description</w:t>
      </w:r>
      <w:r>
        <w:t xml:space="preserve"> </w:t>
      </w:r>
      <w:r>
        <w:t xml:space="preserve">266-970-4 Slags, copper</w:t>
      </w:r>
      <w:r>
        <w:t xml:space="preserve"> </w:t>
      </w:r>
      <w:r>
        <w:t xml:space="preserve">refining</w:t>
      </w:r>
      <w:r>
        <w:t xml:space="preserve"> </w:t>
      </w:r>
      <w:r>
        <w:t xml:space="preserve">Mainly copper, copper oxides, some oxides of lead and minor</w:t>
      </w:r>
      <w:r>
        <w:t xml:space="preserve"> </w:t>
      </w:r>
      <w:r>
        <w:t xml:space="preserve">metals, skimmed from the anode furnace and returned to the</w:t>
      </w:r>
      <w:r>
        <w:t xml:space="preserve"> </w:t>
      </w:r>
      <w:r>
        <w:t xml:space="preserve">converter.</w:t>
      </w:r>
      <w:r>
        <w:t xml:space="preserve"> </w:t>
      </w:r>
      <w:r>
        <w:t xml:space="preserve">266-967-8 Matte, copper</w:t>
      </w:r>
      <w:r>
        <w:t xml:space="preserve"> </w:t>
      </w:r>
      <w:r>
        <w:t xml:space="preserve">Product of smelting roaster calcines concentrates or cement</w:t>
      </w:r>
      <w:r>
        <w:t xml:space="preserve"> </w:t>
      </w:r>
      <w:r>
        <w:t xml:space="preserve">copper with flux in reverberatory or electric furnaces. Composed</w:t>
      </w:r>
      <w:r>
        <w:t xml:space="preserve"> </w:t>
      </w:r>
      <w:r>
        <w:t xml:space="preserve">primarily of copper and copper, iron and lead sulfides with minor</w:t>
      </w:r>
      <w:r>
        <w:t xml:space="preserve"> </w:t>
      </w:r>
      <w:r>
        <w:t xml:space="preserve">sulfides of other metals.</w:t>
      </w:r>
      <w:r>
        <w:t xml:space="preserve"> </w:t>
      </w:r>
      <w:r>
        <w:t xml:space="preserve">273-760-6 Flue</w:t>
      </w:r>
      <w:r>
        <w:t xml:space="preserve"> </w:t>
      </w:r>
      <w:r>
        <w:t xml:space="preserve">dust,</w:t>
      </w:r>
      <w:r>
        <w:t xml:space="preserve"> </w:t>
      </w:r>
      <w:r>
        <w:t xml:space="preserve">zinc-refining</w:t>
      </w:r>
      <w:r>
        <w:t xml:space="preserve"> </w:t>
      </w:r>
      <w:r>
        <w:t xml:space="preserve">By-product of refining of zinc ores consisting primarily of zinc,</w:t>
      </w:r>
      <w:r>
        <w:t xml:space="preserve"> </w:t>
      </w:r>
      <w:r>
        <w:t xml:space="preserve">lead and iron.</w:t>
      </w:r>
      <w:r>
        <w:t xml:space="preserve"> </w:t>
      </w:r>
      <w:r>
        <w:t xml:space="preserve">273-825-9 Slags,</w:t>
      </w:r>
      <w:r>
        <w:t xml:space="preserve"> </w:t>
      </w:r>
      <w:r>
        <w:t xml:space="preserve">lead</w:t>
      </w:r>
      <w:r>
        <w:t xml:space="preserve"> </w:t>
      </w:r>
      <w:r>
        <w:t xml:space="preserve">smelting</w:t>
      </w:r>
      <w:r>
        <w:t xml:space="preserve"> </w:t>
      </w:r>
      <w:r>
        <w:t xml:space="preserve">Insoluble substance obtained during dissolution of zinc ores or</w:t>
      </w:r>
      <w:r>
        <w:t xml:space="preserve"> </w:t>
      </w:r>
      <w:r>
        <w:t xml:space="preserve">concentrate in sulfuric acid for the production of zinc sulfate</w:t>
      </w:r>
      <w:r>
        <w:t xml:space="preserve"> </w:t>
      </w:r>
      <w:r>
        <w:t xml:space="preserve">solutions after physical separation such as flotation and filtration.</w:t>
      </w:r>
      <w:r>
        <w:t xml:space="preserve"> </w:t>
      </w:r>
      <w:r>
        <w:t xml:space="preserve">293-314-4</w:t>
      </w:r>
      <w:r>
        <w:t xml:space="preserve"> </w:t>
      </w:r>
      <w:r>
        <w:t xml:space="preserve">Leach</w:t>
      </w:r>
      <w:r>
        <w:t xml:space="preserve"> </w:t>
      </w:r>
      <w:r>
        <w:t xml:space="preserve">residues, zinc</w:t>
      </w:r>
      <w:r>
        <w:t xml:space="preserve"> </w:t>
      </w:r>
      <w:r>
        <w:t xml:space="preserve">ore,</w:t>
      </w:r>
      <w:r>
        <w:t xml:space="preserve"> </w:t>
      </w:r>
      <w:r>
        <w:t xml:space="preserve">lead-</w:t>
      </w:r>
      <w:r>
        <w:t xml:space="preserve"> </w:t>
      </w:r>
      <w:r>
        <w:t xml:space="preserve">contg.</w:t>
      </w:r>
      <w:r>
        <w:t xml:space="preserve"> </w:t>
      </w:r>
      <w:r>
        <w:t xml:space="preserve">Insoluble substance obtained during dissolution of zinc ores or</w:t>
      </w:r>
      <w:r>
        <w:t xml:space="preserve"> </w:t>
      </w:r>
      <w:r>
        <w:t xml:space="preserve">concentrate in sulfuric acid for the production of zinc sulfate</w:t>
      </w:r>
      <w:r>
        <w:t xml:space="preserve"> </w:t>
      </w:r>
      <w:r>
        <w:t xml:space="preserve">solutions after physical separation such as flotation and filtration.</w:t>
      </w:r>
      <w:r>
        <w:t xml:space="preserve"> </w:t>
      </w:r>
      <w:r>
        <w:t xml:space="preserve">308-011-5 Lead, bullion</w:t>
      </w:r>
      <w:r>
        <w:t xml:space="preserve"> </w:t>
      </w:r>
      <w:r>
        <w:t xml:space="preserve">nan</w:t>
      </w:r>
      <w:r>
        <w:t xml:space="preserve"> </w:t>
      </w:r>
      <w:r>
        <w:t xml:space="preserve">305-445-7</w:t>
      </w:r>
      <w:r>
        <w:t xml:space="preserve"> </w:t>
      </w:r>
      <w:r>
        <w:t xml:space="preserve">Wastes,</w:t>
      </w:r>
      <w:r>
        <w:t xml:space="preserve"> </w:t>
      </w:r>
      <w:r>
        <w:t xml:space="preserve">lead</w:t>
      </w:r>
      <w:r>
        <w:t xml:space="preserve"> </w:t>
      </w:r>
      <w:r>
        <w:t xml:space="preserve">battery</w:t>
      </w:r>
      <w:r>
        <w:t xml:space="preserve"> </w:t>
      </w:r>
      <w:r>
        <w:t xml:space="preserve">reprocessing</w:t>
      </w:r>
      <w:r>
        <w:t xml:space="preserve"> </w:t>
      </w:r>
      <w:r>
        <w:t xml:space="preserve">Material obtained during the recycling of exhausted lead storage</w:t>
      </w:r>
      <w:r>
        <w:t xml:space="preserve"> </w:t>
      </w:r>
      <w:r>
        <w:t xml:space="preserve">batteries. Consists primarily of oxides and sulfates of lead and</w:t>
      </w:r>
      <w:r>
        <w:t xml:space="preserve"> </w:t>
      </w:r>
      <w:r>
        <w:t xml:space="preserve">lead alloys.</w:t>
      </w:r>
      <w:r>
        <w:t xml:space="preserve"> </w:t>
      </w:r>
      <w:r>
        <w:t xml:space="preserve">273-809-1 Flue</w:t>
      </w:r>
      <w:r>
        <w:t xml:space="preserve"> </w:t>
      </w:r>
      <w:r>
        <w:t xml:space="preserve">dust,</w:t>
      </w:r>
      <w:r>
        <w:t xml:space="preserve"> </w:t>
      </w:r>
      <w:r>
        <w:t xml:space="preserve">lead-refining</w:t>
      </w:r>
      <w:r>
        <w:t xml:space="preserve"> </w:t>
      </w:r>
      <w:r>
        <w:t xml:space="preserve">By-product of refining lead ores obtained from baghouse and</w:t>
      </w:r>
      <w:r>
        <w:t xml:space="preserve"> </w:t>
      </w:r>
      <w:r>
        <w:t xml:space="preserve">electro-static precipitator and as slurry from scrubbers.</w:t>
      </w:r>
      <w:r>
        <w:t xml:space="preserve"> </w:t>
      </w:r>
      <w:r>
        <w:t xml:space="preserve">305-411-1 Calcines, lead-</w:t>
      </w:r>
      <w:r>
        <w:t xml:space="preserve"> </w:t>
      </w:r>
      <w:r>
        <w:t xml:space="preserve">zinc ore conc.</w:t>
      </w:r>
      <w:r>
        <w:t xml:space="preserve"> </w:t>
      </w:r>
      <w:r>
        <w:t xml:space="preserve">A thermally agglomerated substance formed by heating a mixture</w:t>
      </w:r>
      <w:r>
        <w:t xml:space="preserve"> </w:t>
      </w:r>
      <w:r>
        <w:t xml:space="preserve">of metal sulfide concentrates, limestone, sand, furnace dross,</w:t>
      </w:r>
      <w:r>
        <w:t xml:space="preserve"> </w:t>
      </w:r>
      <w:r>
        <w:t xml:space="preserve">miscellaneous zinc, lead and copper bearing materials, together</w:t>
      </w:r>
      <w:r>
        <w:t xml:space="preserve"> </w:t>
      </w:r>
      <w:r>
        <w:t xml:space="preserve">with already roasted material to a temperature of 1000°C</w:t>
      </w:r>
      <w:r>
        <w:br/>
      </w:r>
      <w:r>
        <w:t xml:space="preserve">to 1200°C (538°F to 649°F).</w:t>
      </w:r>
      <w:r>
        <w:t xml:space="preserve"> </w:t>
      </w:r>
      <w:r>
        <w:t xml:space="preserve">273-800-2</w:t>
      </w:r>
      <w:r>
        <w:t xml:space="preserve"> </w:t>
      </w:r>
      <w:r>
        <w:t xml:space="preserve">Slags,</w:t>
      </w:r>
      <w:r>
        <w:t xml:space="preserve"> </w:t>
      </w:r>
      <w:r>
        <w:t xml:space="preserve">lead</w:t>
      </w:r>
      <w:r>
        <w:t xml:space="preserve"> </w:t>
      </w:r>
      <w:r>
        <w:t xml:space="preserve">reverbatory</w:t>
      </w:r>
      <w:r>
        <w:t xml:space="preserve"> </w:t>
      </w:r>
      <w:r>
        <w:t xml:space="preserve">smelting</w:t>
      </w:r>
      <w:r>
        <w:t xml:space="preserve"> </w:t>
      </w:r>
      <w:r>
        <w:t xml:space="preserve">By-product from the smelting of lead ores, scrap lead or lead</w:t>
      </w:r>
      <w:r>
        <w:t xml:space="preserve"> </w:t>
      </w:r>
      <w:r>
        <w:t xml:space="preserve">smelter dross. Consists primarily of oxides and silicates of</w:t>
      </w:r>
      <w:r>
        <w:t xml:space="preserve"> </w:t>
      </w:r>
      <w:r>
        <w:t xml:space="preserve">antimony and lead.</w:t>
      </w:r>
      <w:r>
        <w:t xml:space="preserve"> </w:t>
      </w:r>
      <w:r>
        <w:t xml:space="preserve">282-356-9 Matte, lead</w:t>
      </w:r>
      <w:r>
        <w:t xml:space="preserve"> </w:t>
      </w:r>
      <w:r>
        <w:t xml:space="preserve">Substance resulting from the smelting of lead and its alloys</w:t>
      </w:r>
      <w:r>
        <w:t xml:space="preserve"> </w:t>
      </w:r>
      <w:r>
        <w:t xml:space="preserve">obtained from primary and secondary sources and including</w:t>
      </w:r>
      <w:r>
        <w:t xml:space="preserve"> </w:t>
      </w:r>
      <w:r>
        <w:t xml:space="preserve">recycled plant intermediates. Composed primarily of iron and lead</w:t>
      </w:r>
      <w:r>
        <w:t xml:space="preserve"> </w:t>
      </w:r>
      <w:r>
        <w:t xml:space="preserve">(mainly in sulfide form) and may contain other residual non-</w:t>
      </w:r>
      <w:r>
        <w:t xml:space="preserve"> </w:t>
      </w:r>
      <w:r>
        <w:t xml:space="preserve">ferrous metals and their compounds.</w:t>
      </w:r>
      <w:r>
        <w:t xml:space="preserve"> </w:t>
      </w:r>
      <w:r>
        <w:t xml:space="preserve">273-796-2 Lead, dross</w:t>
      </w:r>
      <w:r>
        <w:t xml:space="preserve"> </w:t>
      </w:r>
      <w:r>
        <w:t xml:space="preserve">nan</w:t>
      </w:r>
      <w:r>
        <w:t xml:space="preserve"> </w:t>
      </w:r>
      <w:r>
        <w:t xml:space="preserve">Note: The table combines information from Table 18 (EC number and name) and Table 40</w:t>
      </w:r>
      <w:r>
        <w:t xml:space="preserve"> </w:t>
      </w:r>
      <w:r>
        <w:t xml:space="preserve">(description).</w:t>
      </w:r>
      <w:r>
        <w:t xml:space="preserve"> </w:t>
      </w:r>
      <w:r>
        <w:t xml:space="preserve">“Nan”</w:t>
      </w:r>
      <w:r>
        <w:t xml:space="preserve"> </w:t>
      </w:r>
      <w:r>
        <w:t xml:space="preserve">is not explained in the report (ECHA, 2019).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5.1.4</w:t>
      </w:r>
      <w:r>
        <w:t xml:space="preserve"> </w:t>
      </w:r>
      <w:r>
        <w:t xml:space="preserve">Consumption of lead</w:t>
      </w:r>
      <w:r>
        <w:t xml:space="preserve"> </w:t>
      </w:r>
      <w:r>
        <w:t xml:space="preserve">“First application” is defined as the first application after refining for which a metal is used. As an</w:t>
      </w:r>
      <w:r>
        <w:t xml:space="preserve"> </w:t>
      </w:r>
      <w:r>
        <w:t xml:space="preserve">example, the first application may be the manufacture of lead compounds, which are later used for</w:t>
      </w:r>
      <w:r>
        <w:t xml:space="preserve"> </w:t>
      </w:r>
      <w:r>
        <w:t xml:space="preserve">various applications such as manufacturing plastics, paints or ceramics. From 2000 to 2015, the trends</w:t>
      </w:r>
      <w:r>
        <w:t xml:space="preserve"> </w:t>
      </w:r>
      <w:r>
        <w:t xml:space="preserve">in the consumption of lead by first applications are shown in the table. The data for 2000, 2005 and</w:t>
      </w:r>
      <w:r>
        <w:t xml:space="preserve"> </w:t>
      </w:r>
      <w:r>
        <w:t xml:space="preserve">2015 have been obtained from the Lead REACH Consortium (2019) and represent 14 Member States</w:t>
      </w:r>
      <w:r>
        <w:t xml:space="preserve"> </w:t>
      </w:r>
      <w:r>
        <w:t xml:space="preserve">and Norway. The 2015 data represent 94% of the total use of lead for first use in EU28 and EFTA</w:t>
      </w:r>
      <w:r>
        <w:t xml:space="preserve"> </w:t>
      </w:r>
      <w:r>
        <w:t xml:space="preserve">countries. The data include consumption volumes from the UK. The breakdown of data per Member</w:t>
      </w:r>
      <w:r>
        <w:t xml:space="preserve"> </w:t>
      </w:r>
      <w:r>
        <w:t xml:space="preserve">State is not available, the data have therefore not been recalculated to reflect the EU-27 as per 2020.</w:t>
      </w:r>
      <w:r>
        <w:t xml:space="preserve"> </w:t>
      </w:r>
      <w:r>
        <w:t xml:space="preserve">The percentage may be lower or higher for individual applications.</w:t>
      </w:r>
      <w:r>
        <w:br/>
      </w:r>
      <w:r>
        <w:t xml:space="preserve">For 2000, also the data from the Voluntary Risk Assessment for Lead are shown (LDAI, 2008). The</w:t>
      </w:r>
      <w:r>
        <w:t xml:space="preserve"> </w:t>
      </w:r>
      <w:r>
        <w:t xml:space="preserve">data represent first applications in the EU15. In 2000, lead additives for gasoline, which are</w:t>
      </w:r>
      <w:r>
        <w:t xml:space="preserve"> </w:t>
      </w:r>
      <w:r>
        <w:t xml:space="preserve">organolead compounds, accounted for about 1% of the total use of lead. The gasoline additives for the</w:t>
      </w:r>
      <w:r>
        <w:t xml:space="preserve"> </w:t>
      </w:r>
      <w:r>
        <w:t xml:space="preserve">2005 and 2015 datasets are included under lead compounds.</w:t>
      </w:r>
    </w:p>
    <w:p>
      <w:pPr>
        <w:pStyle w:val="BodyText"/>
      </w:pPr>
      <w:r>
        <w:t xml:space="preserve">Table 3: Consumption of lead by first use application</w:t>
      </w:r>
      <w:r>
        <w:t xml:space="preserve"> </w:t>
      </w:r>
      <w:r>
        <w:t xml:space="preserve">Application</w:t>
      </w:r>
      <w:r>
        <w:t xml:space="preserve"> </w:t>
      </w:r>
      <w:r>
        <w:t xml:space="preserve">area</w:t>
      </w:r>
      <w:r>
        <w:br/>
      </w:r>
      <w:r>
        <w:t xml:space="preserve">(sector numbering according to this</w:t>
      </w:r>
      <w:r>
        <w:t xml:space="preserve"> </w:t>
      </w:r>
      <w:r>
        <w:t xml:space="preserve">study)</w:t>
      </w:r>
      <w:r>
        <w:t xml:space="preserve"> </w:t>
      </w:r>
      <w:r>
        <w:t xml:space="preserve">Consumption of lead for first use</w:t>
      </w:r>
      <w:r>
        <w:t xml:space="preserve"> </w:t>
      </w:r>
      <w:r>
        <w:t xml:space="preserve">(1000 tonnes)</w:t>
      </w:r>
      <w:r>
        <w:t xml:space="preserve"> </w:t>
      </w:r>
      <w:r>
        <w:t xml:space="preserve">% of total</w:t>
      </w:r>
      <w:r>
        <w:t xml:space="preserve"> </w:t>
      </w:r>
      <w:r>
        <w:t xml:space="preserve">in 2015</w:t>
      </w:r>
      <w:r>
        <w:t xml:space="preserve"> </w:t>
      </w:r>
      <w:r>
        <w:t xml:space="preserve">2000** 2000*</w:t>
      </w:r>
      <w:r>
        <w:t xml:space="preserve"> </w:t>
      </w:r>
      <w:r>
        <w:t xml:space="preserve">2005*</w:t>
      </w:r>
      <w:r>
        <w:t xml:space="preserve"> </w:t>
      </w:r>
      <w:r>
        <w:t xml:space="preserve">2015*</w:t>
      </w:r>
      <w:r>
        <w:t xml:space="preserve"> </w:t>
      </w:r>
      <w:r>
        <w:t xml:space="preserve">Batteries, automotive (3)</w:t>
      </w:r>
      <w:r>
        <w:t xml:space="preserve"> </w:t>
      </w:r>
      <w:r>
        <w:t xml:space="preserve">1 009</w:t>
      </w:r>
      <w:r>
        <w:t xml:space="preserve"> </w:t>
      </w:r>
      <w:r>
        <w:t xml:space="preserve">971</w:t>
      </w:r>
      <w:r>
        <w:t xml:space="preserve"> </w:t>
      </w:r>
      <w:r>
        <w:t xml:space="preserve">1 033</w:t>
      </w:r>
      <w:r>
        <w:t xml:space="preserve"> </w:t>
      </w:r>
      <w:r>
        <w:t xml:space="preserve">809</w:t>
      </w:r>
      <w:r>
        <w:t xml:space="preserve"> </w:t>
      </w:r>
      <w:r>
        <w:t xml:space="preserve">53%</w:t>
      </w:r>
      <w:r>
        <w:t xml:space="preserve"> </w:t>
      </w:r>
      <w:r>
        <w:t xml:space="preserve">Batteries, industry (3)</w:t>
      </w:r>
      <w:r>
        <w:t xml:space="preserve"> </w:t>
      </w:r>
      <w:r>
        <w:t xml:space="preserve">460</w:t>
      </w:r>
      <w:r>
        <w:t xml:space="preserve"> </w:t>
      </w:r>
      <w:r>
        <w:t xml:space="preserve">30%</w:t>
      </w:r>
      <w:r>
        <w:t xml:space="preserve"> </w:t>
      </w:r>
      <w:r>
        <w:t xml:space="preserve">Rolled and extruded products (4)</w:t>
      </w:r>
      <w:r>
        <w:t xml:space="preserve"> </w:t>
      </w:r>
      <w:r>
        <w:t xml:space="preserve">242</w:t>
      </w:r>
      <w:r>
        <w:t xml:space="preserve"> </w:t>
      </w:r>
      <w:r>
        <w:t xml:space="preserve">205</w:t>
      </w:r>
      <w:r>
        <w:t xml:space="preserve"> </w:t>
      </w:r>
      <w:r>
        <w:t xml:space="preserve">200</w:t>
      </w:r>
      <w:r>
        <w:t xml:space="preserve"> </w:t>
      </w:r>
      <w:r>
        <w:t xml:space="preserve">95</w:t>
      </w:r>
      <w:r>
        <w:t xml:space="preserve"> </w:t>
      </w:r>
      <w:r>
        <w:t xml:space="preserve">6%</w:t>
      </w:r>
      <w:r>
        <w:t xml:space="preserve"> </w:t>
      </w:r>
      <w:r>
        <w:t xml:space="preserve">Shot and ammunition (4)</w:t>
      </w:r>
      <w:r>
        <w:t xml:space="preserve"> </w:t>
      </w:r>
      <w:r>
        <w:t xml:space="preserve">57</w:t>
      </w:r>
      <w:r>
        <w:t xml:space="preserve"> </w:t>
      </w:r>
      <w:r>
        <w:t xml:space="preserve">53</w:t>
      </w:r>
      <w:r>
        <w:t xml:space="preserve"> </w:t>
      </w:r>
      <w:r>
        <w:t xml:space="preserve">50</w:t>
      </w:r>
      <w:r>
        <w:t xml:space="preserve"> </w:t>
      </w:r>
      <w:r>
        <w:t xml:space="preserve">57</w:t>
      </w:r>
      <w:r>
        <w:t xml:space="preserve"> </w:t>
      </w:r>
      <w:r>
        <w:t xml:space="preserve">4%</w:t>
      </w:r>
      <w:r>
        <w:t xml:space="preserve"> </w:t>
      </w:r>
      <w:r>
        <w:t xml:space="preserve">Cable sheathing (4)</w:t>
      </w:r>
      <w:r>
        <w:t xml:space="preserve"> </w:t>
      </w:r>
      <w:r>
        <w:t xml:space="preserve">31</w:t>
      </w:r>
      <w:r>
        <w:t xml:space="preserve"> </w:t>
      </w:r>
      <w:r>
        <w:t xml:space="preserve">17</w:t>
      </w:r>
      <w:r>
        <w:t xml:space="preserve"> </w:t>
      </w:r>
      <w:r>
        <w:t xml:space="preserve">13</w:t>
      </w:r>
      <w:r>
        <w:t xml:space="preserve"> </w:t>
      </w:r>
      <w:r>
        <w:t xml:space="preserve">18</w:t>
      </w:r>
      <w:r>
        <w:t xml:space="preserve"> </w:t>
      </w:r>
      <w:r>
        <w:t xml:space="preserve">1%</w:t>
      </w:r>
      <w:r>
        <w:t xml:space="preserve"> </w:t>
      </w:r>
      <w:r>
        <w:t xml:space="preserve">Gasoline additives [out of scope of</w:t>
      </w:r>
      <w:r>
        <w:t xml:space="preserve"> </w:t>
      </w:r>
      <w:r>
        <w:t xml:space="preserve">study]***</w:t>
      </w:r>
      <w:r>
        <w:t xml:space="preserve"> </w:t>
      </w:r>
      <w:r>
        <w:t xml:space="preserve">19</w:t>
      </w:r>
      <w:r>
        <w:t xml:space="preserve"> </w:t>
      </w:r>
      <w:r>
        <w:t xml:space="preserve">202</w:t>
      </w:r>
      <w:r>
        <w:t xml:space="preserve"> </w:t>
      </w:r>
      <w:r>
        <w:t xml:space="preserve">110</w:t>
      </w:r>
      <w:r>
        <w:t xml:space="preserve"> </w:t>
      </w:r>
      <w:r>
        <w:t xml:space="preserve">68</w:t>
      </w:r>
      <w:r>
        <w:t xml:space="preserve"> </w:t>
      </w:r>
      <w:r>
        <w:t xml:space="preserve">4%</w:t>
      </w:r>
      <w:r>
        <w:t xml:space="preserve"> </w:t>
      </w:r>
      <w:r>
        <w:t xml:space="preserve">Pigments and other lead compounds***</w:t>
      </w:r>
      <w:r>
        <w:t xml:space="preserve"> </w:t>
      </w:r>
      <w:r>
        <w:t xml:space="preserve">(6)</w:t>
      </w:r>
      <w:r>
        <w:t xml:space="preserve"> </w:t>
      </w:r>
      <w:r>
        <w:t xml:space="preserve">201</w:t>
      </w:r>
      <w:r>
        <w:t xml:space="preserve"> </w:t>
      </w:r>
      <w:r>
        <w:t xml:space="preserve">Miscellaneous</w:t>
      </w:r>
      <w:r>
        <w:t xml:space="preserve"> </w:t>
      </w:r>
      <w:r>
        <w:t xml:space="preserve">(including</w:t>
      </w:r>
      <w:r>
        <w:t xml:space="preserve"> </w:t>
      </w:r>
      <w:r>
        <w:t xml:space="preserve">alloys</w:t>
      </w:r>
      <w:r>
        <w:t xml:space="preserve"> </w:t>
      </w:r>
      <w:r>
        <w:t xml:space="preserve">and</w:t>
      </w:r>
      <w:r>
        <w:t xml:space="preserve"> </w:t>
      </w:r>
      <w:r>
        <w:t xml:space="preserve">solders) (4, 5)</w:t>
      </w:r>
      <w:r>
        <w:t xml:space="preserve"> </w:t>
      </w:r>
      <w:r>
        <w:t xml:space="preserve">78</w:t>
      </w:r>
      <w:r>
        <w:t xml:space="preserve"> </w:t>
      </w:r>
      <w:r>
        <w:t xml:space="preserve">67</w:t>
      </w:r>
      <w:r>
        <w:t xml:space="preserve"> </w:t>
      </w:r>
      <w:r>
        <w:t xml:space="preserve">52</w:t>
      </w:r>
      <w:r>
        <w:t xml:space="preserve"> </w:t>
      </w:r>
      <w:r>
        <w:t xml:space="preserve">10</w:t>
      </w:r>
      <w:r>
        <w:t xml:space="preserve"> </w:t>
      </w:r>
      <w:r>
        <w:t xml:space="preserve">1%</w:t>
      </w:r>
      <w:r>
        <w:t xml:space="preserve"> </w:t>
      </w:r>
      <w:r>
        <w:t xml:space="preserve">Total</w:t>
      </w:r>
      <w:r>
        <w:t xml:space="preserve"> </w:t>
      </w:r>
      <w:r>
        <w:t xml:space="preserve">1 677</w:t>
      </w:r>
      <w:r>
        <w:t xml:space="preserve"> </w:t>
      </w:r>
      <w:r>
        <w:t xml:space="preserve">1 515</w:t>
      </w:r>
      <w:r>
        <w:t xml:space="preserve"> </w:t>
      </w:r>
      <w:r>
        <w:t xml:space="preserve">1 458</w:t>
      </w:r>
      <w:r>
        <w:t xml:space="preserve"> </w:t>
      </w:r>
      <w:r>
        <w:t xml:space="preserve">1 517</w:t>
      </w:r>
      <w:r>
        <w:t xml:space="preserve"> </w:t>
      </w:r>
      <w:r>
        <w:t xml:space="preserve">100%</w:t>
      </w:r>
      <w:r>
        <w:t xml:space="preserve"> </w:t>
      </w:r>
      <w:r>
        <w:t xml:space="preserve">* Data from Lead REACH Consortium (2019). Data represent the first applications consumption in</w:t>
      </w:r>
      <w:r>
        <w:t xml:space="preserve"> </w:t>
      </w:r>
      <w:r>
        <w:t xml:space="preserve">14 EU Member States and Norway99. The total represents about 94% of the total use of lead for first</w:t>
      </w:r>
      <w:r>
        <w:t xml:space="preserve"> </w:t>
      </w:r>
      <w:r>
        <w:t xml:space="preserve">use in EU28 and EFTA countries. Consumption volumes have not been adjusted to reflect the EU-27</w:t>
      </w:r>
      <w:r>
        <w:t xml:space="preserve"> </w:t>
      </w:r>
      <w:r>
        <w:t xml:space="preserve">(2020), as national data for the UK is not available. The percentage may be different for the</w:t>
      </w:r>
      <w:r>
        <w:t xml:space="preserve"> </w:t>
      </w:r>
      <w:r>
        <w:t xml:space="preserve">individual applications. The total is similar to the total indicated in the proposal for identifying lead</w:t>
      </w:r>
      <w:r>
        <w:t xml:space="preserve"> </w:t>
      </w:r>
      <w:r>
        <w:t xml:space="preserve">as a SVHC (Substance of Very High Concern) (Swedish Chemicals Agency, 2018) but the distribution</w:t>
      </w:r>
      <w:r>
        <w:t xml:space="preserve"> </w:t>
      </w:r>
      <w:r>
        <w:t xml:space="preserve">between applications is slightly different.</w:t>
      </w:r>
      <w:r>
        <w:t xml:space="preserve"> </w:t>
      </w:r>
      <w:r>
        <w:rPr>
          <w:b/>
          <w:bCs/>
        </w:rPr>
        <w:t xml:space="preserve">Data from the voluntary risk assessment for lead (LDAI, 2008). Represents the consumption in</w:t>
      </w:r>
      <w:r>
        <w:rPr>
          <w:b/>
          <w:bCs/>
        </w:rPr>
        <w:t xml:space="preserve"> </w:t>
      </w:r>
      <w:r>
        <w:rPr>
          <w:b/>
          <w:bCs/>
        </w:rPr>
        <w:t xml:space="preserve">EU15.</w:t>
      </w:r>
      <w:r>
        <w:br/>
      </w:r>
      <w:r>
        <w:t xml:space="preserve">* Consumption of lead compounds are not differentiated into applications for gasoline additives,</w:t>
      </w:r>
      <w:r>
        <w:t xml:space="preserve"> </w:t>
      </w:r>
      <w:r>
        <w:t xml:space="preserve">pigments and other for 2000 -2015 in the data from Lead REACH Consortium (2019). However, the</w:t>
      </w:r>
    </w:p>
    <w:p>
      <w:pPr>
        <w:pStyle w:val="BodyText"/>
      </w:pPr>
      <w:r>
        <w:t xml:space="preserve">99 Austria, Belgium, Bulgaria, Czechia, Denmark, Finland, France, Germany, Italy, the Netherlands, Norway,</w:t>
      </w:r>
      <w:r>
        <w:t xml:space="preserve"> </w:t>
      </w:r>
      <w:r>
        <w:t xml:space="preserve">Poland, Spain, Sweden, the United Kingdom.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use of lead compounds as gasoline additives is restricted to diminishing amounts in special</w:t>
      </w:r>
      <w:r>
        <w:t xml:space="preserve"> </w:t>
      </w:r>
      <w:r>
        <w:t xml:space="preserve">applications.</w:t>
      </w:r>
    </w:p>
    <w:p>
      <w:pPr>
        <w:pStyle w:val="BodyText"/>
      </w:pPr>
      <w:r>
        <w:t xml:space="preserve">The consumption for batteries has been increasing during the period, whereas the consumption for</w:t>
      </w:r>
      <w:r>
        <w:t xml:space="preserve"> </w:t>
      </w:r>
      <w:r>
        <w:t xml:space="preserve">rolled and extruded products has been decreasing.</w:t>
      </w:r>
      <w:r>
        <w:br/>
      </w:r>
      <w:r>
        <w:t xml:space="preserve">The decrease in the consumption of lead for the latter three application areas may be used as an</w:t>
      </w:r>
      <w:r>
        <w:t xml:space="preserve"> </w:t>
      </w:r>
      <w:r>
        <w:t xml:space="preserve">indication of a decrease in the number of workers exposed when working with the lead-containing</w:t>
      </w:r>
      <w:r>
        <w:t xml:space="preserve"> </w:t>
      </w:r>
      <w:r>
        <w:t xml:space="preserve">products (the decrease in the number of workers may be even higher than the decrease in the lead</w:t>
      </w:r>
      <w:r>
        <w:t xml:space="preserve"> </w:t>
      </w:r>
      <w:r>
        <w:t xml:space="preserve">consumption).</w:t>
      </w:r>
      <w:r>
        <w:t xml:space="preserve"> </w:t>
      </w:r>
      <w:r>
        <w:t xml:space="preserve">The following includes a short description of the uses of lead metal.</w:t>
      </w:r>
      <w:r>
        <w:br/>
      </w:r>
      <w:r>
        <w:t xml:space="preserve">Rolled and extruded products. These products consist of lead plates, sheets, strips, bars, wires and</w:t>
      </w:r>
      <w:r>
        <w:t xml:space="preserve"> </w:t>
      </w:r>
      <w:r>
        <w:t xml:space="preserve">tubing produced through a combination of rolling, drawing and extruding. Lead sheet accounts for the</w:t>
      </w:r>
      <w:r>
        <w:t xml:space="preserve"> </w:t>
      </w:r>
      <w:r>
        <w:t xml:space="preserve">majority of lead used in this category and 85% of lead sheet is used in construction applications, with</w:t>
      </w:r>
      <w:r>
        <w:t xml:space="preserve"> </w:t>
      </w:r>
      <w:r>
        <w:t xml:space="preserve">the remainder used in various medical, nuclear, defence and industrial applications (Lead REACH</w:t>
      </w:r>
      <w:r>
        <w:t xml:space="preserve"> </w:t>
      </w:r>
      <w:r>
        <w:t xml:space="preserve">Consortium, 2019). Due to differences in architectural style and building techniques, the use of lead</w:t>
      </w:r>
      <w:r>
        <w:t xml:space="preserve"> </w:t>
      </w:r>
      <w:r>
        <w:t xml:space="preserve">sheet varies considerably among Member States. During the period 2005-2015, the UK has accounted</w:t>
      </w:r>
      <w:r>
        <w:t xml:space="preserve"> </w:t>
      </w:r>
      <w:r>
        <w:t xml:space="preserve">for approximately half of the use of lead in rolled and extruded products. This is of importance for the</w:t>
      </w:r>
      <w:r>
        <w:t xml:space="preserve"> </w:t>
      </w:r>
      <w:r>
        <w:t xml:space="preserve">interpretation of data on the number of exposed workers related to the building sector.</w:t>
      </w:r>
      <w:r>
        <w:br/>
      </w:r>
      <w:r>
        <w:t xml:space="preserve">Shot and ammunition. The consumption of lead for the production of ammunition has been stable</w:t>
      </w:r>
      <w:r>
        <w:t xml:space="preserve"> </w:t>
      </w:r>
      <w:r>
        <w:t xml:space="preserve">during 2000-2015 (Lead shot accounts for an estimated 75% of the lead used in non-military</w:t>
      </w:r>
      <w:r>
        <w:t xml:space="preserve"> </w:t>
      </w:r>
      <w:r>
        <w:t xml:space="preserve">shot/ammunition, while lead pellets and bullets account for the remaining 25% (Lead REACH</w:t>
      </w:r>
      <w:r>
        <w:t xml:space="preserve"> </w:t>
      </w:r>
      <w:r>
        <w:t xml:space="preserve">Consortium, 2019). Major civilian ammunition manufacture in Europe is concentrated in Italy,</w:t>
      </w:r>
      <w:r>
        <w:t xml:space="preserve"> </w:t>
      </w:r>
      <w:r>
        <w:t xml:space="preserve">followed by Germany, Spain, the UK, Sweden, Czechia and France.</w:t>
      </w:r>
      <w:r>
        <w:br/>
      </w:r>
      <w:r>
        <w:t xml:space="preserve">Miscellaneous. Lead is used as an alloying additive to other metals, typically to improve castability,</w:t>
      </w:r>
      <w:r>
        <w:t xml:space="preserve"> </w:t>
      </w:r>
      <w:r>
        <w:t xml:space="preserve">finishing and plating characteristics. Lead is used as an alloying element for tin, steel, copper (brasses</w:t>
      </w:r>
      <w:r>
        <w:t xml:space="preserve"> </w:t>
      </w:r>
      <w:r>
        <w:t xml:space="preserve">and bronzes) and aluminium alloys. The total consumption for miscellaneous applications has</w:t>
      </w:r>
      <w:r>
        <w:t xml:space="preserve"> </w:t>
      </w:r>
      <w:r>
        <w:t xml:space="preserve">decreased markedly from 67 000 t/year in 2000 to 10 000 t/year in 2015. Lead was widely used in</w:t>
      </w:r>
      <w:r>
        <w:t xml:space="preserve"> </w:t>
      </w:r>
      <w:r>
        <w:t xml:space="preserve">white metal and pewter (tin-lead alloys) models, ornaments and jewellery. Lead solders, the alloys</w:t>
      </w:r>
      <w:r>
        <w:t xml:space="preserve"> </w:t>
      </w:r>
      <w:r>
        <w:t xml:space="preserve">used to create metallurgical bonds between two or more metal surfaces to achieve an electrical and/or</w:t>
      </w:r>
      <w:r>
        <w:t xml:space="preserve"> </w:t>
      </w:r>
      <w:r>
        <w:t xml:space="preserve">physical connection, once dominated both electronic and industrial applications. The use of lead</w:t>
      </w:r>
      <w:r>
        <w:t xml:space="preserve"> </w:t>
      </w:r>
      <w:r>
        <w:t xml:space="preserve">solders in electrical and electronic equipment (EEE) has been banned since 2006, with some</w:t>
      </w:r>
      <w:r>
        <w:t xml:space="preserve"> </w:t>
      </w:r>
      <w:r>
        <w:t xml:space="preserve">exemptions, but the exemptions gradually expire and are often not renewed. According to the Lead</w:t>
      </w:r>
      <w:r>
        <w:t xml:space="preserve"> </w:t>
      </w:r>
      <w:r>
        <w:t xml:space="preserve">REACH Consortium (2019), there is also a move away from the use of lead solder in industrial</w:t>
      </w:r>
      <w:r>
        <w:t xml:space="preserve"> </w:t>
      </w:r>
      <w:r>
        <w:t xml:space="preserve">applications, such as in the joins to copper or brass heat exchangers and the solder for joining copper,</w:t>
      </w:r>
      <w:r>
        <w:t xml:space="preserve"> </w:t>
      </w:r>
      <w:r>
        <w:t xml:space="preserve">brass and zinc in roofing, and rainwater furniture.</w:t>
      </w:r>
      <w:r>
        <w:br/>
      </w:r>
      <w:r>
        <w:t xml:space="preserve">5.1.5</w:t>
      </w:r>
      <w:r>
        <w:t xml:space="preserve"> </w:t>
      </w:r>
      <w:r>
        <w:t xml:space="preserve">Consumption of lead compounds</w:t>
      </w:r>
      <w:r>
        <w:t xml:space="preserve"> </w:t>
      </w:r>
      <w:r>
        <w:t xml:space="preserve">The main uses are described below:</w:t>
      </w:r>
      <w:r>
        <w:t xml:space="preserve"> </w:t>
      </w:r>
      <w:r>
        <w:t xml:space="preserve">Batteries. Lead-acid battery manufacture is the largest application for lead and lead compounds in</w:t>
      </w:r>
      <w:r>
        <w:t xml:space="preserve"> </w:t>
      </w:r>
      <w:r>
        <w:t xml:space="preserve">Europe: lead oxides are pressed, cured, hydrated and then reacted with sulphuric acid to produce</w:t>
      </w:r>
      <w:r>
        <w:t xml:space="preserve"> </w:t>
      </w:r>
      <w:r>
        <w:t xml:space="preserve">porous metallic lead negative electrode pastes (Lead REACH Consortium, 2019). Lead sulphates can</w:t>
      </w:r>
      <w:r>
        <w:t xml:space="preserve"> </w:t>
      </w:r>
      <w:r>
        <w:t xml:space="preserve">be used as seeding material for the lead dioxide, the active material at the positive electrode. Lead-</w:t>
      </w:r>
      <w:r>
        <w:t xml:space="preserve"> </w:t>
      </w:r>
      <w:r>
        <w:t xml:space="preserve">acid batteries are the leading rechargeable battery technology, at over 90% of the rechargeable battery</w:t>
      </w:r>
      <w:r>
        <w:t xml:space="preserve"> </w:t>
      </w:r>
      <w:r>
        <w:t xml:space="preserve">market in terms of energy stored. Key countries for lead-based battery manufacture in Europe include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Czechia, France, Germany, Italy, Spain, Poland and the United Kingdom (ECHA, 2019). About 99%</w:t>
      </w:r>
      <w:r>
        <w:t xml:space="preserve"> </w:t>
      </w:r>
      <w:r>
        <w:t xml:space="preserve">of lead monooxide tonnage used in the EU (500 000 tonnes) and about 80% of lead tetraoxide tonnage</w:t>
      </w:r>
      <w:r>
        <w:t xml:space="preserve"> </w:t>
      </w:r>
      <w:r>
        <w:t xml:space="preserve">(36 000 tonnes) is used in battery manufacture. They are transformed in the course of the battery</w:t>
      </w:r>
      <w:r>
        <w:t xml:space="preserve"> </w:t>
      </w:r>
      <w:r>
        <w:t xml:space="preserve">manufacturing process into pentalead tetraoxide sulphate and tetralead trioxide sulphate, which are</w:t>
      </w:r>
      <w:r>
        <w:t xml:space="preserve"> </w:t>
      </w:r>
      <w:r>
        <w:t xml:space="preserve">themselves ultimately transformed within the battery into lead metal and lead dioxide (ECHA, 2019).</w:t>
      </w:r>
      <w:r>
        <w:t xml:space="preserve"> </w:t>
      </w:r>
      <w:r>
        <w:t xml:space="preserve">Plastic stabilisers. Lead stabilisers based on lead sulphates, phthalates and stearates have traditionally</w:t>
      </w:r>
      <w:r>
        <w:t xml:space="preserve"> </w:t>
      </w:r>
      <w:r>
        <w:t xml:space="preserve">been added to both rigid and flexible PVC to improve their physical properties and durability. As of</w:t>
      </w:r>
      <w:r>
        <w:t xml:space="preserve"> </w:t>
      </w:r>
      <w:r>
        <w:t xml:space="preserve">the end of 2015 under the VinylPlus voluntary commitment, all lead-based PVC stabilisers have been</w:t>
      </w:r>
      <w:r>
        <w:t xml:space="preserve"> </w:t>
      </w:r>
      <w:r>
        <w:t xml:space="preserve">completely replaced in formulations for PVC applications sold in the EU28. The alternatives are</w:t>
      </w:r>
      <w:r>
        <w:t xml:space="preserve"> </w:t>
      </w:r>
      <w:r>
        <w:t xml:space="preserve">predominantly calcium-based stabilisers. In 2005, approximately 60 000 tonnes lead were used for</w:t>
      </w:r>
      <w:r>
        <w:t xml:space="preserve"> </w:t>
      </w:r>
      <w:r>
        <w:t xml:space="preserve">PVC stabilisers in the EU15. The consumption has gradually decreased from 2005 to 2015. Although</w:t>
      </w:r>
      <w:r>
        <w:t xml:space="preserve"> </w:t>
      </w:r>
      <w:r>
        <w:t xml:space="preserve">lead stabilisers are no longer used in virgin PVC in the EU28, some lead stabilisers are still produced</w:t>
      </w:r>
      <w:r>
        <w:t xml:space="preserve"> </w:t>
      </w:r>
      <w:r>
        <w:t xml:space="preserve">in Europe for export to other regions. According to the Annex to the Restriction on the use of lead</w:t>
      </w:r>
      <w:r>
        <w:t xml:space="preserve"> </w:t>
      </w:r>
      <w:r>
        <w:t xml:space="preserve">compounds to stabilise PVC (ECHA, 2018), the European Stabiliser Producers Association (ESPA)</w:t>
      </w:r>
      <w:r>
        <w:t xml:space="preserve"> </w:t>
      </w:r>
      <w:r>
        <w:t xml:space="preserve">representing more than 95% of PVC stabiliser industry across EU indicated that in 2016 there was</w:t>
      </w:r>
      <w:r>
        <w:t xml:space="preserve"> </w:t>
      </w:r>
      <w:r>
        <w:t xml:space="preserve">only one European company producing lead stabilisers for export to non-EU countries. The Annex</w:t>
      </w:r>
      <w:r>
        <w:t xml:space="preserve"> </w:t>
      </w:r>
      <w:r>
        <w:t xml:space="preserve">also notes that approximately 30% of EU-produced lead stabilisers are exported outside the EU,</w:t>
      </w:r>
      <w:r>
        <w:t xml:space="preserve"> </w:t>
      </w:r>
      <w:r>
        <w:t xml:space="preserve">which means that 70% remains within the EU. According to the proposed REACH restriction of the</w:t>
      </w:r>
      <w:r>
        <w:t xml:space="preserve"> </w:t>
      </w:r>
      <w:r>
        <w:t xml:space="preserve">use of lead stabiliser, PVC with lead stabilisers may still be recycled for certain uses.</w:t>
      </w:r>
      <w:r>
        <w:br/>
      </w:r>
      <w:r>
        <w:t xml:space="preserve">Pigments. The major lead pigments are lead chromates, which are subject to authorisation (due to the</w:t>
      </w:r>
      <w:r>
        <w:t xml:space="preserve"> </w:t>
      </w:r>
      <w:r>
        <w:t xml:space="preserve">content of hexavalent chromium in the compounds). The total authorised quantities are 3 000 t/year.</w:t>
      </w:r>
      <w:r>
        <w:t xml:space="preserve"> </w:t>
      </w:r>
      <w:r>
        <w:t xml:space="preserve">According to the Lead REACH Consortium (2019), pigments based on lead carbonates (white) and</w:t>
      </w:r>
      <w:r>
        <w:t xml:space="preserve"> </w:t>
      </w:r>
      <w:r>
        <w:t xml:space="preserve">lead oxide (red) are used now only in niche applications such as paint for restoring or maintaining</w:t>
      </w:r>
      <w:r>
        <w:t xml:space="preserve"> </w:t>
      </w:r>
      <w:r>
        <w:t xml:space="preserve">works of art or historic buildings. For the vast majority of uses in the EU, lead pigments have been</w:t>
      </w:r>
      <w:r>
        <w:t xml:space="preserve"> </w:t>
      </w:r>
      <w:r>
        <w:t xml:space="preserve">replaced with other pigments such as titanium dioxide. For red lead oxide, there is only one</w:t>
      </w:r>
      <w:r>
        <w:t xml:space="preserve"> </w:t>
      </w:r>
      <w:r>
        <w:t xml:space="preserve">professional use of the substance in paints included in the joint registration dossier, which is for rust-</w:t>
      </w:r>
      <w:r>
        <w:t xml:space="preserve"> </w:t>
      </w:r>
      <w:r>
        <w:t xml:space="preserve">inhibiting priming paints applied directly to iron and steel (mainly ships) because of its anti-corrosion</w:t>
      </w:r>
      <w:r>
        <w:t xml:space="preserve"> </w:t>
      </w:r>
      <w:r>
        <w:t xml:space="preserve">properties.</w:t>
      </w:r>
      <w:r>
        <w:br/>
      </w:r>
      <w:r>
        <w:t xml:space="preserve">Glasses. Leaded glass typically contains 54-65% of SiO2, 24-30% PbO (lead oxide), 13-15% Na2O or</w:t>
      </w:r>
      <w:r>
        <w:t xml:space="preserve"> </w:t>
      </w:r>
      <w:r>
        <w:t xml:space="preserve">K2O and various minor components (Lead REACH Consortium, 2019). Leaded glass has a higher</w:t>
      </w:r>
      <w:r>
        <w:t xml:space="preserve"> </w:t>
      </w:r>
      <w:r>
        <w:t xml:space="preserve">density and refractive index than most other glasses and is used in decorative applications e.g. wine</w:t>
      </w:r>
      <w:r>
        <w:t xml:space="preserve"> </w:t>
      </w:r>
      <w:r>
        <w:t xml:space="preserve">glasses, tableware and decanters. Lead crystal production has historically been concentrated in Europe</w:t>
      </w:r>
      <w:r>
        <w:t xml:space="preserve"> </w:t>
      </w:r>
      <w:r>
        <w:t xml:space="preserve">and has declined steeply over the last decade (Lead REACH Consortium, 2019). France, Germany,</w:t>
      </w:r>
      <w:r>
        <w:t xml:space="preserve"> </w:t>
      </w:r>
      <w:r>
        <w:t xml:space="preserve">Ireland, Czechia and Slovakia still have some lead glass production remaining and the lead use in</w:t>
      </w:r>
      <w:r>
        <w:t xml:space="preserve"> </w:t>
      </w:r>
      <w:r>
        <w:t xml:space="preserve">crystal glass in European countries has been estimated at 3 000 – 5 000 t/year (Lead REACH</w:t>
      </w:r>
      <w:r>
        <w:t xml:space="preserve"> </w:t>
      </w:r>
      <w:r>
        <w:t xml:space="preserve">Consortium, 2019). In the EU, only glass products containing at least 24% of PbO may be referred to</w:t>
      </w:r>
      <w:r>
        <w:t xml:space="preserve"> </w:t>
      </w:r>
      <w:r>
        <w:t xml:space="preserve">as</w:t>
      </w:r>
      <w:r>
        <w:t xml:space="preserve"> </w:t>
      </w:r>
      <w:r>
        <w:t xml:space="preserve">“lead crystal”</w:t>
      </w:r>
      <w:r>
        <w:t xml:space="preserve">. Products with less lead oxide must be labelled</w:t>
      </w:r>
      <w:r>
        <w:t xml:space="preserve"> </w:t>
      </w:r>
      <w:r>
        <w:t xml:space="preserve">“crystalline”</w:t>
      </w:r>
      <w:r>
        <w:t xml:space="preserve"> </w:t>
      </w:r>
      <w:r>
        <w:t xml:space="preserve">or</w:t>
      </w:r>
      <w:r>
        <w:t xml:space="preserve"> </w:t>
      </w:r>
      <w:r>
        <w:t xml:space="preserve">“crystal glass”</w:t>
      </w:r>
      <w:r>
        <w:t xml:space="preserve"> </w:t>
      </w:r>
      <w:r>
        <w:t xml:space="preserve">(ECHA, 2019).</w:t>
      </w:r>
      <w:r>
        <w:t xml:space="preserve"> </w:t>
      </w:r>
      <w:r>
        <w:t xml:space="preserve">Lead glass is also used for various types of optical and filter glasses e.g., camera and microscope</w:t>
      </w:r>
      <w:r>
        <w:t xml:space="preserve"> </w:t>
      </w:r>
      <w:r>
        <w:t xml:space="preserve">lenses. Lead glass has been granted an exemption under the RoHS (Restriction of Hazardous</w:t>
      </w:r>
      <w:r>
        <w:t xml:space="preserve"> </w:t>
      </w:r>
      <w:r>
        <w:t xml:space="preserve">Substances) Directive (Directive 2011/65/EU) until 2021.</w:t>
      </w:r>
      <w:r>
        <w:br/>
      </w:r>
      <w:r>
        <w:t xml:space="preserve">Frits (ceramics). Frits, a term for the coloured precursors to ceramic glazes and glass colouring, can</w:t>
      </w:r>
      <w:r>
        <w:t xml:space="preserve"> </w:t>
      </w:r>
      <w:r>
        <w:t xml:space="preserve">contain lead compounds. Overall, the use of lead in frits and pigments is decreasing due to the</w:t>
      </w:r>
      <w:r>
        <w:t xml:space="preserve"> </w:t>
      </w:r>
      <w:r>
        <w:t xml:space="preserve">availability of lead-free alternatives and the costs associated with ensuring regulatory compliance</w:t>
      </w:r>
      <w:r>
        <w:t xml:space="preserve"> </w:t>
      </w:r>
      <w:r>
        <w:t xml:space="preserve">when using lead-containing compounds in a workplace (Lead REACH Consortium, 2019).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5.1.6 Biological limit values</w:t>
      </w:r>
      <w:r>
        <w:t xml:space="preserve"> </w:t>
      </w:r>
      <w:r>
        <w:t xml:space="preserve">Table 4: Biological limit values in EU Member States and selected non-EU countries for lead</w:t>
      </w:r>
      <w:r>
        <w:t xml:space="preserve"> </w:t>
      </w:r>
      <w:r>
        <w:t xml:space="preserve">(status: 28.06.2021)</w:t>
      </w:r>
      <w:r>
        <w:t xml:space="preserve"> </w:t>
      </w:r>
      <w:r>
        <w:t xml:space="preserve">Country</w:t>
      </w:r>
      <w:r>
        <w:t xml:space="preserve"> </w:t>
      </w:r>
      <w:r>
        <w:t xml:space="preserve">Lead</w:t>
      </w:r>
      <w:r>
        <w:t xml:space="preserve"> </w:t>
      </w:r>
      <w:r>
        <w:t xml:space="preserve">in</w:t>
      </w:r>
      <w:r>
        <w:t xml:space="preserve"> </w:t>
      </w:r>
      <w:r>
        <w:t xml:space="preserve">blood μg</w:t>
      </w:r>
      <w:r>
        <w:t xml:space="preserve"> </w:t>
      </w:r>
      <w:r>
        <w:t xml:space="preserve">Pb/100</w:t>
      </w:r>
      <w:r>
        <w:t xml:space="preserve"> </w:t>
      </w:r>
      <w:r>
        <w:t xml:space="preserve">ml</w:t>
      </w:r>
      <w:r>
        <w:t xml:space="preserve"> </w:t>
      </w:r>
      <w:r>
        <w:t xml:space="preserve">Specification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Lead in blood</w:t>
      </w:r>
      <w:r>
        <w:t xml:space="preserve"> </w:t>
      </w:r>
      <w:r>
        <w:t xml:space="preserve">μg Pb/100 ml</w:t>
      </w:r>
    </w:p>
    <w:p>
      <w:pPr>
        <w:pStyle w:val="BodyText"/>
      </w:pPr>
      <w:r>
        <w:t xml:space="preserve">Specification</w:t>
      </w:r>
      <w:r>
        <w:t xml:space="preserve"> </w:t>
      </w:r>
      <w:r>
        <w:t xml:space="preserve">Austria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45</w:t>
      </w:r>
      <w:r>
        <w:br/>
      </w:r>
      <w:r>
        <w:t xml:space="preserve">-men, women</w:t>
      </w:r>
      <w:r>
        <w:t xml:space="preserve"> </w:t>
      </w:r>
      <w:r>
        <w:t xml:space="preserve">&gt;50 years</w:t>
      </w:r>
    </w:p>
    <w:p>
      <w:pPr>
        <w:pStyle w:val="BodyText"/>
      </w:pPr>
      <w:r>
        <w:t xml:space="preserve">-women &lt;50</w:t>
      </w:r>
      <w:r>
        <w:t xml:space="preserve"> </w:t>
      </w:r>
      <w:r>
        <w:t xml:space="preserve">years</w:t>
      </w:r>
      <w:r>
        <w:t xml:space="preserve"> </w:t>
      </w:r>
      <w:r>
        <w:t xml:space="preserve">Portugal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Romania</w:t>
      </w:r>
      <w:r>
        <w:t xml:space="preserve"> </w:t>
      </w:r>
      <w:r>
        <w:t xml:space="preserve">70</w:t>
      </w:r>
      <w:r>
        <w:br/>
      </w:r>
      <w:r>
        <w:t xml:space="preserve">-health</w:t>
      </w:r>
      <w:r>
        <w:t xml:space="preserve"> </w:t>
      </w:r>
      <w:r>
        <w:t xml:space="preserve">surveillance for</w:t>
      </w:r>
      <w:r>
        <w:t xml:space="preserve"> </w:t>
      </w:r>
      <w:r>
        <w:t xml:space="preserve">workers at &gt; 40</w:t>
      </w:r>
      <w:r>
        <w:t xml:space="preserve"> </w:t>
      </w:r>
      <w:r>
        <w:t xml:space="preserve">μg/100 ml</w:t>
      </w:r>
      <w:r>
        <w:t xml:space="preserve"> </w:t>
      </w:r>
      <w:r>
        <w:t xml:space="preserve">Bulgaria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-women</w:t>
      </w:r>
      <w:r>
        <w:t xml:space="preserve"> </w:t>
      </w:r>
      <w:r>
        <w:t xml:space="preserve">&lt;45</w:t>
      </w:r>
      <w:r>
        <w:t xml:space="preserve"> </w:t>
      </w:r>
      <w:r>
        <w:t xml:space="preserve">years</w:t>
      </w:r>
      <w:r>
        <w:t xml:space="preserve"> </w:t>
      </w:r>
      <w:r>
        <w:t xml:space="preserve">Slovakia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-women</w:t>
      </w:r>
      <w:r>
        <w:t xml:space="preserve"> </w:t>
      </w:r>
      <w:r>
        <w:t xml:space="preserve">&lt;45</w:t>
      </w:r>
      <w:r>
        <w:t xml:space="preserve"> </w:t>
      </w:r>
      <w:r>
        <w:t xml:space="preserve">years</w:t>
      </w:r>
      <w:r>
        <w:t xml:space="preserve"> </w:t>
      </w:r>
      <w:r>
        <w:t xml:space="preserve">Croatia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-women</w:t>
      </w:r>
      <w:r>
        <w:t xml:space="preserve"> </w:t>
      </w:r>
      <w:r>
        <w:t xml:space="preserve">&lt;45</w:t>
      </w:r>
      <w:r>
        <w:t xml:space="preserve"> </w:t>
      </w:r>
      <w:r>
        <w:t xml:space="preserve">years</w:t>
      </w:r>
      <w:r>
        <w:t xml:space="preserve"> </w:t>
      </w:r>
      <w:r>
        <w:t xml:space="preserve">Slovenia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-women</w:t>
      </w:r>
      <w:r>
        <w:t xml:space="preserve"> </w:t>
      </w:r>
      <w:r>
        <w:t xml:space="preserve">&lt;45</w:t>
      </w:r>
      <w:r>
        <w:t xml:space="preserve"> </w:t>
      </w:r>
      <w:r>
        <w:t xml:space="preserve">years</w:t>
      </w:r>
      <w:r>
        <w:t xml:space="preserve"> </w:t>
      </w:r>
      <w:r>
        <w:t xml:space="preserve">Cyprus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Spain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-mandatory</w:t>
      </w:r>
      <w:r>
        <w:t xml:space="preserve"> </w:t>
      </w:r>
      <w:r>
        <w:t xml:space="preserve">health</w:t>
      </w:r>
      <w:r>
        <w:t xml:space="preserve"> </w:t>
      </w:r>
      <w:r>
        <w:t xml:space="preserve">surveillance for</w:t>
      </w:r>
      <w:r>
        <w:t xml:space="preserve"> </w:t>
      </w:r>
      <w:r>
        <w:t xml:space="preserve">workers at &gt; 40</w:t>
      </w:r>
      <w:r>
        <w:t xml:space="preserve"> </w:t>
      </w:r>
      <w:r>
        <w:t xml:space="preserve">μg/100 ml</w:t>
      </w:r>
      <w:r>
        <w:t xml:space="preserve"> </w:t>
      </w:r>
      <w:r>
        <w:t xml:space="preserve">Czechia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31.1(&lt;1.5</w:t>
      </w:r>
      <w:r>
        <w:t xml:space="preserve"> </w:t>
      </w:r>
      <w:r>
        <w:t xml:space="preserve">μmol/l)</w:t>
      </w:r>
    </w:p>
    <w:p>
      <w:pPr>
        <w:pStyle w:val="BodyText"/>
      </w:pPr>
      <w:r>
        <w:t xml:space="preserve">10.4(&lt;0.5</w:t>
      </w:r>
      <w:r>
        <w:t xml:space="preserve"> </w:t>
      </w:r>
      <w:r>
        <w:t xml:space="preserve">μmol/l</w:t>
      </w:r>
      <w:r>
        <w:t xml:space="preserve"> </w:t>
      </w:r>
      <w:r>
        <w:t xml:space="preserve">-men, women</w:t>
      </w:r>
      <w:r>
        <w:t xml:space="preserve"> </w:t>
      </w:r>
      <w:r>
        <w:t xml:space="preserve">&gt;50 years</w:t>
      </w:r>
    </w:p>
    <w:p>
      <w:pPr>
        <w:pStyle w:val="BodyText"/>
      </w:pPr>
      <w:r>
        <w:t xml:space="preserve">-women &lt;50</w:t>
      </w:r>
      <w:r>
        <w:t xml:space="preserve"> </w:t>
      </w:r>
      <w:r>
        <w:t xml:space="preserve">years</w:t>
      </w:r>
      <w:r>
        <w:br/>
      </w:r>
      <w:r>
        <w:t xml:space="preserve">Denmark</w:t>
      </w:r>
      <w:r>
        <w:t xml:space="preserve"> </w:t>
      </w:r>
      <w:r>
        <w:t xml:space="preserve">20</w:t>
      </w:r>
    </w:p>
    <w:bookmarkEnd w:id="9"/>
    <w:bookmarkStart w:id="10" w:name="estonia"/>
    <w:p>
      <w:pPr>
        <w:pStyle w:val="Heading2"/>
      </w:pPr>
      <w:r>
        <w:t xml:space="preserve">Estonia</w:t>
      </w:r>
    </w:p>
    <w:p>
      <w:pPr>
        <w:pStyle w:val="FirstParagraph"/>
      </w:pP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70</w:t>
      </w:r>
      <w:r>
        <w:br/>
      </w:r>
      <w:r>
        <w:t xml:space="preserve">-mandatory</w:t>
      </w:r>
      <w:r>
        <w:t xml:space="preserve"> </w:t>
      </w:r>
      <w:r>
        <w:t xml:space="preserve">health</w:t>
      </w:r>
      <w:r>
        <w:t xml:space="preserve"> </w:t>
      </w:r>
      <w:r>
        <w:t xml:space="preserve">surveillance for</w:t>
      </w:r>
      <w:r>
        <w:t xml:space="preserve"> </w:t>
      </w:r>
      <w:r>
        <w:t xml:space="preserve">workers at &gt; 40</w:t>
      </w:r>
      <w:r>
        <w:t xml:space="preserve"> </w:t>
      </w:r>
      <w:r>
        <w:t xml:space="preserve">μg/100 ml</w:t>
      </w:r>
      <w:r>
        <w:t xml:space="preserve"> </w:t>
      </w:r>
      <w:r>
        <w:t xml:space="preserve">Finland</w:t>
      </w:r>
      <w:r>
        <w:t xml:space="preserve"> </w:t>
      </w:r>
      <w:r>
        <w:t xml:space="preserve">29</w:t>
      </w:r>
      <w:r>
        <w:t xml:space="preserve"> </w:t>
      </w:r>
      <w:r>
        <w:t xml:space="preserve">(1.4</w:t>
      </w:r>
      <w:r>
        <w:t xml:space="preserve"> </w:t>
      </w:r>
      <w:r>
        <w:t xml:space="preserve">µmol/l)</w:t>
      </w:r>
    </w:p>
    <w:p>
      <w:pPr>
        <w:pStyle w:val="BodyText"/>
      </w:pPr>
      <w:r>
        <w:t xml:space="preserve">RAC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4.5</w:t>
      </w:r>
      <w:r>
        <w:br/>
      </w:r>
      <w:r>
        <w:t xml:space="preserve">-for lead and its</w:t>
      </w:r>
      <w:r>
        <w:t xml:space="preserve"> </w:t>
      </w:r>
      <w:r>
        <w:t xml:space="preserve">inorganic</w:t>
      </w:r>
      <w:r>
        <w:t xml:space="preserve"> </w:t>
      </w:r>
      <w:r>
        <w:t xml:space="preserve">compounds</w:t>
      </w:r>
    </w:p>
    <w:p>
      <w:pPr>
        <w:pStyle w:val="BodyText"/>
      </w:pPr>
      <w:r>
        <w:t xml:space="preserve">-women of</w:t>
      </w:r>
      <w:r>
        <w:t xml:space="preserve"> </w:t>
      </w:r>
      <w:r>
        <w:t xml:space="preserve">childbearing</w:t>
      </w:r>
      <w:r>
        <w:t xml:space="preserve"> </w:t>
      </w:r>
      <w:r>
        <w:t xml:space="preserve">age</w:t>
      </w:r>
      <w:r>
        <w:br/>
      </w:r>
      <w:r>
        <w:t xml:space="preserve">France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-male</w:t>
      </w:r>
    </w:p>
    <w:p>
      <w:pPr>
        <w:pStyle w:val="BodyText"/>
      </w:pPr>
      <w:r>
        <w:t xml:space="preserve">-female</w:t>
      </w:r>
      <w:r>
        <w:t xml:space="preserve"> </w:t>
      </w:r>
      <w:r>
        <w:t xml:space="preserve">Australia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-men</w:t>
      </w:r>
      <w:r>
        <w:t xml:space="preserve"> </w:t>
      </w:r>
      <w:r>
        <w:t xml:space="preserve">and</w:t>
      </w:r>
      <w:r>
        <w:t xml:space="preserve"> </w:t>
      </w:r>
      <w:r>
        <w:t xml:space="preserve">women not of</w:t>
      </w:r>
      <w:r>
        <w:t xml:space="preserve"> </w:t>
      </w:r>
      <w:r>
        <w:t xml:space="preserve">reproductive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Country</w:t>
      </w:r>
      <w:r>
        <w:t xml:space="preserve"> </w:t>
      </w:r>
      <w:r>
        <w:t xml:space="preserve">Lead</w:t>
      </w:r>
      <w:r>
        <w:t xml:space="preserve"> </w:t>
      </w:r>
      <w:r>
        <w:t xml:space="preserve">in</w:t>
      </w:r>
      <w:r>
        <w:t xml:space="preserve"> </w:t>
      </w:r>
      <w:r>
        <w:t xml:space="preserve">blood μg</w:t>
      </w:r>
      <w:r>
        <w:t xml:space="preserve"> </w:t>
      </w:r>
      <w:r>
        <w:t xml:space="preserve">Pb/100</w:t>
      </w:r>
      <w:r>
        <w:t xml:space="preserve"> </w:t>
      </w:r>
      <w:r>
        <w:t xml:space="preserve">ml</w:t>
      </w:r>
      <w:r>
        <w:t xml:space="preserve"> </w:t>
      </w:r>
      <w:r>
        <w:t xml:space="preserve">Specification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Lead in blood</w:t>
      </w:r>
      <w:r>
        <w:t xml:space="preserve"> </w:t>
      </w:r>
      <w:r>
        <w:t xml:space="preserve">μg Pb/100 ml</w:t>
      </w:r>
    </w:p>
    <w:p>
      <w:pPr>
        <w:pStyle w:val="BodyText"/>
      </w:pPr>
      <w:r>
        <w:t xml:space="preserve">Specification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-recommended</w:t>
      </w:r>
      <w:r>
        <w:t xml:space="preserve"> </w:t>
      </w:r>
      <w:r>
        <w:t xml:space="preserve">value</w:t>
      </w:r>
      <w:r>
        <w:t xml:space="preserve"> </w:t>
      </w:r>
      <w:r>
        <w:t xml:space="preserve">by</w:t>
      </w:r>
      <w:r>
        <w:t xml:space="preserve"> </w:t>
      </w:r>
      <w:r>
        <w:t xml:space="preserve">ANSES</w:t>
      </w:r>
      <w:r>
        <w:t xml:space="preserve"> </w:t>
      </w:r>
      <w:r>
        <w:t xml:space="preserve">10</w:t>
      </w:r>
      <w:r>
        <w:t xml:space="preserve"> </w:t>
      </w:r>
      <w:r>
        <w:t xml:space="preserve">capacity</w:t>
      </w:r>
    </w:p>
    <w:p>
      <w:pPr>
        <w:pStyle w:val="BodyText"/>
      </w:pPr>
      <w:r>
        <w:t xml:space="preserve">-women</w:t>
      </w:r>
      <w:r>
        <w:t xml:space="preserve"> </w:t>
      </w:r>
      <w:r>
        <w:t xml:space="preserve">of</w:t>
      </w:r>
      <w:r>
        <w:t xml:space="preserve"> </w:t>
      </w:r>
      <w:r>
        <w:t xml:space="preserve">reproductive</w:t>
      </w:r>
      <w:r>
        <w:t xml:space="preserve"> </w:t>
      </w:r>
      <w:r>
        <w:t xml:space="preserve">capacity</w:t>
      </w:r>
      <w:r>
        <w:t xml:space="preserve"> </w:t>
      </w:r>
      <w:r>
        <w:t xml:space="preserve">Germany</w:t>
      </w:r>
      <w:r>
        <w:t xml:space="preserve"> </w:t>
      </w:r>
      <w:r>
        <w:t xml:space="preserve">15</w:t>
      </w:r>
    </w:p>
    <w:bookmarkEnd w:id="10"/>
    <w:bookmarkStart w:id="11" w:name="brazil"/>
    <w:p>
      <w:pPr>
        <w:pStyle w:val="Heading2"/>
      </w:pPr>
      <w:r>
        <w:t xml:space="preserve">Brazil</w:t>
      </w:r>
    </w:p>
    <w:p>
      <w:pPr>
        <w:pStyle w:val="FirstParagraph"/>
      </w:pPr>
      <w:r>
        <w:t xml:space="preserve">Greece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Japan - JSOH</w:t>
      </w:r>
      <w:r>
        <w:t xml:space="preserve"> </w:t>
      </w:r>
      <w:r>
        <w:t xml:space="preserve">15</w:t>
      </w:r>
      <w:r>
        <w:t xml:space="preserve"> </w:t>
      </w:r>
      <w:r>
        <w:t xml:space="preserve">-except</w:t>
      </w:r>
      <w:r>
        <w:t xml:space="preserve"> </w:t>
      </w:r>
      <w:r>
        <w:t xml:space="preserve">alkyl</w:t>
      </w:r>
      <w:r>
        <w:t xml:space="preserve"> </w:t>
      </w:r>
      <w:r>
        <w:t xml:space="preserve">compounds</w:t>
      </w:r>
      <w:r>
        <w:t xml:space="preserve"> </w:t>
      </w:r>
      <w:r>
        <w:t xml:space="preserve">Hungary</w:t>
      </w:r>
      <w:r>
        <w:t xml:space="preserve"> </w:t>
      </w:r>
      <w:r>
        <w:t xml:space="preserve">30</w:t>
      </w:r>
      <w:r>
        <w:br/>
      </w:r>
      <w:r>
        <w:t xml:space="preserve">(1.5</w:t>
      </w:r>
      <w:r>
        <w:t xml:space="preserve"> </w:t>
      </w:r>
      <w:r>
        <w:t xml:space="preserve">µmol/l)</w:t>
      </w:r>
    </w:p>
    <w:p>
      <w:pPr>
        <w:pStyle w:val="BodyText"/>
      </w:pPr>
      <w:r>
        <w:t xml:space="preserve">20</w:t>
      </w:r>
      <w:r>
        <w:br/>
      </w:r>
      <w:r>
        <w:t xml:space="preserve">(1.0</w:t>
      </w:r>
      <w:r>
        <w:t xml:space="preserve"> </w:t>
      </w:r>
      <w:r>
        <w:t xml:space="preserve">µmol/l)</w:t>
      </w:r>
      <w:r>
        <w:t xml:space="preserve"> </w:t>
      </w:r>
      <w:r>
        <w:t xml:space="preserve">-men,</w:t>
      </w:r>
      <w:r>
        <w:t xml:space="preserve"> </w:t>
      </w:r>
      <w:r>
        <w:t xml:space="preserve">women</w:t>
      </w:r>
      <w:r>
        <w:t xml:space="preserve"> </w:t>
      </w:r>
      <w:r>
        <w:t xml:space="preserve">&gt;45 years</w:t>
      </w:r>
    </w:p>
    <w:p>
      <w:pPr>
        <w:pStyle w:val="BodyText"/>
      </w:pPr>
      <w:r>
        <w:t xml:space="preserve">-women</w:t>
      </w:r>
      <w:r>
        <w:t xml:space="preserve"> </w:t>
      </w:r>
      <w:r>
        <w:t xml:space="preserve">&lt;45</w:t>
      </w:r>
      <w:r>
        <w:t xml:space="preserve"> </w:t>
      </w:r>
      <w:r>
        <w:t xml:space="preserve">years</w:t>
      </w:r>
      <w:r>
        <w:t xml:space="preserve"> </w:t>
      </w:r>
      <w:r>
        <w:t xml:space="preserve">Norway</w:t>
      </w:r>
      <w:r>
        <w:t xml:space="preserve"> </w:t>
      </w:r>
      <w:r>
        <w:t xml:space="preserve">0.5 µmol/l</w:t>
      </w:r>
    </w:p>
    <w:p>
      <w:pPr>
        <w:pStyle w:val="BodyText"/>
      </w:pPr>
      <w:r>
        <w:t xml:space="preserve">1.5 µmol/l</w:t>
      </w:r>
      <w:r>
        <w:t xml:space="preserve"> </w:t>
      </w:r>
      <w:r>
        <w:t xml:space="preserve">-women of</w:t>
      </w:r>
      <w:r>
        <w:t xml:space="preserve"> </w:t>
      </w:r>
      <w:r>
        <w:t xml:space="preserve">childbearing</w:t>
      </w:r>
      <w:r>
        <w:t xml:space="preserve"> </w:t>
      </w:r>
      <w:r>
        <w:t xml:space="preserve">age</w:t>
      </w:r>
    </w:p>
    <w:p>
      <w:pPr>
        <w:pStyle w:val="BodyText"/>
      </w:pPr>
      <w:r>
        <w:t xml:space="preserve">other workers</w:t>
      </w:r>
      <w:r>
        <w:t xml:space="preserve"> </w:t>
      </w:r>
      <w:r>
        <w:t xml:space="preserve">Ireland</w:t>
      </w:r>
      <w:r>
        <w:t xml:space="preserve"> </w:t>
      </w:r>
      <w:r>
        <w:t xml:space="preserve">70</w:t>
      </w:r>
      <w:r>
        <w:t xml:space="preserve"> </w:t>
      </w:r>
      <w:r>
        <w:t xml:space="preserve">-health</w:t>
      </w:r>
      <w:r>
        <w:t xml:space="preserve"> </w:t>
      </w:r>
      <w:r>
        <w:t xml:space="preserve">surveillance for</w:t>
      </w:r>
      <w:r>
        <w:t xml:space="preserve"> </w:t>
      </w:r>
      <w:r>
        <w:t xml:space="preserve">workers at &gt; 40</w:t>
      </w:r>
      <w:r>
        <w:t xml:space="preserve"> </w:t>
      </w:r>
      <w:r>
        <w:t xml:space="preserve">μg/100 ml</w:t>
      </w:r>
      <w:r>
        <w:t xml:space="preserve"> </w:t>
      </w:r>
      <w:r>
        <w:t xml:space="preserve">Russia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60</w:t>
      </w:r>
    </w:p>
    <w:p>
      <w:pPr>
        <w:pStyle w:val="BodyText"/>
      </w:pPr>
      <w:r>
        <w:t xml:space="preserve">40</w:t>
      </w:r>
      <w:r>
        <w:br/>
      </w:r>
      <w:r>
        <w:t xml:space="preserve">-health</w:t>
      </w:r>
      <w:r>
        <w:t xml:space="preserve"> </w:t>
      </w:r>
      <w:r>
        <w:t xml:space="preserve">surveillance for</w:t>
      </w:r>
      <w:r>
        <w:t xml:space="preserve"> </w:t>
      </w:r>
      <w:r>
        <w:t xml:space="preserve">workers at &gt; 40</w:t>
      </w:r>
      <w:r>
        <w:t xml:space="preserve"> </w:t>
      </w:r>
      <w:r>
        <w:t xml:space="preserve">μg/100 ml</w:t>
      </w:r>
    </w:p>
    <w:p>
      <w:pPr>
        <w:pStyle w:val="BodyText"/>
      </w:pPr>
      <w:r>
        <w:t xml:space="preserve">-women</w:t>
      </w:r>
      <w:r>
        <w:t xml:space="preserve"> </w:t>
      </w:r>
      <w:r>
        <w:t xml:space="preserve">at</w:t>
      </w:r>
      <w:r>
        <w:t xml:space="preserve"> </w:t>
      </w:r>
      <w:r>
        <w:t xml:space="preserve">childbearing age</w:t>
      </w:r>
      <w:r>
        <w:t xml:space="preserve"> </w:t>
      </w:r>
      <w:r>
        <w:t xml:space="preserve">South Korea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Latvia</w:t>
      </w:r>
      <w:r>
        <w:t xml:space="preserve"> </w:t>
      </w:r>
      <w:r>
        <w:t xml:space="preserve">60</w:t>
      </w:r>
      <w:r>
        <w:br/>
      </w:r>
      <w:r>
        <w:t xml:space="preserve">-health</w:t>
      </w:r>
      <w:r>
        <w:t xml:space="preserve"> </w:t>
      </w:r>
      <w:r>
        <w:t xml:space="preserve">surveillance for</w:t>
      </w:r>
      <w:r>
        <w:t xml:space="preserve"> </w:t>
      </w:r>
      <w:r>
        <w:t xml:space="preserve">workers at &gt; 40</w:t>
      </w:r>
      <w:r>
        <w:t xml:space="preserve"> </w:t>
      </w:r>
      <w:r>
        <w:t xml:space="preserve">μg/100 ml</w:t>
      </w:r>
      <w:r>
        <w:t xml:space="preserve"> </w:t>
      </w:r>
      <w:r>
        <w:t xml:space="preserve">Switzerland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-men,</w:t>
      </w:r>
      <w:r>
        <w:t xml:space="preserve"> </w:t>
      </w:r>
      <w:r>
        <w:t xml:space="preserve">women</w:t>
      </w:r>
      <w:r>
        <w:t xml:space="preserve"> </w:t>
      </w:r>
      <w:r>
        <w:t xml:space="preserve">&gt;45 years</w:t>
      </w:r>
    </w:p>
    <w:p>
      <w:pPr>
        <w:pStyle w:val="BodyText"/>
      </w:pPr>
      <w:r>
        <w:t xml:space="preserve">-women</w:t>
      </w:r>
      <w:r>
        <w:t xml:space="preserve"> </w:t>
      </w:r>
      <w:r>
        <w:t xml:space="preserve">&lt;45</w:t>
      </w:r>
      <w:r>
        <w:t xml:space="preserve"> </w:t>
      </w:r>
      <w:r>
        <w:t xml:space="preserve">years</w:t>
      </w:r>
      <w:r>
        <w:t xml:space="preserve"> </w:t>
      </w:r>
      <w:r>
        <w:t xml:space="preserve">Lithuania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Turkey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Luxembourg 70</w:t>
      </w:r>
    </w:p>
    <w:p>
      <w:pPr>
        <w:pStyle w:val="BodyText"/>
      </w:pP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60</w:t>
      </w:r>
    </w:p>
    <w:p>
      <w:pPr>
        <w:pStyle w:val="BodyText"/>
      </w:pPr>
      <w:r>
        <w:t xml:space="preserve">30</w:t>
      </w:r>
      <w:r>
        <w:br/>
      </w:r>
      <w:r>
        <w:t xml:space="preserve">-men</w:t>
      </w:r>
    </w:p>
    <w:p>
      <w:pPr>
        <w:pStyle w:val="BodyText"/>
      </w:pPr>
      <w:r>
        <w:t xml:space="preserve">-women</w:t>
      </w:r>
      <w:r>
        <w:t xml:space="preserve"> </w:t>
      </w:r>
      <w:r>
        <w:t xml:space="preserve">of</w:t>
      </w:r>
      <w:r>
        <w:t xml:space="preserve"> </w:t>
      </w:r>
      <w:r>
        <w:t xml:space="preserve">reproductive</w:t>
      </w:r>
      <w:r>
        <w:t xml:space="preserve"> </w:t>
      </w:r>
      <w:r>
        <w:t xml:space="preserve">capacity</w:t>
      </w:r>
      <w:r>
        <w:t xml:space="preserve"> </w:t>
      </w:r>
      <w:r>
        <w:t xml:space="preserve">Malta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USA, ACGIH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60</w:t>
      </w:r>
    </w:p>
    <w:p>
      <w:pPr>
        <w:pStyle w:val="BodyText"/>
      </w:pPr>
      <w:r>
        <w:t xml:space="preserve">USA, NIOS</w:t>
      </w:r>
      <w:r>
        <w:t xml:space="preserve"> </w:t>
      </w:r>
      <w:r>
        <w:t xml:space="preserve">60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50</w:t>
      </w:r>
    </w:p>
    <w:p>
      <w:pPr>
        <w:pStyle w:val="BodyText"/>
      </w:pPr>
      <w:r>
        <w:t xml:space="preserve">USA, OSHA</w:t>
      </w:r>
      <w:r>
        <w:t xml:space="preserve"> </w:t>
      </w:r>
      <w:r>
        <w:t xml:space="preserve">50</w:t>
      </w:r>
    </w:p>
    <w:p>
      <w:pPr>
        <w:pStyle w:val="BodyText"/>
      </w:pPr>
      <w:r>
        <w:t xml:space="preserve">Table 5: OELs in EU Member States and selected non-EU countries for lead (status: 28.06.20)</w:t>
      </w:r>
      <w:r>
        <w:t xml:space="preserve"> </w:t>
      </w:r>
      <w:r>
        <w:t xml:space="preserve">Country</w:t>
      </w:r>
      <w:r>
        <w:br/>
      </w:r>
      <w:r>
        <w:t xml:space="preserve">OEL [mg/m³,</w:t>
      </w:r>
      <w:r>
        <w:t xml:space="preserve"> </w:t>
      </w:r>
      <w:r>
        <w:t xml:space="preserve">(ppm)]</w:t>
      </w:r>
    </w:p>
    <w:p>
      <w:pPr>
        <w:pStyle w:val="BodyText"/>
      </w:pPr>
      <w:r>
        <w:t xml:space="preserve">Specification</w:t>
      </w:r>
      <w:r>
        <w:t xml:space="preserve"> </w:t>
      </w:r>
      <w:r>
        <w:t xml:space="preserve">Country</w:t>
      </w:r>
      <w:r>
        <w:br/>
      </w:r>
      <w:r>
        <w:t xml:space="preserve">OEL [mg/m³,</w:t>
      </w:r>
      <w:r>
        <w:t xml:space="preserve"> </w:t>
      </w:r>
      <w:r>
        <w:t xml:space="preserve">(ppm)]</w:t>
      </w:r>
      <w:r>
        <w:br/>
      </w:r>
      <w:r>
        <w:t xml:space="preserve">Specification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0.1 (I)</w:t>
      </w:r>
      <w:r>
        <w:t xml:space="preserve"> </w:t>
      </w:r>
      <w:r>
        <w:t xml:space="preserve">for</w:t>
      </w:r>
      <w:r>
        <w:t xml:space="preserve"> </w:t>
      </w:r>
      <w:r>
        <w:t xml:space="preserve">lead</w:t>
      </w:r>
      <w:r>
        <w:t xml:space="preserve"> </w:t>
      </w:r>
      <w:r>
        <w:t xml:space="preserve">compounds</w:t>
      </w:r>
      <w:r>
        <w:t xml:space="preserve"> </w:t>
      </w:r>
      <w:r>
        <w:t xml:space="preserve">except</w:t>
      </w:r>
      <w:r>
        <w:t xml:space="preserve"> </w:t>
      </w:r>
      <w:r>
        <w:t xml:space="preserve">alkyl</w:t>
      </w:r>
      <w:r>
        <w:t xml:space="preserve"> </w:t>
      </w:r>
      <w:r>
        <w:t xml:space="preserve">lead</w:t>
      </w:r>
      <w:r>
        <w:t xml:space="preserve"> </w:t>
      </w:r>
      <w:r>
        <w:t xml:space="preserve">compounds;</w:t>
      </w:r>
      <w:r>
        <w:t xml:space="preserve"> </w:t>
      </w:r>
      <w:r>
        <w:t xml:space="preserve">R1, L</w:t>
      </w:r>
      <w:r>
        <w:t xml:space="preserve"> </w:t>
      </w:r>
      <w:r>
        <w:t xml:space="preserve">Slovakia</w:t>
      </w:r>
      <w:r>
        <w:t xml:space="preserve"> </w:t>
      </w:r>
      <w:r>
        <w:t xml:space="preserve">0.5 (R)</w:t>
      </w:r>
      <w:r>
        <w:t xml:space="preserve"> </w:t>
      </w:r>
      <w:r>
        <w:t xml:space="preserve">0.15 (I)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0.15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0.1 (I)</w:t>
      </w:r>
      <w:r>
        <w:t xml:space="preserve"> </w:t>
      </w:r>
      <w:r>
        <w:t xml:space="preserve">R1</w:t>
      </w:r>
      <w:r>
        <w:t xml:space="preserve"> </w:t>
      </w:r>
      <w:r>
        <w:t xml:space="preserve">Bulgaria</w:t>
      </w:r>
      <w:r>
        <w:t xml:space="preserve"> </w:t>
      </w:r>
      <w:r>
        <w:t xml:space="preserve">0.05</w:t>
      </w:r>
    </w:p>
    <w:p>
      <w:pPr>
        <w:pStyle w:val="BodyText"/>
      </w:pPr>
      <w:r>
        <w:t xml:space="preserve">Spain</w:t>
      </w:r>
      <w:r>
        <w:t xml:space="preserve"> </w:t>
      </w:r>
      <w:r>
        <w:t xml:space="preserve">0.15 (I)</w:t>
      </w:r>
      <w:r>
        <w:t xml:space="preserve"> </w:t>
      </w:r>
      <w:r>
        <w:t xml:space="preserve">R1</w:t>
      </w:r>
      <w:r>
        <w:t xml:space="preserve"> </w:t>
      </w:r>
      <w:r>
        <w:t xml:space="preserve">Croatia</w:t>
      </w:r>
      <w:r>
        <w:t xml:space="preserve"> </w:t>
      </w:r>
      <w:r>
        <w:t xml:space="preserve">0,15†</w:t>
      </w:r>
      <w:r>
        <w:t xml:space="preserve"> </w:t>
      </w:r>
      <w:r>
        <w:t xml:space="preserve">except</w:t>
      </w:r>
      <w:r>
        <w:t xml:space="preserve"> </w:t>
      </w:r>
      <w:r>
        <w:t xml:space="preserve">lead</w:t>
      </w:r>
      <w:r>
        <w:t xml:space="preserve"> </w:t>
      </w:r>
      <w:r>
        <w:t xml:space="preserve">chloride</w:t>
      </w:r>
      <w:r>
        <w:t xml:space="preserve"> </w:t>
      </w:r>
      <w:r>
        <w:t xml:space="preserve">fluoride</w:t>
      </w:r>
      <w:r>
        <w:t xml:space="preserve"> </w:t>
      </w:r>
      <w:r>
        <w:t xml:space="preserve">iodide; R1</w:t>
      </w:r>
      <w:r>
        <w:t xml:space="preserve"> </w:t>
      </w:r>
      <w:r>
        <w:t xml:space="preserve">Sweden</w:t>
      </w:r>
      <w:r>
        <w:t xml:space="preserve"> </w:t>
      </w:r>
      <w:r>
        <w:t xml:space="preserve">(I)</w:t>
      </w:r>
      <w:r>
        <w:t xml:space="preserve"> </w:t>
      </w:r>
      <w:r>
        <w:t xml:space="preserve">0.05 (R)</w:t>
      </w:r>
      <w:r>
        <w:t xml:space="preserve"> </w:t>
      </w:r>
      <w:r>
        <w:t xml:space="preserve">R</w:t>
      </w:r>
      <w:r>
        <w:t xml:space="preserve"> </w:t>
      </w:r>
      <w:r>
        <w:t xml:space="preserve">Cyprus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0.15(I)†</w:t>
      </w:r>
    </w:p>
    <w:p>
      <w:pPr>
        <w:pStyle w:val="BodyText"/>
      </w:pP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0.05</w:t>
      </w:r>
      <w:r>
        <w:t xml:space="preserve"> </w:t>
      </w:r>
      <w:r>
        <w:t xml:space="preserve">for</w:t>
      </w:r>
      <w:r>
        <w:t xml:space="preserve"> </w:t>
      </w:r>
      <w:r>
        <w:t xml:space="preserve">lead</w:t>
      </w:r>
      <w:r>
        <w:t xml:space="preserve"> </w:t>
      </w:r>
      <w:r>
        <w:t xml:space="preserve">compounds</w:t>
      </w:r>
      <w:r>
        <w:t xml:space="preserve"> </w:t>
      </w:r>
      <w:r>
        <w:t xml:space="preserve">except</w:t>
      </w:r>
      <w:r>
        <w:t xml:space="preserve"> </w:t>
      </w:r>
      <w:r>
        <w:t xml:space="preserve">alkyl</w:t>
      </w:r>
      <w:r>
        <w:t xml:space="preserve"> </w:t>
      </w:r>
      <w:r>
        <w:t xml:space="preserve">lead</w:t>
      </w:r>
      <w:r>
        <w:t xml:space="preserve"> </w:t>
      </w:r>
      <w:r>
        <w:t xml:space="preserve">compounds</w:t>
      </w:r>
      <w:r>
        <w:br/>
      </w:r>
      <w:r>
        <w:t xml:space="preserve">Australia</w:t>
      </w:r>
      <w:r>
        <w:t xml:space="preserve"> </w:t>
      </w:r>
      <w:r>
        <w:t xml:space="preserve">0.05</w:t>
      </w:r>
      <w:r>
        <w:t xml:space="preserve"> </w:t>
      </w:r>
      <w:r>
        <w:t xml:space="preserve">Dusts</w:t>
      </w:r>
      <w:r>
        <w:t xml:space="preserve"> </w:t>
      </w:r>
      <w:r>
        <w:t xml:space="preserve">and</w:t>
      </w:r>
      <w:r>
        <w:t xml:space="preserve"> </w:t>
      </w:r>
      <w:r>
        <w:t xml:space="preserve">fumes</w:t>
      </w:r>
      <w:r>
        <w:t xml:space="preserve"> </w:t>
      </w:r>
      <w:r>
        <w:t xml:space="preserve">Denmark</w:t>
      </w:r>
      <w:r>
        <w:t xml:space="preserve"> </w:t>
      </w:r>
      <w:r>
        <w:t xml:space="preserve">0.05 (I)†</w:t>
      </w:r>
    </w:p>
    <w:p>
      <w:pPr>
        <w:pStyle w:val="BodyText"/>
      </w:pPr>
      <w:r>
        <w:t xml:space="preserve">Brazil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(T)</w:t>
      </w:r>
      <w:r>
        <w:t xml:space="preserve"> </w:t>
      </w:r>
      <w:r>
        <w:t xml:space="preserve">0.05 (R)</w:t>
      </w:r>
      <w:r>
        <w:t xml:space="preserve"> </w:t>
      </w:r>
      <w:r>
        <w:t xml:space="preserve">R</w:t>
      </w:r>
      <w:r>
        <w:t xml:space="preserve"> </w:t>
      </w:r>
      <w:r>
        <w:t xml:space="preserve">R</w:t>
      </w:r>
      <w:r>
        <w:t xml:space="preserve"> </w:t>
      </w:r>
      <w:r>
        <w:t xml:space="preserve">Canada,</w:t>
      </w:r>
      <w:r>
        <w:t xml:space="preserve"> </w:t>
      </w:r>
      <w:r>
        <w:t xml:space="preserve">Ontario</w:t>
      </w:r>
      <w:r>
        <w:t xml:space="preserve"> </w:t>
      </w:r>
      <w:r>
        <w:t xml:space="preserve">0.05</w:t>
      </w:r>
      <w:r>
        <w:t xml:space="preserve"> </w:t>
      </w:r>
      <w:r>
        <w:t xml:space="preserve">leemental,</w:t>
      </w:r>
      <w:r>
        <w:t xml:space="preserve"> </w:t>
      </w:r>
      <w:r>
        <w:t xml:space="preserve">inorganic</w:t>
      </w:r>
      <w:r>
        <w:t xml:space="preserve"> </w:t>
      </w:r>
      <w:r>
        <w:t xml:space="preserve">and</w:t>
      </w:r>
      <w:r>
        <w:t xml:space="preserve"> </w:t>
      </w:r>
      <w:r>
        <w:t xml:space="preserve">organic</w:t>
      </w:r>
      <w:r>
        <w:t xml:space="preserve"> </w:t>
      </w:r>
      <w:r>
        <w:t xml:space="preserve">compounds of</w:t>
      </w:r>
      <w:r>
        <w:t xml:space="preserve"> </w:t>
      </w:r>
      <w:r>
        <w:t xml:space="preserve">lead,</w:t>
      </w:r>
      <w:r>
        <w:t xml:space="preserve"> </w:t>
      </w:r>
      <w:r>
        <w:t xml:space="preserve">except</w:t>
      </w:r>
      <w:r>
        <w:t xml:space="preserve"> </w:t>
      </w:r>
      <w:r>
        <w:t xml:space="preserve">tetraethyl lead</w:t>
      </w:r>
      <w:r>
        <w:t xml:space="preserve"> </w:t>
      </w:r>
      <w:r>
        <w:t xml:space="preserve">Finland</w:t>
      </w:r>
      <w:r>
        <w:t xml:space="preserve"> </w:t>
      </w:r>
      <w:r>
        <w:t xml:space="preserve">0.1 †</w:t>
      </w:r>
    </w:p>
    <w:p>
      <w:pPr>
        <w:pStyle w:val="BodyText"/>
      </w:pPr>
      <w:r>
        <w:t xml:space="preserve">Canada,</w:t>
      </w:r>
      <w:r>
        <w:t xml:space="preserve"> </w:t>
      </w:r>
      <w:r>
        <w:t xml:space="preserve">Quebec</w:t>
      </w:r>
      <w:r>
        <w:t xml:space="preserve"> </w:t>
      </w:r>
      <w:r>
        <w:t xml:space="preserve">0.05</w:t>
      </w:r>
      <w:r>
        <w:t xml:space="preserve"> </w:t>
      </w:r>
      <w:r>
        <w:t xml:space="preserve">K</w:t>
      </w:r>
      <w:r>
        <w:t xml:space="preserve"> </w:t>
      </w:r>
      <w:r>
        <w:t xml:space="preserve">France</w:t>
      </w:r>
      <w:r>
        <w:t xml:space="preserve"> </w:t>
      </w:r>
      <w:r>
        <w:t xml:space="preserve">0.1 (I)</w:t>
      </w:r>
      <w:r>
        <w:t xml:space="preserve"> </w:t>
      </w:r>
      <w:r>
        <w:t xml:space="preserve">restrictive</w:t>
      </w:r>
      <w:r>
        <w:t xml:space="preserve"> </w:t>
      </w:r>
      <w:r>
        <w:t xml:space="preserve">statutory limit</w:t>
      </w:r>
      <w:r>
        <w:t xml:space="preserve"> </w:t>
      </w:r>
      <w:r>
        <w:t xml:space="preserve">value; K, R</w:t>
      </w:r>
      <w:r>
        <w:t xml:space="preserve"> </w:t>
      </w:r>
      <w:r>
        <w:t xml:space="preserve">China</w:t>
      </w:r>
      <w:r>
        <w:t xml:space="preserve"> </w:t>
      </w:r>
      <w:r>
        <w:t xml:space="preserve">0.05 (I)</w:t>
      </w:r>
      <w:r>
        <w:t xml:space="preserve"> </w:t>
      </w:r>
      <w:r>
        <w:t xml:space="preserve">0.03 (R)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0.15 (I) †</w:t>
      </w:r>
    </w:p>
    <w:p>
      <w:pPr>
        <w:pStyle w:val="BodyText"/>
      </w:pPr>
      <w:r>
        <w:t xml:space="preserve">0.1</w:t>
      </w:r>
      <w:r>
        <w:t xml:space="preserve"> </w:t>
      </w:r>
      <w:r>
        <w:t xml:space="preserve">R1, L</w:t>
      </w:r>
    </w:p>
    <w:p>
      <w:pPr>
        <w:pStyle w:val="BodyText"/>
      </w:pPr>
      <w:r>
        <w:t xml:space="preserve">reference</w:t>
      </w:r>
      <w:r>
        <w:t xml:space="preserve"> </w:t>
      </w:r>
      <w:r>
        <w:t xml:space="preserve">value*; R1, L</w:t>
      </w:r>
      <w:r>
        <w:t xml:space="preserve"> </w:t>
      </w:r>
      <w:r>
        <w:t xml:space="preserve">India</w:t>
      </w:r>
      <w:r>
        <w:t xml:space="preserve"> </w:t>
      </w:r>
      <w:r>
        <w:t xml:space="preserve">0.15</w:t>
      </w:r>
      <w:r>
        <w:t xml:space="preserve"> </w:t>
      </w:r>
      <w:r>
        <w:t xml:space="preserve">Dusts</w:t>
      </w:r>
      <w:r>
        <w:t xml:space="preserve"> </w:t>
      </w:r>
      <w:r>
        <w:t xml:space="preserve">and</w:t>
      </w:r>
      <w:r>
        <w:t xml:space="preserve"> </w:t>
      </w:r>
      <w:r>
        <w:t xml:space="preserve">fumes</w:t>
      </w:r>
      <w:r>
        <w:t xml:space="preserve"> </w:t>
      </w:r>
      <w:r>
        <w:t xml:space="preserve">Greece</w:t>
      </w:r>
    </w:p>
    <w:p>
      <w:pPr>
        <w:pStyle w:val="BodyText"/>
      </w:pPr>
      <w:r>
        <w:t xml:space="preserve">Japan</w:t>
      </w:r>
      <w:r>
        <w:t xml:space="preserve"> </w:t>
      </w:r>
      <w:r>
        <w:t xml:space="preserve">0.05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0.10</w:t>
      </w:r>
      <w:r>
        <w:br/>
      </w:r>
      <w:r>
        <w:t xml:space="preserve">0.05 (R)</w:t>
      </w:r>
    </w:p>
    <w:p>
      <w:pPr>
        <w:pStyle w:val="BodyText"/>
      </w:pPr>
      <w:r>
        <w:t xml:space="preserve">Japan JSOH</w:t>
      </w:r>
      <w:r>
        <w:t xml:space="preserve"> </w:t>
      </w:r>
      <w:r>
        <w:t xml:space="preserve">0.03</w:t>
      </w:r>
      <w:r>
        <w:t xml:space="preserve"> </w:t>
      </w:r>
      <w:r>
        <w:t xml:space="preserve">for</w:t>
      </w:r>
      <w:r>
        <w:t xml:space="preserve"> </w:t>
      </w:r>
      <w:r>
        <w:t xml:space="preserve">lead</w:t>
      </w:r>
      <w:r>
        <w:t xml:space="preserve"> </w:t>
      </w:r>
      <w:r>
        <w:t xml:space="preserve">compounds</w:t>
      </w:r>
      <w:r>
        <w:t xml:space="preserve"> </w:t>
      </w:r>
      <w:r>
        <w:t xml:space="preserve">except</w:t>
      </w:r>
      <w:r>
        <w:t xml:space="preserve"> </w:t>
      </w:r>
      <w:r>
        <w:t xml:space="preserve">alkyl</w:t>
      </w:r>
      <w:r>
        <w:t xml:space="preserve"> </w:t>
      </w:r>
      <w:r>
        <w:t xml:space="preserve">lead</w:t>
      </w:r>
      <w:r>
        <w:t xml:space="preserve"> </w:t>
      </w:r>
      <w:r>
        <w:t xml:space="preserve">compounds; K,</w:t>
      </w:r>
      <w:r>
        <w:t xml:space="preserve"> </w:t>
      </w:r>
      <w:r>
        <w:t xml:space="preserve">R1</w:t>
      </w:r>
      <w:r>
        <w:br/>
      </w:r>
      <w:r>
        <w:t xml:space="preserve">Ireland</w:t>
      </w:r>
      <w:r>
        <w:t xml:space="preserve"> </w:t>
      </w:r>
      <w:r>
        <w:t xml:space="preserve">0.15†</w:t>
      </w:r>
      <w:r>
        <w:t xml:space="preserve"> </w:t>
      </w:r>
      <w:r>
        <w:t xml:space="preserve">R1</w:t>
      </w:r>
      <w:r>
        <w:t xml:space="preserve"> </w:t>
      </w:r>
      <w:r>
        <w:t xml:space="preserve">Norway</w:t>
      </w:r>
      <w:r>
        <w:t xml:space="preserve"> </w:t>
      </w:r>
      <w:r>
        <w:t xml:space="preserve">0.05†</w:t>
      </w:r>
      <w:r>
        <w:t xml:space="preserve"> </w:t>
      </w:r>
      <w:r>
        <w:t xml:space="preserve">dusts</w:t>
      </w:r>
      <w:r>
        <w:t xml:space="preserve"> </w:t>
      </w:r>
      <w:r>
        <w:t xml:space="preserve">and</w:t>
      </w:r>
      <w:r>
        <w:t xml:space="preserve"> </w:t>
      </w:r>
      <w:r>
        <w:t xml:space="preserve">fumes; except</w:t>
      </w:r>
      <w:r>
        <w:t xml:space="preserve"> </w:t>
      </w:r>
      <w:r>
        <w:t xml:space="preserve">lead</w:t>
      </w:r>
      <w:r>
        <w:t xml:space="preserve"> </w:t>
      </w:r>
      <w:r>
        <w:t xml:space="preserve">acetate,</w:t>
      </w:r>
      <w:r>
        <w:t xml:space="preserve"> </w:t>
      </w:r>
      <w:r>
        <w:t xml:space="preserve">lead phosphate,</w:t>
      </w:r>
      <w:r>
        <w:t xml:space="preserve"> </w:t>
      </w:r>
      <w:r>
        <w:t xml:space="preserve">lead chromate</w:t>
      </w:r>
      <w:r>
        <w:t xml:space="preserve"> </w:t>
      </w:r>
      <w:r>
        <w:t xml:space="preserve">and</w:t>
      </w:r>
      <w:r>
        <w:t xml:space="preserve"> </w:t>
      </w:r>
      <w:r>
        <w:t xml:space="preserve">lead</w:t>
      </w:r>
      <w:r>
        <w:t xml:space="preserve"> </w:t>
      </w:r>
      <w:r>
        <w:t xml:space="preserve">subacetate; R</w:t>
      </w:r>
      <w:r>
        <w:t xml:space="preserve"> </w:t>
      </w:r>
      <w:r>
        <w:t xml:space="preserve">Italy</w:t>
      </w:r>
      <w:r>
        <w:t xml:space="preserve"> </w:t>
      </w:r>
      <w:r>
        <w:t xml:space="preserve">0.15</w:t>
      </w:r>
    </w:p>
    <w:p>
      <w:pPr>
        <w:pStyle w:val="BodyText"/>
      </w:pPr>
      <w:r>
        <w:t xml:space="preserve">Russia</w:t>
      </w:r>
      <w:r>
        <w:t xml:space="preserve"> </w:t>
      </w:r>
      <w:r>
        <w:t xml:space="preserve">0.05</w:t>
      </w:r>
      <w:r>
        <w:t xml:space="preserve"> </w:t>
      </w:r>
      <w:r>
        <w:t xml:space="preserve">aerosol</w:t>
      </w:r>
      <w:r>
        <w:t xml:space="preserve"> </w:t>
      </w:r>
      <w:r>
        <w:t xml:space="preserve">Latvia</w:t>
      </w:r>
      <w:r>
        <w:br/>
      </w:r>
      <w:r>
        <w:t xml:space="preserve">0.05</w:t>
      </w:r>
    </w:p>
    <w:p>
      <w:pPr>
        <w:pStyle w:val="BodyText"/>
      </w:pPr>
      <w:r>
        <w:t xml:space="preserve">South Korea</w:t>
      </w:r>
      <w:r>
        <w:t xml:space="preserve"> </w:t>
      </w:r>
      <w:r>
        <w:t xml:space="preserve">0.05</w:t>
      </w:r>
      <w:r>
        <w:t xml:space="preserve"> </w:t>
      </w:r>
      <w:r>
        <w:t xml:space="preserve">K, R1</w:t>
      </w:r>
      <w:r>
        <w:t xml:space="preserve"> </w:t>
      </w:r>
      <w:r>
        <w:t xml:space="preserve">Lithuania</w:t>
      </w:r>
      <w:r>
        <w:t xml:space="preserve"> </w:t>
      </w:r>
      <w:r>
        <w:t xml:space="preserve">0.15 (I)</w:t>
      </w:r>
      <w:r>
        <w:t xml:space="preserve"> </w:t>
      </w:r>
      <w:r>
        <w:t xml:space="preserve">except</w:t>
      </w:r>
      <w:r>
        <w:t xml:space="preserve"> </w:t>
      </w:r>
      <w:r>
        <w:t xml:space="preserve">lead Switzerland</w:t>
      </w:r>
      <w:r>
        <w:t xml:space="preserve"> </w:t>
      </w:r>
      <w:r>
        <w:t xml:space="preserve">0.1 (I)</w:t>
      </w:r>
      <w:r>
        <w:t xml:space="preserve"> </w:t>
      </w:r>
      <w:r>
        <w:t xml:space="preserve">except</w:t>
      </w:r>
      <w:r>
        <w:t xml:space="preserve"> </w:t>
      </w:r>
      <w:r>
        <w:t xml:space="preserve">alkyl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0.07 (R)</w:t>
      </w:r>
      <w:r>
        <w:t xml:space="preserve"> </w:t>
      </w:r>
      <w:r>
        <w:t xml:space="preserve">sulphide; R</w:t>
      </w:r>
    </w:p>
    <w:p>
      <w:pPr>
        <w:pStyle w:val="BodyText"/>
      </w:pPr>
      <w:r>
        <w:t xml:space="preserve">except</w:t>
      </w:r>
      <w:r>
        <w:t xml:space="preserve"> </w:t>
      </w:r>
      <w:r>
        <w:t xml:space="preserve">lead</w:t>
      </w:r>
      <w:r>
        <w:t xml:space="preserve"> </w:t>
      </w:r>
      <w:r>
        <w:t xml:space="preserve">sulphide; R</w:t>
      </w:r>
      <w:r>
        <w:t xml:space="preserve"> </w:t>
      </w:r>
      <w:r>
        <w:t xml:space="preserve">lead</w:t>
      </w:r>
      <w:r>
        <w:t xml:space="preserve"> </w:t>
      </w:r>
      <w:r>
        <w:t xml:space="preserve">compounds;</w:t>
      </w:r>
      <w:r>
        <w:t xml:space="preserve"> </w:t>
      </w:r>
      <w:r>
        <w:t xml:space="preserve">K2,R1</w:t>
      </w:r>
      <w:r>
        <w:br/>
      </w:r>
      <w:r>
        <w:t xml:space="preserve">Luxembourg</w:t>
      </w:r>
      <w:r>
        <w:t xml:space="preserve"> </w:t>
      </w:r>
      <w:r>
        <w:t xml:space="preserve">0.15</w:t>
      </w:r>
    </w:p>
    <w:p>
      <w:pPr>
        <w:pStyle w:val="BodyText"/>
      </w:pPr>
      <w:r>
        <w:t xml:space="preserve">Turkey</w:t>
      </w:r>
      <w:r>
        <w:t xml:space="preserve"> </w:t>
      </w:r>
      <w:r>
        <w:t xml:space="preserve">0.15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0.15†</w:t>
      </w:r>
    </w:p>
    <w:p>
      <w:pPr>
        <w:pStyle w:val="BodyText"/>
      </w:pP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0.15</w:t>
      </w:r>
      <w:r>
        <w:t xml:space="preserve"> </w:t>
      </w:r>
      <w:r>
        <w:t xml:space="preserve">except</w:t>
      </w:r>
      <w:r>
        <w:t xml:space="preserve"> </w:t>
      </w:r>
      <w:r>
        <w:t xml:space="preserve">alkyl</w:t>
      </w:r>
      <w:r>
        <w:t xml:space="preserve"> </w:t>
      </w:r>
      <w:r>
        <w:t xml:space="preserve">lead</w:t>
      </w:r>
      <w:r>
        <w:t xml:space="preserve"> </w:t>
      </w:r>
      <w:r>
        <w:t xml:space="preserve">compounds</w:t>
      </w:r>
      <w:r>
        <w:t xml:space="preserve"> </w:t>
      </w:r>
      <w:r>
        <w:t xml:space="preserve">Netherlands</w:t>
      </w:r>
      <w:r>
        <w:t xml:space="preserve"> </w:t>
      </w:r>
      <w:r>
        <w:t xml:space="preserve">0.15 (I)†</w:t>
      </w:r>
    </w:p>
    <w:p>
      <w:pPr>
        <w:pStyle w:val="BodyText"/>
      </w:pPr>
      <w:r>
        <w:t xml:space="preserve">USA, ACGIH</w:t>
      </w:r>
      <w:r>
        <w:t xml:space="preserve"> </w:t>
      </w:r>
      <w:r>
        <w:t xml:space="preserve">0.05</w:t>
      </w:r>
      <w:r>
        <w:t xml:space="preserve"> </w:t>
      </w:r>
      <w:r>
        <w:t xml:space="preserve">K</w:t>
      </w:r>
      <w:r>
        <w:t xml:space="preserve"> </w:t>
      </w:r>
      <w:r>
        <w:t xml:space="preserve">Poland</w:t>
      </w:r>
      <w:r>
        <w:t xml:space="preserve"> </w:t>
      </w:r>
      <w:r>
        <w:t xml:space="preserve">0.05 (I)</w:t>
      </w:r>
      <w:r>
        <w:t xml:space="preserve"> </w:t>
      </w:r>
      <w:r>
        <w:t xml:space="preserve">except</w:t>
      </w:r>
      <w:r>
        <w:t xml:space="preserve"> </w:t>
      </w:r>
      <w:r>
        <w:t xml:space="preserve">lead</w:t>
      </w:r>
      <w:r>
        <w:t xml:space="preserve"> </w:t>
      </w:r>
      <w:r>
        <w:t xml:space="preserve">arsenate</w:t>
      </w:r>
      <w:r>
        <w:t xml:space="preserve"> </w:t>
      </w:r>
      <w:r>
        <w:t xml:space="preserve">and</w:t>
      </w:r>
      <w:r>
        <w:t xml:space="preserve"> </w:t>
      </w:r>
      <w:r>
        <w:t xml:space="preserve">lead chromate</w:t>
      </w:r>
      <w:r>
        <w:br/>
      </w:r>
      <w:r>
        <w:t xml:space="preserve">USA, NIOSH</w:t>
      </w:r>
      <w:r>
        <w:t xml:space="preserve"> </w:t>
      </w:r>
      <w:r>
        <w:t xml:space="preserve">0.05(T)</w:t>
      </w:r>
    </w:p>
    <w:p>
      <w:pPr>
        <w:pStyle w:val="BodyText"/>
      </w:pPr>
      <w:r>
        <w:t xml:space="preserve">Portugal</w:t>
      </w:r>
      <w:r>
        <w:t xml:space="preserve"> </w:t>
      </w:r>
      <w:r>
        <w:t xml:space="preserve">0.15</w:t>
      </w:r>
    </w:p>
    <w:p>
      <w:pPr>
        <w:pStyle w:val="BodyText"/>
      </w:pPr>
      <w:r>
        <w:t xml:space="preserve">USA, OSHA</w:t>
      </w:r>
      <w:r>
        <w:t xml:space="preserve"> </w:t>
      </w:r>
      <w:r>
        <w:t xml:space="preserve">0.05 (T)</w:t>
      </w:r>
    </w:p>
    <w:p>
      <w:pPr>
        <w:pStyle w:val="BodyText"/>
      </w:pPr>
      <w:r>
        <w:t xml:space="preserve">Romania</w:t>
      </w:r>
      <w:r>
        <w:t xml:space="preserve"> </w:t>
      </w:r>
      <w:r>
        <w:t xml:space="preserve">0.15</w:t>
      </w:r>
    </w:p>
    <w:p>
      <w:pPr>
        <w:pStyle w:val="BodyText"/>
      </w:pPr>
      <w:r>
        <w:t xml:space="preserve">JSOH = Japan Society for Occupational Health</w:t>
      </w:r>
      <w:r>
        <w:br/>
      </w:r>
      <w:r>
        <w:t xml:space="preserve">ACGIH = American Conference of Governmental Industrial Hygienists</w:t>
      </w:r>
      <w:r>
        <w:br/>
      </w:r>
      <w:r>
        <w:t xml:space="preserve">OSHA = Occupational Safety and Health Administration</w:t>
      </w:r>
      <w:r>
        <w:br/>
      </w:r>
      <w:r>
        <w:t xml:space="preserve">NIOSH = National Institute for Occupational Safety and Health</w:t>
      </w:r>
      <w:r>
        <w:br/>
      </w:r>
      <w:r>
        <w:t xml:space="preserve">(I) = inhalable fraction/aerosol</w:t>
      </w:r>
      <w:r>
        <w:br/>
      </w:r>
      <w:r>
        <w:t xml:space="preserve">(R) = respirable fraction/aerosol</w:t>
      </w:r>
      <w:r>
        <w:br/>
      </w:r>
      <w:r>
        <w:t xml:space="preserve">(T) = total dust</w:t>
      </w:r>
      <w:r>
        <w:br/>
      </w:r>
      <w:r>
        <w:t xml:space="preserve">K = carcinogenicity notation assigned</w:t>
      </w:r>
      <w:r>
        <w:t xml:space="preserve"> </w:t>
      </w:r>
      <w:r>
        <w:t xml:space="preserve">K1 = assigned as Carc. Category 1A or 1B</w:t>
      </w:r>
      <w:r>
        <w:t xml:space="preserve"> </w:t>
      </w:r>
      <w:r>
        <w:t xml:space="preserve">K2 = assigned as Carc. Category</w:t>
      </w:r>
      <w:r>
        <w:br/>
      </w:r>
      <w:r>
        <w:t xml:space="preserve">R = notation as reproductive toxin assigned</w:t>
      </w:r>
      <w:r>
        <w:br/>
      </w:r>
      <w:r>
        <w:t xml:space="preserve">R1 = assigned as Repr. Category 1A or 1B</w:t>
      </w:r>
      <w:r>
        <w:br/>
      </w:r>
      <w:r>
        <w:t xml:space="preserve">L = notation for effects on or via lactation assigned</w:t>
      </w:r>
      <w:r>
        <w:br/>
      </w:r>
      <w:r>
        <w:t xml:space="preserve">* reference value that represents the state of the art. Individual measures are related to this limit value.</w:t>
      </w:r>
      <w:r>
        <w:t xml:space="preserve"> </w:t>
      </w:r>
      <w:r>
        <w:t xml:space="preserve">† binding limit value, if explicitly stated by the member state</w:t>
      </w:r>
      <w:r>
        <w:br/>
      </w:r>
      <w:r>
        <w:t xml:space="preserve">**NIOSH indicates a time-weighted average concentration for up to a 10-hour workday during a 40-</w:t>
      </w:r>
      <w:r>
        <w:t xml:space="preserve"> </w:t>
      </w:r>
      <w:r>
        <w:t xml:space="preserve">hour workweek.</w:t>
      </w:r>
    </w:p>
    <w:p>
      <w:pPr>
        <w:pStyle w:val="BodyText"/>
      </w:pPr>
      <w:r>
        <w:t xml:space="preserve">5.2</w:t>
      </w:r>
      <w:r>
        <w:t xml:space="preserve"> </w:t>
      </w:r>
      <w:r>
        <w:t xml:space="preserve">Diisocyanates</w:t>
      </w:r>
      <w:r>
        <w:t xml:space="preserve"> </w:t>
      </w:r>
      <w:r>
        <w:t xml:space="preserve">5.2.1</w:t>
      </w:r>
      <w:r>
        <w:t xml:space="preserve"> </w:t>
      </w:r>
      <w:r>
        <w:t xml:space="preserve">Overview of uses</w:t>
      </w:r>
      <w:r>
        <w:t xml:space="preserve"> </w:t>
      </w:r>
      <w:r>
        <w:t xml:space="preserve">Diisocyanates are important industrial chemicals that have several applications; these can primarily be</w:t>
      </w:r>
      <w:r>
        <w:t xml:space="preserve"> </w:t>
      </w:r>
      <w:r>
        <w:t xml:space="preserve">categorised as: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•</w:t>
      </w:r>
      <w:r>
        <w:t xml:space="preserve"> </w:t>
      </w:r>
      <w:r>
        <w:t xml:space="preserve">Polyurethane;</w:t>
      </w:r>
      <w:r>
        <w:t xml:space="preserve"> </w:t>
      </w:r>
      <w:r>
        <w:t xml:space="preserve">•</w:t>
      </w:r>
      <w:r>
        <w:t xml:space="preserve"> </w:t>
      </w:r>
      <w:r>
        <w:t xml:space="preserve">CASE:</w:t>
      </w:r>
      <w:r>
        <w:t xml:space="preserve"> </w:t>
      </w:r>
      <w:r>
        <w:t xml:space="preserve">-</w:t>
      </w:r>
      <w:r>
        <w:t xml:space="preserve"> </w:t>
      </w:r>
      <w:r>
        <w:t xml:space="preserve">Coatings (surface treatment like paints and lacquers);</w:t>
      </w:r>
      <w:r>
        <w:t xml:space="preserve"> </w:t>
      </w:r>
      <w:r>
        <w:t xml:space="preserve">-</w:t>
      </w:r>
      <w:r>
        <w:t xml:space="preserve"> </w:t>
      </w:r>
      <w:r>
        <w:t xml:space="preserve">Adhesives;</w:t>
      </w:r>
      <w:r>
        <w:t xml:space="preserve"> </w:t>
      </w:r>
      <w:r>
        <w:t xml:space="preserve">-</w:t>
      </w:r>
      <w:r>
        <w:t xml:space="preserve"> </w:t>
      </w:r>
      <w:r>
        <w:t xml:space="preserve">Sealants (e.g., fillers/joint fillers); and</w:t>
      </w:r>
      <w:r>
        <w:t xml:space="preserve"> </w:t>
      </w:r>
      <w:r>
        <w:t xml:space="preserve">-</w:t>
      </w:r>
      <w:r>
        <w:t xml:space="preserve"> </w:t>
      </w:r>
      <w:r>
        <w:t xml:space="preserve">Elastomers (e.g., rubber and thermoplastic elastomers).</w:t>
      </w:r>
      <w:r>
        <w:t xml:space="preserve"> </w:t>
      </w:r>
      <w:r>
        <w:t xml:space="preserve">The use of diisocyanates consists of manufacturing and professional uses.</w:t>
      </w:r>
      <w:r>
        <w:t xml:space="preserve"> </w:t>
      </w:r>
      <w:r>
        <w:t xml:space="preserve">Diisocyanates are used as a raw material in the production of all polyurethane products. Polyurethane</w:t>
      </w:r>
      <w:r>
        <w:t xml:space="preserve"> </w:t>
      </w:r>
      <w:r>
        <w:t xml:space="preserve">foams (flexible and rigid) are strong, durable, resistant to abrasion, resistant to corrosion, have low</w:t>
      </w:r>
      <w:r>
        <w:t xml:space="preserve"> </w:t>
      </w:r>
      <w:r>
        <w:t xml:space="preserve">thermal conductivity, and easily fill voids, and can be shaped. Combined, these properties make</w:t>
      </w:r>
      <w:r>
        <w:t xml:space="preserve"> </w:t>
      </w:r>
      <w:r>
        <w:t xml:space="preserve">polyurethane foams ideal for use in insulated building panels, mattresses, upholstered furniture, car</w:t>
      </w:r>
      <w:r>
        <w:t xml:space="preserve"> </w:t>
      </w:r>
      <w:r>
        <w:t xml:space="preserve">seats, domestic refrigerators, freezers, composite wood panels, truck bodies and footwear.</w:t>
      </w:r>
      <w:r>
        <w:t xml:space="preserve"> </w:t>
      </w:r>
      <w:r>
        <w:t xml:space="preserve">Diisocyanates may be present at concentrations of between 0-50% in coatings/paint products and</w:t>
      </w:r>
      <w:r>
        <w:t xml:space="preserve"> </w:t>
      </w:r>
      <w:r>
        <w:t xml:space="preserve">0.01-90% in adhesive and sealant products (Danish Environmental Protection Agency, 2014). CASE</w:t>
      </w:r>
      <w:r>
        <w:t xml:space="preserve"> </w:t>
      </w:r>
      <w:r>
        <w:t xml:space="preserve">products are widely used and occupational exposure may occur during both the manufacturing of the</w:t>
      </w:r>
      <w:r>
        <w:t xml:space="preserve"> </w:t>
      </w:r>
      <w:r>
        <w:t xml:space="preserve">relevant products as well as professional use. This includes settings such as construction,</w:t>
      </w:r>
      <w:r>
        <w:t xml:space="preserve"> </w:t>
      </w:r>
      <w:r>
        <w:t xml:space="preserve">manufacturing of electrical and related equipment, manufacturing of shoes and textiles, manufacturing</w:t>
      </w:r>
      <w:r>
        <w:t xml:space="preserve"> </w:t>
      </w:r>
      <w:r>
        <w:t xml:space="preserve">of wood, transport and machinery manufacturing, and the repair of transport and machinery.</w:t>
      </w:r>
      <w:r>
        <w:t xml:space="preserve"> </w:t>
      </w:r>
      <w:r>
        <w:t xml:space="preserve">PMDI is used to produce both flexible and rigid foams (typically rigid foam is used in metal</w:t>
      </w:r>
      <w:r>
        <w:t xml:space="preserve"> </w:t>
      </w:r>
      <w:r>
        <w:t xml:space="preserve">insulation). insulation boards and cool chain applications (fixed and mobile refrigeration and</w:t>
      </w:r>
      <w:r>
        <w:t xml:space="preserve"> </w:t>
      </w:r>
      <w:r>
        <w:t xml:space="preserve">freezers). Flexible foam manufacturing is the largest consumer of TDI by volume and second largest</w:t>
      </w:r>
      <w:r>
        <w:t xml:space="preserve"> </w:t>
      </w:r>
      <w:r>
        <w:t xml:space="preserve">consumer of MDI. The largest consumer of MDI is the rigid foam sector (in the form of pMDI) and</w:t>
      </w:r>
      <w:r>
        <w:t xml:space="preserve"> </w:t>
      </w:r>
      <w:r>
        <w:t xml:space="preserve">the elastomer sector. CASE products typically contain MDI, HDI or TDI. The table below subdivides</w:t>
      </w:r>
      <w:r>
        <w:t xml:space="preserve"> </w:t>
      </w:r>
      <w:r>
        <w:t xml:space="preserve">the 2011 MDI and TDI consumption data for volumes on the EU market (EU27+Norway) into the</w:t>
      </w:r>
      <w:r>
        <w:t xml:space="preserve"> </w:t>
      </w:r>
      <w:r>
        <w:t xml:space="preserve">main application categories.</w:t>
      </w:r>
      <w:r>
        <w:t xml:space="preserve"> </w:t>
      </w:r>
      <w:r>
        <w:t xml:space="preserve">Insulating products manufactured with diisocyanates contribute highly to the EU’s food and medicine</w:t>
      </w:r>
      <w:r>
        <w:t xml:space="preserve"> </w:t>
      </w:r>
      <w:r>
        <w:t xml:space="preserve">quality, and also significantly contribute to business and residential energy savings. CASE products</w:t>
      </w:r>
      <w:r>
        <w:t xml:space="preserve"> </w:t>
      </w:r>
      <w:r>
        <w:t xml:space="preserve">are currently widely used, and the product properties contribute significantly to the sectors they are</w:t>
      </w:r>
      <w:r>
        <w:t xml:space="preserve"> </w:t>
      </w:r>
      <w:r>
        <w:t xml:space="preserve">used in.</w:t>
      </w:r>
      <w:r>
        <w:t xml:space="preserve"> </w:t>
      </w:r>
      <w:r>
        <w:t xml:space="preserve">Table 5: Yearly MDI and TDI consumption data for EU (plus Norway) subdivided into main</w:t>
      </w:r>
      <w:r>
        <w:t xml:space="preserve"> </w:t>
      </w:r>
      <w:r>
        <w:t xml:space="preserve">application areas.</w:t>
      </w:r>
      <w:r>
        <w:t xml:space="preserve"> </w:t>
      </w:r>
      <w:r>
        <w:t xml:space="preserve">EU27+Norway</w:t>
      </w:r>
      <w:r>
        <w:t xml:space="preserve"> </w:t>
      </w:r>
      <w:r>
        <w:t xml:space="preserve">(2011)</w:t>
      </w:r>
      <w:r>
        <w:t xml:space="preserve"> </w:t>
      </w:r>
      <w:r>
        <w:t xml:space="preserve">Polymeric</w:t>
      </w:r>
      <w:r>
        <w:t xml:space="preserve"> </w:t>
      </w:r>
      <w:r>
        <w:t xml:space="preserve">MDI</w:t>
      </w:r>
      <w:r>
        <w:t xml:space="preserve"> </w:t>
      </w:r>
      <w:r>
        <w:t xml:space="preserve">(pMDI)</w:t>
      </w:r>
      <w:r>
        <w:t xml:space="preserve"> </w:t>
      </w:r>
      <w:r>
        <w:t xml:space="preserve">(t/year)</w:t>
      </w:r>
      <w:r>
        <w:t xml:space="preserve"> </w:t>
      </w:r>
      <w:r>
        <w:t xml:space="preserve">Monomeric</w:t>
      </w:r>
      <w:r>
        <w:t xml:space="preserve"> </w:t>
      </w:r>
      <w:r>
        <w:t xml:space="preserve">MDI</w:t>
      </w:r>
      <w:r>
        <w:t xml:space="preserve"> </w:t>
      </w:r>
      <w:r>
        <w:t xml:space="preserve">(t/year)</w:t>
      </w:r>
      <w:r>
        <w:t xml:space="preserve"> </w:t>
      </w:r>
      <w:r>
        <w:t xml:space="preserve">TDI</w:t>
      </w:r>
      <w:r>
        <w:t xml:space="preserve"> </w:t>
      </w:r>
      <w:r>
        <w:t xml:space="preserve">(t/year)</w:t>
      </w:r>
      <w:r>
        <w:t xml:space="preserve"> </w:t>
      </w:r>
      <w:r>
        <w:t xml:space="preserve">Total</w:t>
      </w:r>
      <w:r>
        <w:t xml:space="preserve"> </w:t>
      </w:r>
      <w:r>
        <w:t xml:space="preserve">MDI</w:t>
      </w:r>
      <w:r>
        <w:t xml:space="preserve"> </w:t>
      </w:r>
      <w:r>
        <w:t xml:space="preserve">and</w:t>
      </w:r>
      <w:r>
        <w:t xml:space="preserve"> </w:t>
      </w:r>
      <w:r>
        <w:t xml:space="preserve">TDI</w:t>
      </w:r>
      <w:r>
        <w:t xml:space="preserve"> </w:t>
      </w:r>
      <w:r>
        <w:t xml:space="preserve">(t/year)</w:t>
      </w:r>
      <w:r>
        <w:t xml:space="preserve"> </w:t>
      </w:r>
      <w:r>
        <w:t xml:space="preserve">Speciality</w:t>
      </w:r>
      <w:r>
        <w:t xml:space="preserve"> </w:t>
      </w:r>
      <w:r>
        <w:t xml:space="preserve">Diiso</w:t>
      </w:r>
      <w:r>
        <w:t xml:space="preserve"> </w:t>
      </w:r>
      <w:r>
        <w:t xml:space="preserve">cyanates</w:t>
      </w:r>
      <w:r>
        <w:t xml:space="preserve"> </w:t>
      </w:r>
      <w:r>
        <w:t xml:space="preserve">(t/year)</w:t>
      </w:r>
      <w:r>
        <w:t xml:space="preserve"> </w:t>
      </w:r>
      <w:r>
        <w:t xml:space="preserve">Adhesives</w:t>
      </w:r>
      <w:r>
        <w:br/>
      </w:r>
      <w:r>
        <w:t xml:space="preserve">17 900</w:t>
      </w:r>
      <w:r>
        <w:t xml:space="preserve"> </w:t>
      </w:r>
      <w:r>
        <w:t xml:space="preserve">28 500</w:t>
      </w:r>
      <w:r>
        <w:t xml:space="preserve"> </w:t>
      </w:r>
      <w:r>
        <w:t xml:space="preserve">18 300</w:t>
      </w:r>
      <w:r>
        <w:t xml:space="preserve"> </w:t>
      </w:r>
      <w:r>
        <w:t xml:space="preserve">64 700 (4%)</w:t>
      </w:r>
      <w:r>
        <w:t xml:space="preserve"> </w:t>
      </w:r>
      <w:r>
        <w:t xml:space="preserve">11 600</w:t>
      </w:r>
      <w:r>
        <w:t xml:space="preserve"> </w:t>
      </w:r>
      <w:r>
        <w:t xml:space="preserve">Coatings</w:t>
      </w:r>
      <w:r>
        <w:br/>
      </w:r>
      <w:r>
        <w:t xml:space="preserve">35 500</w:t>
      </w:r>
      <w:r>
        <w:t xml:space="preserve"> </w:t>
      </w:r>
      <w:r>
        <w:t xml:space="preserve">10 900</w:t>
      </w:r>
      <w:r>
        <w:t xml:space="preserve"> </w:t>
      </w:r>
      <w:r>
        <w:t xml:space="preserve">30 100</w:t>
      </w:r>
      <w:r>
        <w:t xml:space="preserve"> </w:t>
      </w:r>
      <w:r>
        <w:t xml:space="preserve">76 500 (5%)</w:t>
      </w:r>
      <w:r>
        <w:t xml:space="preserve"> </w:t>
      </w:r>
      <w:r>
        <w:t xml:space="preserve">66 800</w:t>
      </w:r>
      <w:r>
        <w:t xml:space="preserve"> </w:t>
      </w:r>
      <w:r>
        <w:t xml:space="preserve">Elastomers</w:t>
      </w:r>
      <w:r>
        <w:br/>
      </w:r>
      <w:r>
        <w:t xml:space="preserve">0</w:t>
      </w:r>
      <w:r>
        <w:t xml:space="preserve"> </w:t>
      </w:r>
      <w:r>
        <w:t xml:space="preserve">101 500</w:t>
      </w:r>
      <w:r>
        <w:t xml:space="preserve"> </w:t>
      </w:r>
      <w:r>
        <w:t xml:space="preserve">2 500</w:t>
      </w:r>
      <w:r>
        <w:t xml:space="preserve"> </w:t>
      </w:r>
      <w:r>
        <w:t xml:space="preserve">104 000 (7%)</w:t>
      </w:r>
      <w:r>
        <w:t xml:space="preserve"> </w:t>
      </w:r>
      <w:r>
        <w:t xml:space="preserve">5 300</w:t>
      </w:r>
      <w:r>
        <w:t xml:space="preserve"> </w:t>
      </w:r>
      <w:r>
        <w:t xml:space="preserve">Sealants</w:t>
      </w:r>
      <w:r>
        <w:br/>
      </w:r>
      <w:r>
        <w:t xml:space="preserve">5 300</w:t>
      </w:r>
      <w:r>
        <w:t xml:space="preserve"> </w:t>
      </w:r>
      <w:r>
        <w:t xml:space="preserve">6 700</w:t>
      </w:r>
      <w:r>
        <w:t xml:space="preserve"> </w:t>
      </w:r>
      <w:r>
        <w:t xml:space="preserve">4 400</w:t>
      </w:r>
      <w:r>
        <w:t xml:space="preserve"> </w:t>
      </w:r>
      <w:r>
        <w:t xml:space="preserve">16 400 (1%)</w:t>
      </w:r>
      <w:r>
        <w:t xml:space="preserve"> </w:t>
      </w:r>
      <w:r>
        <w:t xml:space="preserve">600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EU27+Norway</w:t>
      </w:r>
      <w:r>
        <w:t xml:space="preserve"> </w:t>
      </w:r>
      <w:r>
        <w:t xml:space="preserve">(2011)</w:t>
      </w:r>
      <w:r>
        <w:t xml:space="preserve"> </w:t>
      </w:r>
      <w:r>
        <w:t xml:space="preserve">Polymeric</w:t>
      </w:r>
      <w:r>
        <w:t xml:space="preserve"> </w:t>
      </w:r>
      <w:r>
        <w:t xml:space="preserve">MDI</w:t>
      </w:r>
      <w:r>
        <w:t xml:space="preserve"> </w:t>
      </w:r>
      <w:r>
        <w:t xml:space="preserve">(pMDI)</w:t>
      </w:r>
      <w:r>
        <w:t xml:space="preserve"> </w:t>
      </w:r>
      <w:r>
        <w:t xml:space="preserve">(t/year)</w:t>
      </w:r>
      <w:r>
        <w:t xml:space="preserve"> </w:t>
      </w:r>
      <w:r>
        <w:t xml:space="preserve">Monomeric</w:t>
      </w:r>
      <w:r>
        <w:t xml:space="preserve"> </w:t>
      </w:r>
      <w:r>
        <w:t xml:space="preserve">MDI</w:t>
      </w:r>
      <w:r>
        <w:t xml:space="preserve"> </w:t>
      </w:r>
      <w:r>
        <w:t xml:space="preserve">(t/year)</w:t>
      </w:r>
      <w:r>
        <w:t xml:space="preserve"> </w:t>
      </w:r>
      <w:r>
        <w:t xml:space="preserve">TDI</w:t>
      </w:r>
      <w:r>
        <w:t xml:space="preserve"> </w:t>
      </w:r>
      <w:r>
        <w:t xml:space="preserve">(t/year)</w:t>
      </w:r>
      <w:r>
        <w:t xml:space="preserve"> </w:t>
      </w:r>
      <w:r>
        <w:t xml:space="preserve">Total</w:t>
      </w:r>
      <w:r>
        <w:t xml:space="preserve"> </w:t>
      </w:r>
      <w:r>
        <w:t xml:space="preserve">MDI</w:t>
      </w:r>
      <w:r>
        <w:t xml:space="preserve"> </w:t>
      </w:r>
      <w:r>
        <w:t xml:space="preserve">and</w:t>
      </w:r>
      <w:r>
        <w:t xml:space="preserve"> </w:t>
      </w:r>
      <w:r>
        <w:t xml:space="preserve">TDI</w:t>
      </w:r>
      <w:r>
        <w:t xml:space="preserve"> </w:t>
      </w:r>
      <w:r>
        <w:t xml:space="preserve">(t/year)</w:t>
      </w:r>
      <w:r>
        <w:t xml:space="preserve"> </w:t>
      </w:r>
      <w:r>
        <w:t xml:space="preserve">Speciality</w:t>
      </w:r>
      <w:r>
        <w:t xml:space="preserve"> </w:t>
      </w:r>
      <w:r>
        <w:t xml:space="preserve">Diiso</w:t>
      </w:r>
      <w:r>
        <w:t xml:space="preserve"> </w:t>
      </w:r>
      <w:r>
        <w:t xml:space="preserve">cyanates</w:t>
      </w:r>
      <w:r>
        <w:t xml:space="preserve"> </w:t>
      </w:r>
      <w:r>
        <w:t xml:space="preserve">(t/year)</w:t>
      </w:r>
      <w:r>
        <w:t xml:space="preserve"> </w:t>
      </w:r>
      <w:r>
        <w:t xml:space="preserve">Binders</w:t>
      </w:r>
      <w:r>
        <w:br/>
      </w:r>
      <w:r>
        <w:t xml:space="preserve">145 900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146 400 (10%)</w:t>
      </w:r>
      <w:r>
        <w:t xml:space="preserve"> </w:t>
      </w:r>
      <w:r>
        <w:t xml:space="preserve">0</w:t>
      </w:r>
      <w:r>
        <w:t xml:space="preserve"> </w:t>
      </w:r>
      <w:r>
        <w:t xml:space="preserve">Flexible Foam</w:t>
      </w:r>
      <w:r>
        <w:br/>
      </w:r>
      <w:r>
        <w:t xml:space="preserve">83 400</w:t>
      </w:r>
      <w:r>
        <w:t xml:space="preserve"> </w:t>
      </w:r>
      <w:r>
        <w:t xml:space="preserve">32 700</w:t>
      </w:r>
      <w:r>
        <w:t xml:space="preserve"> </w:t>
      </w:r>
      <w:r>
        <w:t xml:space="preserve">305 200</w:t>
      </w:r>
      <w:r>
        <w:t xml:space="preserve"> </w:t>
      </w:r>
      <w:r>
        <w:t xml:space="preserve">421 300 (27%)</w:t>
      </w:r>
      <w:r>
        <w:t xml:space="preserve"> </w:t>
      </w:r>
      <w:r>
        <w:t xml:space="preserve">0</w:t>
      </w:r>
      <w:r>
        <w:t xml:space="preserve"> </w:t>
      </w:r>
      <w:r>
        <w:t xml:space="preserve">Rigid Foam</w:t>
      </w:r>
      <w:r>
        <w:br/>
      </w:r>
      <w:r>
        <w:t xml:space="preserve">708 000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708 000 (46%)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br/>
      </w:r>
      <w:r>
        <w:t xml:space="preserve">996 000</w:t>
      </w:r>
      <w:r>
        <w:t xml:space="preserve"> </w:t>
      </w:r>
      <w:r>
        <w:t xml:space="preserve">180 300</w:t>
      </w:r>
      <w:r>
        <w:t xml:space="preserve"> </w:t>
      </w:r>
      <w:r>
        <w:t xml:space="preserve">361 000</w:t>
      </w:r>
      <w:r>
        <w:t xml:space="preserve"> </w:t>
      </w:r>
      <w:r>
        <w:t xml:space="preserve">1 537 300</w:t>
      </w:r>
      <w:r>
        <w:t xml:space="preserve"> </w:t>
      </w:r>
      <w:r>
        <w:t xml:space="preserve">84 300</w:t>
      </w:r>
      <w:r>
        <w:t xml:space="preserve"> </w:t>
      </w:r>
      <w:r>
        <w:t xml:space="preserve">Source: IAL Consultants (2013) as reported by the Danish Environmental Protection Agency (2014).</w:t>
      </w:r>
      <w:r>
        <w:br/>
      </w:r>
      <w:r>
        <w:t xml:space="preserve">Notes: IAL Consultants roughly estimates that the uncertainty on these figures is about 5% (+/-)</w:t>
      </w:r>
    </w:p>
    <w:p>
      <w:pPr>
        <w:pStyle w:val="BodyText"/>
      </w:pPr>
      <w:r>
        <w:t xml:space="preserve">5.2.2 Existing limit values</w:t>
      </w:r>
    </w:p>
    <w:p>
      <w:pPr>
        <w:pStyle w:val="BodyText"/>
      </w:pPr>
      <w:r>
        <w:t xml:space="preserve">There are 18 MSs with an OEL, but they are mostly for specific diisocyanate compounds and are</w:t>
      </w:r>
      <w:r>
        <w:t xml:space="preserve"> </w:t>
      </w:r>
      <w:r>
        <w:t xml:space="preserve">based on the molecular weight of each specific diisocyanate compound and not on the NCO group.</w:t>
      </w:r>
      <w:r>
        <w:t xml:space="preserve"> </w:t>
      </w:r>
      <w:r>
        <w:t xml:space="preserve">For this reason, it is not possible to present a table that gives a meaningful comparison of the levels at</w:t>
      </w:r>
      <w:r>
        <w:t xml:space="preserve"> </w:t>
      </w:r>
      <w:r>
        <w:t xml:space="preserve">which the limits are set. Only Croatia, Ireland and Lithuania have general diisocyantes OELs.</w:t>
      </w:r>
      <w:r>
        <w:t xml:space="preserve"> </w:t>
      </w:r>
      <w:r>
        <w:t xml:space="preserve">The table below present the range of the national OELs after converting the level from molecular</w:t>
      </w:r>
      <w:r>
        <w:t xml:space="preserve"> </w:t>
      </w:r>
      <w:r>
        <w:t xml:space="preserve">weight of the specific compound to the -NCO grouping approach.</w:t>
      </w:r>
    </w:p>
    <w:p>
      <w:pPr>
        <w:pStyle w:val="BodyText"/>
      </w:pPr>
      <w:r>
        <w:t xml:space="preserve">Table 6: Maximum, minimum and average of NCO OELs (µg/m³, 8-h TWA) in EU Member</w:t>
      </w:r>
      <w:r>
        <w:t xml:space="preserve"> </w:t>
      </w:r>
      <w:r>
        <w:t xml:space="preserve">States for diisocyanates</w:t>
      </w:r>
    </w:p>
    <w:p>
      <w:pPr>
        <w:pStyle w:val="BodyText"/>
      </w:pPr>
      <w:r>
        <w:t xml:space="preserve">Maximum, minimum and averages</w:t>
      </w:r>
      <w:r>
        <w:t xml:space="preserve"> </w:t>
      </w:r>
      <w:r>
        <w:t xml:space="preserve">All compounds</w:t>
      </w:r>
      <w:r>
        <w:t xml:space="preserve"> </w:t>
      </w:r>
      <w:r>
        <w:t xml:space="preserve">Maximum</w:t>
      </w:r>
      <w:r>
        <w:t xml:space="preserve"> </w:t>
      </w:r>
      <w:r>
        <w:t xml:space="preserve">500</w:t>
      </w:r>
      <w:r>
        <w:t xml:space="preserve"> </w:t>
      </w:r>
      <w:r>
        <w:t xml:space="preserve">Minimum</w:t>
      </w:r>
      <w:r>
        <w:t xml:space="preserve"> </w:t>
      </w:r>
      <w:r>
        <w:t xml:space="preserve">3</w:t>
      </w:r>
      <w:r>
        <w:t xml:space="preserve"> </w:t>
      </w:r>
      <w:r>
        <w:t xml:space="preserve">Median</w:t>
      </w:r>
      <w:r>
        <w:t xml:space="preserve"> </w:t>
      </w:r>
      <w:r>
        <w:t xml:space="preserve">17.4</w:t>
      </w:r>
      <w:r>
        <w:t xml:space="preserve"> </w:t>
      </w:r>
      <w:r>
        <w:t xml:space="preserve">Mode</w:t>
      </w:r>
      <w:r>
        <w:t xml:space="preserve"> </w:t>
      </w:r>
      <w:r>
        <w:t xml:space="preserve">16.8</w:t>
      </w:r>
      <w:r>
        <w:t xml:space="preserve"> </w:t>
      </w:r>
      <w:r>
        <w:t xml:space="preserve">Mean</w:t>
      </w:r>
      <w:r>
        <w:t xml:space="preserve"> </w:t>
      </w:r>
      <w:r>
        <w:t xml:space="preserve">26.7</w:t>
      </w:r>
      <w:r>
        <w:t xml:space="preserve"> </w:t>
      </w:r>
      <w:r>
        <w:t xml:space="preserve">Source: Study team (calculated January 2021)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ANNEX 6: SMES</w:t>
      </w:r>
      <w:r>
        <w:t xml:space="preserve"> </w:t>
      </w:r>
      <w:r>
        <w:t xml:space="preserve">6.1</w:t>
      </w:r>
      <w:r>
        <w:t xml:space="preserve"> </w:t>
      </w:r>
      <w:r>
        <w:t xml:space="preserve">SMEs</w:t>
      </w:r>
      <w:r>
        <w:t xml:space="preserve"> </w:t>
      </w:r>
      <w:r>
        <w:t xml:space="preserve">An enterprise is considered to be a medium-sized, small or micro enterprise depending on thresholds</w:t>
      </w:r>
      <w:r>
        <w:t xml:space="preserve"> </w:t>
      </w:r>
      <w:r>
        <w:t xml:space="preserve">that have been outlined by the Commission.</w:t>
      </w:r>
      <w:r>
        <w:t xml:space="preserve"> </w:t>
      </w:r>
      <w:r>
        <w:t xml:space="preserve">Figure 1</w:t>
      </w:r>
      <w:r>
        <w:t xml:space="preserve"> </w:t>
      </w:r>
      <w:r>
        <w:t xml:space="preserve">Categorisation of SMEs</w:t>
      </w:r>
    </w:p>
    <w:p>
      <w:pPr>
        <w:pStyle w:val="BodyText"/>
      </w:pPr>
      <w:r>
        <w:t xml:space="preserve">SMEs can be proportionately higher impacted by regulatory changes that introduce substantial</w:t>
      </w:r>
      <w:r>
        <w:t xml:space="preserve"> </w:t>
      </w:r>
      <w:r>
        <w:t xml:space="preserve">adjustment or administrative costs. Their limited size often makes it more difficult to access capital,</w:t>
      </w:r>
      <w:r>
        <w:t xml:space="preserve"> </w:t>
      </w:r>
      <w:r>
        <w:t xml:space="preserve">and most often at a higher cost of capital than large enterprises.100 SMEs can therefore be exposed to</w:t>
      </w:r>
      <w:r>
        <w:t xml:space="preserve"> </w:t>
      </w:r>
      <w:r>
        <w:t xml:space="preserve">proportionally higher costs, as compared to the large enterprises.</w:t>
      </w:r>
      <w:r>
        <w:t xml:space="preserve"> </w:t>
      </w:r>
      <w:r>
        <w:t xml:space="preserve">The numbers of small, medium, and large enterprises likely to have workers exposed to lead and</w:t>
      </w:r>
      <w:r>
        <w:t xml:space="preserve"> </w:t>
      </w:r>
      <w:r>
        <w:t xml:space="preserve">diisocyanates in the EU is estimated in the tables below. The vast majority of companies with exposed</w:t>
      </w:r>
      <w:r>
        <w:t xml:space="preserve"> </w:t>
      </w:r>
      <w:r>
        <w:t xml:space="preserve">workers and which are likely be affected by the limit value options are SMEs.</w:t>
      </w:r>
    </w:p>
    <w:p>
      <w:pPr>
        <w:pStyle w:val="BodyText"/>
      </w:pPr>
      <w:r>
        <w:t xml:space="preserve">6.2 Lead</w:t>
      </w:r>
      <w:r>
        <w:t xml:space="preserve"> </w:t>
      </w:r>
      <w:r>
        <w:t xml:space="preserve">The table below presents the estimated share of small and medium enterprises as well as the total</w:t>
      </w:r>
      <w:r>
        <w:t xml:space="preserve"> </w:t>
      </w:r>
      <w:r>
        <w:t xml:space="preserve">share of SMEs out of all EU enterprises with exposed workers. Most of the covered sectors are</w:t>
      </w:r>
      <w:r>
        <w:t xml:space="preserve"> </w:t>
      </w:r>
      <w:r>
        <w:t xml:space="preserve">dominantly composed of SMEs. Many of the sectors entail however less than 100 enterprises across</w:t>
      </w:r>
      <w:r>
        <w:t xml:space="preserve"> </w:t>
      </w:r>
      <w:r>
        <w:t xml:space="preserve">Europe. Sectors with a high share of SMEs as well as a high number of enterprises (i.e., above 1 000)</w:t>
      </w:r>
      <w:r>
        <w:t xml:space="preserve"> </w:t>
      </w:r>
      <w:r>
        <w:t xml:space="preserve">are sectors working with lead metal (sector 10), shooting ranges (sector 11), and the demolition,</w:t>
      </w:r>
    </w:p>
    <w:p>
      <w:pPr>
        <w:pStyle w:val="BodyText"/>
      </w:pPr>
      <w:r>
        <w:t xml:space="preserve">100 Tool # 22 of the Better Regulation toolbox on SMEs.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repairing, and scrapping industry (sector 13); of which the latter is likely to pass on costs to</w:t>
      </w:r>
      <w:r>
        <w:t xml:space="preserve"> </w:t>
      </w:r>
      <w:r>
        <w:t xml:space="preserve">consumers. These sectors moreover consist of nearly exclusively small enterprises. Looking across all</w:t>
      </w:r>
      <w:r>
        <w:t xml:space="preserve"> </w:t>
      </w:r>
      <w:r>
        <w:t xml:space="preserve">sectors, small enterprises comprise the dominating share in eight (out of 15) sectors.</w:t>
      </w:r>
      <w:r>
        <w:br/>
      </w:r>
      <w:r>
        <w:t xml:space="preserve">When measured by the number of enterprises, thus, the majority of enterprises that would need to</w:t>
      </w:r>
      <w:r>
        <w:t xml:space="preserve"> </w:t>
      </w:r>
      <w:r>
        <w:t xml:space="preserve">comply with a stricter BLV would primarily consist of SMEs.</w:t>
      </w:r>
    </w:p>
    <w:p>
      <w:pPr>
        <w:pStyle w:val="BodyText"/>
      </w:pPr>
      <w:r>
        <w:t xml:space="preserve">Table 1: Distribution of EU enterprises with exposed workers by small and medium size, as well</w:t>
      </w:r>
      <w:r>
        <w:t xml:space="preserve"> </w:t>
      </w:r>
      <w:r>
        <w:t xml:space="preserve">as total share of SMEs out of EU enterprises with exposed workers by sector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Share of no. of enterprises by size</w:t>
      </w:r>
      <w:r>
        <w:t xml:space="preserve"> </w:t>
      </w:r>
      <w:r>
        <w:t xml:space="preserve">Total no.</w:t>
      </w:r>
      <w:r>
        <w:t xml:space="preserve"> </w:t>
      </w:r>
      <w:r>
        <w:t xml:space="preserve">of</w:t>
      </w:r>
      <w:r>
        <w:t xml:space="preserve"> </w:t>
      </w:r>
      <w:r>
        <w:t xml:space="preserve">enterpris</w:t>
      </w:r>
      <w:r>
        <w:t xml:space="preserve"> </w:t>
      </w:r>
      <w:r>
        <w:t xml:space="preserve">es</w:t>
      </w:r>
      <w:r>
        <w:t xml:space="preserve"> </w:t>
      </w:r>
      <w:r>
        <w:t xml:space="preserve">Small</w:t>
      </w:r>
      <w:r>
        <w:br/>
      </w:r>
      <w:r>
        <w:t xml:space="preserve">&lt;50</w:t>
      </w:r>
      <w:r>
        <w:br/>
      </w:r>
      <w:r>
        <w:t xml:space="preserve">employees</w:t>
      </w:r>
      <w:r>
        <w:t xml:space="preserve"> </w:t>
      </w:r>
      <w:r>
        <w:t xml:space="preserve">Medium 50-249</w:t>
      </w:r>
      <w:r>
        <w:br/>
      </w:r>
      <w:r>
        <w:t xml:space="preserve">employees</w:t>
      </w:r>
      <w:r>
        <w:t xml:space="preserve"> </w:t>
      </w:r>
      <w:r>
        <w:t xml:space="preserve">Total</w:t>
      </w:r>
      <w:r>
        <w:t xml:space="preserve"> </w:t>
      </w:r>
      <w:r>
        <w:t xml:space="preserve">SMEs</w:t>
      </w:r>
      <w:r>
        <w:t xml:space="preserve"> </w:t>
      </w:r>
      <w:r>
        <w:t xml:space="preserve">1. Primary lead production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</w:t>
      </w:r>
      <w:r>
        <w:t xml:space="preserve"> </w:t>
      </w:r>
      <w:r>
        <w:t xml:space="preserve">2.Secondary</w:t>
      </w:r>
      <w:r>
        <w:t xml:space="preserve"> </w:t>
      </w:r>
      <w:r>
        <w:t xml:space="preserve">lead</w:t>
      </w:r>
      <w:r>
        <w:t xml:space="preserve"> </w:t>
      </w:r>
      <w:r>
        <w:t xml:space="preserve">production</w:t>
      </w:r>
      <w:r>
        <w:br/>
      </w:r>
      <w:r>
        <w:t xml:space="preserve">(including lead battery recycling)</w:t>
      </w:r>
      <w:r>
        <w:t xml:space="preserve"> </w:t>
      </w:r>
      <w:r>
        <w:t xml:space="preserve">15%</w:t>
      </w:r>
      <w:r>
        <w:t xml:space="preserve"> </w:t>
      </w:r>
      <w:r>
        <w:t xml:space="preserve">63%</w:t>
      </w:r>
      <w:r>
        <w:t xml:space="preserve"> </w:t>
      </w:r>
      <w:r>
        <w:t xml:space="preserve">78%</w:t>
      </w:r>
      <w:r>
        <w:t xml:space="preserve"> </w:t>
      </w:r>
      <w:r>
        <w:t xml:space="preserve">43</w:t>
      </w:r>
      <w:r>
        <w:t xml:space="preserve"> </w:t>
      </w:r>
      <w:r>
        <w:t xml:space="preserve">3. Lead battery production</w:t>
      </w:r>
      <w:r>
        <w:t xml:space="preserve"> </w:t>
      </w:r>
      <w:r>
        <w:t xml:space="preserve">0%</w:t>
      </w:r>
      <w:r>
        <w:t xml:space="preserve"> </w:t>
      </w:r>
      <w:r>
        <w:t xml:space="preserve">22%</w:t>
      </w:r>
      <w:r>
        <w:t xml:space="preserve"> </w:t>
      </w:r>
      <w:r>
        <w:t xml:space="preserve">22%</w:t>
      </w:r>
      <w:r>
        <w:t xml:space="preserve"> </w:t>
      </w:r>
      <w:r>
        <w:t xml:space="preserve">32</w:t>
      </w:r>
      <w:r>
        <w:t xml:space="preserve"> </w:t>
      </w:r>
      <w:r>
        <w:t xml:space="preserve">4. Production of articles of lead metal</w:t>
      </w:r>
      <w:r>
        <w:t xml:space="preserve"> </w:t>
      </w:r>
      <w:r>
        <w:t xml:space="preserve">47%</w:t>
      </w:r>
      <w:r>
        <w:t xml:space="preserve"> </w:t>
      </w:r>
      <w:r>
        <w:t xml:space="preserve">32%</w:t>
      </w:r>
      <w:r>
        <w:t xml:space="preserve"> </w:t>
      </w:r>
      <w:r>
        <w:t xml:space="preserve">79%</w:t>
      </w:r>
      <w:r>
        <w:t xml:space="preserve"> </w:t>
      </w:r>
      <w:r>
        <w:t xml:space="preserve">26</w:t>
      </w:r>
      <w:r>
        <w:t xml:space="preserve"> </w:t>
      </w:r>
      <w:r>
        <w:t xml:space="preserve">5. Foundries</w:t>
      </w:r>
      <w:r>
        <w:t xml:space="preserve"> </w:t>
      </w:r>
      <w:r>
        <w:t xml:space="preserve">59%</w:t>
      </w:r>
      <w:r>
        <w:t xml:space="preserve"> </w:t>
      </w:r>
      <w:r>
        <w:t xml:space="preserve">31%</w:t>
      </w:r>
      <w:r>
        <w:t xml:space="preserve"> </w:t>
      </w:r>
      <w:r>
        <w:t xml:space="preserve">90%</w:t>
      </w:r>
      <w:r>
        <w:t xml:space="preserve"> </w:t>
      </w:r>
      <w:r>
        <w:t xml:space="preserve">180</w:t>
      </w:r>
      <w:r>
        <w:br/>
      </w:r>
      <w:r>
        <w:t xml:space="preserve">(90-270)</w:t>
      </w:r>
      <w:r>
        <w:t xml:space="preserve"> </w:t>
      </w:r>
      <w:r>
        <w:t xml:space="preserve">6. Production of lead compounds and</w:t>
      </w:r>
      <w:r>
        <w:t xml:space="preserve"> </w:t>
      </w:r>
      <w:r>
        <w:t xml:space="preserve">lead frits</w:t>
      </w:r>
      <w:r>
        <w:t xml:space="preserve"> </w:t>
      </w:r>
      <w:r>
        <w:t xml:space="preserve">10%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11</w:t>
      </w:r>
      <w:r>
        <w:t xml:space="preserve"> </w:t>
      </w:r>
      <w:r>
        <w:t xml:space="preserve">7. Production of glass</w:t>
      </w:r>
      <w:r>
        <w:t xml:space="preserve"> </w:t>
      </w:r>
      <w:r>
        <w:t xml:space="preserve">76%</w:t>
      </w:r>
      <w:r>
        <w:t xml:space="preserve"> </w:t>
      </w:r>
      <w:r>
        <w:t xml:space="preserve">13%</w:t>
      </w:r>
      <w:r>
        <w:t xml:space="preserve"> </w:t>
      </w:r>
      <w:r>
        <w:t xml:space="preserve">89%</w:t>
      </w:r>
      <w:r>
        <w:t xml:space="preserve"> </w:t>
      </w:r>
      <w:r>
        <w:t xml:space="preserve">46</w:t>
      </w:r>
      <w:r>
        <w:t xml:space="preserve"> </w:t>
      </w:r>
      <w:r>
        <w:t xml:space="preserve">8. Ceramic ware production and</w:t>
      </w:r>
      <w:r>
        <w:t xml:space="preserve"> </w:t>
      </w:r>
      <w:r>
        <w:t xml:space="preserve">enamelling</w:t>
      </w:r>
      <w:r>
        <w:t xml:space="preserve"> </w:t>
      </w:r>
      <w:r>
        <w:t xml:space="preserve">96%</w:t>
      </w:r>
      <w:r>
        <w:t xml:space="preserve"> </w:t>
      </w:r>
      <w:r>
        <w:t xml:space="preserve">3%</w:t>
      </w:r>
      <w:r>
        <w:t xml:space="preserve"> </w:t>
      </w:r>
      <w:r>
        <w:t xml:space="preserve">99%</w:t>
      </w:r>
      <w:r>
        <w:t xml:space="preserve"> </w:t>
      </w:r>
      <w:r>
        <w:t xml:space="preserve">26</w:t>
      </w:r>
      <w:r>
        <w:t xml:space="preserve"> </w:t>
      </w:r>
      <w:r>
        <w:t xml:space="preserve">9.Manufacture and use of plastics and</w:t>
      </w:r>
      <w:r>
        <w:t xml:space="preserve"> </w:t>
      </w:r>
      <w:r>
        <w:t xml:space="preserve">paints</w:t>
      </w:r>
      <w:r>
        <w:t xml:space="preserve"> </w:t>
      </w:r>
      <w:r>
        <w:t xml:space="preserve">80%</w:t>
      </w:r>
      <w:r>
        <w:t xml:space="preserve"> </w:t>
      </w:r>
      <w:r>
        <w:t xml:space="preserve">10%</w:t>
      </w:r>
      <w:r>
        <w:t xml:space="preserve"> </w:t>
      </w:r>
      <w:r>
        <w:t xml:space="preserve">90%</w:t>
      </w:r>
      <w:r>
        <w:t xml:space="preserve"> </w:t>
      </w:r>
      <w:r>
        <w:t xml:space="preserve">84</w:t>
      </w:r>
      <w:r>
        <w:t xml:space="preserve"> </w:t>
      </w:r>
      <w:r>
        <w:t xml:space="preserve">10. Work with lead metal</w:t>
      </w:r>
      <w:r>
        <w:t xml:space="preserve"> </w:t>
      </w:r>
      <w:r>
        <w:t xml:space="preserve">90%</w:t>
      </w:r>
      <w:r>
        <w:t xml:space="preserve"> </w:t>
      </w:r>
      <w:r>
        <w:t xml:space="preserve">10%</w:t>
      </w:r>
      <w:r>
        <w:t xml:space="preserve"> </w:t>
      </w:r>
      <w:r>
        <w:t xml:space="preserve">100%</w:t>
      </w:r>
      <w:r>
        <w:t xml:space="preserve"> </w:t>
      </w:r>
      <w:r>
        <w:t xml:space="preserve">3,125</w:t>
      </w:r>
      <w:r>
        <w:br/>
      </w:r>
      <w:r>
        <w:t xml:space="preserve">(1 250 –</w:t>
      </w:r>
      <w:r>
        <w:t xml:space="preserve"> </w:t>
      </w:r>
      <w:r>
        <w:t xml:space="preserve">5 000)</w:t>
      </w:r>
      <w:r>
        <w:t xml:space="preserve"> </w:t>
      </w:r>
      <w:r>
        <w:t xml:space="preserve">11. Shooting ranges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4,000</w:t>
      </w:r>
      <w:r>
        <w:br/>
      </w:r>
      <w:r>
        <w:t xml:space="preserve">(3 000 –</w:t>
      </w:r>
      <w:r>
        <w:t xml:space="preserve"> </w:t>
      </w:r>
      <w:r>
        <w:t xml:space="preserve">5 000)</w:t>
      </w:r>
      <w:r>
        <w:t xml:space="preserve"> </w:t>
      </w:r>
      <w:r>
        <w:t xml:space="preserve">12. Recycling of PVC and other</w:t>
      </w:r>
      <w:r>
        <w:t xml:space="preserve"> </w:t>
      </w:r>
      <w:r>
        <w:t xml:space="preserve">plastics</w:t>
      </w:r>
      <w:r>
        <w:t xml:space="preserve"> </w:t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100%</w:t>
      </w:r>
      <w:r>
        <w:t xml:space="preserve"> </w:t>
      </w:r>
      <w:r>
        <w:t xml:space="preserve">100</w:t>
      </w:r>
      <w:r>
        <w:t xml:space="preserve"> </w:t>
      </w:r>
      <w:r>
        <w:t xml:space="preserve">13. Demolition, repairing and scrap</w:t>
      </w:r>
      <w:r>
        <w:t xml:space="preserve"> </w:t>
      </w:r>
      <w:r>
        <w:t xml:space="preserve">industry</w:t>
      </w:r>
      <w:r>
        <w:t xml:space="preserve"> </w:t>
      </w:r>
      <w:r>
        <w:t xml:space="preserve">91%</w:t>
      </w:r>
      <w:r>
        <w:t xml:space="preserve"> </w:t>
      </w:r>
      <w:r>
        <w:t xml:space="preserve">8%</w:t>
      </w:r>
      <w:r>
        <w:t xml:space="preserve"> </w:t>
      </w:r>
      <w:r>
        <w:t xml:space="preserve">99%</w:t>
      </w:r>
      <w:r>
        <w:t xml:space="preserve"> </w:t>
      </w:r>
      <w:r>
        <w:t xml:space="preserve">14 179</w:t>
      </w:r>
      <w:r>
        <w:t xml:space="preserve"> </w:t>
      </w:r>
      <w:r>
        <w:t xml:space="preserve">14.</w:t>
      </w:r>
      <w:r>
        <w:t xml:space="preserve"> </w:t>
      </w:r>
      <w:r>
        <w:t xml:space="preserve">Other</w:t>
      </w:r>
      <w:r>
        <w:t xml:space="preserve"> </w:t>
      </w:r>
      <w:r>
        <w:t xml:space="preserve">waste</w:t>
      </w:r>
      <w:r>
        <w:t xml:space="preserve"> </w:t>
      </w:r>
      <w:r>
        <w:t xml:space="preserve">handling</w:t>
      </w:r>
      <w:r>
        <w:t xml:space="preserve"> </w:t>
      </w:r>
      <w:r>
        <w:t xml:space="preserve">and</w:t>
      </w:r>
      <w:r>
        <w:t xml:space="preserve"> </w:t>
      </w:r>
      <w:r>
        <w:t xml:space="preserve">remediation</w:t>
      </w:r>
      <w:r>
        <w:t xml:space="preserve"> </w:t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100%</w:t>
      </w:r>
      <w:r>
        <w:t xml:space="preserve"> </w:t>
      </w:r>
      <w:r>
        <w:t xml:space="preserve">700</w:t>
      </w:r>
      <w:r>
        <w:t xml:space="preserve"> </w:t>
      </w:r>
      <w:r>
        <w:t xml:space="preserve">15. Other (Copper production)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7</w:t>
      </w:r>
      <w:r>
        <w:t xml:space="preserve"> </w:t>
      </w:r>
      <w:r>
        <w:t xml:space="preserve">Source: Eurostat (2018).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6.3 Diisocyanates</w:t>
      </w:r>
      <w:r>
        <w:t xml:space="preserve"> </w:t>
      </w:r>
      <w:r>
        <w:t xml:space="preserve">The table below shows the percentage of companies in key sectors that are small, medium or large. It</w:t>
      </w:r>
      <w:r>
        <w:t xml:space="preserve"> </w:t>
      </w:r>
      <w:r>
        <w:t xml:space="preserve">is based upon the proportions for small, medium and large from Eurostat data for enterprises at the</w:t>
      </w:r>
      <w:r>
        <w:t xml:space="preserve"> </w:t>
      </w:r>
      <w:r>
        <w:t xml:space="preserve">NACE code.</w:t>
      </w:r>
      <w:r>
        <w:t xml:space="preserve"> </w:t>
      </w:r>
      <w:r>
        <w:t xml:space="preserve">Table 2: Distribution of EU enterprises with exposed workers by size of enterprise by sector</w:t>
      </w:r>
      <w:r>
        <w:t xml:space="preserve"> </w:t>
      </w:r>
      <w:r>
        <w:t xml:space="preserve">(percentages)</w:t>
      </w:r>
    </w:p>
    <w:p>
      <w:pPr>
        <w:pStyle w:val="BodyText"/>
      </w:pPr>
      <w:r>
        <w:t xml:space="preserve">NACE - Sector</w:t>
      </w:r>
      <w:r>
        <w:t xml:space="preserve"> </w:t>
      </w:r>
      <w:r>
        <w:t xml:space="preserve">Number of enterprises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Total</w:t>
      </w:r>
      <w:r>
        <w:t xml:space="preserve"> </w:t>
      </w:r>
      <w:r>
        <w:t xml:space="preserve">C13 Textiles</w:t>
      </w:r>
      <w:r>
        <w:t xml:space="preserve"> </w:t>
      </w:r>
      <w:r>
        <w:t xml:space="preserve">96.56%</w:t>
      </w:r>
      <w:r>
        <w:t xml:space="preserve"> </w:t>
      </w:r>
      <w:r>
        <w:t xml:space="preserve">2.96%</w:t>
      </w:r>
      <w:r>
        <w:t xml:space="preserve"> </w:t>
      </w:r>
      <w:r>
        <w:t xml:space="preserve">0.48%</w:t>
      </w:r>
      <w:r>
        <w:t xml:space="preserve"> </w:t>
      </w:r>
      <w:r>
        <w:t xml:space="preserve">100%</w:t>
      </w:r>
      <w:r>
        <w:t xml:space="preserve"> </w:t>
      </w:r>
      <w:r>
        <w:t xml:space="preserve">C14 Apparel</w:t>
      </w:r>
      <w:r>
        <w:t xml:space="preserve"> </w:t>
      </w:r>
      <w:r>
        <w:t xml:space="preserve">97.50%</w:t>
      </w:r>
      <w:r>
        <w:t xml:space="preserve"> </w:t>
      </w:r>
      <w:r>
        <w:t xml:space="preserve">2.00%</w:t>
      </w:r>
      <w:r>
        <w:t xml:space="preserve"> </w:t>
      </w:r>
      <w:r>
        <w:t xml:space="preserve">0.50%</w:t>
      </w:r>
      <w:r>
        <w:t xml:space="preserve"> </w:t>
      </w:r>
      <w:r>
        <w:t xml:space="preserve">100%</w:t>
      </w:r>
      <w:r>
        <w:t xml:space="preserve"> </w:t>
      </w:r>
      <w:r>
        <w:t xml:space="preserve">C15 Leather</w:t>
      </w:r>
      <w:r>
        <w:t xml:space="preserve"> </w:t>
      </w:r>
      <w:r>
        <w:t xml:space="preserve">96.10%</w:t>
      </w:r>
      <w:r>
        <w:t xml:space="preserve"> </w:t>
      </w:r>
      <w:r>
        <w:t xml:space="preserve">3.42%</w:t>
      </w:r>
      <w:r>
        <w:t xml:space="preserve"> </w:t>
      </w:r>
      <w:r>
        <w:t xml:space="preserve">0.48%</w:t>
      </w:r>
      <w:r>
        <w:t xml:space="preserve"> </w:t>
      </w:r>
      <w:r>
        <w:t xml:space="preserve">100%</w:t>
      </w:r>
      <w:r>
        <w:t xml:space="preserve"> </w:t>
      </w:r>
      <w:r>
        <w:t xml:space="preserve">C16 Wood</w:t>
      </w:r>
      <w:r>
        <w:t xml:space="preserve"> </w:t>
      </w:r>
      <w:r>
        <w:t xml:space="preserve">97.50%</w:t>
      </w:r>
      <w:r>
        <w:t xml:space="preserve"> </w:t>
      </w:r>
      <w:r>
        <w:t xml:space="preserve">1.50%</w:t>
      </w:r>
      <w:r>
        <w:t xml:space="preserve"> </w:t>
      </w:r>
      <w:r>
        <w:t xml:space="preserve">1.00%</w:t>
      </w:r>
      <w:r>
        <w:t xml:space="preserve"> </w:t>
      </w:r>
      <w:r>
        <w:t xml:space="preserve">100%</w:t>
      </w:r>
      <w:r>
        <w:t xml:space="preserve"> </w:t>
      </w:r>
      <w:r>
        <w:t xml:space="preserve">C20 Chemicals</w:t>
      </w:r>
      <w:r>
        <w:t xml:space="preserve"> </w:t>
      </w:r>
      <w:r>
        <w:t xml:space="preserve">88.00%</w:t>
      </w:r>
      <w:r>
        <w:t xml:space="preserve"> </w:t>
      </w:r>
      <w:r>
        <w:t xml:space="preserve">9.00%</w:t>
      </w:r>
      <w:r>
        <w:t xml:space="preserve"> </w:t>
      </w:r>
      <w:r>
        <w:t xml:space="preserve">3.00%</w:t>
      </w:r>
      <w:r>
        <w:t xml:space="preserve"> </w:t>
      </w:r>
      <w:r>
        <w:t xml:space="preserve">100%</w:t>
      </w:r>
      <w:r>
        <w:t xml:space="preserve"> </w:t>
      </w:r>
      <w:r>
        <w:t xml:space="preserve">C22.21 Rigid foam</w:t>
      </w:r>
      <w:r>
        <w:t xml:space="preserve"> </w:t>
      </w:r>
      <w:r>
        <w:t xml:space="preserve">53.00%</w:t>
      </w:r>
      <w:r>
        <w:t xml:space="preserve"> </w:t>
      </w:r>
      <w:r>
        <w:t xml:space="preserve">35.00%</w:t>
      </w:r>
      <w:r>
        <w:t xml:space="preserve"> </w:t>
      </w:r>
      <w:r>
        <w:t xml:space="preserve">12.00%</w:t>
      </w:r>
      <w:r>
        <w:t xml:space="preserve"> </w:t>
      </w:r>
      <w:r>
        <w:t xml:space="preserve">100%</w:t>
      </w:r>
      <w:r>
        <w:t xml:space="preserve"> </w:t>
      </w:r>
      <w:r>
        <w:t xml:space="preserve">C22.29 Flexible foam</w:t>
      </w:r>
      <w:r>
        <w:t xml:space="preserve"> </w:t>
      </w:r>
      <w:r>
        <w:t xml:space="preserve">87.00%</w:t>
      </w:r>
      <w:r>
        <w:t xml:space="preserve"> </w:t>
      </w:r>
      <w:r>
        <w:t xml:space="preserve">9.00%</w:t>
      </w:r>
      <w:r>
        <w:t xml:space="preserve"> </w:t>
      </w:r>
      <w:r>
        <w:t xml:space="preserve">4.00%</w:t>
      </w:r>
      <w:r>
        <w:t xml:space="preserve"> </w:t>
      </w:r>
      <w:r>
        <w:t xml:space="preserve">100%</w:t>
      </w:r>
      <w:r>
        <w:t xml:space="preserve"> </w:t>
      </w:r>
      <w:r>
        <w:t xml:space="preserve">C22 Other</w:t>
      </w:r>
      <w:r>
        <w:t xml:space="preserve"> </w:t>
      </w:r>
      <w:r>
        <w:t xml:space="preserve">53.00%</w:t>
      </w:r>
      <w:r>
        <w:t xml:space="preserve"> </w:t>
      </w:r>
      <w:r>
        <w:t xml:space="preserve">35.00%</w:t>
      </w:r>
      <w:r>
        <w:t xml:space="preserve"> </w:t>
      </w:r>
      <w:r>
        <w:t xml:space="preserve">12.00%</w:t>
      </w:r>
      <w:r>
        <w:t xml:space="preserve"> </w:t>
      </w:r>
      <w:r>
        <w:t xml:space="preserve">100%</w:t>
      </w:r>
      <w:r>
        <w:t xml:space="preserve"> </w:t>
      </w:r>
      <w:r>
        <w:t xml:space="preserve">C26 Computers</w:t>
      </w:r>
      <w:r>
        <w:t xml:space="preserve"> </w:t>
      </w:r>
      <w:r>
        <w:t xml:space="preserve">92.00%</w:t>
      </w:r>
      <w:r>
        <w:t xml:space="preserve"> </w:t>
      </w:r>
      <w:r>
        <w:t xml:space="preserve">6.00%</w:t>
      </w:r>
      <w:r>
        <w:t xml:space="preserve"> </w:t>
      </w:r>
      <w:r>
        <w:t xml:space="preserve">2.00%</w:t>
      </w:r>
      <w:r>
        <w:t xml:space="preserve"> </w:t>
      </w:r>
      <w:r>
        <w:t xml:space="preserve">100%</w:t>
      </w:r>
      <w:r>
        <w:t xml:space="preserve"> </w:t>
      </w:r>
      <w:r>
        <w:t xml:space="preserve">C27Electrical equipment</w:t>
      </w:r>
      <w:r>
        <w:t xml:space="preserve"> </w:t>
      </w:r>
      <w:r>
        <w:t xml:space="preserve">86.00%</w:t>
      </w:r>
      <w:r>
        <w:t xml:space="preserve"> </w:t>
      </w:r>
      <w:r>
        <w:t xml:space="preserve">10.00%</w:t>
      </w:r>
      <w:r>
        <w:t xml:space="preserve"> </w:t>
      </w:r>
      <w:r>
        <w:t xml:space="preserve">4.00%</w:t>
      </w:r>
      <w:r>
        <w:t xml:space="preserve"> </w:t>
      </w:r>
      <w:r>
        <w:t xml:space="preserve">100%</w:t>
      </w:r>
      <w:r>
        <w:t xml:space="preserve"> </w:t>
      </w:r>
      <w:r>
        <w:t xml:space="preserve">C28 Machinery</w:t>
      </w:r>
      <w:r>
        <w:t xml:space="preserve"> </w:t>
      </w:r>
      <w:r>
        <w:t xml:space="preserve">93.00%</w:t>
      </w:r>
      <w:r>
        <w:t xml:space="preserve"> </w:t>
      </w:r>
      <w:r>
        <w:t xml:space="preserve">6.00%</w:t>
      </w:r>
      <w:r>
        <w:t xml:space="preserve"> </w:t>
      </w:r>
      <w:r>
        <w:t xml:space="preserve">1.00%</w:t>
      </w:r>
      <w:r>
        <w:t xml:space="preserve"> </w:t>
      </w:r>
      <w:r>
        <w:t xml:space="preserve">100%</w:t>
      </w:r>
      <w:r>
        <w:t xml:space="preserve"> </w:t>
      </w:r>
      <w:r>
        <w:t xml:space="preserve">C29 Motor vehicles</w:t>
      </w:r>
      <w:r>
        <w:t xml:space="preserve"> </w:t>
      </w:r>
      <w:r>
        <w:t xml:space="preserve">83.00%</w:t>
      </w:r>
      <w:r>
        <w:t xml:space="preserve"> </w:t>
      </w:r>
      <w:r>
        <w:t xml:space="preserve">10.00%</w:t>
      </w:r>
      <w:r>
        <w:t xml:space="preserve"> </w:t>
      </w:r>
      <w:r>
        <w:t xml:space="preserve">7.00%</w:t>
      </w:r>
      <w:r>
        <w:t xml:space="preserve"> </w:t>
      </w:r>
      <w:r>
        <w:t xml:space="preserve">100%</w:t>
      </w:r>
      <w:r>
        <w:t xml:space="preserve"> </w:t>
      </w:r>
      <w:r>
        <w:t xml:space="preserve">C30 Transport</w:t>
      </w:r>
      <w:r>
        <w:t xml:space="preserve"> </w:t>
      </w:r>
      <w:r>
        <w:t xml:space="preserve">92.00%</w:t>
      </w:r>
      <w:r>
        <w:t xml:space="preserve"> </w:t>
      </w:r>
      <w:r>
        <w:t xml:space="preserve">6.00%</w:t>
      </w:r>
      <w:r>
        <w:t xml:space="preserve"> </w:t>
      </w:r>
      <w:r>
        <w:t xml:space="preserve">2.00%</w:t>
      </w:r>
      <w:r>
        <w:t xml:space="preserve"> </w:t>
      </w:r>
      <w:r>
        <w:t xml:space="preserve">100%</w:t>
      </w:r>
      <w:r>
        <w:t xml:space="preserve"> </w:t>
      </w:r>
      <w:r>
        <w:t xml:space="preserve">C31 Furniture</w:t>
      </w:r>
      <w:r>
        <w:t xml:space="preserve"> </w:t>
      </w:r>
      <w:r>
        <w:t xml:space="preserve">97.87%</w:t>
      </w:r>
      <w:r>
        <w:t xml:space="preserve"> </w:t>
      </w:r>
      <w:r>
        <w:t xml:space="preserve">1.80%</w:t>
      </w:r>
      <w:r>
        <w:t xml:space="preserve"> </w:t>
      </w:r>
      <w:r>
        <w:t xml:space="preserve">0.33%</w:t>
      </w:r>
      <w:r>
        <w:t xml:space="preserve"> </w:t>
      </w:r>
      <w:r>
        <w:t xml:space="preserve">100%</w:t>
      </w:r>
      <w:r>
        <w:t xml:space="preserve"> </w:t>
      </w:r>
      <w:r>
        <w:t xml:space="preserve">C33 Machinery repair</w:t>
      </w:r>
      <w:r>
        <w:t xml:space="preserve"> </w:t>
      </w:r>
      <w:r>
        <w:t xml:space="preserve">98.25%</w:t>
      </w:r>
      <w:r>
        <w:t xml:space="preserve"> </w:t>
      </w:r>
      <w:r>
        <w:t xml:space="preserve">1.50%</w:t>
      </w:r>
      <w:r>
        <w:t xml:space="preserve"> </w:t>
      </w:r>
      <w:r>
        <w:t xml:space="preserve">0.25%</w:t>
      </w:r>
      <w:r>
        <w:t xml:space="preserve"> </w:t>
      </w:r>
      <w:r>
        <w:t xml:space="preserve">100%</w:t>
      </w:r>
      <w:r>
        <w:t xml:space="preserve"> </w:t>
      </w:r>
      <w:r>
        <w:t xml:space="preserve">F41.2 Construction</w:t>
      </w:r>
      <w:r>
        <w:t xml:space="preserve"> </w:t>
      </w:r>
      <w:r>
        <w:t xml:space="preserve">99.21%</w:t>
      </w:r>
      <w:r>
        <w:t xml:space="preserve"> </w:t>
      </w:r>
      <w:r>
        <w:t xml:space="preserve">0.73%</w:t>
      </w:r>
      <w:r>
        <w:t xml:space="preserve"> </w:t>
      </w:r>
      <w:r>
        <w:t xml:space="preserve">0.06%</w:t>
      </w:r>
      <w:r>
        <w:t xml:space="preserve"> </w:t>
      </w:r>
      <w:r>
        <w:t xml:space="preserve">100%</w:t>
      </w:r>
      <w:r>
        <w:t xml:space="preserve"> </w:t>
      </w:r>
      <w:r>
        <w:t xml:space="preserve">F42 Civil engineering</w:t>
      </w:r>
      <w:r>
        <w:t xml:space="preserve"> </w:t>
      </w:r>
      <w:r>
        <w:t xml:space="preserve">95.00%</w:t>
      </w:r>
      <w:r>
        <w:t xml:space="preserve"> </w:t>
      </w:r>
      <w:r>
        <w:t xml:space="preserve">4.00%</w:t>
      </w:r>
      <w:r>
        <w:t xml:space="preserve"> </w:t>
      </w:r>
      <w:r>
        <w:t xml:space="preserve">1.00%</w:t>
      </w:r>
      <w:r>
        <w:t xml:space="preserve"> </w:t>
      </w:r>
      <w:r>
        <w:t xml:space="preserve">100%</w:t>
      </w:r>
      <w:r>
        <w:t xml:space="preserve"> </w:t>
      </w:r>
      <w:r>
        <w:t xml:space="preserve">F43Specialised</w:t>
      </w:r>
      <w:r>
        <w:t xml:space="preserve"> </w:t>
      </w:r>
      <w:r>
        <w:t xml:space="preserve">construction</w:t>
      </w:r>
      <w:r>
        <w:t xml:space="preserve"> </w:t>
      </w:r>
      <w:r>
        <w:t xml:space="preserve">99.56%</w:t>
      </w:r>
      <w:r>
        <w:t xml:space="preserve"> </w:t>
      </w:r>
      <w:r>
        <w:t xml:space="preserve">0.40%</w:t>
      </w:r>
      <w:r>
        <w:t xml:space="preserve"> </w:t>
      </w:r>
      <w:r>
        <w:t xml:space="preserve">0.04%</w:t>
      </w:r>
      <w:r>
        <w:t xml:space="preserve"> </w:t>
      </w:r>
      <w:r>
        <w:t xml:space="preserve">100%</w:t>
      </w:r>
      <w:r>
        <w:t xml:space="preserve"> </w:t>
      </w:r>
      <w:r>
        <w:t xml:space="preserve">F43.29Other installation</w:t>
      </w:r>
      <w:r>
        <w:t xml:space="preserve"> </w:t>
      </w:r>
      <w:r>
        <w:t xml:space="preserve">99.39%</w:t>
      </w:r>
      <w:r>
        <w:t xml:space="preserve"> </w:t>
      </w:r>
      <w:r>
        <w:t xml:space="preserve">0.55%</w:t>
      </w:r>
      <w:r>
        <w:t xml:space="preserve"> </w:t>
      </w:r>
      <w:r>
        <w:t xml:space="preserve">0.06%</w:t>
      </w:r>
      <w:r>
        <w:t xml:space="preserve"> </w:t>
      </w:r>
      <w:r>
        <w:t xml:space="preserve">100%</w:t>
      </w:r>
      <w:r>
        <w:t xml:space="preserve"> </w:t>
      </w:r>
      <w:r>
        <w:t xml:space="preserve">G45.2 Vehicle repair</w:t>
      </w:r>
      <w:r>
        <w:t xml:space="preserve"> </w:t>
      </w:r>
      <w:r>
        <w:t xml:space="preserve">99.80%</w:t>
      </w:r>
      <w:r>
        <w:t xml:space="preserve"> </w:t>
      </w:r>
      <w:r>
        <w:t xml:space="preserve">0.17%</w:t>
      </w:r>
      <w:r>
        <w:t xml:space="preserve"> </w:t>
      </w:r>
      <w:r>
        <w:t xml:space="preserve">0.03%</w:t>
      </w:r>
      <w:r>
        <w:t xml:space="preserve"> </w:t>
      </w:r>
      <w:r>
        <w:t xml:space="preserve">100%</w:t>
      </w:r>
      <w:r>
        <w:t xml:space="preserve"> </w:t>
      </w:r>
      <w:r>
        <w:t xml:space="preserve">S95 Repairs</w:t>
      </w:r>
      <w:r>
        <w:t xml:space="preserve"> </w:t>
      </w:r>
      <w:r>
        <w:t xml:space="preserve">99.93%</w:t>
      </w:r>
      <w:r>
        <w:t xml:space="preserve"> </w:t>
      </w:r>
      <w:r>
        <w:t xml:space="preserve">0.06%</w:t>
      </w:r>
      <w:r>
        <w:t xml:space="preserve"> </w:t>
      </w:r>
      <w:r>
        <w:t xml:space="preserve">0.01%</w:t>
      </w:r>
      <w:r>
        <w:t xml:space="preserve"> </w:t>
      </w:r>
      <w:r>
        <w:t xml:space="preserve">100%</w:t>
      </w:r>
      <w:r>
        <w:t xml:space="preserve"> </w:t>
      </w:r>
      <w:r>
        <w:t xml:space="preserve">Source: Eurostat (2018).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ANNEX 7: PROCESS FOR SETTING BINDING OELS, BLVS AND ASSOCIATED PROVISIONS</w:t>
      </w:r>
      <w:r>
        <w:br/>
      </w:r>
      <w:r>
        <w:t xml:space="preserve">What are limit values?</w:t>
      </w:r>
    </w:p>
    <w:p>
      <w:pPr>
        <w:pStyle w:val="BodyText"/>
      </w:pPr>
      <w:r>
        <w:t xml:space="preserve">The European Agency for Safety and Health at Work (EU-OSHA), in a European risk observatory</w:t>
      </w:r>
      <w:r>
        <w:t xml:space="preserve"> </w:t>
      </w:r>
      <w:r>
        <w:t xml:space="preserve">report101, states that OELs are one of the major control instruments for workers’ exposure to</w:t>
      </w:r>
      <w:r>
        <w:t xml:space="preserve"> </w:t>
      </w:r>
      <w:r>
        <w:t xml:space="preserve">chemicals; they belong to the most important tools for exposure assessment and management.</w:t>
      </w:r>
      <w:r>
        <w:t xml:space="preserve"> </w:t>
      </w:r>
      <w:r>
        <w:t xml:space="preserve">The advantages of limit values are that they provide clarity and objectivity. They are very relevant</w:t>
      </w:r>
      <w:r>
        <w:t xml:space="preserve"> </w:t>
      </w:r>
      <w:r>
        <w:t xml:space="preserve">quantitative benchmarks for employers enabling them to know exactly the levels above which</w:t>
      </w:r>
      <w:r>
        <w:t xml:space="preserve"> </w:t>
      </w:r>
      <w:r>
        <w:t xml:space="preserve">exposure cannot occur. Limit values also allow employers to determine the level below which their</w:t>
      </w:r>
      <w:r>
        <w:t xml:space="preserve"> </w:t>
      </w:r>
      <w:r>
        <w:t xml:space="preserve">risk management measures should aim to comply with the obligation to eliminate or to minimise the</w:t>
      </w:r>
      <w:r>
        <w:t xml:space="preserve"> </w:t>
      </w:r>
      <w:r>
        <w:t xml:space="preserve">exposure to as low a level as possible102.</w:t>
      </w:r>
      <w:r>
        <w:br/>
      </w:r>
      <w:r>
        <w:t xml:space="preserve">Limit values also support enforcement authorities in controlling that employers are putting in place</w:t>
      </w:r>
      <w:r>
        <w:t xml:space="preserve"> </w:t>
      </w:r>
      <w:r>
        <w:t xml:space="preserve">the relevant risk management measures, including those that could contribute to lower the exposure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https://osha.europa.eu/en/publications/exploratory-survey-occupational-exposure-limits-oels-carcinogens-</w:t>
      </w:r>
      <w:r>
        <w:t xml:space="preserve"> </w:t>
      </w:r>
      <w:r>
        <w:t xml:space="preserve">mutagens-and</w:t>
      </w:r>
      <w:r>
        <w:br/>
      </w:r>
      <w:r>
        <w:t xml:space="preserve">102</w:t>
      </w:r>
      <w:r>
        <w:t xml:space="preserve"> </w:t>
      </w:r>
      <w:r>
        <w:t xml:space="preserve">ECHA</w:t>
      </w:r>
      <w:r>
        <w:t xml:space="preserve"> </w:t>
      </w:r>
      <w:r>
        <w:t xml:space="preserve">(2018),</w:t>
      </w:r>
      <w:r>
        <w:t xml:space="preserve"> </w:t>
      </w:r>
      <w:r>
        <w:t xml:space="preserve">Guide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data</w:t>
      </w:r>
      <w:r>
        <w:t xml:space="preserve"> </w:t>
      </w:r>
      <w:r>
        <w:t xml:space="preserve">sheets</w:t>
      </w:r>
      <w:r>
        <w:t xml:space="preserve"> </w:t>
      </w:r>
      <w:r>
        <w:t xml:space="preserve">and</w:t>
      </w:r>
      <w:r>
        <w:t xml:space="preserve"> </w:t>
      </w:r>
      <w:r>
        <w:t xml:space="preserve">exposure</w:t>
      </w:r>
      <w:r>
        <w:t xml:space="preserve"> </w:t>
      </w:r>
      <w:r>
        <w:t xml:space="preserve">scenarios.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https://echa.europa.eu/documents/10162/22786913/sds_es_guide_en.pdf</w:t>
      </w:r>
      <w:r>
        <w:br/>
      </w:r>
      <w:r>
        <w:t xml:space="preserve">Biological Limit Values</w:t>
      </w:r>
      <w:r>
        <w:t xml:space="preserve"> </w:t>
      </w:r>
      <w:r>
        <w:t xml:space="preserve">BLVs are the limit of the concentration in the appropriate biological medium of the relevant agent,</w:t>
      </w:r>
      <w:r>
        <w:t xml:space="preserve"> </w:t>
      </w:r>
      <w:r>
        <w:t xml:space="preserve">its metabolite, or an indicator of effect (in the case of lead, in the blood of the exposed worker).</w:t>
      </w:r>
      <w:r>
        <w:br/>
      </w:r>
      <w:r>
        <w:t xml:space="preserve">Short Term Exposure Limits</w:t>
      </w:r>
      <w:r>
        <w:t xml:space="preserve"> </w:t>
      </w:r>
      <w:r>
        <w:t xml:space="preserve">STEL values, usually involving a 15-minute reference period are used when adverse health effects</w:t>
      </w:r>
      <w:r>
        <w:t xml:space="preserve"> </w:t>
      </w:r>
      <w:r>
        <w:t xml:space="preserve">are not adequately controlled by compliance with an 8-hour TWA OEL, e.g. for substances for</w:t>
      </w:r>
      <w:r>
        <w:t xml:space="preserve"> </w:t>
      </w:r>
      <w:r>
        <w:t xml:space="preserve">which a critical effect is observed following a brief exposure (e.g. acute toxic substances,</w:t>
      </w:r>
      <w:r>
        <w:t xml:space="preserve"> </w:t>
      </w:r>
      <w:r>
        <w:t xml:space="preserve">substances causing nuisance, irritation, central nervous system depression, sensitisation).</w:t>
      </w:r>
      <w:r>
        <w:t xml:space="preserve"> </w:t>
      </w:r>
      <w:r>
        <w:t xml:space="preserve">Notations</w:t>
      </w:r>
      <w:r>
        <w:t xml:space="preserve"> </w:t>
      </w:r>
      <w:r>
        <w:t xml:space="preserve">OELs, STELs and/or BLVs can further be annotated with appropriate indications of additional</w:t>
      </w:r>
      <w:r>
        <w:t xml:space="preserve"> </w:t>
      </w:r>
      <w:r>
        <w:t xml:space="preserve">body burden resulting from non-inhalation routes such as, for example, a</w:t>
      </w:r>
      <w:r>
        <w:t xml:space="preserve"> </w:t>
      </w:r>
      <w:r>
        <w:t xml:space="preserve">‘skin’</w:t>
      </w:r>
      <w:r>
        <w:t xml:space="preserve"> </w:t>
      </w:r>
      <w:r>
        <w:t xml:space="preserve">notation where the</w:t>
      </w:r>
      <w:r>
        <w:t xml:space="preserve"> </w:t>
      </w:r>
      <w:r>
        <w:t xml:space="preserve">dermal route of exposure is scientifically considered to be relevant.</w:t>
      </w:r>
      <w:r>
        <w:t xml:space="preserve"> </w:t>
      </w:r>
      <w:r>
        <w:t xml:space="preserve">Occupational Exposure Limits</w:t>
      </w:r>
      <w:r>
        <w:t xml:space="preserve"> </w:t>
      </w:r>
      <w:r>
        <w:t xml:space="preserve">OELs are the limit of the Time-Weighted Average (TWA) of the concentration for a chemical in</w:t>
      </w:r>
      <w:r>
        <w:t xml:space="preserve"> </w:t>
      </w:r>
      <w:r>
        <w:t xml:space="preserve">the air within the breathing zone of a worker in relation to a specified reference period (normally 8</w:t>
      </w:r>
      <w:r>
        <w:t xml:space="preserve"> </w:t>
      </w:r>
      <w:r>
        <w:t xml:space="preserve">hours).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below the limit values. They inform employees about the risks which exposure can cause and put</w:t>
      </w:r>
      <w:r>
        <w:t xml:space="preserve"> </w:t>
      </w:r>
      <w:r>
        <w:t xml:space="preserve">them in a position to check that the necessary protective measures are taken to protect their health.</w:t>
      </w:r>
    </w:p>
    <w:p>
      <w:pPr>
        <w:pStyle w:val="BodyText"/>
      </w:pPr>
      <w:r>
        <w:t xml:space="preserve">The figure below summarises the process of setting EU limit values.</w:t>
      </w:r>
    </w:p>
    <w:p>
      <w:pPr>
        <w:pStyle w:val="BodyText"/>
      </w:pPr>
      <w:r>
        <w:t xml:space="preserve">Figure 1: simple representation of EU limit value setting procedure (Source: ECHA website)</w:t>
      </w:r>
    </w:p>
    <w:p>
      <w:pPr>
        <w:pStyle w:val="BodyText"/>
      </w:pPr>
      <w:r>
        <w:t xml:space="preserve">Step 1: Social partners consultation</w:t>
      </w:r>
      <w:r>
        <w:t xml:space="preserve"> </w:t>
      </w:r>
      <w:r>
        <w:t xml:space="preserve">TFEU Article 154 requires a formal two-stage consultation of the Social Partners at EU level</w:t>
      </w:r>
      <w:r>
        <w:t xml:space="preserve"> </w:t>
      </w:r>
      <w:r>
        <w:t xml:space="preserve">(management and labour) prior to submitting proposals in the social policy field. As regards the</w:t>
      </w:r>
      <w:r>
        <w:t xml:space="preserve"> </w:t>
      </w:r>
      <w:r>
        <w:t xml:space="preserve">present initiative this consultation took place in 2020 - 2021 and addressed the amendment of CAD</w:t>
      </w:r>
      <w:r>
        <w:t xml:space="preserve"> </w:t>
      </w:r>
      <w:r>
        <w:t xml:space="preserve">and CMRD. Annex 2 provides further information on the outcomes of the consultation.</w:t>
      </w:r>
      <w:r>
        <w:t xml:space="preserve"> </w:t>
      </w:r>
      <w:r>
        <w:t xml:space="preserve">Step 2: Priority setting</w:t>
      </w:r>
      <w:r>
        <w:t xml:space="preserve"> </w:t>
      </w:r>
      <w:r>
        <w:t xml:space="preserve">It is not realistic to set an OEL for every hazardous chemical that may be used at the workplace.</w:t>
      </w:r>
      <w:r>
        <w:br/>
      </w:r>
      <w:r>
        <w:t xml:space="preserve">Instead it is appropriate to identify and target priority substances.</w:t>
      </w:r>
      <w:r>
        <w:t xml:space="preserve"> </w:t>
      </w:r>
      <w:r>
        <w:t xml:space="preserve">The selection of the substances considered in this Impact Assessment was based on a consultative</w:t>
      </w:r>
      <w:r>
        <w:t xml:space="preserve"> </w:t>
      </w:r>
      <w:r>
        <w:t xml:space="preserve">approach including stakeholder engagement at Member States and Social Partner levels, and taking</w:t>
      </w:r>
      <w:r>
        <w:t xml:space="preserve"> </w:t>
      </w:r>
      <w:r>
        <w:t xml:space="preserve">into account general considerations such as the following:</w:t>
      </w:r>
      <w:r>
        <w:t xml:space="preserve"> </w:t>
      </w:r>
      <w:r>
        <w:t xml:space="preserve"></w:t>
      </w:r>
      <w:r>
        <w:t xml:space="preserve"> </w:t>
      </w:r>
      <w:r>
        <w:t xml:space="preserve">Potential to cause adverse health effects resulting from occupational exposure;</w:t>
      </w:r>
      <w:r>
        <w:t xml:space="preserve"> </w:t>
      </w:r>
      <w:r>
        <w:t xml:space="preserve"></w:t>
      </w:r>
      <w:r>
        <w:t xml:space="preserve"> </w:t>
      </w:r>
      <w:r>
        <w:t xml:space="preserve">processes resulting in exposure or combined exposures to chemicals with the potential to</w:t>
      </w:r>
      <w:r>
        <w:t xml:space="preserve"> </w:t>
      </w:r>
      <w:r>
        <w:t xml:space="preserve">cause adverse health effects resulting from a work activity for which markers of exposure are</w:t>
      </w:r>
      <w:r>
        <w:t xml:space="preserve"> </w:t>
      </w:r>
      <w:r>
        <w:t xml:space="preserve">needed;</w:t>
      </w:r>
      <w:r>
        <w:t xml:space="preserve"> </w:t>
      </w:r>
      <w:r>
        <w:t xml:space="preserve"></w:t>
      </w:r>
      <w:r>
        <w:t xml:space="preserve"> </w:t>
      </w:r>
      <w:r>
        <w:t xml:space="preserve">emerging specific issues on a basis of reported evidence and expert judgment;</w:t>
      </w:r>
      <w:r>
        <w:t xml:space="preserve"> </w:t>
      </w:r>
      <w:r>
        <w:t xml:space="preserve"></w:t>
      </w:r>
      <w:r>
        <w:t xml:space="preserve"> </w:t>
      </w:r>
      <w:r>
        <w:t xml:space="preserve">degree of evidence for adverse effects;</w:t>
      </w:r>
      <w:r>
        <w:br/>
      </w:r>
      <w:r>
        <w:t xml:space="preserve"></w:t>
      </w:r>
      <w:r>
        <w:t xml:space="preserve"> </w:t>
      </w:r>
      <w:r>
        <w:t xml:space="preserve">characteristics of the adverse effects (severity, potency, reversibility, specificity);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</w:t>
      </w:r>
      <w:r>
        <w:t xml:space="preserve"> </w:t>
      </w:r>
      <w:r>
        <w:t xml:space="preserve">estimated number of workers exposed;</w:t>
      </w:r>
      <w:r>
        <w:t xml:space="preserve"> </w:t>
      </w:r>
      <w:r>
        <w:t xml:space="preserve"></w:t>
      </w:r>
      <w:r>
        <w:t xml:space="preserve"> </w:t>
      </w:r>
      <w:r>
        <w:t xml:space="preserve">identified exposure patterns that pose difficulties for the control of exposures;</w:t>
      </w:r>
      <w:r>
        <w:t xml:space="preserve"> </w:t>
      </w:r>
      <w:r>
        <w:t xml:space="preserve"></w:t>
      </w:r>
      <w:r>
        <w:t xml:space="preserve"> </w:t>
      </w:r>
      <w:r>
        <w:t xml:space="preserve">policy considerations, such as problematic disparities with or between other relevant</w:t>
      </w:r>
      <w:r>
        <w:t xml:space="preserve"> </w:t>
      </w:r>
      <w:r>
        <w:t xml:space="preserve">threshold values, degree of stakeholders’ interest in having an EU OELV, or other institutional</w:t>
      </w:r>
      <w:r>
        <w:t xml:space="preserve"> </w:t>
      </w:r>
      <w:r>
        <w:t xml:space="preserve">priorities.</w:t>
      </w:r>
      <w:r>
        <w:t xml:space="preserve"> </w:t>
      </w:r>
      <w:r>
        <w:t xml:space="preserve">Considering the ill-health occupational burden, it is important to note that when identifying a priority</w:t>
      </w:r>
      <w:r>
        <w:t xml:space="preserve"> </w:t>
      </w:r>
      <w:r>
        <w:t xml:space="preserve">substance, stakeholders look at the whole range of potential negative health effects (carcinogenic and</w:t>
      </w:r>
      <w:r>
        <w:t xml:space="preserve"> </w:t>
      </w:r>
      <w:r>
        <w:t xml:space="preserve">non-carcinogenic, reprotoxic etc) which could be prevented by establishing an EU level OEL and/or</w:t>
      </w:r>
      <w:r>
        <w:t xml:space="preserve"> </w:t>
      </w:r>
      <w:r>
        <w:t xml:space="preserve">BLV.</w:t>
      </w:r>
      <w:r>
        <w:br/>
      </w:r>
      <w:r>
        <w:t xml:space="preserve">The Commission is committed to continuing efforts to strengthen the application of such criteria in</w:t>
      </w:r>
      <w:r>
        <w:t xml:space="preserve"> </w:t>
      </w:r>
      <w:r>
        <w:t xml:space="preserve">the future.</w:t>
      </w:r>
      <w:r>
        <w:br/>
      </w:r>
      <w:r>
        <w:t xml:space="preserve">Step 3: Scientific evaluation and public consultation</w:t>
      </w:r>
      <w:r>
        <w:t xml:space="preserve"> </w:t>
      </w:r>
      <w:r>
        <w:t xml:space="preserve">Article 3 of the CAD and article 16 of the CMRD state that scientific/feasibilty data should be</w:t>
      </w:r>
      <w:r>
        <w:t xml:space="preserve"> </w:t>
      </w:r>
      <w:r>
        <w:t xml:space="preserve">included in the basis on which binding OELs and BLVs are set, but the directives do not determine</w:t>
      </w:r>
      <w:r>
        <w:t xml:space="preserve"> </w:t>
      </w:r>
      <w:r>
        <w:t xml:space="preserve">which scientific body should be the source of such data. However, based on a Service Level</w:t>
      </w:r>
      <w:r>
        <w:t xml:space="preserve"> </w:t>
      </w:r>
      <w:r>
        <w:t xml:space="preserve">Agreement (SLA) signed by DG EMPL and ECHA, this Committee assists the Commission</w:t>
      </w:r>
      <w:r>
        <w:t xml:space="preserve"> </w:t>
      </w:r>
      <w:r>
        <w:t xml:space="preserve">delivering scientific evaluations, upon request, on the toxicological profiles of each of the selected</w:t>
      </w:r>
      <w:r>
        <w:t xml:space="preserve"> </w:t>
      </w:r>
      <w:r>
        <w:t xml:space="preserve">priority chemical substances in relation to their adverse health effects on workers. These scientific</w:t>
      </w:r>
      <w:r>
        <w:t xml:space="preserve"> </w:t>
      </w:r>
      <w:r>
        <w:t xml:space="preserve">evaluations shall, where appropriate, include proposals for Occupational Exposure Limit values</w:t>
      </w:r>
      <w:r>
        <w:t xml:space="preserve"> </w:t>
      </w:r>
      <w:r>
        <w:t xml:space="preserve">(OELs), biological limit values (BLVs)/biological guidance values and/or notations. This task shall</w:t>
      </w:r>
      <w:r>
        <w:t xml:space="preserve"> </w:t>
      </w:r>
      <w:r>
        <w:t xml:space="preserve">be carried out on the basis of the latest available scientific and technical data and take into account the</w:t>
      </w:r>
      <w:r>
        <w:t xml:space="preserve"> </w:t>
      </w:r>
      <w:r>
        <w:t xml:space="preserve">specific context of occupational exposures at the workplace.</w:t>
      </w:r>
      <w:r>
        <w:br/>
      </w:r>
      <w:r>
        <w:t xml:space="preserve">Scientific information from other sources can also be taken into account as long as the data is</w:t>
      </w:r>
      <w:r>
        <w:t xml:space="preserve"> </w:t>
      </w:r>
      <w:r>
        <w:t xml:space="preserve">adequately robust and is in the public domain (e.g. conclusions of national limit vlaue-setting science</w:t>
      </w:r>
      <w:r>
        <w:t xml:space="preserve"> </w:t>
      </w:r>
      <w:r>
        <w:t xml:space="preserve">committees).</w:t>
      </w:r>
      <w:r>
        <w:t xml:space="preserve"> </w:t>
      </w:r>
      <w:r>
        <w:t xml:space="preserve">RAC carries out scientific evaluation at EU level based on the methodology agreed withing the</w:t>
      </w:r>
      <w:r>
        <w:t xml:space="preserve"> </w:t>
      </w:r>
      <w:r>
        <w:t xml:space="preserve">ECHA/RAC-SCOEL Joint Task Force and as a result publish an Opinion on scientific evaluation of</w:t>
      </w:r>
      <w:r>
        <w:t xml:space="preserve"> </w:t>
      </w:r>
      <w:r>
        <w:t xml:space="preserve">occupational exposure limits for the selected priority chemical substances.</w:t>
      </w:r>
      <w:r>
        <w:br/>
      </w:r>
      <w:r>
        <w:t xml:space="preserve">RAC procedure for the adoption of an Opinion includes an external consultation of relevant</w:t>
      </w:r>
      <w:r>
        <w:t xml:space="preserve"> </w:t>
      </w:r>
      <w:r>
        <w:t xml:space="preserve">stakeholders. This ensures scrutiny of the scientifc evidence and methodological approach used by</w:t>
      </w:r>
      <w:r>
        <w:t xml:space="preserve"> </w:t>
      </w:r>
      <w:r>
        <w:t xml:space="preserve">RAC and ensures transparency of the process.</w:t>
      </w:r>
      <w:r>
        <w:br/>
      </w:r>
      <w:r>
        <w:t xml:space="preserve">RAC has concluded Opinions on lead and diisocyanates analysed in section 6 – further details are</w:t>
      </w:r>
      <w:r>
        <w:t xml:space="preserve"> </w:t>
      </w:r>
      <w:r>
        <w:t xml:space="preserve">provided in Annex 1.</w:t>
      </w:r>
      <w:r>
        <w:br/>
      </w:r>
      <w:r>
        <w:t xml:space="preserve">More information on the ECHA methodology used by RAC can be found on the ECHA website:</w:t>
      </w:r>
      <w:r>
        <w:t xml:space="preserve"> </w:t>
      </w:r>
      <w:r>
        <w:t xml:space="preserve">https://echa.europa.eu/en/about-us/who-we-are/committee-for-risk-assessment</w:t>
      </w:r>
      <w:r>
        <w:t xml:space="preserve"> </w:t>
      </w:r>
      <w:r>
        <w:t xml:space="preserve">Step 4: Tripartite consultation of Member States and social partners</w:t>
      </w:r>
      <w:r>
        <w:t xml:space="preserve"> </w:t>
      </w:r>
      <w:r>
        <w:t xml:space="preserve">While the aim of ensuring the protection of the health of workers is maintained, binding OELs set</w:t>
      </w:r>
      <w:r>
        <w:t xml:space="preserve"> </w:t>
      </w:r>
      <w:r>
        <w:t xml:space="preserve">under CMRD must also reflect other factors such as</w:t>
      </w:r>
      <w:r>
        <w:t xml:space="preserve"> </w:t>
      </w:r>
      <w:r>
        <w:t xml:space="preserve">‘feasibility’</w:t>
      </w:r>
      <w:r>
        <w:t xml:space="preserve"> </w:t>
      </w:r>
      <w:r>
        <w:t xml:space="preserve">and take into account the views of the</w:t>
      </w:r>
      <w:r>
        <w:t xml:space="preserve"> </w:t>
      </w:r>
      <w:r>
        <w:t xml:space="preserve">social partners. For this reason the Opinion of the ACSH is requested.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The ACSH is a tripartite body set up in 2003 by a Council Decision (2003/C 218/01) to streamline the</w:t>
      </w:r>
      <w:r>
        <w:t xml:space="preserve"> </w:t>
      </w:r>
      <w:r>
        <w:t xml:space="preserve">consultation process in the field of occupational safety and health and rationalise the bodies created in</w:t>
      </w:r>
      <w:r>
        <w:t xml:space="preserve"> </w:t>
      </w:r>
      <w:r>
        <w:t xml:space="preserve">this area by previous Council Decisions. The ACSH remit is to assist the Commission in the</w:t>
      </w:r>
      <w:r>
        <w:t xml:space="preserve"> </w:t>
      </w:r>
      <w:r>
        <w:t xml:space="preserve">preparation, implementation and evaluation of activities in the fields of safety and health at work. The</w:t>
      </w:r>
      <w:r>
        <w:t xml:space="preserve"> </w:t>
      </w:r>
      <w:r>
        <w:t xml:space="preserve">ACSH is composed of three full members per Member State, representing national governments, trade</w:t>
      </w:r>
      <w:r>
        <w:t xml:space="preserve"> </w:t>
      </w:r>
      <w:r>
        <w:t xml:space="preserve">unions and employers’ organisations, also organised in three separate interest groups within the</w:t>
      </w:r>
      <w:r>
        <w:t xml:space="preserve"> </w:t>
      </w:r>
      <w:r>
        <w:t xml:space="preserve">Committee.</w:t>
      </w:r>
      <w:r>
        <w:t xml:space="preserve"> </w:t>
      </w:r>
      <w:r>
        <w:t xml:space="preserve">The ACSH is supported by working parties of experts on given topics of interest according to</w:t>
      </w:r>
      <w:r>
        <w:t xml:space="preserve"> </w:t>
      </w:r>
      <w:r>
        <w:t xml:space="preserve">mandates agreed by the plenary Committee. These working parties are also tripartite but usually with</w:t>
      </w:r>
      <w:r>
        <w:t xml:space="preserve"> </w:t>
      </w:r>
      <w:r>
        <w:t xml:space="preserve">smaller selected expert membership.</w:t>
      </w:r>
      <w:r>
        <w:t xml:space="preserve"> </w:t>
      </w:r>
      <w:r>
        <w:t xml:space="preserve">The ACSH Working Party on Chemicals (WPC) undertakes broader chemicals policy support for the</w:t>
      </w:r>
      <w:r>
        <w:t xml:space="preserve"> </w:t>
      </w:r>
      <w:r>
        <w:t xml:space="preserve">ACSH and Commission and in particular detailed technical and policy negotiation of EU limit values.</w:t>
      </w:r>
      <w:r>
        <w:t xml:space="preserve"> </w:t>
      </w:r>
      <w:r>
        <w:t xml:space="preserve">This process is informed by all available evidence regarding appropriate and achievable limit values</w:t>
      </w:r>
      <w:r>
        <w:t xml:space="preserve"> </w:t>
      </w:r>
      <w:r>
        <w:t xml:space="preserve">including adopted RAC Opinions and any national OELs.</w:t>
      </w:r>
      <w:r>
        <w:br/>
      </w:r>
      <w:r>
        <w:t xml:space="preserve">It is during these, often complex, discussions that the level of ambition which is appropriate for a</w:t>
      </w:r>
      <w:r>
        <w:t xml:space="preserve"> </w:t>
      </w:r>
      <w:r>
        <w:t xml:space="preserve">specific EU limit value (OEL, STEL or BLV) for a substance is established, taking into account the</w:t>
      </w:r>
      <w:r>
        <w:t xml:space="preserve"> </w:t>
      </w:r>
      <w:r>
        <w:t xml:space="preserve">views of representatives from the government, workers’, and employers’ interest groups.</w:t>
      </w:r>
      <w:r>
        <w:t xml:space="preserve"> </w:t>
      </w:r>
      <w:r>
        <w:t xml:space="preserve">The ACSH discusses adopted RAC Opinions (and/or other appropriate scientific evidence) and adopts</w:t>
      </w:r>
      <w:r>
        <w:t xml:space="preserve"> </w:t>
      </w:r>
      <w:r>
        <w:t xml:space="preserve">a formal Opinion.</w:t>
      </w:r>
      <w:r>
        <w:t xml:space="preserve"> </w:t>
      </w:r>
      <w:r>
        <w:t xml:space="preserve">The adopted ACSH Opinions include, where necessary, specific comments from the interest groups</w:t>
      </w:r>
      <w:r>
        <w:t xml:space="preserve"> </w:t>
      </w:r>
      <w:r>
        <w:t xml:space="preserve">(government, employers and workers) which broadly reflect the principal points maintained by each</w:t>
      </w:r>
      <w:r>
        <w:t xml:space="preserve"> </w:t>
      </w:r>
      <w:r>
        <w:t xml:space="preserve">interest group throughout discussions of the Working Party on Chemicals (WPC).</w:t>
      </w:r>
      <w:r>
        <w:br/>
      </w:r>
      <w:r>
        <w:t xml:space="preserve">The ACSH has adopted opinions for the priority substances foreseen for this amendment of CAD and</w:t>
      </w:r>
      <w:r>
        <w:t xml:space="preserve"> </w:t>
      </w:r>
      <w:r>
        <w:t xml:space="preserve">CMRD.</w:t>
      </w:r>
      <w:r>
        <w:t xml:space="preserve"> </w:t>
      </w:r>
      <w:r>
        <w:t xml:space="preserve">In practice, a limit value emerging from this process reflects a deep technical, socioeconomic, and</w:t>
      </w:r>
      <w:r>
        <w:t xml:space="preserve"> </w:t>
      </w:r>
      <w:r>
        <w:t xml:space="preserve">political consideration of what is achievable by employers across the EU and also ensures that</w:t>
      </w:r>
      <w:r>
        <w:t xml:space="preserve"> </w:t>
      </w:r>
      <w:r>
        <w:t xml:space="preserve">workers’ health is adequately protected. These Opinions are also adopted taking into account that the</w:t>
      </w:r>
      <w:r>
        <w:t xml:space="preserve"> </w:t>
      </w:r>
      <w:r>
        <w:t xml:space="preserve">limit values exist within the broader context of the CAD and CMRD general obligations to prevent</w:t>
      </w:r>
      <w:r>
        <w:t xml:space="preserve"> </w:t>
      </w:r>
      <w:r>
        <w:t xml:space="preserve">risks to workers’ health (exposure elimination/reduction, process enclosure etc.), which establishes an</w:t>
      </w:r>
      <w:r>
        <w:t xml:space="preserve"> </w:t>
      </w:r>
      <w:r>
        <w:t xml:space="preserve">appropriate and exceptionally high legal standard for workplace- and process-specific risk control.</w:t>
      </w:r>
      <w:r>
        <w:t xml:space="preserve"> </w:t>
      </w:r>
      <w:r>
        <w:t xml:space="preserve">Step 5: Impact assessment</w:t>
      </w:r>
      <w:r>
        <w:t xml:space="preserve"> </w:t>
      </w:r>
      <w:r>
        <w:t xml:space="preserve">Between 2020 and 2021, an external contractor evaluated, on behalf of the Commission, health,</w:t>
      </w:r>
      <w:r>
        <w:t xml:space="preserve"> </w:t>
      </w:r>
      <w:r>
        <w:t xml:space="preserve">socioeconomic and environmental impacts of the proposed amendments to CAD and CMRD in order</w:t>
      </w:r>
      <w:r>
        <w:t xml:space="preserve"> </w:t>
      </w:r>
      <w:r>
        <w:t xml:space="preserve">to perform an impact assessment according to the regulatory procedures in place.</w:t>
      </w:r>
      <w:r>
        <w:br/>
      </w:r>
      <w:r>
        <w:t xml:space="preserve">The impact assessment takes all of the above steps into consideration and the IA Report is presented</w:t>
      </w:r>
      <w:r>
        <w:t xml:space="preserve"> </w:t>
      </w:r>
      <w:r>
        <w:t xml:space="preserve">to the Commission services Regulatory Scrutiny Board in accordance with the relevant internal rules</w:t>
      </w:r>
      <w:r>
        <w:t xml:space="preserve"> </w:t>
      </w:r>
      <w:r>
        <w:t xml:space="preserve">for initiatives with foreseeable significant impacts.</w:t>
      </w:r>
      <w:r>
        <w:t xml:space="preserve"> </w:t>
      </w:r>
      <w:r>
        <w:t xml:space="preserve">The options for action proposed by the ACSH are established through a thorough scientific, technical</w:t>
      </w:r>
      <w:r>
        <w:t xml:space="preserve"> </w:t>
      </w:r>
      <w:r>
        <w:t xml:space="preserve">and socioeconomic discussion and in general the tripartite agreements reached in the Advisory</w:t>
      </w:r>
      <w:r>
        <w:t xml:space="preserve"> </w:t>
      </w:r>
      <w:r>
        <w:t xml:space="preserve">Committee would be put forward in the eventual Commission’s proposal. However, in line with the</w:t>
      </w:r>
      <w:r>
        <w:t xml:space="preserve"> </w:t>
      </w:r>
      <w:r>
        <w:t xml:space="preserve">Better Regulation guidelines, an IA is conducted before presenting the proposal. In the IA the</w:t>
      </w:r>
      <w:r>
        <w:t xml:space="preserve"> </w:t>
      </w:r>
      <w:r>
        <w:t xml:space="preserve">Commission verifies the ACSH opinions on the basis of a dedicated study.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As a result of the IA the ACSH-based options could be withheld, retained or complemented.</w:t>
      </w:r>
      <w:r>
        <w:t xml:space="preserve"> </w:t>
      </w:r>
      <w:r>
        <w:t xml:space="preserve">A proposed action is withheld if the ACSH opinion has not been sufficiently consensual, and the</w:t>
      </w:r>
      <w:r>
        <w:t xml:space="preserve"> </w:t>
      </w:r>
      <w:r>
        <w:t xml:space="preserve">Commission’s assessment leads to concerns about the proposal (e.g., as regards legality or clarity).</w:t>
      </w:r>
      <w:r>
        <w:t xml:space="preserve"> </w:t>
      </w:r>
      <w:r>
        <w:t xml:space="preserve">This does not mean that the Commission discards the option. Rather, important additional elements</w:t>
      </w:r>
      <w:r>
        <w:t xml:space="preserve"> </w:t>
      </w:r>
      <w:r>
        <w:t xml:space="preserve">are needed before further assessing the option.</w:t>
      </w:r>
      <w:r>
        <w:br/>
      </w:r>
      <w:r>
        <w:t xml:space="preserve">An option is retained if the ACSH opinion has been clear and consensual, there are no concerns about</w:t>
      </w:r>
      <w:r>
        <w:t xml:space="preserve"> </w:t>
      </w:r>
      <w:r>
        <w:t xml:space="preserve">the legality and clarity of the option and the socioeconomic assessment confirms the robustness of</w:t>
      </w:r>
      <w:r>
        <w:t xml:space="preserve"> </w:t>
      </w:r>
      <w:r>
        <w:t xml:space="preserve">ACSH opinions in terms of effectiveness, efficiency and coherence.</w:t>
      </w:r>
      <w:r>
        <w:t xml:space="preserve"> </w:t>
      </w:r>
      <w:r>
        <w:t xml:space="preserve">An option may be further complemented if the ACSH opinion did not take into account an important</w:t>
      </w:r>
      <w:r>
        <w:t xml:space="preserve"> </w:t>
      </w:r>
      <w:r>
        <w:t xml:space="preserve">scientific element, such as the need to establish a skin notation.</w:t>
      </w:r>
      <w:r>
        <w:t xml:space="preserve"> </w:t>
      </w:r>
      <w:r>
        <w:t xml:space="preserve">A positive opinion of the RSB is a prerequisite before presenting the draft proposal for adoption by</w:t>
      </w:r>
      <w:r>
        <w:t xml:space="preserve"> </w:t>
      </w:r>
      <w:r>
        <w:t xml:space="preserve">the college of Commissioners.</w:t>
      </w:r>
      <w:r>
        <w:t xml:space="preserve"> </w:t>
      </w:r>
      <w:r>
        <w:t xml:space="preserve">After completion of these steps, the Commission prepares the legislative proposal which will be</w:t>
      </w:r>
      <w:r>
        <w:t xml:space="preserve"> </w:t>
      </w:r>
      <w:r>
        <w:t xml:space="preserve">adopted following the ordinary legislative procedure. The adopted Directive will be published in the</w:t>
      </w:r>
      <w:r>
        <w:t xml:space="preserve"> </w:t>
      </w:r>
      <w:r>
        <w:t xml:space="preserve">EU Official Journal and Member States will then transpose the limit values and any associated</w:t>
      </w:r>
      <w:r>
        <w:t xml:space="preserve"> </w:t>
      </w:r>
      <w:r>
        <w:t xml:space="preserve">notation into their national legislation by the date set in the Directive.</w:t>
      </w:r>
      <w:r>
        <w:t xml:space="preserve"> </w:t>
      </w:r>
      <w:r>
        <w:t xml:space="preserve">The limit values adopted will then ensure a consistent level of minimum protection for all workers in</w:t>
      </w:r>
      <w:r>
        <w:t xml:space="preserve"> </w:t>
      </w:r>
      <w:r>
        <w:t xml:space="preserve">the EU, while leaving the Member States the option of keeping or setting more favourable standards</w:t>
      </w:r>
      <w:r>
        <w:t xml:space="preserve"> </w:t>
      </w:r>
      <w:r>
        <w:t xml:space="preserve">by introducing more stringent limit values.</w:t>
      </w:r>
      <w:r>
        <w:br/>
      </w:r>
      <w:r>
        <w:t xml:space="preserve">Within the CAD and CMRD there are obligations for employers to apply the appropriate measures at</w:t>
      </w:r>
      <w:r>
        <w:t xml:space="preserve"> </w:t>
      </w:r>
      <w:r>
        <w:t xml:space="preserve">the workplace to ensure that the exposure of workers to these substances do not exceed the limit</w:t>
      </w:r>
      <w:r>
        <w:t xml:space="preserve"> </w:t>
      </w:r>
      <w:r>
        <w:t xml:space="preserve">values. The monitoring of the correct implementation of the national legislation that transposes the</w:t>
      </w:r>
      <w:r>
        <w:t xml:space="preserve"> </w:t>
      </w:r>
      <w:r>
        <w:t xml:space="preserve">EU directives and enforcement will be undertaken by national authorities, in particular the national</w:t>
      </w:r>
      <w:r>
        <w:t xml:space="preserve"> </w:t>
      </w:r>
      <w:r>
        <w:t xml:space="preserve">labour inspectorates.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ANNEX 8: CONSISTENCY AND COMPLEMENTARITY WITH THE REACH REGULATION</w:t>
      </w:r>
      <w:r>
        <w:br/>
      </w:r>
      <w:r>
        <w:t xml:space="preserve">Restrictions under REACH103</w:t>
      </w:r>
      <w:r>
        <w:t xml:space="preserve"> </w:t>
      </w:r>
      <w:r>
        <w:t xml:space="preserve">Lead carbonates (restriction no. 16) and lead sulphates (restriction no.17)</w:t>
      </w:r>
      <w:r>
        <w:t xml:space="preserve"> </w:t>
      </w:r>
      <w:r>
        <w:t xml:space="preserve">Shall not be placed on the market, or used, as substances or in mixtures, where the substance or</w:t>
      </w:r>
      <w:r>
        <w:t xml:space="preserve"> </w:t>
      </w:r>
      <w:r>
        <w:t xml:space="preserve">mixture is intended for use as paint. However, Member States may, in accordance with the provisions</w:t>
      </w:r>
      <w:r>
        <w:t xml:space="preserve"> </w:t>
      </w:r>
      <w:r>
        <w:t xml:space="preserve">of International Labour Organization (ILO) Convention 13, permit the use on their territory of the</w:t>
      </w:r>
      <w:r>
        <w:t xml:space="preserve"> </w:t>
      </w:r>
      <w:r>
        <w:t xml:space="preserve">substance or mixture for the restoration and maintenance of works of art and historic buildings and</w:t>
      </w:r>
      <w:r>
        <w:t xml:space="preserve"> </w:t>
      </w:r>
      <w:r>
        <w:t xml:space="preserve">their interiors, as well as the placing on the market for such use.</w:t>
      </w:r>
      <w:r>
        <w:t xml:space="preserve"> </w:t>
      </w:r>
      <w:r>
        <w:t xml:space="preserve">Lead and its compounds</w:t>
      </w:r>
      <w:r>
        <w:t xml:space="preserve"> </w:t>
      </w:r>
      <w:r>
        <w:t xml:space="preserve">Lead and its compounds (restriction no. 63) are restricted under the REACH Regulation and shall not</w:t>
      </w:r>
      <w:r>
        <w:t xml:space="preserve"> </w:t>
      </w:r>
      <w:r>
        <w:t xml:space="preserve">be placed on the market or used in any individual part of jewellery articles if the concentration of lead</w:t>
      </w:r>
      <w:r>
        <w:t xml:space="preserve"> </w:t>
      </w:r>
      <w:r>
        <w:t xml:space="preserve">(expressed as metal) in such a part is equal to or greater than 0.05 % by weight.</w:t>
      </w:r>
      <w:r>
        <w:br/>
      </w:r>
      <w:r>
        <w:t xml:space="preserve">Name of agent in Annex XVII</w:t>
      </w:r>
      <w:r>
        <w:t xml:space="preserve"> </w:t>
      </w:r>
      <w:r>
        <w:t xml:space="preserve">Entry No. </w:t>
      </w:r>
      <w:r>
        <w:t xml:space="preserve"> </w:t>
      </w:r>
      <w:r>
        <w:t xml:space="preserve">Conditions of the restriction</w:t>
      </w:r>
      <w:r>
        <w:t xml:space="preserve"> </w:t>
      </w:r>
      <w:r>
        <w:t xml:space="preserve">Lead and its compound</w:t>
      </w:r>
      <w:r>
        <w:t xml:space="preserve"> </w:t>
      </w:r>
      <w:r>
        <w:t xml:space="preserve">63</w:t>
      </w:r>
      <w:r>
        <w:t xml:space="preserve"> </w:t>
      </w:r>
      <w:r>
        <w:t xml:space="preserve">https://echa.europa.eu/documents/10162/</w:t>
      </w:r>
      <w:r>
        <w:t xml:space="preserve"> </w:t>
      </w:r>
      <w:r>
        <w:t xml:space="preserve">654a4f38-ebdb-b3b0-bda0-</w:t>
      </w:r>
      <w:r>
        <w:t xml:space="preserve"> </w:t>
      </w:r>
      <w:r>
        <w:t xml:space="preserve">892bd44001de</w:t>
      </w:r>
      <w:r>
        <w:t xml:space="preserve"> </w:t>
      </w:r>
      <w:r>
        <w:t xml:space="preserve">In addition, lead [CAS No 7439-92-1] has been identified as an SVHC and placed on the candidate</w:t>
      </w:r>
      <w:r>
        <w:t xml:space="preserve"> </w:t>
      </w:r>
      <w:r>
        <w:t xml:space="preserve">list for inclusion into Annex XIV since June 2018, on the grounds that it is a substance toxic to</w:t>
      </w:r>
      <w:r>
        <w:t xml:space="preserve"> </w:t>
      </w:r>
      <w:r>
        <w:t xml:space="preserve">reproduction.</w:t>
      </w:r>
      <w:r>
        <w:t xml:space="preserve"> </w:t>
      </w:r>
      <w:r>
        <w:t xml:space="preserve">There is also a general restriction (no. 30) concerning reprotoxic substances that shall not be placed on</w:t>
      </w:r>
      <w:r>
        <w:t xml:space="preserve"> </w:t>
      </w:r>
      <w:r>
        <w:t xml:space="preserve">the market, or used as substances, as constituents of other substances, or in mixtures, for supply to the</w:t>
      </w:r>
      <w:r>
        <w:t xml:space="preserve"> </w:t>
      </w:r>
      <w:r>
        <w:t xml:space="preserve">general public.</w:t>
      </w:r>
      <w:r>
        <w:t xml:space="preserve"> </w:t>
      </w:r>
      <w:r>
        <w:t xml:space="preserve">Diisocyanates</w:t>
      </w:r>
      <w:r>
        <w:t xml:space="preserve"> </w:t>
      </w:r>
      <w:r>
        <w:t xml:space="preserve">Diisocyanates are restricted under the REACH Regulation and shall not be used or placed on the</w:t>
      </w:r>
      <w:r>
        <w:t xml:space="preserve"> </w:t>
      </w:r>
      <w:r>
        <w:t xml:space="preserve">market as substances on their own, as a constituent in other substances or in mixtures for industrial</w:t>
      </w:r>
      <w:r>
        <w:t xml:space="preserve"> </w:t>
      </w:r>
      <w:r>
        <w:t xml:space="preserve">and professional uses unless the employer or self-employed ensures that industrial or professional</w:t>
      </w:r>
      <w:r>
        <w:t xml:space="preserve"> </w:t>
      </w:r>
      <w:r>
        <w:t xml:space="preserve">user(s) have successfully completed training on the safe use of diisocyanates prior to the use of the</w:t>
      </w:r>
    </w:p>
    <w:p>
      <w:pPr>
        <w:pStyle w:val="BodyText"/>
      </w:pPr>
      <w:r>
        <w:t xml:space="preserve">103https://echa.europa.eu/substances-restricted-under-</w:t>
      </w:r>
      <w:r>
        <w:t xml:space="preserve"> </w:t>
      </w:r>
      <w:r>
        <w:t xml:space="preserve">reach?p_p_id=disslists_WAR_disslistsportlet&amp;p_p_lifecycle=0&amp;p_p_state=normal&amp;p_p_mode=view&amp;_disslist</w:t>
      </w:r>
      <w:r>
        <w:t xml:space="preserve"> </w:t>
      </w:r>
      <w:r>
        <w:t xml:space="preserve">s_WAR_disslistsportlet_orderByCol=prc_entry_no&amp;_disslists_WAR_disslistsportlet_substance_identifier_field</w:t>
      </w:r>
      <w:r>
        <w:t xml:space="preserve"> </w:t>
      </w:r>
      <w:r>
        <w:t xml:space="preserve">_key=&amp;_disslists_WAR_disslistsportlet_delta=50&amp;_disslists_WAR_disslistsportlet_orderByType=asc&amp;_disslis</w:t>
      </w:r>
      <w:r>
        <w:t xml:space="preserve"> </w:t>
      </w:r>
      <w:r>
        <w:t xml:space="preserve">ts_WAR_disslistsportlet_doSearch=&amp;_disslists_WAR_disslistsportlet_prc_entry_no=&amp;_disslists_WAR_disslist</w:t>
      </w:r>
      <w:r>
        <w:t xml:space="preserve"> </w:t>
      </w:r>
      <w:r>
        <w:t xml:space="preserve">sportlet_deltaParamValue=50&amp;_disslists_WAR_disslistsportlet_resetCur=false&amp;_disslists_WAR_disslistsportle</w:t>
      </w:r>
      <w:r>
        <w:t xml:space="preserve"> </w:t>
      </w:r>
      <w:r>
        <w:t xml:space="preserve">t_cur=1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substance(s) or mixture(s). A Commission Regulation was also recently adopted amending Annex</w:t>
      </w:r>
      <w:r>
        <w:t xml:space="preserve"> </w:t>
      </w:r>
      <w:r>
        <w:t xml:space="preserve">XVII to REACH and introducing detailed training requirements for workers104.</w:t>
      </w:r>
      <w:r>
        <w:t xml:space="preserve"> </w:t>
      </w:r>
      <w:r>
        <w:t xml:space="preserve">Name of agent in Annex XVII</w:t>
      </w:r>
      <w:r>
        <w:t xml:space="preserve"> </w:t>
      </w:r>
      <w:r>
        <w:t xml:space="preserve">Entry No. </w:t>
      </w:r>
      <w:r>
        <w:t xml:space="preserve"> </w:t>
      </w:r>
      <w:r>
        <w:t xml:space="preserve">Conditions of the restriction</w:t>
      </w:r>
      <w:r>
        <w:t xml:space="preserve"> </w:t>
      </w:r>
      <w:r>
        <w:t xml:space="preserve">Diisocyanates</w:t>
      </w:r>
      <w:r>
        <w:t xml:space="preserve"> </w:t>
      </w:r>
      <w:r>
        <w:t xml:space="preserve">74</w:t>
      </w:r>
      <w:r>
        <w:t xml:space="preserve"> </w:t>
      </w:r>
      <w:r>
        <w:t xml:space="preserve">https://echa.europa.eu/documents/10162/</w:t>
      </w:r>
      <w:r>
        <w:t xml:space="preserve"> </w:t>
      </w:r>
      <w:r>
        <w:t xml:space="preserve">503ac424-3bcb-137b-9247-</w:t>
      </w:r>
      <w:r>
        <w:t xml:space="preserve"> </w:t>
      </w:r>
      <w:r>
        <w:t xml:space="preserve">09e41eb6dd5a</w:t>
      </w:r>
      <w:r>
        <w:t xml:space="preserve"> </w:t>
      </w:r>
      <w:r>
        <w:t xml:space="preserve">The combination of REACH Restriction and OSH provisions, especially a binding OEL and health</w:t>
      </w:r>
      <w:r>
        <w:t xml:space="preserve"> </w:t>
      </w:r>
      <w:r>
        <w:t xml:space="preserve">surveillance established in the frame of CAD is the most efficient approach for preventing peak</w:t>
      </w:r>
      <w:r>
        <w:t xml:space="preserve"> </w:t>
      </w:r>
      <w:r>
        <w:t xml:space="preserve">exposure which is the key event leading to asthma from exposure to diisocyanates.</w:t>
      </w:r>
    </w:p>
    <w:p>
      <w:pPr>
        <w:pStyle w:val="BodyText"/>
      </w:pPr>
      <w:r>
        <w:t xml:space="preserve">104See footnote 65.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2026-07-31T16:48:09Z</dcterms:created>
  <dcterms:modified xsi:type="dcterms:W3CDTF">2026-07-31T16:48:09Z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