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7.11.2023</w:t>
      </w:r>
      <w:r>
        <w:br/>
      </w:r>
      <w:r>
        <w:t xml:space="preserve">SWD(2023) 351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amending Council Directive 92/106/EEC as regards a support framework for intermodal</w:t>
      </w:r>
      <w:r>
        <w:t xml:space="preserve"> </w:t>
      </w:r>
      <w:r>
        <w:t xml:space="preserve">transport of goods and Regulation (EU) 2020/1056 of the European Parliament and the</w:t>
      </w:r>
      <w:r>
        <w:t xml:space="preserve"> </w:t>
      </w:r>
      <w:r>
        <w:t xml:space="preserve">Council as regards calculation of external costs savings and generation of aggregated data</w:t>
      </w:r>
      <w:r>
        <w:t xml:space="preserve"> </w:t>
      </w:r>
      <w:r>
        <w:t xml:space="preserve">{COM(2023) 702 final} - {SEC(2023) 373 final} - {SWD(2023) 352 final}</w:t>
      </w:r>
    </w:p>
    <w:p>
      <w:pPr>
        <w:pStyle w:val="BodyText"/>
      </w:pPr>
      <w:r>
        <w:t xml:space="preserve">I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1</w:t>
      </w:r>
      <w:r>
        <w:t xml:space="preserve"> </w:t>
      </w:r>
      <w:r>
        <w:t xml:space="preserve">1.1. Political context ……………………………………………………………………………………. 1</w:t>
      </w:r>
      <w:r>
        <w:t xml:space="preserve"> </w:t>
      </w:r>
      <w:r>
        <w:t xml:space="preserve">1.2. Legal context ……………………………………………………………………………………….. 2</w:t>
      </w:r>
      <w:r>
        <w:t xml:space="preserve"> </w:t>
      </w:r>
      <w:r>
        <w:t xml:space="preserve">1.3. Synergies with other EU policy instruments …………………………………………….. 3</w:t>
      </w:r>
      <w:r>
        <w:t xml:space="preserve"> </w:t>
      </w:r>
      <w:r>
        <w:t xml:space="preserve">1.4. Evaluation of the Directive …………………………………………………………………….. 5</w:t>
      </w:r>
      <w:r>
        <w:t xml:space="preserve"> </w:t>
      </w:r>
      <w:r>
        <w:t xml:space="preserve">1.5. Sustainable development goals (SDG) …………………………………………………….. 6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6</w:t>
      </w:r>
      <w:r>
        <w:t xml:space="preserve"> </w:t>
      </w:r>
      <w:r>
        <w:t xml:space="preserve">2.1. What is the problem? …………………………………………………………………………….. 6</w:t>
      </w:r>
      <w:r>
        <w:t xml:space="preserve"> </w:t>
      </w:r>
      <w:r>
        <w:t xml:space="preserve">2.2. What are the problem drivers? ……………………………………………………………… 12</w:t>
      </w:r>
      <w:r>
        <w:t xml:space="preserve"> </w:t>
      </w:r>
      <w:r>
        <w:t xml:space="preserve">2.3. How likely is the problem to persist? …………………………………………………….. 16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17</w:t>
      </w:r>
      <w:r>
        <w:t xml:space="preserve"> </w:t>
      </w:r>
      <w:r>
        <w:t xml:space="preserve">3.1. Legal basis …………………………………………………………………………………………. 17</w:t>
      </w:r>
      <w:r>
        <w:t xml:space="preserve"> </w:t>
      </w:r>
      <w:r>
        <w:t xml:space="preserve">3.2. Subsidiarity: Necessity of EU action ……………………………………………………… 17</w:t>
      </w:r>
      <w:r>
        <w:t xml:space="preserve"> </w:t>
      </w:r>
      <w:r>
        <w:t xml:space="preserve">3.3. Subsidiarity: Added value of EU action …………………………………………………. 17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17</w:t>
      </w:r>
      <w:r>
        <w:t xml:space="preserve"> </w:t>
      </w:r>
      <w:r>
        <w:t xml:space="preserve">4.1. General objectives ………………………………………………………………………………. 17</w:t>
      </w:r>
      <w:r>
        <w:t xml:space="preserve"> </w:t>
      </w:r>
      <w:r>
        <w:t xml:space="preserve">4.2. Specific objectives ………………………………………………………………………………. 18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19</w:t>
      </w:r>
      <w:r>
        <w:t xml:space="preserve"> </w:t>
      </w:r>
      <w:r>
        <w:t xml:space="preserve">5.1. What is the baseline from which options are assessed? ……………………………. 19</w:t>
      </w:r>
      <w:r>
        <w:t xml:space="preserve"> </w:t>
      </w:r>
      <w:r>
        <w:t xml:space="preserve">5.2. Description of the policy options ………………………………………………………….. 22</w:t>
      </w:r>
      <w:r>
        <w:t xml:space="preserve"> </w:t>
      </w:r>
      <w:r>
        <w:t xml:space="preserve">5.2.1. Retained policy measures …………………………………………………………………….. 22</w:t>
      </w:r>
      <w:r>
        <w:t xml:space="preserve"> </w:t>
      </w:r>
      <w:r>
        <w:t xml:space="preserve">5.2.2. The construction and description of the options ………………………………………. 26</w:t>
      </w:r>
      <w:r>
        <w:t xml:space="preserve"> </w:t>
      </w:r>
      <w:r>
        <w:t xml:space="preserve">5.3. Measures and options discarded at an early stage ……………………………………. 28</w:t>
      </w:r>
      <w:r>
        <w:t xml:space="preserve"> </w:t>
      </w:r>
      <w:r>
        <w:t xml:space="preserve">5.3.1. Discarded policy measures …………………………………………………………………… 28</w:t>
      </w:r>
      <w:r>
        <w:t xml:space="preserve"> </w:t>
      </w:r>
      <w:r>
        <w:t xml:space="preserve">5.3.2. Policy options discarded at an early stage ………………………………………………. 29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29</w:t>
      </w:r>
      <w:r>
        <w:t xml:space="preserve"> </w:t>
      </w:r>
      <w:r>
        <w:t xml:space="preserve">6.1. Economic impact ………………………………………………………………………………… 29</w:t>
      </w:r>
      <w:r>
        <w:t xml:space="preserve"> </w:t>
      </w:r>
      <w:r>
        <w:t xml:space="preserve">6.1.1. Impact on competitiveness of intermodal transport, modal shift and GDP …. 29</w:t>
      </w:r>
      <w:r>
        <w:t xml:space="preserve"> </w:t>
      </w:r>
      <w:r>
        <w:t xml:space="preserve">6.1.2. Impact on national public administrations ……………………………………………… 34</w:t>
      </w:r>
      <w:r>
        <w:t xml:space="preserve"> </w:t>
      </w:r>
      <w:r>
        <w:t xml:space="preserve">6.1.3. Impact on the European Commission …………………………………………………….. 37</w:t>
      </w:r>
      <w:r>
        <w:t xml:space="preserve"> </w:t>
      </w:r>
      <w:r>
        <w:t xml:space="preserve">6.1.4. Impact on businesses …………………………………………………………………………… 37</w:t>
      </w:r>
      <w:r>
        <w:t xml:space="preserve"> </w:t>
      </w:r>
      <w:r>
        <w:t xml:space="preserve">6.1.5. Impact on SMEs …………………………………………………………………………………. 40</w:t>
      </w:r>
      <w:r>
        <w:t xml:space="preserve"> </w:t>
      </w:r>
      <w:r>
        <w:t xml:space="preserve">6.1.6. Digital by default ………………………………………………………………………………… 41</w:t>
      </w:r>
      <w:r>
        <w:t xml:space="preserve"> </w:t>
      </w:r>
      <w:r>
        <w:t xml:space="preserve">6.1.7. Impact on the functioning of the internal market and on competition ………… 41</w:t>
      </w:r>
      <w:r>
        <w:t xml:space="preserve"> </w:t>
      </w:r>
      <w:r>
        <w:t xml:space="preserve">6.1.8. Regional distribution of impacts …………………………………………………………… 42</w:t>
      </w:r>
      <w:r>
        <w:t xml:space="preserve"> </w:t>
      </w:r>
      <w:r>
        <w:t xml:space="preserve">6.1.9. Impact on energy consumption …………………………………………………………….. 43</w:t>
      </w:r>
      <w:r>
        <w:t xml:space="preserve"> </w:t>
      </w:r>
      <w:r>
        <w:t xml:space="preserve">6.2. Social impact ……………………………………………………………………………………… 43</w:t>
      </w:r>
      <w:r>
        <w:t xml:space="preserve"> </w:t>
      </w:r>
      <w:r>
        <w:t xml:space="preserve">6.2.1. Impact on road safety and on congestion ……………………………………………….. 43</w:t>
      </w:r>
      <w:r>
        <w:t xml:space="preserve"> </w:t>
      </w:r>
      <w:r>
        <w:t xml:space="preserve">6.2.2. Impact on employment ………………………………………………………………………… 44</w:t>
      </w:r>
      <w:r>
        <w:t xml:space="preserve"> </w:t>
      </w:r>
      <w:r>
        <w:t xml:space="preserve">6.2.3. Impacts on fundamental rights ……………………………………………………………… 45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6.3. Environmental impacts ………………………………………………………………………… 45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46</w:t>
      </w:r>
      <w:r>
        <w:t xml:space="preserve"> </w:t>
      </w:r>
      <w:r>
        <w:t xml:space="preserve">7.1. Effectiveness ………………………………………………………………………………………. 46</w:t>
      </w:r>
      <w:r>
        <w:t xml:space="preserve"> </w:t>
      </w:r>
      <w:r>
        <w:t xml:space="preserve">7.2. Efficiency ………………………………………………………………………………………….. 48</w:t>
      </w:r>
      <w:r>
        <w:t xml:space="preserve"> </w:t>
      </w:r>
      <w:r>
        <w:t xml:space="preserve">7.3. Coherence ………………………………………………………………………………………….. 49</w:t>
      </w:r>
      <w:r>
        <w:t xml:space="preserve"> </w:t>
      </w:r>
      <w:r>
        <w:t xml:space="preserve">7.4. Subsidiarity and proportionality ……………………………………………………………. 49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51</w:t>
      </w:r>
      <w:r>
        <w:t xml:space="preserve"> </w:t>
      </w:r>
      <w:r>
        <w:t xml:space="preserve">8.1. Identification of the preferred policy option …………………………………………… 51</w:t>
      </w:r>
      <w:r>
        <w:t xml:space="preserve"> </w:t>
      </w:r>
      <w:r>
        <w:t xml:space="preserve">8.2. REFIT (simplification and improved efficiency) …………………………………….. 52</w:t>
      </w:r>
      <w:r>
        <w:t xml:space="preserve"> </w:t>
      </w:r>
      <w:r>
        <w:t xml:space="preserve">8.3. Application of the ‘one in, one out’ approach …………………………………………. 53</w:t>
      </w:r>
      <w:r>
        <w:t xml:space="preserve"> </w:t>
      </w:r>
      <w:r>
        <w:t xml:space="preserve">8.4. Sensitivity analysis for the preferred policy option ………………………………….. 53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54</w:t>
      </w:r>
      <w:r>
        <w:t xml:space="preserve"> </w:t>
      </w:r>
      <w:r>
        <w:t xml:space="preserve">ANNEX 1: PROCEDURAL INFORMATION ……………………………………………………………………………….. 56</w:t>
      </w:r>
      <w:r>
        <w:t xml:space="preserve"> </w:t>
      </w:r>
      <w:r>
        <w:t xml:space="preserve">ANNEX 2: STAKEHOLDER CONSULTATION (SYNOPSIS REPORT) ………………………………………… 62</w:t>
      </w:r>
      <w:r>
        <w:t xml:space="preserve"> </w:t>
      </w:r>
      <w:r>
        <w:t xml:space="preserve">ANNEX 3: WHO IS AFFECTED AND HOW? ……………………………………………………………………………… 75</w:t>
      </w:r>
      <w:r>
        <w:t xml:space="preserve"> </w:t>
      </w:r>
      <w:r>
        <w:t xml:space="preserve">ANNEX 4: ANALYTICAL METHODS ……………………………………………………………………………………….. 79</w:t>
      </w:r>
      <w:r>
        <w:t xml:space="preserve"> </w:t>
      </w:r>
      <w:r>
        <w:t xml:space="preserve">ANNEX 5: COMPETITIVENESS CHECK …………………………………………………………………………………. 120</w:t>
      </w:r>
      <w:r>
        <w:t xml:space="preserve"> </w:t>
      </w:r>
      <w:r>
        <w:t xml:space="preserve">ANNEX 6: RETAINED MEASURES …………………………………………………………………………………………. 123</w:t>
      </w:r>
      <w:r>
        <w:t xml:space="preserve"> </w:t>
      </w:r>
      <w:r>
        <w:t xml:space="preserve">ANNEX 7: DISCARDED MEASURES ………………………………………………………………………………………. 131</w:t>
      </w:r>
      <w:r>
        <w:t xml:space="preserve"> </w:t>
      </w:r>
      <w:r>
        <w:t xml:space="preserve">ANNEX 8: HISTORICAL CONTEXT FOR CTD ………………………………………………………………………… 133</w:t>
      </w:r>
      <w:r>
        <w:t xml:space="preserve"> </w:t>
      </w:r>
      <w:r>
        <w:t xml:space="preserve">ANNEX 9: TOOLBOX OF SUPPORT TOOLS ……………………………………………………………………………. 135</w:t>
      </w:r>
      <w:r>
        <w:t xml:space="preserve"> </w:t>
      </w:r>
      <w:r>
        <w:t xml:space="preserve">ANNEX 10: TRANSPARENCY REQUIREMENTS ON TERMINALS………………………………………….. 136</w:t>
      </w:r>
      <w:r>
        <w:t xml:space="preserve"> </w:t>
      </w:r>
      <w:r>
        <w:t xml:space="preserve">ANNEX 11: TERMINAL CATEGORIES – RAIL ………………………………………………………………………… 137</w:t>
      </w:r>
      <w:r>
        <w:t xml:space="preserve"> </w:t>
      </w:r>
      <w:r>
        <w:t xml:space="preserve">ANNEX 12: EFFECTIVENESS OF THE POLICY OPTIONS ……………………………………………………….. 138</w:t>
      </w:r>
      <w:r>
        <w:t xml:space="preserve"> </w:t>
      </w:r>
      <w:r>
        <w:t xml:space="preserve">ANNEX 13: SME TEST ……………………………………………………………………………………………………………. 144</w:t>
      </w:r>
      <w:r>
        <w:t xml:space="preserve"> </w:t>
      </w:r>
      <w:r>
        <w:t xml:space="preserve">ANNEX 14: FINANCIAL SUPPORT MEASURES AND MODAL SHIFT …………………………………….. 146</w:t>
      </w:r>
    </w:p>
    <w:p>
      <w:pPr>
        <w:pStyle w:val="BodyText"/>
      </w:pPr>
      <w:r>
        <w:t xml:space="preserve">III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CTD</w:t>
      </w:r>
      <w:r>
        <w:t xml:space="preserve"> </w:t>
      </w:r>
      <w:r>
        <w:t xml:space="preserve">Combined Transport Directive</w:t>
      </w:r>
      <w:r>
        <w:t xml:space="preserve"> </w:t>
      </w:r>
      <w:r>
        <w:t xml:space="preserve">CEEU</w:t>
      </w:r>
      <w:r>
        <w:t xml:space="preserve"> </w:t>
      </w:r>
      <w:r>
        <w:t xml:space="preserve">Common EU framework for GHG emissions accounting in transport and</w:t>
      </w:r>
      <w:r>
        <w:t xml:space="preserve"> </w:t>
      </w:r>
      <w:r>
        <w:t xml:space="preserve">logistics, CountEmissions EU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gases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</w:t>
      </w:r>
      <w:r>
        <w:t xml:space="preserve"> </w:t>
      </w:r>
      <w:r>
        <w:t xml:space="preserve">RR</w:t>
      </w:r>
      <w:r>
        <w:t xml:space="preserve"> </w:t>
      </w:r>
      <w:r>
        <w:t xml:space="preserve">Rail-road intermodal transport</w:t>
      </w:r>
      <w:r>
        <w:t xml:space="preserve"> </w:t>
      </w:r>
      <w:r>
        <w:t xml:space="preserve">IWW</w:t>
      </w:r>
      <w:r>
        <w:t xml:space="preserve"> </w:t>
      </w:r>
      <w:r>
        <w:t xml:space="preserve">Inland-waterways-road intermodal transport</w:t>
      </w:r>
      <w:r>
        <w:t xml:space="preserve"> </w:t>
      </w:r>
      <w:r>
        <w:t xml:space="preserve">SSS</w:t>
      </w:r>
      <w:r>
        <w:t xml:space="preserve"> </w:t>
      </w:r>
      <w:r>
        <w:t xml:space="preserve">Short sea shipping-road intermodal transport</w:t>
      </w:r>
      <w:r>
        <w:t xml:space="preserve"> </w:t>
      </w:r>
      <w:r>
        <w:t xml:space="preserve">CT</w:t>
      </w:r>
      <w:r>
        <w:t xml:space="preserve"> </w:t>
      </w:r>
      <w:r>
        <w:t xml:space="preserve">Combined transport</w:t>
      </w:r>
      <w:r>
        <w:t xml:space="preserve"> </w:t>
      </w:r>
      <w:r>
        <w:t xml:space="preserve">SSMS</w:t>
      </w:r>
      <w:r>
        <w:t xml:space="preserve"> </w:t>
      </w:r>
      <w:r>
        <w:t xml:space="preserve">Smart and Sustainable Mobility Strategy</w:t>
      </w:r>
      <w:r>
        <w:t xml:space="preserve"> </w:t>
      </w:r>
      <w:r>
        <w:t xml:space="preserve">OPC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HDV</w:t>
      </w:r>
      <w:r>
        <w:t xml:space="preserve"> </w:t>
      </w:r>
      <w:r>
        <w:t xml:space="preserve">Heavy goods vehicle</w:t>
      </w:r>
      <w:r>
        <w:t xml:space="preserve"> </w:t>
      </w:r>
      <w:r>
        <w:t xml:space="preserve">eFTI</w:t>
      </w:r>
      <w:r>
        <w:t xml:space="preserve"> </w:t>
      </w:r>
      <w:r>
        <w:t xml:space="preserve">Electronic Freight Transport Information</w:t>
      </w:r>
      <w:r>
        <w:t xml:space="preserve"> </w:t>
      </w:r>
      <w:r>
        <w:t xml:space="preserve">bn</w:t>
      </w:r>
      <w:r>
        <w:t xml:space="preserve"> </w:t>
      </w:r>
      <w:r>
        <w:t xml:space="preserve">Billion</w:t>
      </w:r>
      <w:r>
        <w:t xml:space="preserve"> </w:t>
      </w:r>
      <w:r>
        <w:t xml:space="preserve">tkm</w:t>
      </w:r>
      <w:r>
        <w:t xml:space="preserve"> </w:t>
      </w:r>
      <w:r>
        <w:t xml:space="preserve">Tonne kilometre</w:t>
      </w:r>
      <w:r>
        <w:t xml:space="preserve"> </w:t>
      </w:r>
      <w:r>
        <w:t xml:space="preserve">ktoe</w:t>
      </w:r>
      <w:r>
        <w:t xml:space="preserve"> </w:t>
      </w:r>
      <w:r>
        <w:t xml:space="preserve">Kilo tonnes of oil equivalent</w:t>
      </w:r>
      <w:r>
        <w:t xml:space="preserve"> </w:t>
      </w:r>
      <w:r>
        <w:t xml:space="preserve">Mtoe</w:t>
      </w:r>
      <w:r>
        <w:t xml:space="preserve"> </w:t>
      </w:r>
      <w:r>
        <w:t xml:space="preserve">Million tonnes of oil equivalent</w:t>
      </w:r>
      <w:r>
        <w:t xml:space="preserve"> </w:t>
      </w:r>
      <w:r>
        <w:t xml:space="preserve">SO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PM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TEU</w:t>
      </w:r>
      <w:r>
        <w:t xml:space="preserve"> </w:t>
      </w:r>
      <w:r>
        <w:t xml:space="preserve">Twenty-foot equivalent unit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This Impact Assessment accompanies a legislative proposal for a revision of Council Directive 92/106/EEC on the</w:t>
      </w:r>
      <w:r>
        <w:t xml:space="preserve"> </w:t>
      </w:r>
      <w:r>
        <w:t xml:space="preserve">establishment of common rules for certain types of combined transport (CT) of goods between Member States.</w:t>
      </w:r>
      <w:r>
        <w:t xml:space="preserve"> </w:t>
      </w:r>
      <w:r>
        <w:t xml:space="preserve">The Combined Transport Directive (CTD or the Directive)1 is the only EU legal instrument that directly supports</w:t>
      </w:r>
      <w:r>
        <w:t xml:space="preserve"> </w:t>
      </w:r>
      <w:r>
        <w:t xml:space="preserve">intermodal transport and thus incentivises the shift from road freight to lower emission transport modes (inland</w:t>
      </w:r>
      <w:r>
        <w:t xml:space="preserve"> </w:t>
      </w:r>
      <w:r>
        <w:t xml:space="preserve">waterways, maritime transport and rail).</w:t>
      </w:r>
      <w:r>
        <w:br/>
      </w:r>
      <w:r>
        <w:t xml:space="preserve">Today’s political choice is established in the European Climate Law2, according to which the European</w:t>
      </w:r>
      <w:r>
        <w:t xml:space="preserve"> </w:t>
      </w:r>
      <w:r>
        <w:t xml:space="preserve">Union (EU or Union) needs to reduce its economy-wide greenhouse gas (GHG) emissions by at least 55%</w:t>
      </w:r>
      <w:r>
        <w:t xml:space="preserve"> </w:t>
      </w:r>
      <w:r>
        <w:t xml:space="preserve">by 2030 as compared to 1990 levels, and achieve climate neutrality by 2050. The European Green Deal</w:t>
      </w:r>
      <w:r>
        <w:t xml:space="preserve"> </w:t>
      </w:r>
      <w:r>
        <w:t xml:space="preserve">Communication3 pointed to the need to reduce transport GHG emissions by 90% by 2050 to achieve climate</w:t>
      </w:r>
      <w:r>
        <w:t xml:space="preserve"> </w:t>
      </w:r>
      <w:r>
        <w:t xml:space="preserve">neutrality. Furthermore, to reduce its dependence of fossil fuels, the Union also needs to improve its energy</w:t>
      </w:r>
      <w:r>
        <w:t xml:space="preserve"> </w:t>
      </w:r>
      <w:r>
        <w:t xml:space="preserve">efficiency, as highlighted in the REPowerEU package4, which lists the revision of the CTD as an important</w:t>
      </w:r>
      <w:r>
        <w:t xml:space="preserve"> </w:t>
      </w:r>
      <w:r>
        <w:t xml:space="preserve">tool in this regard5. The Zero Pollution Action Plan6 promotes the switch to cleaner transport to reduce air</w:t>
      </w:r>
      <w:r>
        <w:t xml:space="preserve"> </w:t>
      </w:r>
      <w:r>
        <w:t xml:space="preserve">and noise pollution.</w:t>
      </w:r>
      <w:r>
        <w:t xml:space="preserve"> </w:t>
      </w:r>
      <w:r>
        <w:t xml:space="preserve">The transformation towards low-emission and low-energy consumption freight transport requires a holistic</w:t>
      </w:r>
      <w:r>
        <w:t xml:space="preserve"> </w:t>
      </w:r>
      <w:r>
        <w:t xml:space="preserve">approach. The Commission Communication on the Sustainable and Smart Mobility Strategy (SSMS)7</w:t>
      </w:r>
      <w:r>
        <w:t xml:space="preserve"> </w:t>
      </w:r>
      <w:r>
        <w:t xml:space="preserve">emphasises that all policy levers must be pulled to (1) make all transport modes more sustainable, (2) make</w:t>
      </w:r>
      <w:r>
        <w:t xml:space="preserve"> </w:t>
      </w:r>
      <w:r>
        <w:t xml:space="preserve">sustainable alternatives widely available in a multimodal transport system and (3) put in place the right</w:t>
      </w:r>
      <w:r>
        <w:t xml:space="preserve"> </w:t>
      </w:r>
      <w:r>
        <w:t xml:space="preserve">incentives to drive the transition. It calls for decisive action to shift more activity towards more sustainable</w:t>
      </w:r>
      <w:r>
        <w:t xml:space="preserve"> </w:t>
      </w:r>
      <w:r>
        <w:t xml:space="preserve">transport modes, notably by moving a substantial amount of freight onto rail, inland waterways, and short</w:t>
      </w:r>
      <w:r>
        <w:t xml:space="preserve"> </w:t>
      </w:r>
      <w:r>
        <w:t xml:space="preserve">sea shipping8.</w:t>
      </w:r>
      <w:r>
        <w:br/>
      </w:r>
      <w:r>
        <w:t xml:space="preserve">Intermodal transport is key in enabling the higher uptake of rail and waterborne freight transport, which alone</w:t>
      </w:r>
      <w:r>
        <w:t xml:space="preserve"> </w:t>
      </w:r>
      <w:r>
        <w:t xml:space="preserve">very rarely provide door-to-door transport solutions. Intermodal transport, providing the last mile door-to-door</w:t>
      </w:r>
      <w:r>
        <w:t xml:space="preserve"> </w:t>
      </w:r>
      <w:r>
        <w:t xml:space="preserve">connections, combines the better environmental performance9 and energy efficiency of non-road transport with</w:t>
      </w:r>
      <w:r>
        <w:t xml:space="preserve"> </w:t>
      </w:r>
      <w:r>
        <w:t xml:space="preserve">the accessibility and flexibility of road transport. It also enables a more efficient allocation of volumes among</w:t>
      </w:r>
      <w:r>
        <w:t xml:space="preserve"> </w:t>
      </w:r>
      <w:r>
        <w:t xml:space="preserve">transport modes, both in terms of resource allocation and tackles effectively those road transport externalities</w:t>
      </w:r>
      <w:r>
        <w:t xml:space="preserve"> </w:t>
      </w:r>
      <w:r>
        <w:t xml:space="preserve">which are hard to fully internalise, in particular congestion and accidents. Therefore, it is instrumental to achieve</w:t>
      </w:r>
      <w:r>
        <w:t xml:space="preserve"> </w:t>
      </w:r>
      <w:r>
        <w:t xml:space="preserve">the ambition of the SSMS and that of the European Green Deal, which also called for a substantial part of the 75%</w:t>
      </w:r>
      <w:r>
        <w:t xml:space="preserve"> </w:t>
      </w:r>
      <w:r>
        <w:t xml:space="preserve">of inland freight carried today by road to be shifted to rail and inland waterways. The SSMS accordingly announced</w:t>
      </w:r>
      <w:r>
        <w:t xml:space="preserve"> </w:t>
      </w:r>
      <w:r>
        <w:t xml:space="preserve">that to support the greening of cargo operations in Europe, the existing framework for intermodal transport needs</w:t>
      </w:r>
      <w:r>
        <w:t xml:space="preserve"> </w:t>
      </w:r>
      <w:r>
        <w:t xml:space="preserve">a substantial revamp and must be turned into an effective tool.</w:t>
      </w:r>
      <w:r>
        <w:br/>
      </w:r>
      <w:r>
        <w:t xml:space="preserve">Even though the performance in volumes of intermodal freight transport has increased substantially over the last</w:t>
      </w:r>
      <w:r>
        <w:t xml:space="preserve"> </w:t>
      </w:r>
      <w:r>
        <w:t xml:space="preserve">30 years, road still dominates freight transport in the EU, because intermodal transport is often not competitive</w:t>
      </w:r>
      <w:r>
        <w:t xml:space="preserve"> </w:t>
      </w:r>
      <w:r>
        <w:t xml:space="preserve">with road-only transport. There are several reasons. First, success of intermodal transport depends on the</w:t>
      </w:r>
    </w:p>
    <w:p>
      <w:pPr>
        <w:pStyle w:val="BodyText"/>
      </w:pPr>
      <w:r>
        <w:t xml:space="preserve">1 Council Directive 92/106/EEC of 7 December 1992 on the establishment of common rules for certain types of combined</w:t>
      </w:r>
      <w:r>
        <w:t xml:space="preserve"> </w:t>
      </w:r>
      <w:r>
        <w:t xml:space="preserve">transport of goods between Member States, OJ L 368, 17.12.1992, p. 38-42.</w:t>
      </w:r>
      <w:r>
        <w:t xml:space="preserve"> </w:t>
      </w:r>
      <w:r>
        <w:t xml:space="preserve">2 Regulation (EU) 2021/1119 of the European Parliament and of the Council of 30 June 2021 establishing the framework</w:t>
      </w:r>
      <w:r>
        <w:t xml:space="preserve"> </w:t>
      </w:r>
      <w:r>
        <w:t xml:space="preserve">for achieving climate neutrality and amending Regulations (EC) No 401/2009 and (EU) 2018/1999 (‘European Climate</w:t>
      </w:r>
      <w:r>
        <w:t xml:space="preserve"> </w:t>
      </w:r>
      <w:r>
        <w:t xml:space="preserve">Law’), OJ L 243, 9.7.2021, p. 1-17.</w:t>
      </w:r>
      <w:r>
        <w:t xml:space="preserve"> </w:t>
      </w:r>
      <w:r>
        <w:t xml:space="preserve">3 COM(2019) 640 final.</w:t>
      </w:r>
      <w:r>
        <w:t xml:space="preserve"> </w:t>
      </w:r>
      <w:r>
        <w:t xml:space="preserve">4 RePowerEU Plan, COM(2022)230 final.</w:t>
      </w:r>
      <w:r>
        <w:t xml:space="preserve"> </w:t>
      </w:r>
      <w:r>
        <w:t xml:space="preserve">5 EU</w:t>
      </w:r>
      <w:r>
        <w:t xml:space="preserve"> </w:t>
      </w:r>
      <w:r>
        <w:t xml:space="preserve">‘Save Energy’</w:t>
      </w:r>
      <w:r>
        <w:t xml:space="preserve">, COM(2022) 240 final.</w:t>
      </w:r>
      <w:r>
        <w:t xml:space="preserve"> </w:t>
      </w:r>
      <w:r>
        <w:t xml:space="preserve">6 COM(2021) 400 final.</w:t>
      </w:r>
      <w:r>
        <w:t xml:space="preserve"> </w:t>
      </w:r>
      <w:r>
        <w:t xml:space="preserve">7 COM(2020) 789 final.</w:t>
      </w:r>
      <w:r>
        <w:br/>
      </w:r>
      <w:r>
        <w:t xml:space="preserve">8 The SSMS set milestones for rail freight traffic to double and inland waterways/short sea shipping freight traffic to increase by</w:t>
      </w:r>
      <w:r>
        <w:t xml:space="preserve"> </w:t>
      </w:r>
      <w:r>
        <w:t xml:space="preserve">50% by 2050.</w:t>
      </w:r>
      <w:r>
        <w:t xml:space="preserve"> </w:t>
      </w:r>
      <w:r>
        <w:t xml:space="preserve">9 The 2016 evaluation of the CTD estimated that the shift from road-only to intermodal transport has brought along an annual</w:t>
      </w:r>
      <w:r>
        <w:t xml:space="preserve"> </w:t>
      </w:r>
      <w:r>
        <w:t xml:space="preserve">saving of up to EUR 2.1 billion in external costs in 2011.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performance (availability, reliability, punctuality, speed) and cost of each part of the chain, i.e. the services offered</w:t>
      </w:r>
      <w:r>
        <w:t xml:space="preserve"> </w:t>
      </w:r>
      <w:r>
        <w:t xml:space="preserve">by rail and waterborne transport, transhipment terminals as well as the road transport for the ‘last mile’. There are</w:t>
      </w:r>
      <w:r>
        <w:t xml:space="preserve"> </w:t>
      </w:r>
      <w:r>
        <w:t xml:space="preserve">performance gaps in all those elements that need to be addressed by respective sectoral legislation and industry</w:t>
      </w:r>
      <w:r>
        <w:t xml:space="preserve"> </w:t>
      </w:r>
      <w:r>
        <w:t xml:space="preserve">efforts. Second, as long as the level of internalisation of the external costs between the modes differs, non-road</w:t>
      </w:r>
      <w:r>
        <w:t xml:space="preserve"> </w:t>
      </w:r>
      <w:r>
        <w:t xml:space="preserve">and intermodal transport on medium-long distances is not price-competitive with road-only operations. The SSMS</w:t>
      </w:r>
      <w:r>
        <w:t xml:space="preserve"> </w:t>
      </w:r>
      <w:r>
        <w:t xml:space="preserve">notes that to deliver fair and efficient pricing across all transport modes, a comprehensive set of measures</w:t>
      </w:r>
      <w:r>
        <w:t xml:space="preserve"> </w:t>
      </w:r>
      <w:r>
        <w:t xml:space="preserve">is needed. Only then would polluters and users take full responsibility for the costs they generate, allowing users</w:t>
      </w:r>
      <w:r>
        <w:t xml:space="preserve"> </w:t>
      </w:r>
      <w:r>
        <w:t xml:space="preserve">to make choices aligned with what is best for society.</w:t>
      </w:r>
      <w:r>
        <w:t xml:space="preserve"> </w:t>
      </w:r>
      <w:r>
        <w:t xml:space="preserve">In this context, the purpose of the CTD is to ensure, by compensating current market imperfections, that faster</w:t>
      </w:r>
      <w:r>
        <w:t xml:space="preserve"> </w:t>
      </w:r>
      <w:r>
        <w:t xml:space="preserve">and more significant uptake of intermodal transport will be achieved by complementing other policies described in</w:t>
      </w:r>
      <w:r>
        <w:t xml:space="preserve"> </w:t>
      </w:r>
      <w:r>
        <w:t xml:space="preserve">section 1.3, and by so doing frontload as much as possible the reduction of negative externalities caused by freight</w:t>
      </w:r>
      <w:r>
        <w:t xml:space="preserve"> </w:t>
      </w:r>
      <w:r>
        <w:t xml:space="preserve">transport.</w:t>
      </w:r>
      <w:r>
        <w:t xml:space="preserve"> </w:t>
      </w:r>
      <w:r>
        <w:t xml:space="preserve">Definitions10:</w:t>
      </w:r>
      <w:r>
        <w:t xml:space="preserve"> </w:t>
      </w:r>
      <w:r>
        <w:t xml:space="preserve">•</w:t>
      </w:r>
      <w:r>
        <w:t xml:space="preserve"> </w:t>
      </w:r>
      <w:r>
        <w:t xml:space="preserve">Multimodal transport is carriage of goods or passengers by at least two different modes of transport.</w:t>
      </w:r>
      <w:r>
        <w:br/>
      </w:r>
      <w:r>
        <w:t xml:space="preserve">•</w:t>
      </w:r>
      <w:r>
        <w:t xml:space="preserve"> </w:t>
      </w:r>
      <w:r>
        <w:t xml:space="preserve">Intermodal transport is movement of goods (in the same loading unit or a vehicle) by successive modes of</w:t>
      </w:r>
      <w:r>
        <w:t xml:space="preserve"> </w:t>
      </w:r>
      <w:r>
        <w:t xml:space="preserve">transport without handling of the goods themselves when changing modes. It is a type of multimodal transport.</w:t>
      </w:r>
      <w:r>
        <w:t xml:space="preserve"> </w:t>
      </w:r>
      <w:r>
        <w:t xml:space="preserve">•</w:t>
      </w:r>
      <w:r>
        <w:t xml:space="preserve"> </w:t>
      </w:r>
      <w:r>
        <w:t xml:space="preserve">Combined transport is a subset of intermodal transport meeting the definition in the CTD11.</w:t>
      </w:r>
      <w:r>
        <w:br/>
      </w:r>
      <w:r>
        <w:t xml:space="preserve">Considering that the definition of CT is very narrow, this impact assessment addresses the problems and</w:t>
      </w:r>
      <w:r>
        <w:t xml:space="preserve"> </w:t>
      </w:r>
      <w:r>
        <w:t xml:space="preserve">potential of “intermodal transport” in general. Only where the issue relates narrowly to operations covered</w:t>
      </w:r>
      <w:r>
        <w:t xml:space="preserve"> </w:t>
      </w:r>
      <w:r>
        <w:t xml:space="preserve">by the current CTD is the term CT used.</w:t>
      </w:r>
    </w:p>
    <w:p>
      <w:pPr>
        <w:pStyle w:val="BodyText"/>
      </w:pPr>
      <w:r>
        <w:t xml:space="preserve">1.2.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Since 197512, the EU has had an instrument to support eligible intermodal operations with an objective to increase</w:t>
      </w:r>
      <w:r>
        <w:t xml:space="preserve"> </w:t>
      </w:r>
      <w:r>
        <w:t xml:space="preserve">the competitiveness of CT vis-à-vis road-only freight transport and thereby achieve higher uptake of CT. The CTD</w:t>
      </w:r>
      <w:r>
        <w:t xml:space="preserve"> </w:t>
      </w:r>
      <w:r>
        <w:t xml:space="preserve">does not regulate the access to market, nor does it establish any obligations on market participants or address any</w:t>
      </w:r>
      <w:r>
        <w:t xml:space="preserve"> </w:t>
      </w:r>
      <w:r>
        <w:t xml:space="preserve">issues relevant to specific modes. Instead, its objective is to provide support for the freight operations with better</w:t>
      </w:r>
      <w:r>
        <w:t xml:space="preserve"> </w:t>
      </w:r>
      <w:r>
        <w:t xml:space="preserve">environmental performance, to the operators who decide to apply. The CTD defines the eligibility (Article 1:</w:t>
      </w:r>
      <w:r>
        <w:t xml:space="preserve"> </w:t>
      </w:r>
      <w:r>
        <w:t xml:space="preserve">definition) for support measures, i.e. which operations can benefit as well as conditions for proof of eligibility</w:t>
      </w:r>
      <w:r>
        <w:t xml:space="preserve"> </w:t>
      </w:r>
      <w:r>
        <w:t xml:space="preserve">(Article 3). For those strictly defined eligible operations (see footnote 11), the CTD provides two types of benefits:</w:t>
      </w:r>
      <w:r>
        <w:t xml:space="preserve"> </w:t>
      </w:r>
      <w:r>
        <w:t xml:space="preserve">regulatory measures and economic support, the aim of which is to ensure that CT can take place without</w:t>
      </w:r>
      <w:r>
        <w:t xml:space="preserve"> </w:t>
      </w:r>
      <w:r>
        <w:t xml:space="preserve">restrictions and that the cost to the final user - the transport organiser - is reduced to make CT competitive with</w:t>
      </w:r>
      <w:r>
        <w:t xml:space="preserve"> </w:t>
      </w:r>
      <w:r>
        <w:t xml:space="preserve">the road-only option.</w:t>
      </w:r>
      <w:r>
        <w:br/>
      </w:r>
      <w:r>
        <w:t xml:space="preserve">Regulatory measures safeguard the freedom to provide the cross-border services and preserve CT from possible</w:t>
      </w:r>
      <w:r>
        <w:t xml:space="preserve"> </w:t>
      </w:r>
      <w:r>
        <w:t xml:space="preserve">national protectionist measures (bans on authorisation schemes, quotas and regulated tariffs (prices) for all or part</w:t>
      </w:r>
      <w:r>
        <w:t xml:space="preserve"> </w:t>
      </w:r>
      <w:r>
        <w:t xml:space="preserve">of the CT operation in Articles 2 and 8 respectively). It also clarifies that CT organisers (shippers or logistics</w:t>
      </w:r>
      <w:r>
        <w:t xml:space="preserve"> </w:t>
      </w:r>
      <w:r>
        <w:t xml:space="preserve">companies) can use non-resident road hauliers for road-legs of CT the same way as they can use non-resident</w:t>
      </w:r>
      <w:r>
        <w:t xml:space="preserve"> </w:t>
      </w:r>
      <w:r>
        <w:t xml:space="preserve">road-hauliers for international road-only transport (Article 4) and provides an additional possibility for own-</w:t>
      </w:r>
      <w:r>
        <w:t xml:space="preserve"> </w:t>
      </w:r>
      <w:r>
        <w:t xml:space="preserve">account transport in CT allowing shippers and consignees to use each-others semi-trailers (Article 9).</w:t>
      </w:r>
      <w:r>
        <w:br/>
      </w:r>
      <w:r>
        <w:t xml:space="preserve">As regards economic support, the CTD establishes two types of fiscal incentives13 and the basic methodology for</w:t>
      </w:r>
      <w:r>
        <w:t xml:space="preserve"> </w:t>
      </w:r>
      <w:r>
        <w:t xml:space="preserve">establishing the eligible costs (Article 6). The support is designed and borne by Member States. The support can be</w:t>
      </w:r>
    </w:p>
    <w:p>
      <w:pPr>
        <w:pStyle w:val="BodyText"/>
      </w:pPr>
      <w:r>
        <w:t xml:space="preserve">10 OECD Glossary of Statistical Terms, OECD Publishing, Paris, 2008, https://doi.org/10.1787/9789264055087-en.</w:t>
      </w:r>
      <w:r>
        <w:br/>
      </w:r>
      <w:r>
        <w:t xml:space="preserve">11 The operation has to take place between Member States, involve road leg(s) and non-road leg(s). The latter can be rail</w:t>
      </w:r>
      <w:r>
        <w:t xml:space="preserve"> </w:t>
      </w:r>
      <w:r>
        <w:t xml:space="preserve">or waterborne (IWW, SSS) and has to be at least 100 km. The road legs are limited to the nearest suitable station when</w:t>
      </w:r>
      <w:r>
        <w:t xml:space="preserve"> </w:t>
      </w:r>
      <w:r>
        <w:t xml:space="preserve">connecting to rail or 150 km for waterborne transport. It also includes a closed list of eligible loading units.</w:t>
      </w:r>
      <w:r>
        <w:t xml:space="preserve"> </w:t>
      </w:r>
      <w:r>
        <w:t xml:space="preserve">12 Council Directive 75/130/EEC of 17 February 1975 on the establishment of common rules for certain types of</w:t>
      </w:r>
      <w:r>
        <w:t xml:space="preserve"> </w:t>
      </w:r>
      <w:r>
        <w:t xml:space="preserve">combined road/rail carriage of goods between Member States, OJ L 48, 22.2.1975.</w:t>
      </w:r>
      <w:r>
        <w:t xml:space="preserve"> </w:t>
      </w:r>
      <w:r>
        <w:t xml:space="preserve">13 Tax reductions for road vehicles transport on rail and tax exemptions for road vehicles used exclusively in CT.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a lump-sum or proportional to the rail leg in that Member State, and take the form of reimbursement, reduction or</w:t>
      </w:r>
      <w:r>
        <w:t xml:space="preserve"> </w:t>
      </w:r>
      <w:r>
        <w:t xml:space="preserve">exemption from listed road taxes. CTD does not clarify who the beneficiaries have to be, thus the fiscal incentives</w:t>
      </w:r>
      <w:r>
        <w:t xml:space="preserve"> </w:t>
      </w:r>
      <w:r>
        <w:t xml:space="preserve">can be granted either to road hauliers or to CT organisers with the view to reduce the total cost of the door-to-</w:t>
      </w:r>
      <w:r>
        <w:t xml:space="preserve"> </w:t>
      </w:r>
      <w:r>
        <w:t xml:space="preserve">door operation.</w:t>
      </w:r>
      <w:r>
        <w:br/>
      </w:r>
      <w:r>
        <w:t xml:space="preserve">Finally, it establishes a reporting obligation for the Commission, assisted by the Member States, to report biennially</w:t>
      </w:r>
      <w:r>
        <w:t xml:space="preserve"> </w:t>
      </w:r>
      <w:r>
        <w:t xml:space="preserve">on the CT market developments.</w:t>
      </w:r>
      <w:r>
        <w:t xml:space="preserve"> </w:t>
      </w:r>
      <w:r>
        <w:t xml:space="preserve">In order to increase the effectiveness of the CTD, the Commission made a proposal in 1998 to amend the CTD, but</w:t>
      </w:r>
      <w:r>
        <w:t xml:space="preserve"> </w:t>
      </w:r>
      <w:r>
        <w:t xml:space="preserve">due to no result in negotiations withdrew the proposal in 2001. In 2016, the Commission conducted a REFIT</w:t>
      </w:r>
      <w:r>
        <w:t xml:space="preserve"> </w:t>
      </w:r>
      <w:r>
        <w:t xml:space="preserve">evaluation14 and subsequently made a new proposal in 2017. This proposal was withdrawn in 2020 as negotiations</w:t>
      </w:r>
      <w:r>
        <w:t xml:space="preserve"> </w:t>
      </w:r>
      <w:r>
        <w:t xml:space="preserve">between the co-legislators had resulted in an outcome that would have reduced the ambition of the CTD at the</w:t>
      </w:r>
      <w:r>
        <w:t xml:space="preserve"> </w:t>
      </w:r>
      <w:r>
        <w:t xml:space="preserve">time when political objectives required the opposite. Further details on the REFIT analysis, earlier amendment</w:t>
      </w:r>
      <w:r>
        <w:t xml:space="preserve"> </w:t>
      </w:r>
      <w:r>
        <w:t xml:space="preserve">proposals and reasons for their withdrawal are given in Annex 8.</w:t>
      </w:r>
      <w:r>
        <w:t xml:space="preserve"> </w:t>
      </w:r>
      <w:r>
        <w:t xml:space="preserve">The lessons learnt from the 1998 and 2017 proposals and negotiation outcomes were taken into</w:t>
      </w:r>
      <w:r>
        <w:t xml:space="preserve"> </w:t>
      </w:r>
      <w:r>
        <w:t xml:space="preserve">consideration when designing the policy measures and options in this impact assessment. More specifically</w:t>
      </w:r>
      <w:r>
        <w:t xml:space="preserve"> </w:t>
      </w:r>
      <w:r>
        <w:t xml:space="preserve">this initiative has considered:</w:t>
      </w:r>
      <w:r>
        <w:t xml:space="preserve"> </w:t>
      </w:r>
      <w:r>
        <w:t xml:space="preserve">-</w:t>
      </w:r>
      <w:r>
        <w:t xml:space="preserve"> </w:t>
      </w:r>
      <w:r>
        <w:t xml:space="preserve">The need for a fundamentally different approach to the eligibility criteria. The eligibility criteria in the</w:t>
      </w:r>
      <w:r>
        <w:t xml:space="preserve"> </w:t>
      </w:r>
      <w:r>
        <w:t xml:space="preserve">current CTD are defined in terms of length of different road and non-road legs and distances from</w:t>
      </w:r>
      <w:r>
        <w:t xml:space="preserve"> </w:t>
      </w:r>
      <w:r>
        <w:t xml:space="preserve">suitable terminals, which do not always reflect actual geographical conditions and lead to many</w:t>
      </w:r>
      <w:r>
        <w:t xml:space="preserve"> </w:t>
      </w:r>
      <w:r>
        <w:t xml:space="preserve">inconclusive discussions with the Member States. Furthermore, these criteria do not reflect the actual</w:t>
      </w:r>
      <w:r>
        <w:t xml:space="preserve"> </w:t>
      </w:r>
      <w:r>
        <w:t xml:space="preserve">environmental performance of the fleet and energy carriers.</w:t>
      </w:r>
      <w:r>
        <w:br/>
      </w:r>
      <w:r>
        <w:t xml:space="preserve">-</w:t>
      </w:r>
      <w:r>
        <w:t xml:space="preserve"> </w:t>
      </w:r>
      <w:r>
        <w:t xml:space="preserve">The terminal investment requirements, while necessary, do not fit into the scope of the Directive and</w:t>
      </w:r>
      <w:r>
        <w:t xml:space="preserve"> </w:t>
      </w:r>
      <w:r>
        <w:t xml:space="preserve">were therefore opposed by many Member States. Therefore, these are now addressed separately in the</w:t>
      </w:r>
      <w:r>
        <w:t xml:space="preserve"> </w:t>
      </w:r>
      <w:r>
        <w:t xml:space="preserve">Commission proposal for the revision of the TEN-T Regulation.</w:t>
      </w:r>
      <w:r>
        <w:br/>
      </w:r>
      <w:r>
        <w:t xml:space="preserve">-</w:t>
      </w:r>
      <w:r>
        <w:t xml:space="preserve"> </w:t>
      </w:r>
      <w:r>
        <w:t xml:space="preserve">The need to coordinate with the State aid rules, which was another request of Member States during</w:t>
      </w:r>
      <w:r>
        <w:t xml:space="preserve"> </w:t>
      </w:r>
      <w:r>
        <w:t xml:space="preserve">the 2017 negotiations.</w:t>
      </w:r>
      <w:r>
        <w:t xml:space="preserve"> </w:t>
      </w:r>
      <w:r>
        <w:t xml:space="preserve">-</w:t>
      </w:r>
      <w:r>
        <w:t xml:space="preserve"> </w:t>
      </w:r>
      <w:r>
        <w:t xml:space="preserve">The use of digital solutions for eligibility checks and enforcement, which allow to consider more</w:t>
      </w:r>
      <w:r>
        <w:t xml:space="preserve"> </w:t>
      </w:r>
      <w:r>
        <w:t xml:space="preserve">effective approach to eligibility based on the actual environmental benefits of each operation. The use</w:t>
      </w:r>
      <w:r>
        <w:t xml:space="preserve"> </w:t>
      </w:r>
      <w:r>
        <w:t xml:space="preserve">of e.g. eFTI platforms would ensure that for transport organisers and public authorities the application</w:t>
      </w:r>
      <w:r>
        <w:t xml:space="preserve"> </w:t>
      </w:r>
      <w:r>
        <w:t xml:space="preserve">of such criteria would not be overly complex, but instead will lead to savings of administrative costs</w:t>
      </w:r>
      <w:r>
        <w:t xml:space="preserve"> </w:t>
      </w:r>
      <w:r>
        <w:t xml:space="preserve">compared to the current paper-based regime. In addition, in the future the reuse of the aggregated data</w:t>
      </w:r>
      <w:r>
        <w:t xml:space="preserve"> </w:t>
      </w:r>
      <w:r>
        <w:t xml:space="preserve">on e-FTI platforms can facilitate market monitoring and improve the effectiveness of economic support</w:t>
      </w:r>
      <w:r>
        <w:t xml:space="preserve"> </w:t>
      </w:r>
      <w:r>
        <w:t xml:space="preserve">measures.</w:t>
      </w:r>
      <w:r>
        <w:t xml:space="preserve"> </w:t>
      </w:r>
      <w:r>
        <w:t xml:space="preserve">-</w:t>
      </w:r>
      <w:r>
        <w:t xml:space="preserve"> </w:t>
      </w:r>
      <w:r>
        <w:t xml:space="preserve">Different situations in Member States will require a different approach to support measures.</w:t>
      </w:r>
      <w:r>
        <w:br/>
      </w:r>
      <w:r>
        <w:t xml:space="preserve">1.3.</w:t>
      </w:r>
      <w:r>
        <w:t xml:space="preserve"> </w:t>
      </w:r>
      <w:r>
        <w:t xml:space="preserve">Synergies with other EU policy instruments</w:t>
      </w:r>
      <w:r>
        <w:br/>
      </w:r>
      <w:r>
        <w:t xml:space="preserve">Uptake of intermodal transport allows, to the extent it leads to the higher use of non-road modes, reducing</w:t>
      </w:r>
      <w:r>
        <w:t xml:space="preserve"> </w:t>
      </w:r>
      <w:r>
        <w:t xml:space="preserve">the external costs induced by freight transport at the system level. There is already a range of policies in</w:t>
      </w:r>
      <w:r>
        <w:t xml:space="preserve"> </w:t>
      </w:r>
      <w:r>
        <w:t xml:space="preserve">place which (a) target the environmental performance of individual modes and (b) internalise external costs</w:t>
      </w:r>
      <w:r>
        <w:t xml:space="preserve"> </w:t>
      </w:r>
      <w:r>
        <w:t xml:space="preserve">by applying polluter pays and user pays principles. Making individual modes more sustainable in terms of</w:t>
      </w:r>
      <w:r>
        <w:t xml:space="preserve"> </w:t>
      </w:r>
      <w:r>
        <w:t xml:space="preserve">their energy efficiency and use of sustainable fuels, and thus reducing the transport externalities, has been</w:t>
      </w:r>
      <w:r>
        <w:t xml:space="preserve"> </w:t>
      </w:r>
      <w:r>
        <w:t xml:space="preserve">addressed with a range of policy tools (CO2 standards for vehicles, the Renewable Energy Directive,</w:t>
      </w:r>
      <w:r>
        <w:t xml:space="preserve"> </w:t>
      </w:r>
      <w:r>
        <w:t xml:space="preserve">FuelEU Maritime and ReFuelEU Aviation Regulations, the Alternative Fuels Infrastructure Regulation,</w:t>
      </w:r>
      <w:r>
        <w:t xml:space="preserve"> </w:t>
      </w:r>
      <w:r>
        <w:t xml:space="preserve">etc). For example, the CO2 standards for vehicles target the uptake of low and zero-emission vehicles in the</w:t>
      </w:r>
      <w:r>
        <w:t xml:space="preserve"> </w:t>
      </w:r>
      <w:r>
        <w:t xml:space="preserve">road transport sector, the FuelEU Regulation ensures the uptake of sustainable fuels in the maritime sector</w:t>
      </w:r>
      <w:r>
        <w:t xml:space="preserve"> </w:t>
      </w:r>
      <w:r>
        <w:t xml:space="preserve">and the ReFuelEU Regulation in the aviation sector. The Renewable Energy Directive complements these</w:t>
      </w:r>
      <w:r>
        <w:t xml:space="preserve"> </w:t>
      </w:r>
      <w:r>
        <w:t xml:space="preserve">initiatives by focusing on the supply of renewable energy, while the Alternative Fuels Infrastructure</w:t>
      </w:r>
      <w:r>
        <w:t xml:space="preserve"> </w:t>
      </w:r>
      <w:r>
        <w:t xml:space="preserve">Regulation enables the uptake of zero-emission vehicles and sustainable fuels by ensuring the rollout of</w:t>
      </w:r>
    </w:p>
    <w:p>
      <w:pPr>
        <w:pStyle w:val="BodyText"/>
      </w:pPr>
      <w:r>
        <w:t xml:space="preserve">14 SWD(2016) 140 final.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infrastructure. They all eventually aim to reducing the emissions from transport. Progress is on its way,</w:t>
      </w:r>
      <w:r>
        <w:t xml:space="preserve"> </w:t>
      </w:r>
      <w:r>
        <w:t xml:space="preserve">requiring however time and significant investments to materialise as well as additional research and</w:t>
      </w:r>
      <w:r>
        <w:t xml:space="preserve"> </w:t>
      </w:r>
      <w:r>
        <w:t xml:space="preserve">development efforts.</w:t>
      </w:r>
      <w:r>
        <w:t xml:space="preserve"> </w:t>
      </w:r>
      <w:r>
        <w:t xml:space="preserve">Similarly, a range of measures already target internalisation of external costs, with the aim to allow the</w:t>
      </w:r>
      <w:r>
        <w:t xml:space="preserve"> </w:t>
      </w:r>
      <w:r>
        <w:t xml:space="preserve">society to make the right choices. For transport emissions the most effective tool is considered to be carbon</w:t>
      </w:r>
      <w:r>
        <w:t xml:space="preserve"> </w:t>
      </w:r>
      <w:r>
        <w:t xml:space="preserve">pricing, including the extension of ETS to maritime transport and seting up a self-standing ETS for road</w:t>
      </w:r>
      <w:r>
        <w:t xml:space="preserve"> </w:t>
      </w:r>
      <w:r>
        <w:t xml:space="preserve">transport and buildings. Ongoing reviews of energy and vehicle taxes, which are gradually adjusted and</w:t>
      </w:r>
      <w:r>
        <w:t xml:space="preserve"> </w:t>
      </w:r>
      <w:r>
        <w:t xml:space="preserve">phased in, are sensitive to carbon content, and represent another tool for internalising the external costs of</w:t>
      </w:r>
      <w:r>
        <w:t xml:space="preserve"> </w:t>
      </w:r>
      <w:r>
        <w:t xml:space="preserve">emissions from transport. The new common EU framework for GHG emissions accounting in transport</w:t>
      </w:r>
      <w:r>
        <w:t xml:space="preserve"> </w:t>
      </w:r>
      <w:r>
        <w:t xml:space="preserve">and logistics (CEEU) will allow for improved transparency and accountability on transport-related external</w:t>
      </w:r>
      <w:r>
        <w:t xml:space="preserve"> </w:t>
      </w:r>
      <w:r>
        <w:t xml:space="preserve">costs. Infrastructure charges represent another pricing measure. Smart, distance-based road charging, with</w:t>
      </w:r>
      <w:r>
        <w:t xml:space="preserve"> </w:t>
      </w:r>
      <w:r>
        <w:t xml:space="preserve">varied rates for the type of vehicle, as provided for by the revised Eurovignette Directive, is an effective tool</w:t>
      </w:r>
      <w:r>
        <w:t xml:space="preserve"> </w:t>
      </w:r>
      <w:r>
        <w:t xml:space="preserve">to incentivise sustainable and economically efficient choices, manage traffic and reduce congestion.</w:t>
      </w:r>
      <w:r>
        <w:t xml:space="preserve"> </w:t>
      </w:r>
      <w:r>
        <w:t xml:space="preserve">Eventually the different work strands come together in a mutually compatible, complementary and coherent</w:t>
      </w:r>
      <w:r>
        <w:t xml:space="preserve"> </w:t>
      </w:r>
      <w:r>
        <w:t xml:space="preserve">policy. This however is expected to take time to materialise. In this context, the SSMS set a milestone for</w:t>
      </w:r>
      <w:r>
        <w:t xml:space="preserve"> </w:t>
      </w:r>
      <w:r>
        <w:t xml:space="preserve">all external costs of transport within the EU to be covered by the transport users at the latest by 205015.</w:t>
      </w:r>
      <w:r>
        <w:t xml:space="preserve"> </w:t>
      </w:r>
      <w:r>
        <w:t xml:space="preserve">As explained, the interaction of these policies, some of which are applied at the EU level and others</w:t>
      </w:r>
      <w:r>
        <w:t xml:space="preserve"> </w:t>
      </w:r>
      <w:r>
        <w:t xml:space="preserve">nationally, is complex. Unlike the above-mentioned initiatives for internalisation of external transport costs,</w:t>
      </w:r>
      <w:r>
        <w:t xml:space="preserve"> </w:t>
      </w:r>
      <w:r>
        <w:t xml:space="preserve">whose starting point is mode-specific internalisation and which are part of the baseline scenario, the CTD</w:t>
      </w:r>
      <w:r>
        <w:t xml:space="preserve"> </w:t>
      </w:r>
      <w:r>
        <w:t xml:space="preserve">focuses on the level playing field between modes and aims to act directly on the competitiveness gap, based</w:t>
      </w:r>
      <w:r>
        <w:t xml:space="preserve"> </w:t>
      </w:r>
      <w:r>
        <w:t xml:space="preserve">on regular market analyses. Therefore, its review is the most appropriate tool to address its uneven</w:t>
      </w:r>
      <w:r>
        <w:t xml:space="preserve"> </w:t>
      </w:r>
      <w:r>
        <w:t xml:space="preserve">competitive position.</w:t>
      </w:r>
      <w:r>
        <w:t xml:space="preserve"> </w:t>
      </w:r>
      <w:r>
        <w:t xml:space="preserve">Apart from price competitiveness discussed above, the attractiveness of intermodal transport depends on the</w:t>
      </w:r>
      <w:r>
        <w:t xml:space="preserve"> </w:t>
      </w:r>
      <w:r>
        <w:t xml:space="preserve">performance of individual modes and available infrastructure capacity. Therefore, this initiative is developed in</w:t>
      </w:r>
      <w:r>
        <w:t xml:space="preserve"> </w:t>
      </w:r>
      <w:r>
        <w:t xml:space="preserve">close coordination with other transport legislation and legislative proposals, including those within the Greening</w:t>
      </w:r>
      <w:r>
        <w:t xml:space="preserve"> </w:t>
      </w:r>
      <w:r>
        <w:t xml:space="preserve">Transport Package, of which this initiative is part of.</w:t>
      </w:r>
      <w:r>
        <w:t xml:space="preserve"> </w:t>
      </w:r>
      <w:r>
        <w:t xml:space="preserve">It has strong connections with other parts of this package, notably the initiative for increasing the share of rail in</w:t>
      </w:r>
      <w:r>
        <w:t xml:space="preserve"> </w:t>
      </w:r>
      <w:r>
        <w:t xml:space="preserve">international transport and the amendment of the Weights and Dimensions Directive16 on road transport, which</w:t>
      </w:r>
      <w:r>
        <w:t xml:space="preserve"> </w:t>
      </w:r>
      <w:r>
        <w:t xml:space="preserve">are important for removing mode specific barriers to intermodal transport. Moreover, the new common EU</w:t>
      </w:r>
      <w:r>
        <w:t xml:space="preserve"> </w:t>
      </w:r>
      <w:r>
        <w:t xml:space="preserve">framework for GHG emissions accounting in transport and logistics (CEEU) and the implementation of the</w:t>
      </w:r>
      <w:r>
        <w:t xml:space="preserve"> </w:t>
      </w:r>
      <w:r>
        <w:t xml:space="preserve">Electronic Freight Transport Information Regulation17 (eFTI) provide a technical framework to enable the</w:t>
      </w:r>
      <w:r>
        <w:t xml:space="preserve"> </w:t>
      </w:r>
      <w:r>
        <w:t xml:space="preserve">implementation of the revised CTD. The revision is also consistent with the recently adopted Naiades</w:t>
      </w:r>
      <w:r>
        <w:t xml:space="preserve"> </w:t>
      </w:r>
      <w:r>
        <w:t xml:space="preserve">Communication18, which calls for the greater integration of inland waterways into a modern, trans-European</w:t>
      </w:r>
      <w:r>
        <w:t xml:space="preserve"> </w:t>
      </w:r>
      <w:r>
        <w:t xml:space="preserve">intermodal transport system. In addition, a precondition for the use of intermodal and multimodal transport is the</w:t>
      </w:r>
      <w:r>
        <w:t xml:space="preserve"> </w:t>
      </w:r>
      <w:r>
        <w:t xml:space="preserve">availability of appropriate infrastructure at sufficient capacity. The recent study on transhipment technologies19</w:t>
      </w:r>
      <w:r>
        <w:t xml:space="preserve"> </w:t>
      </w:r>
      <w:r>
        <w:t xml:space="preserve">(PWC, KombiConsult (2022) study) found that there are shortcomings on the TEN-T network for intermodal</w:t>
      </w:r>
      <w:r>
        <w:t xml:space="preserve"> </w:t>
      </w:r>
      <w:r>
        <w:t xml:space="preserve">transport, and transhipment capacity is insufficient for rail and inland waterways. The terminal capacity has been</w:t>
      </w:r>
    </w:p>
    <w:p>
      <w:pPr>
        <w:pStyle w:val="BodyText"/>
      </w:pPr>
      <w:r>
        <w:t xml:space="preserve">15 The SSMS sets a milestone for all external costs of transport within the EU to be covered by the transport users at the</w:t>
      </w:r>
      <w:r>
        <w:t xml:space="preserve"> </w:t>
      </w:r>
      <w:r>
        <w:t xml:space="preserve">latest by 2050.</w:t>
      </w:r>
      <w:r>
        <w:t xml:space="preserve"> </w:t>
      </w:r>
      <w:r>
        <w:t xml:space="preserve">16 Council Directive 96/53/EC of 25 July 1996 laying down for certain road vehicles circulating within the Community</w:t>
      </w:r>
      <w:r>
        <w:t xml:space="preserve"> </w:t>
      </w:r>
      <w:r>
        <w:t xml:space="preserve">the maximum authorized dimensions in national and international traffic and the maximum authorized weights in</w:t>
      </w:r>
      <w:r>
        <w:t xml:space="preserve"> </w:t>
      </w:r>
      <w:r>
        <w:t xml:space="preserve">international traffic, OJ L 235, 17.9.1996, p. 59–75. It allows heavier and longer road vehicles to be used in intermodal</w:t>
      </w:r>
      <w:r>
        <w:t xml:space="preserve"> </w:t>
      </w:r>
      <w:r>
        <w:t xml:space="preserve">transport, including CT road legs.</w:t>
      </w:r>
      <w:r>
        <w:t xml:space="preserve"> </w:t>
      </w:r>
      <w:r>
        <w:t xml:space="preserve">17 Regulation (EU) 2020/1056 of the European Parliament and of the Council of 15 July 2020 on electronic freight</w:t>
      </w:r>
      <w:r>
        <w:t xml:space="preserve"> </w:t>
      </w:r>
      <w:r>
        <w:t xml:space="preserve">transport information, OJ L 249, 31.7.2020, p. 33–48.</w:t>
      </w:r>
      <w:r>
        <w:t xml:space="preserve"> </w:t>
      </w:r>
      <w:r>
        <w:t xml:space="preserve">18 COM(2021) 324 final.</w:t>
      </w:r>
      <w:r>
        <w:br/>
      </w:r>
      <w:r>
        <w:t xml:space="preserve">19 Comparative analysis of transhipment technologies for intermodal transport and their costs, PWC, KombiConsult</w:t>
      </w:r>
      <w:r>
        <w:t xml:space="preserve"> </w:t>
      </w:r>
      <w:r>
        <w:t xml:space="preserve">2022, https://transport.ec.europa.eu/news/study-analyses-transhipment-options-more-competitive-intermodal-transport-</w:t>
      </w:r>
      <w:r>
        <w:t xml:space="preserve"> </w:t>
      </w:r>
      <w:r>
        <w:t xml:space="preserve">and-terminal-capacity-ten-2022-05-05_en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addressed in the context of Commission proposal for the revision of the TEN-T Regulation20 that includes for the</w:t>
      </w:r>
      <w:r>
        <w:t xml:space="preserve"> </w:t>
      </w:r>
      <w:r>
        <w:t xml:space="preserve">first time an obligation on Member States to ensure sufficient multimodal freight terminal capacity based on a</w:t>
      </w:r>
      <w:r>
        <w:t xml:space="preserve"> </w:t>
      </w:r>
      <w:r>
        <w:t xml:space="preserve">dedicated analysis and action plan. These measures can be expected to deliver better infrastructure capacity for</w:t>
      </w:r>
      <w:r>
        <w:t xml:space="preserve"> </w:t>
      </w:r>
      <w:r>
        <w:t xml:space="preserve">intermodal transport after 2030.</w:t>
      </w:r>
      <w:r>
        <w:br/>
      </w:r>
      <w:r>
        <w:t xml:space="preserve">Importantly, the revision of the CTD is closely coordinated with the revision of the Guidelines for State aid to</w:t>
      </w:r>
      <w:r>
        <w:t xml:space="preserve"> </w:t>
      </w:r>
      <w:r>
        <w:t xml:space="preserve">railway undertakings21 and the newly adopted Land and Intermodal Transport Enabling Regulation22. This allows</w:t>
      </w:r>
      <w:r>
        <w:t xml:space="preserve"> </w:t>
      </w:r>
      <w:r>
        <w:t xml:space="preserve">the application of certain support, if defined in a dedicated block exemption regulation, without prior notification,</w:t>
      </w:r>
      <w:r>
        <w:t xml:space="preserve"> </w:t>
      </w:r>
      <w:r>
        <w:t xml:space="preserve">thus addressing the Member States’ call for simplification in State aid procedures during the 201723 CTD revision</w:t>
      </w:r>
      <w:r>
        <w:t xml:space="preserve"> </w:t>
      </w:r>
      <w:r>
        <w:t xml:space="preserve">attempt. In essence, the CTD will establish policy goals, while State aid rules will set the framework for public</w:t>
      </w:r>
      <w:r>
        <w:t xml:space="preserve"> </w:t>
      </w:r>
      <w:r>
        <w:t xml:space="preserve">support to achieve these policy goals, including definition of eligible costs, beneficiaries and aid intensity.</w:t>
      </w:r>
      <w:r>
        <w:t xml:space="preserve"> </w:t>
      </w:r>
      <w:r>
        <w:t xml:space="preserve">Finally, it should be noted that a link between CTD and road cabotage is brought up by some stakeholders. As</w:t>
      </w:r>
      <w:r>
        <w:t xml:space="preserve"> </w:t>
      </w:r>
      <w:r>
        <w:t xml:space="preserve">explained above, Article 4 of the CTD provides an equal treatment of international CT to international road</w:t>
      </w:r>
      <w:r>
        <w:t xml:space="preserve"> </w:t>
      </w:r>
      <w:r>
        <w:t xml:space="preserve">transport as regards the use of non-resident hauliers. In the revision of Regulation (EU) 1072/2009 in 202024, the</w:t>
      </w:r>
      <w:r>
        <w:t xml:space="preserve"> </w:t>
      </w:r>
      <w:r>
        <w:t xml:space="preserve">co-legislators provided a derogation from Article 4 of the CTD in case of its abuse, while reconfirming that Article 4</w:t>
      </w:r>
      <w:r>
        <w:t xml:space="preserve"> </w:t>
      </w:r>
      <w:r>
        <w:t xml:space="preserve">has been useful and remains in force25. Given that this measure was not part of the Commission’s proposal, the</w:t>
      </w:r>
      <w:r>
        <w:t xml:space="preserve"> </w:t>
      </w:r>
      <w:r>
        <w:t xml:space="preserve">Commission voiced its concerns and conducted a study26 on the application of such restrictions on CT operations.</w:t>
      </w:r>
      <w:r>
        <w:t xml:space="preserve"> </w:t>
      </w:r>
      <w:r>
        <w:t xml:space="preserve">The study found that even a low drop in the transported volumes entailed by the obligation can have negative</w:t>
      </w:r>
      <w:r>
        <w:t xml:space="preserve"> </w:t>
      </w:r>
      <w:r>
        <w:t xml:space="preserve">impact on rail freight connections and can lead to inefficiencies and additional emissions.</w:t>
      </w:r>
      <w:r>
        <w:br/>
      </w:r>
      <w:r>
        <w:t xml:space="preserve">1.4.</w:t>
      </w:r>
      <w:r>
        <w:t xml:space="preserve"> </w:t>
      </w:r>
      <w:r>
        <w:t xml:space="preserve">Evaluation of the Directive</w:t>
      </w:r>
      <w:r>
        <w:br/>
      </w:r>
      <w:r>
        <w:t xml:space="preserve">An evaluation27 of the CTD was carried out in 2014-2016 and concluded that the CTD continues to be a</w:t>
      </w:r>
      <w:r>
        <w:t xml:space="preserve"> </w:t>
      </w:r>
      <w:r>
        <w:t xml:space="preserve">relevant instrument for supporting freight transport combining different modes. It was estimated that the</w:t>
      </w:r>
      <w:r>
        <w:t xml:space="preserve"> </w:t>
      </w:r>
      <w:r>
        <w:t xml:space="preserve">shift from road-only to intermodal transport has brought along an annual saving of up to EUR 2.1 billion in</w:t>
      </w:r>
      <w:r>
        <w:t xml:space="preserve"> </w:t>
      </w:r>
      <w:r>
        <w:t xml:space="preserve">external costs in 2011. The shift from road to rail saved 7.3 Mt of CO2, while the shift to inland waterways</w:t>
      </w:r>
      <w:r>
        <w:t xml:space="preserve"> </w:t>
      </w:r>
      <w:r>
        <w:t xml:space="preserve">saved 0.96 Mt of CO2. For comparison, the CO2 emissions produced by heavy goods vehicles (HGVs) in</w:t>
      </w:r>
      <w:r>
        <w:t xml:space="preserve"> </w:t>
      </w:r>
      <w:r>
        <w:t xml:space="preserve">2011 were 203 Mt. While not all of these savings can be attributed to the CTD, it was established that</w:t>
      </w:r>
      <w:r>
        <w:t xml:space="preserve"> </w:t>
      </w:r>
      <w:r>
        <w:t xml:space="preserve">without EU action, cross-border CT services would likely have been faced with barriers due to different</w:t>
      </w:r>
      <w:r>
        <w:t xml:space="preserve"> </w:t>
      </w:r>
      <w:r>
        <w:t xml:space="preserve">legal systems, making CT services less attractive and possibly unfeasible. The evaluation shows that the</w:t>
      </w:r>
      <w:r>
        <w:t xml:space="preserve"> </w:t>
      </w:r>
      <w:r>
        <w:t xml:space="preserve">intermodal transport operations in the EU measured in the twenty- foot equivalent unit (TEU) have</w:t>
      </w:r>
      <w:r>
        <w:t xml:space="preserve"> </w:t>
      </w:r>
      <w:r>
        <w:t xml:space="preserve">quadrupled during the last two decades with a clear</w:t>
      </w:r>
      <w:r>
        <w:t xml:space="preserve"> </w:t>
      </w:r>
      <w:r>
        <w:t xml:space="preserve">“jump”</w:t>
      </w:r>
      <w:r>
        <w:t xml:space="preserve"> </w:t>
      </w:r>
      <w:r>
        <w:t xml:space="preserve">just after the implementation of the CTD,</w:t>
      </w:r>
      <w:r>
        <w:t xml:space="preserve"> </w:t>
      </w:r>
      <w:r>
        <w:t xml:space="preserve">allowing the intermodal transport sector to grow on average at almost double the speed of road transport.</w:t>
      </w:r>
      <w:r>
        <w:t xml:space="preserve"> </w:t>
      </w:r>
      <w:r>
        <w:t xml:space="preserve">However, a number of provisions of the CTD, e.g. the requirement to use paper documents, are outdated</w:t>
      </w:r>
      <w:r>
        <w:t xml:space="preserve"> </w:t>
      </w:r>
      <w:r>
        <w:t xml:space="preserve">since they reflect the market situation in 1992. Other provisions of the CTD suffer from diverging</w:t>
      </w:r>
      <w:r>
        <w:t xml:space="preserve"> </w:t>
      </w:r>
      <w:r>
        <w:t xml:space="preserve">transposition and implementation at Member State level which causes daily practical problems to the</w:t>
      </w:r>
      <w:r>
        <w:t xml:space="preserve"> </w:t>
      </w:r>
      <w:r>
        <w:t xml:space="preserve">industry and hence such provisions are not entirely effective. Furthermore, the economic support measures</w:t>
      </w:r>
    </w:p>
    <w:p>
      <w:pPr>
        <w:pStyle w:val="BodyText"/>
      </w:pPr>
      <w:r>
        <w:t xml:space="preserve">20 COM(2021) 812 final.</w:t>
      </w:r>
      <w:r>
        <w:br/>
      </w:r>
      <w:r>
        <w:t xml:space="preserve">21 https://ec.europa.eu/info/law/better-regulation/have-your-say/initiatives/13154-Rail-transport-revision-of-State-aid-</w:t>
      </w:r>
      <w:r>
        <w:t xml:space="preserve"> </w:t>
      </w:r>
      <w:r>
        <w:t xml:space="preserve">guidelines_en</w:t>
      </w:r>
      <w:r>
        <w:br/>
      </w:r>
      <w:r>
        <w:t xml:space="preserve">22 Council Regulation (EU) 2022/2586 of 19 December 2022 on the application of Articles 93, 107 and 108 of the</w:t>
      </w:r>
      <w:r>
        <w:t xml:space="preserve"> </w:t>
      </w:r>
      <w:r>
        <w:t xml:space="preserve">Treaty on the Functioning of the European Union to certain categories of State aid in the rail, inland waterway and</w:t>
      </w:r>
      <w:r>
        <w:t xml:space="preserve"> </w:t>
      </w:r>
      <w:r>
        <w:t xml:space="preserve">multimodal transport sector, OJ L338, 30.12.2022, p.35-39.</w:t>
      </w:r>
      <w:r>
        <w:t xml:space="preserve"> </w:t>
      </w:r>
      <w:r>
        <w:t xml:space="preserve">23 SWD(2017) 362 final.</w:t>
      </w:r>
      <w:r>
        <w:t xml:space="preserve"> </w:t>
      </w:r>
      <w:r>
        <w:t xml:space="preserve">24 Regulation (EU) 1055/2020 of the European Parliament and of the Council of 15 July 2020 amending Regulations</w:t>
      </w:r>
      <w:r>
        <w:t xml:space="preserve"> </w:t>
      </w:r>
      <w:r>
        <w:t xml:space="preserve">(EC) No 1071/2009, (EC) No 1072/2009 and (EU) No 1024/2012 with a view to adapting them to developments in the</w:t>
      </w:r>
      <w:r>
        <w:t xml:space="preserve"> </w:t>
      </w:r>
      <w:r>
        <w:t xml:space="preserve">road transport sector, OJ L 249, 31.7.2020, p. 17–32.</w:t>
      </w:r>
      <w:r>
        <w:t xml:space="preserve"> </w:t>
      </w:r>
      <w:r>
        <w:t xml:space="preserve">25 Actions for annulment in respect of this provision have been lodged with the Court of Justice by some Member States</w:t>
      </w:r>
      <w:r>
        <w:t xml:space="preserve"> </w:t>
      </w:r>
      <w:r>
        <w:t xml:space="preserve">(C-542/20, Lithuania v. Parliament and the Council, C-545/20, Bulgaria v. Parliament and the Council, C-547/20,</w:t>
      </w:r>
      <w:r>
        <w:t xml:space="preserve"> </w:t>
      </w:r>
      <w:r>
        <w:t xml:space="preserve">Romania v. Parliament and the Council and C-554/20, Poland v. Parliament and the Council).</w:t>
      </w:r>
      <w:r>
        <w:t xml:space="preserve"> </w:t>
      </w:r>
      <w:r>
        <w:t xml:space="preserve">26 “Data gathering and analysis of the impacts of cabotage restrictions on combined transport road legs”, TRT Trasporti</w:t>
      </w:r>
      <w:r>
        <w:t xml:space="preserve"> </w:t>
      </w:r>
      <w:r>
        <w:t xml:space="preserve">e Territorio, November 2020; https://ec.europa.eu/transport/modes/road/studies/road_en</w:t>
      </w:r>
      <w:r>
        <w:t xml:space="preserve"> </w:t>
      </w:r>
      <w:r>
        <w:t xml:space="preserve">27 SWD (2016) 140 final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are very limited and therefore do not have a significant impact on the competitiveness of intermodal</w:t>
      </w:r>
      <w:r>
        <w:t xml:space="preserve"> </w:t>
      </w:r>
      <w:r>
        <w:t xml:space="preserve">operations (further analysis in section 2.2.3). The efficiency problem reported by the industry is related to</w:t>
      </w:r>
      <w:r>
        <w:t xml:space="preserve"> </w:t>
      </w:r>
      <w:r>
        <w:t xml:space="preserve">the inability to use electronic documents throughout the EU. Otherwise, both the industry and public</w:t>
      </w:r>
      <w:r>
        <w:t xml:space="preserve"> </w:t>
      </w:r>
      <w:r>
        <w:t xml:space="preserve">administrations indicated in the public consultation that the policy measures are proportionate for achieving</w:t>
      </w:r>
      <w:r>
        <w:t xml:space="preserve"> </w:t>
      </w:r>
      <w:r>
        <w:t xml:space="preserve">the policy objectives.</w:t>
      </w:r>
      <w:r>
        <w:br/>
      </w:r>
      <w:r>
        <w:t xml:space="preserve">1.5.</w:t>
      </w:r>
      <w:r>
        <w:t xml:space="preserve"> </w:t>
      </w:r>
      <w:r>
        <w:t xml:space="preserve">Sustainable development goals (SDG)</w:t>
      </w:r>
      <w:r>
        <w:t xml:space="preserve"> </w:t>
      </w:r>
      <w:r>
        <w:t xml:space="preserve">The CTD contributes to SDG 13 (Take urgent action to combat climate change and its impacts), SDG 9 (Build</w:t>
      </w:r>
      <w:r>
        <w:t xml:space="preserve"> </w:t>
      </w:r>
      <w:r>
        <w:t xml:space="preserve">resilient infrastructure, promote inclusive and sustainable industrialisation and foster innovation) and SDG 11</w:t>
      </w:r>
      <w:r>
        <w:t xml:space="preserve"> </w:t>
      </w:r>
      <w:r>
        <w:t xml:space="preserve">(Make cities and human settlements inclusive, safe, resilient and sustainable). For further details, see Annex 3.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The underlying problems, problem drivers and implications that are relevant for the revision of the CTD are</w:t>
      </w:r>
      <w:r>
        <w:t xml:space="preserve"> </w:t>
      </w:r>
      <w:r>
        <w:t xml:space="preserve">presented in Figure 1.</w:t>
      </w:r>
      <w:r>
        <w:t xml:space="preserve"> </w:t>
      </w:r>
      <w:r>
        <w:t xml:space="preserve">Figure 1: Problem tree</w:t>
      </w:r>
    </w:p>
    <w:p>
      <w:pPr>
        <w:pStyle w:val="BodyText"/>
      </w:pPr>
      <w:r>
        <w:t xml:space="preserve">2.1.</w:t>
      </w:r>
      <w:r>
        <w:t xml:space="preserve"> </w:t>
      </w:r>
      <w:r>
        <w:t xml:space="preserve">What is the problem?</w:t>
      </w:r>
      <w:r>
        <w:t xml:space="preserve"> </w:t>
      </w:r>
      <w:r>
        <w:t xml:space="preserve">2.1.1. Problem – Current uptake of intermodal transport is insufficient for effectively contributing</w:t>
      </w:r>
      <w:r>
        <w:t xml:space="preserve"> </w:t>
      </w:r>
      <w:r>
        <w:t xml:space="preserve">to the reduction of external costs and energy consumption of transport</w:t>
      </w:r>
      <w:r>
        <w:t xml:space="preserve"> </w:t>
      </w:r>
      <w:r>
        <w:t xml:space="preserve">Road transport’s share in today’s freight transport mix is presistently high (74.4% of intra-EU inland</w:t>
      </w:r>
      <w:r>
        <w:t xml:space="preserve"> </w:t>
      </w:r>
      <w:r>
        <w:t xml:space="preserve">transport and 53.3% of all intra-EU transport in 2020), being the main driver of high negative externalities</w:t>
      </w:r>
      <w:r>
        <w:t xml:space="preserve"> </w:t>
      </w:r>
      <w:r>
        <w:t xml:space="preserve">(including CO2 emissions, but also air and noise pollution, accidents etc.) and energy consumption. The</w:t>
      </w:r>
      <w:r>
        <w:t xml:space="preserve"> </w:t>
      </w:r>
      <w:r>
        <w:t xml:space="preserve">total external costs generated by freight transport in the EU are of the order of EUR 203 billion annually28.</w:t>
      </w:r>
      <w:r>
        <w:t xml:space="preserve"> </w:t>
      </w:r>
      <w:r>
        <w:t xml:space="preserve">38% of these costs are generated by HGVs, (see Table 1). Accidents and congestion are the biggest cost</w:t>
      </w:r>
      <w:r>
        <w:t xml:space="preserve"> </w:t>
      </w:r>
      <w:r>
        <w:t xml:space="preserve">components for any given HGV transport operation.</w:t>
      </w:r>
      <w:r>
        <w:br/>
      </w:r>
      <w:r>
        <w:t xml:space="preserve">Table 1: Annual external costs of HGV freight transport by externality</w:t>
      </w:r>
      <w:r>
        <w:br/>
      </w:r>
      <w:r>
        <w:t xml:space="preserve">Externality</w:t>
      </w:r>
      <w:r>
        <w:t xml:space="preserve"> </w:t>
      </w:r>
      <w:r>
        <w:t xml:space="preserve">HGV external cost (EUR billion)</w:t>
      </w:r>
      <w:r>
        <w:t xml:space="preserve"> </w:t>
      </w:r>
      <w:r>
        <w:t xml:space="preserve">Share of given externality in total</w:t>
      </w:r>
      <w:r>
        <w:t xml:space="preserve"> </w:t>
      </w:r>
      <w:r>
        <w:t xml:space="preserve">HGV external costs</w:t>
      </w:r>
      <w:r>
        <w:t xml:space="preserve"> </w:t>
      </w:r>
      <w:r>
        <w:t xml:space="preserve">Congestion</w:t>
      </w:r>
      <w:r>
        <w:t xml:space="preserve"> </w:t>
      </w:r>
      <w:r>
        <w:t xml:space="preserve">14.6</w:t>
      </w:r>
      <w:r>
        <w:t xml:space="preserve"> </w:t>
      </w:r>
      <w:r>
        <w:t xml:space="preserve">18.8%</w:t>
      </w:r>
      <w:r>
        <w:t xml:space="preserve"> </w:t>
      </w:r>
      <w:r>
        <w:t xml:space="preserve">Accidents</w:t>
      </w:r>
      <w:r>
        <w:t xml:space="preserve"> </w:t>
      </w:r>
      <w:r>
        <w:t xml:space="preserve">23.0</w:t>
      </w:r>
      <w:r>
        <w:t xml:space="preserve"> </w:t>
      </w:r>
      <w:r>
        <w:t xml:space="preserve">29.7%</w:t>
      </w:r>
      <w:r>
        <w:t xml:space="preserve"> </w:t>
      </w:r>
      <w:r>
        <w:t xml:space="preserve">Air pollution</w:t>
      </w:r>
      <w:r>
        <w:t xml:space="preserve"> </w:t>
      </w:r>
      <w:r>
        <w:t xml:space="preserve">13.9</w:t>
      </w:r>
      <w:r>
        <w:t xml:space="preserve"> </w:t>
      </w:r>
      <w:r>
        <w:t xml:space="preserve">17.9%</w:t>
      </w:r>
      <w:r>
        <w:t xml:space="preserve"> </w:t>
      </w:r>
      <w:r>
        <w:t xml:space="preserve">Climate change (GHG)</w:t>
      </w:r>
      <w:r>
        <w:t xml:space="preserve"> </w:t>
      </w:r>
      <w:r>
        <w:t xml:space="preserve">9.6</w:t>
      </w:r>
      <w:r>
        <w:t xml:space="preserve"> </w:t>
      </w:r>
      <w:r>
        <w:t xml:space="preserve">12.4%</w:t>
      </w:r>
      <w:r>
        <w:t xml:space="preserve"> </w:t>
      </w:r>
      <w:r>
        <w:t xml:space="preserve">Noise</w:t>
      </w:r>
      <w:r>
        <w:t xml:space="preserve"> </w:t>
      </w:r>
      <w:r>
        <w:t xml:space="preserve">9.1</w:t>
      </w:r>
      <w:r>
        <w:t xml:space="preserve"> </w:t>
      </w:r>
      <w:r>
        <w:t xml:space="preserve">11.7%</w:t>
      </w:r>
      <w:r>
        <w:t xml:space="preserve"> </w:t>
      </w:r>
      <w:r>
        <w:t xml:space="preserve">Other</w:t>
      </w:r>
      <w:r>
        <w:t xml:space="preserve"> </w:t>
      </w:r>
      <w:r>
        <w:t xml:space="preserve">7.3</w:t>
      </w:r>
      <w:r>
        <w:t xml:space="preserve"> </w:t>
      </w:r>
      <w:r>
        <w:t xml:space="preserve">9.4%</w:t>
      </w:r>
      <w:r>
        <w:t xml:space="preserve"> </w:t>
      </w:r>
      <w:r>
        <w:t xml:space="preserve">Source: The Handbook on the external costs of transport CE Delft et al. (2019); Note: Other includes “well-to-tank” and</w:t>
      </w:r>
    </w:p>
    <w:p>
      <w:pPr>
        <w:pStyle w:val="BodyText"/>
      </w:pPr>
      <w:r>
        <w:t xml:space="preserve">28 Handbook on the external costs of transport, CE Delft (2019), https://op.europa.eu/en/publication-detail/-</w:t>
      </w:r>
      <w:r>
        <w:t xml:space="preserve"> </w:t>
      </w:r>
      <w:r>
        <w:t xml:space="preserve">/publication/9781f65f-8448-11ea-bf12-01aa75ed71a1</w:t>
      </w:r>
      <w:r>
        <w:t xml:space="preserve"> </w:t>
      </w:r>
      <w:r>
        <w:t xml:space="preserve">Other externalities (road</w:t>
      </w:r>
      <w:r>
        <w:t xml:space="preserve"> </w:t>
      </w:r>
      <w:r>
        <w:t xml:space="preserve">congestion, road safety)</w:t>
      </w:r>
      <w:r>
        <w:t xml:space="preserve"> </w:t>
      </w:r>
      <w:r>
        <w:t xml:space="preserve">are not sufficiently reduced</w:t>
      </w:r>
      <w:r>
        <w:t xml:space="preserve"> </w:t>
      </w:r>
      <w:r>
        <w:t xml:space="preserve">Environmental impacts of the</w:t>
      </w:r>
      <w:r>
        <w:t xml:space="preserve"> </w:t>
      </w:r>
      <w:r>
        <w:t xml:space="preserve">transport sector (GHG</w:t>
      </w:r>
      <w:r>
        <w:t xml:space="preserve"> </w:t>
      </w:r>
      <w:r>
        <w:t xml:space="preserve">emissions, air pollution,</w:t>
      </w:r>
      <w:r>
        <w:t xml:space="preserve"> </w:t>
      </w:r>
      <w:r>
        <w:t xml:space="preserve">noise) are not sufficiently</w:t>
      </w:r>
      <w:r>
        <w:t xml:space="preserve"> </w:t>
      </w:r>
      <w:r>
        <w:t xml:space="preserve">mitigated</w:t>
      </w:r>
      <w:r>
        <w:t xml:space="preserve"> </w:t>
      </w:r>
      <w:r>
        <w:t xml:space="preserve">PD2: Lack of market</w:t>
      </w:r>
      <w:r>
        <w:t xml:space="preserve"> </w:t>
      </w:r>
      <w:r>
        <w:t xml:space="preserve">monitoring/empirical basis for support</w:t>
      </w:r>
      <w:r>
        <w:t xml:space="preserve"> </w:t>
      </w:r>
      <w:r>
        <w:t xml:space="preserve">PD4: Inefficiencies in scheduling,</w:t>
      </w:r>
      <w:r>
        <w:t xml:space="preserve"> </w:t>
      </w:r>
      <w:r>
        <w:t xml:space="preserve">planning and running intermodal</w:t>
      </w:r>
      <w:r>
        <w:t xml:space="preserve"> </w:t>
      </w:r>
      <w:r>
        <w:t xml:space="preserve">transport</w:t>
      </w:r>
      <w:r>
        <w:t xml:space="preserve"> </w:t>
      </w:r>
      <w:r>
        <w:t xml:space="preserve">Problems</w:t>
      </w:r>
      <w:r>
        <w:t xml:space="preserve"> </w:t>
      </w:r>
      <w:r>
        <w:t xml:space="preserve">Drivers</w:t>
      </w:r>
      <w:r>
        <w:t xml:space="preserve"> </w:t>
      </w:r>
      <w:r>
        <w:t xml:space="preserve">Implications</w:t>
      </w:r>
      <w:r>
        <w:t xml:space="preserve"> </w:t>
      </w:r>
      <w:r>
        <w:t xml:space="preserve">PD3: Incentives provided by the CTD to</w:t>
      </w:r>
      <w:r>
        <w:t xml:space="preserve"> </w:t>
      </w:r>
      <w:r>
        <w:t xml:space="preserve">enhance relative competitiveness of</w:t>
      </w:r>
      <w:r>
        <w:t xml:space="preserve"> </w:t>
      </w:r>
      <w:r>
        <w:t xml:space="preserve">intermodal transport are insufficient to</w:t>
      </w:r>
      <w:r>
        <w:t xml:space="preserve"> </w:t>
      </w:r>
      <w:r>
        <w:t xml:space="preserve">reduce the gap with road-only transport</w:t>
      </w:r>
      <w:r>
        <w:t xml:space="preserve"> </w:t>
      </w:r>
      <w:r>
        <w:t xml:space="preserve">PD1: Eligibility for support under the</w:t>
      </w:r>
      <w:r>
        <w:t xml:space="preserve"> </w:t>
      </w:r>
      <w:r>
        <w:t xml:space="preserve">CTD is too narrow and complicated</w:t>
      </w:r>
      <w:r>
        <w:t xml:space="preserve"> </w:t>
      </w:r>
      <w:r>
        <w:t xml:space="preserve">Current uptake of</w:t>
      </w:r>
      <w:r>
        <w:t xml:space="preserve"> </w:t>
      </w:r>
      <w:r>
        <w:t xml:space="preserve">intermodal transport is</w:t>
      </w:r>
      <w:r>
        <w:t xml:space="preserve"> </w:t>
      </w:r>
      <w:r>
        <w:t xml:space="preserve">insufficient for</w:t>
      </w:r>
      <w:r>
        <w:t xml:space="preserve"> </w:t>
      </w:r>
      <w:r>
        <w:t xml:space="preserve">effectively</w:t>
      </w:r>
      <w:r>
        <w:t xml:space="preserve"> </w:t>
      </w:r>
      <w:r>
        <w:t xml:space="preserve">contributing to the</w:t>
      </w:r>
      <w:r>
        <w:t xml:space="preserve"> </w:t>
      </w:r>
      <w:r>
        <w:t xml:space="preserve">reduction of external</w:t>
      </w:r>
      <w:r>
        <w:t xml:space="preserve"> </w:t>
      </w:r>
      <w:r>
        <w:t xml:space="preserve">costs and energy</w:t>
      </w:r>
      <w:r>
        <w:t xml:space="preserve"> </w:t>
      </w:r>
      <w:r>
        <w:t xml:space="preserve">consumption of</w:t>
      </w:r>
      <w:r>
        <w:t xml:space="preserve"> </w:t>
      </w:r>
      <w:r>
        <w:t xml:space="preserve">transport</w:t>
      </w:r>
      <w:r>
        <w:t xml:space="preserve"> </w:t>
      </w:r>
      <w:r>
        <w:t xml:space="preserve">Energy consumption is not</w:t>
      </w:r>
      <w:r>
        <w:t xml:space="preserve"> </w:t>
      </w:r>
      <w:r>
        <w:t xml:space="preserve">reduced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habitat damage externalities.</w:t>
      </w:r>
      <w:r>
        <w:br/>
      </w:r>
      <w:r>
        <w:t xml:space="preserve">Source: European Commission (2019); Note: Other includes “well-to-tank” and habitat damage externalities.</w:t>
      </w:r>
      <w:r>
        <w:br/>
      </w:r>
      <w:r>
        <w:t xml:space="preserve">The average external cost for rail transport and IWW per tonne-km (tkm) are almost three times lower, at</w:t>
      </w:r>
      <w:r>
        <w:t xml:space="preserve"> </w:t>
      </w:r>
      <w:r>
        <w:t xml:space="preserve">EUR 0.013 per tkm and EUR 0.019 per tkm, respectively, compared to the average external cost for HGVs at EUR</w:t>
      </w:r>
      <w:r>
        <w:t xml:space="preserve"> </w:t>
      </w:r>
      <w:r>
        <w:t xml:space="preserve">0.042 per tkm. This difference is expected to reduce over time, mostly due to the decarbonisation of road</w:t>
      </w:r>
      <w:r>
        <w:t xml:space="preserve"> </w:t>
      </w:r>
      <w:r>
        <w:t xml:space="preserve">transport which leads also to lower air pollution. However, the total external costs of road-only transport are</w:t>
      </w:r>
      <w:r>
        <w:t xml:space="preserve"> </w:t>
      </w:r>
      <w:r>
        <w:t xml:space="preserve">expected to remain higher in particular due to congestion, but also due to road accidents which despite of</w:t>
      </w:r>
      <w:r>
        <w:t xml:space="preserve"> </w:t>
      </w:r>
      <w:r>
        <w:t xml:space="preserve">continuous improvement of safety measures29 would be hard to fully internalise with mode specific measures.</w:t>
      </w:r>
      <w:r>
        <w:br/>
      </w:r>
      <w:r>
        <w:t xml:space="preserve">Similarly, the energy consumption of mass transport such as rail and waterborne transport is considerably</w:t>
      </w:r>
      <w:r>
        <w:t xml:space="preserve"> </w:t>
      </w:r>
      <w:r>
        <w:t xml:space="preserve">lower per tkm than that of road-only transport. A recent case study of ten popular intermodal routes</w:t>
      </w:r>
      <w:r>
        <w:t xml:space="preserve"> </w:t>
      </w:r>
      <w:r>
        <w:t xml:space="preserve">established that average energy savings of door-to-door intermodal transport compared to road-only</w:t>
      </w:r>
      <w:r>
        <w:t xml:space="preserve"> </w:t>
      </w:r>
      <w:r>
        <w:t xml:space="preserve">transport is between 54 and 71%30. Average energy consumption per tkm is 0.146 kWh for road transport,</w:t>
      </w:r>
      <w:r>
        <w:t xml:space="preserve"> </w:t>
      </w:r>
      <w:r>
        <w:t xml:space="preserve">but 0.02 kWh for rail, 0.034 kWh for SSS and 0.046 kWh for IWW31. It is important to note that for</w:t>
      </w:r>
      <w:r>
        <w:t xml:space="preserve"> </w:t>
      </w:r>
      <w:r>
        <w:t xml:space="preserve">intermodal transport, the external cost and energy consumption is higher than in unimodal non-road</w:t>
      </w:r>
      <w:r>
        <w:t xml:space="preserve"> </w:t>
      </w:r>
      <w:r>
        <w:t xml:space="preserve">transport due to the included road leg(s). The absolute difference is the bigger the higher is the share of the</w:t>
      </w:r>
      <w:r>
        <w:t xml:space="preserve"> </w:t>
      </w:r>
      <w:r>
        <w:t xml:space="preserve">non-road leg, as illustrated in Figure 2.</w:t>
      </w:r>
      <w:r>
        <w:br/>
      </w:r>
      <w:r>
        <w:t xml:space="preserve">Figure 2: Average external costs and energy consumption for different distances of door-to-door intermodal container</w:t>
      </w:r>
      <w:r>
        <w:t xml:space="preserve"> </w:t>
      </w:r>
      <w:r>
        <w:t xml:space="preserve">transport (20 tonnes) compared to road only operation on same distance</w:t>
      </w:r>
    </w:p>
    <w:p>
      <w:pPr>
        <w:pStyle w:val="BodyText"/>
      </w:pPr>
      <w:r>
        <w:t xml:space="preserve">Source: Own calculations based on PWC, KombiConsult (2022) and Ricardo et al. support study (2023)</w:t>
      </w:r>
      <w:r>
        <w:br/>
      </w:r>
      <w:r>
        <w:t xml:space="preserve">The volume of intermodal freight transport in tkm and TEU, including CT, has more than doubled in the</w:t>
      </w:r>
      <w:r>
        <w:t xml:space="preserve"> </w:t>
      </w:r>
      <w:r>
        <w:t xml:space="preserve">last 30 years, since the adoption of the current CTD and has been the fastest growing market segment in</w:t>
      </w:r>
      <w:r>
        <w:t xml:space="preserve"> </w:t>
      </w:r>
      <w:r>
        <w:t xml:space="preserve">three important non-road freight modes (i.e. rail, IWW, SSS), even if this relative growth advantage has in</w:t>
      </w:r>
      <w:r>
        <w:t xml:space="preserve"> </w:t>
      </w:r>
      <w:r>
        <w:t xml:space="preserve">recent years slowed. However, it makes up still only 17% of total rail, IWW, SSS and road transport activity.</w:t>
      </w:r>
      <w:r>
        <w:t xml:space="preserve"> </w:t>
      </w:r>
      <w:r>
        <w:t xml:space="preserve">This is because of two main reasons. First, it started from a relatively low base so even doubling its volume</w:t>
      </w:r>
      <w:r>
        <w:t xml:space="preserve"> </w:t>
      </w:r>
      <w:r>
        <w:t xml:space="preserve">still results in a low share. Second, road transport activity has continued to grow at a sustained rate, in</w:t>
      </w:r>
      <w:r>
        <w:t xml:space="preserve"> </w:t>
      </w:r>
      <w:r>
        <w:t xml:space="preserve">particular during the recent years, not allowing intermodal transport to increase its share in total rail, IWW,</w:t>
      </w:r>
      <w:r>
        <w:t xml:space="preserve"> </w:t>
      </w:r>
      <w:r>
        <w:t xml:space="preserve">SSS and road transport activity. It has however increased its share in total non-road transport as the other</w:t>
      </w:r>
      <w:r>
        <w:t xml:space="preserve"> </w:t>
      </w:r>
      <w:r>
        <w:t xml:space="preserve">market segments (conventional rail, inland waterways and short sea shipping) have grown at considerably</w:t>
      </w:r>
      <w:r>
        <w:t xml:space="preserve"> </w:t>
      </w:r>
      <w:r>
        <w:t xml:space="preserve">slower pace than intermodal transport (Figure 3).</w:t>
      </w:r>
    </w:p>
    <w:p>
      <w:pPr>
        <w:pStyle w:val="BodyText"/>
      </w:pPr>
      <w:r>
        <w:t xml:space="preserve">29 On 1 March 2023 the European Commission proposed updated requirements for driving licences and better cross-</w:t>
      </w:r>
      <w:r>
        <w:t xml:space="preserve"> </w:t>
      </w:r>
      <w:r>
        <w:t xml:space="preserve">border enforcement of road traffic rules.</w:t>
      </w:r>
      <w:r>
        <w:t xml:space="preserve"> </w:t>
      </w:r>
      <w:r>
        <w:t xml:space="preserve">30 Comparative study on CO2 emissions in door-to-door combined transport, UIRR, d-fine (2021),</w:t>
      </w:r>
      <w:r>
        <w:t xml:space="preserve"> </w:t>
      </w:r>
      <w:r>
        <w:t xml:space="preserve">https://www.uirr.com/en/media-centre/leaflet-and-studies/mediacentre/2102-comparative-study-on-co2-emissions-in-</w:t>
      </w:r>
      <w:r>
        <w:t xml:space="preserve"> </w:t>
      </w:r>
      <w:r>
        <w:t xml:space="preserve">door-to-door-ct-d-fine.html</w:t>
      </w:r>
      <w:r>
        <w:t xml:space="preserve"> </w:t>
      </w:r>
      <w:r>
        <w:t xml:space="preserve">31 Ricardo et al. support study (2023).</w:t>
      </w:r>
      <w:r>
        <w:t xml:space="preserve"> </w:t>
      </w:r>
      <w:r>
        <w:t xml:space="preserve">0</w:t>
      </w:r>
      <w:r>
        <w:t xml:space="preserve"> </w:t>
      </w:r>
      <w:r>
        <w:t xml:space="preserve">250</w:t>
      </w:r>
      <w:r>
        <w:t xml:space="preserve"> </w:t>
      </w:r>
      <w:r>
        <w:t xml:space="preserve">500</w:t>
      </w:r>
      <w:r>
        <w:t xml:space="preserve"> </w:t>
      </w:r>
      <w:r>
        <w:t xml:space="preserve">750</w:t>
      </w:r>
      <w:r>
        <w:t xml:space="preserve"> </w:t>
      </w:r>
      <w:r>
        <w:t xml:space="preserve">1000</w:t>
      </w:r>
      <w:r>
        <w:t xml:space="preserve"> </w:t>
      </w:r>
      <w:r>
        <w:t xml:space="preserve">1250</w:t>
      </w:r>
      <w:r>
        <w:t xml:space="preserve"> </w:t>
      </w:r>
      <w:r>
        <w:t xml:space="preserve">1500</w:t>
      </w:r>
      <w:r>
        <w:t xml:space="preserve"> </w:t>
      </w:r>
      <w:r>
        <w:t xml:space="preserve">1750</w:t>
      </w:r>
      <w:r>
        <w:t xml:space="preserve"> </w:t>
      </w:r>
      <w:r>
        <w:t xml:space="preserve">2000</w:t>
      </w:r>
      <w:r>
        <w:t xml:space="preserve"> </w:t>
      </w:r>
      <w:r>
        <w:t xml:space="preserve">2250</w:t>
      </w:r>
      <w:r>
        <w:t xml:space="preserve"> </w:t>
      </w:r>
      <w:r>
        <w:t xml:space="preserve">2500</w:t>
      </w:r>
      <w:r>
        <w:t xml:space="preserve"> </w:t>
      </w:r>
      <w:r>
        <w:t xml:space="preserve">2750</w:t>
      </w:r>
      <w:r>
        <w:t xml:space="preserve"> </w:t>
      </w:r>
      <w:r>
        <w:t xml:space="preserve">External costs, €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consumption, kWh</w:t>
      </w:r>
      <w:r>
        <w:t xml:space="preserve"> </w:t>
      </w:r>
      <w:r>
        <w:t xml:space="preserve">External costs, €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consumption, kWh</w:t>
      </w:r>
      <w:r>
        <w:t xml:space="preserve"> </w:t>
      </w:r>
      <w:r>
        <w:t xml:space="preserve">External costs, €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consumption, kWh</w:t>
      </w:r>
      <w:r>
        <w:t xml:space="preserve"> </w:t>
      </w:r>
      <w:r>
        <w:t xml:space="preserve">300km</w:t>
      </w:r>
      <w:r>
        <w:t xml:space="preserve"> </w:t>
      </w:r>
      <w:r>
        <w:t xml:space="preserve">600km</w:t>
      </w:r>
      <w:r>
        <w:t xml:space="preserve"> </w:t>
      </w:r>
      <w:r>
        <w:t xml:space="preserve">1000 km</w:t>
      </w:r>
      <w:r>
        <w:t xml:space="preserve"> </w:t>
      </w:r>
      <w:r>
        <w:t xml:space="preserve">Rail-road</w:t>
      </w:r>
      <w:r>
        <w:t xml:space="preserve"> </w:t>
      </w:r>
      <w:r>
        <w:t xml:space="preserve">IWW-road</w:t>
      </w:r>
      <w:r>
        <w:t xml:space="preserve"> </w:t>
      </w:r>
      <w:r>
        <w:t xml:space="preserve">SSS-road</w:t>
      </w:r>
      <w:r>
        <w:t xml:space="preserve"> </w:t>
      </w:r>
      <w:r>
        <w:t xml:space="preserve">Road only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Figure 3: Freight transport activity of unimodal (excluding the intermodal respective legs) and total intermodal transport</w:t>
      </w:r>
      <w:r>
        <w:t xml:space="preserve"> </w:t>
      </w:r>
      <w:r>
        <w:t xml:space="preserve">(incl. road and non-road legs), 2005-2020 (in billon tkm)</w:t>
      </w:r>
    </w:p>
    <w:p>
      <w:pPr>
        <w:pStyle w:val="BodyText"/>
      </w:pPr>
      <w:r>
        <w:t xml:space="preserve">Source: Statistical pocketbook 2022, REFIT evaluation of CTD (2016) and Ricardo et al. support study (2023)</w:t>
      </w:r>
      <w:r>
        <w:t xml:space="preserve"> </w:t>
      </w:r>
      <w:r>
        <w:t xml:space="preserve">The overall freight transport volume (expressed in tkm) in the EU has increased by 36% between 1995 and</w:t>
      </w:r>
      <w:r>
        <w:t xml:space="preserve"> </w:t>
      </w:r>
      <w:r>
        <w:t xml:space="preserve">2020; however due to Covid-19, freight transport experienced a large drop in 2020 (-3.6% year on year).</w:t>
      </w:r>
      <w:r>
        <w:t xml:space="preserve"> </w:t>
      </w:r>
      <w:r>
        <w:t xml:space="preserve">The biggest contributor to this growth has been road transport, which grew 54.8% between 1995 and 2020.</w:t>
      </w:r>
      <w:r>
        <w:t xml:space="preserve"> </w:t>
      </w:r>
      <w:r>
        <w:t xml:space="preserve">Between 2005 and 2020 total freight transport increased by 5.7%, while road transport volume increased</w:t>
      </w:r>
      <w:r>
        <w:t xml:space="preserve"> </w:t>
      </w:r>
      <w:r>
        <w:t xml:space="preserve">by 9.9% (157 billion tkm). As a result, road transport continues to have the largest and increasing share in</w:t>
      </w:r>
      <w:r>
        <w:t xml:space="preserve"> </w:t>
      </w:r>
      <w:r>
        <w:t xml:space="preserve">EU freight transport. In 2020, total road transport (including intermodal road-legs) accounted for 53.3% of</w:t>
      </w:r>
      <w:r>
        <w:t xml:space="preserve"> </w:t>
      </w:r>
      <w:r>
        <w:t xml:space="preserve">the total freight transport (in tkm), going up from 51.3% in 200532.</w:t>
      </w:r>
      <w:r>
        <w:br/>
      </w:r>
      <w:r>
        <w:t xml:space="preserve">In contrast, over the same period the transport volume for rail and IWW decreased respectively by 4.4%</w:t>
      </w:r>
      <w:r>
        <w:t xml:space="preserve"> </w:t>
      </w:r>
      <w:r>
        <w:t xml:space="preserve">and 5% (when including intermodal operations). Only the volume of SSS increased by 9.5%33. The situation</w:t>
      </w:r>
      <w:r>
        <w:t xml:space="preserve"> </w:t>
      </w:r>
      <w:r>
        <w:t xml:space="preserve">in non-road transport without intermodal is however even graver as both rail transport and inland waterways</w:t>
      </w:r>
      <w:r>
        <w:t xml:space="preserve"> </w:t>
      </w:r>
      <w:r>
        <w:t xml:space="preserve">transport decreased considerably between 2005 and 2020. The growth of intermodal non-road legs</w:t>
      </w:r>
      <w:r>
        <w:t xml:space="preserve"> </w:t>
      </w:r>
      <w:r>
        <w:t xml:space="preserve">experienced however a sizable growth (Figure 3 and Table 2).</w:t>
      </w:r>
      <w:r>
        <w:br/>
      </w:r>
      <w:r>
        <w:t xml:space="preserve">Table 2: Change of rail, inland waterways, short sea shipping and road transport volume between 2005 and 2020</w:t>
      </w:r>
    </w:p>
    <w:p>
      <w:pPr>
        <w:pStyle w:val="BodyText"/>
      </w:pPr>
      <w:r>
        <w:t xml:space="preserve">Total mode</w:t>
      </w:r>
      <w:r>
        <w:t xml:space="preserve"> </w:t>
      </w:r>
      <w:r>
        <w:t xml:space="preserve">Mode without intermodal</w:t>
      </w:r>
      <w:r>
        <w:t xml:space="preserve"> </w:t>
      </w:r>
      <w:r>
        <w:t xml:space="preserve">Intermodal</w:t>
      </w:r>
      <w:r>
        <w:br/>
      </w:r>
      <w:r>
        <w:t xml:space="preserve">Road</w:t>
      </w:r>
      <w:r>
        <w:t xml:space="preserve"> </w:t>
      </w:r>
      <w:r>
        <w:t xml:space="preserve">9.9%</w:t>
      </w:r>
      <w:r>
        <w:t xml:space="preserve"> </w:t>
      </w:r>
      <w:r>
        <w:t xml:space="preserve">9.6%</w:t>
      </w:r>
      <w:r>
        <w:t xml:space="preserve"> </w:t>
      </w:r>
      <w:r>
        <w:t xml:space="preserve">12.5%</w:t>
      </w:r>
      <w:r>
        <w:t xml:space="preserve"> </w:t>
      </w:r>
      <w:r>
        <w:t xml:space="preserve">Rail</w:t>
      </w:r>
      <w:r>
        <w:t xml:space="preserve"> </w:t>
      </w:r>
      <w:r>
        <w:t xml:space="preserve">-4.4%</w:t>
      </w:r>
      <w:r>
        <w:t xml:space="preserve"> </w:t>
      </w:r>
      <w:r>
        <w:t xml:space="preserve">-13.9%</w:t>
      </w:r>
      <w:r>
        <w:t xml:space="preserve"> </w:t>
      </w:r>
      <w:r>
        <w:t xml:space="preserve">74.1%</w:t>
      </w:r>
      <w:r>
        <w:t xml:space="preserve"> </w:t>
      </w:r>
      <w:r>
        <w:t xml:space="preserve">Inland</w:t>
      </w:r>
      <w:r>
        <w:t xml:space="preserve"> </w:t>
      </w:r>
      <w:r>
        <w:t xml:space="preserve">waterways</w:t>
      </w:r>
      <w:r>
        <w:t xml:space="preserve"> </w:t>
      </w:r>
      <w:r>
        <w:t xml:space="preserve">-5.0%</w:t>
      </w:r>
      <w:r>
        <w:t xml:space="preserve"> </w:t>
      </w:r>
      <w:r>
        <w:t xml:space="preserve">-9.2%</w:t>
      </w:r>
      <w:r>
        <w:t xml:space="preserve"> </w:t>
      </w:r>
      <w:r>
        <w:t xml:space="preserve">108.3%</w:t>
      </w:r>
      <w:r>
        <w:t xml:space="preserve"> </w:t>
      </w:r>
      <w:r>
        <w:t xml:space="preserve">Short sea</w:t>
      </w:r>
      <w:r>
        <w:t xml:space="preserve"> </w:t>
      </w:r>
      <w:r>
        <w:t xml:space="preserve">shipping</w:t>
      </w:r>
      <w:r>
        <w:t xml:space="preserve"> </w:t>
      </w:r>
      <w:r>
        <w:t xml:space="preserve">9.5%</w:t>
      </w:r>
      <w:r>
        <w:t xml:space="preserve"> </w:t>
      </w:r>
      <w:r>
        <w:t xml:space="preserve">10.1%</w:t>
      </w:r>
      <w:r>
        <w:t xml:space="preserve"> </w:t>
      </w:r>
      <w:r>
        <w:t xml:space="preserve">88.8%</w:t>
      </w:r>
      <w:r>
        <w:t xml:space="preserve"> </w:t>
      </w:r>
      <w:r>
        <w:t xml:space="preserve">Source: Statistical pocketbook 2022, REFIT evaluation of CTD (2016) and Ricardo et al. support study (2023)</w:t>
      </w:r>
      <w:r>
        <w:br/>
      </w:r>
      <w:r>
        <w:t xml:space="preserve">As far as non-road modes remain more environmentally sustainable, their much faster growth is essential</w:t>
      </w:r>
      <w:r>
        <w:t xml:space="preserve"> </w:t>
      </w:r>
      <w:r>
        <w:t xml:space="preserve">to achieve the ambition of a more sustainable transport system as set by the Commission in the SSMS. The</w:t>
      </w:r>
      <w:r>
        <w:t xml:space="preserve"> </w:t>
      </w:r>
      <w:r>
        <w:t xml:space="preserve">strategy specifies that rail freight traffic should increase by 50% by 2030 and double by 2050; and transport</w:t>
      </w:r>
      <w:r>
        <w:t xml:space="preserve"> </w:t>
      </w:r>
      <w:r>
        <w:t xml:space="preserve">by inland waterways and short sea shipping should increase by 25% by 2030 and by 50% by 2050 (relative</w:t>
      </w:r>
      <w:r>
        <w:t xml:space="preserve"> </w:t>
      </w:r>
      <w:r>
        <w:t xml:space="preserve">to 2015 levels). As can be seen in Table 2, intermodal transport is a key driver for growing freight volumes</w:t>
      </w:r>
      <w:r>
        <w:t xml:space="preserve"> </w:t>
      </w:r>
      <w:r>
        <w:t xml:space="preserve">of non-road transport modes. Given that these modes alone rarely deliver door-to-door, intermodal solutions</w:t>
      </w:r>
      <w:r>
        <w:t xml:space="preserve"> </w:t>
      </w:r>
      <w:r>
        <w:t xml:space="preserve">with road connections to and from terminals are necessary. Combining road with non-road legs in freight</w:t>
      </w:r>
      <w:r>
        <w:t xml:space="preserve"> </w:t>
      </w:r>
      <w:r>
        <w:t xml:space="preserve">transport allows for high degrees of flexibility while improving the competitiveness of non-road legs and</w:t>
      </w:r>
      <w:r>
        <w:t xml:space="preserve"> </w:t>
      </w:r>
      <w:r>
        <w:t xml:space="preserve">thereby contributing to meeting the milestones in the SSMS.</w:t>
      </w:r>
    </w:p>
    <w:p>
      <w:pPr>
        <w:pStyle w:val="BodyText"/>
      </w:pPr>
      <w:r>
        <w:t xml:space="preserve">32 Statistical Pocketbook (2022), EU Transport in figures, https://transport.ec.europa.eu/media-</w:t>
      </w:r>
      <w:r>
        <w:t xml:space="preserve"> </w:t>
      </w:r>
      <w:r>
        <w:t xml:space="preserve">corner/publications_en</w:t>
      </w:r>
      <w:r>
        <w:br/>
      </w:r>
      <w:r>
        <w:t xml:space="preserve">33 Ibid.</w:t>
      </w:r>
      <w:r>
        <w:t xml:space="preserve"> </w:t>
      </w:r>
      <w:r>
        <w:t xml:space="preserve">0</w:t>
      </w:r>
      <w:r>
        <w:t xml:space="preserve"> </w:t>
      </w:r>
      <w:r>
        <w:t xml:space="preserve">300</w:t>
      </w:r>
      <w:r>
        <w:t xml:space="preserve"> </w:t>
      </w:r>
      <w:r>
        <w:t xml:space="preserve">600</w:t>
      </w:r>
      <w:r>
        <w:t xml:space="preserve"> </w:t>
      </w:r>
      <w:r>
        <w:t xml:space="preserve">900</w:t>
      </w:r>
      <w:r>
        <w:t xml:space="preserve"> </w:t>
      </w:r>
      <w:r>
        <w:t xml:space="preserve">1200</w:t>
      </w:r>
      <w:r>
        <w:t xml:space="preserve"> </w:t>
      </w:r>
      <w:r>
        <w:t xml:space="preserve">1500</w:t>
      </w:r>
      <w:r>
        <w:t xml:space="preserve"> </w:t>
      </w:r>
      <w:r>
        <w:t xml:space="preserve">2005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Road (excl intermodal</w:t>
      </w:r>
      <w:r>
        <w:t xml:space="preserve"> </w:t>
      </w:r>
      <w:r>
        <w:t xml:space="preserve">road-legs)</w:t>
      </w:r>
      <w:r>
        <w:t xml:space="preserve"> </w:t>
      </w:r>
      <w:r>
        <w:t xml:space="preserve">Rail (excl. intermodal)</w:t>
      </w:r>
      <w:r>
        <w:t xml:space="preserve"> </w:t>
      </w:r>
      <w:r>
        <w:t xml:space="preserve">IWW (excl. intermodal)</w:t>
      </w:r>
      <w:r>
        <w:t xml:space="preserve"> </w:t>
      </w:r>
      <w:r>
        <w:t xml:space="preserve">SSS (excl. intermodal)</w:t>
      </w:r>
      <w:r>
        <w:t xml:space="preserve"> </w:t>
      </w:r>
      <w:r>
        <w:t xml:space="preserve">Intermodal (all modes, all</w:t>
      </w:r>
      <w:r>
        <w:t xml:space="preserve"> </w:t>
      </w:r>
      <w:r>
        <w:t xml:space="preserve">legs)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The problems for the intermodal sector remain more or less the same as in 1992 when the current CTD was</w:t>
      </w:r>
      <w:r>
        <w:t xml:space="preserve"> </w:t>
      </w:r>
      <w:r>
        <w:t xml:space="preserve">adopted, even if some developments have taken place since then. Before the 1998 amendment proposal for</w:t>
      </w:r>
      <w:r>
        <w:t xml:space="preserve"> </w:t>
      </w:r>
      <w:r>
        <w:t xml:space="preserve">CTD, the Commission adopted a dedicated Communication on intermodal transport34 that highlighted four</w:t>
      </w:r>
      <w:r>
        <w:t xml:space="preserve"> </w:t>
      </w:r>
      <w:r>
        <w:t xml:space="preserve">key needs: (i) a European strategy on infrastructure, (ii) a single transport market, including on competition</w:t>
      </w:r>
      <w:r>
        <w:t xml:space="preserve"> </w:t>
      </w:r>
      <w:r>
        <w:t xml:space="preserve">rules, (iii) identification and elimination of obstacles to intermodality and (iv) adressing associated friction</w:t>
      </w:r>
      <w:r>
        <w:t xml:space="preserve"> </w:t>
      </w:r>
      <w:r>
        <w:t xml:space="preserve">costs or specific barriers for intermodal transport uptake such as higher costs, longer journeys with delays,</w:t>
      </w:r>
      <w:r>
        <w:t xml:space="preserve"> </w:t>
      </w:r>
      <w:r>
        <w:t xml:space="preserve">unreliable time planning, lack of quality services, limitations on types of goods transported, higher risk to</w:t>
      </w:r>
      <w:r>
        <w:t xml:space="preserve"> </w:t>
      </w:r>
      <w:r>
        <w:t xml:space="preserve">damage cargo and more complex administrative procedures.</w:t>
      </w:r>
      <w:r>
        <w:br/>
      </w:r>
      <w:r>
        <w:t xml:space="preserve">However, the 1998 amendment was withdrawn as explained above. While the consecutive TEN-T</w:t>
      </w:r>
      <w:r>
        <w:t xml:space="preserve"> </w:t>
      </w:r>
      <w:r>
        <w:t xml:space="preserve">Regulation revisions have improved the non-road infrastructure, they have not adressed specifically</w:t>
      </w:r>
      <w:r>
        <w:t xml:space="preserve"> </w:t>
      </w:r>
      <w:r>
        <w:t xml:space="preserve">intermodal infrastructure bottlenecks. Only the latest revision of the TEN-T Regulation35 proposes</w:t>
      </w:r>
      <w:r>
        <w:t xml:space="preserve"> </w:t>
      </w:r>
      <w:r>
        <w:t xml:space="preserve">dedicated obligation for addressing transhipment capacity and quality of multimodal terminals. Similarly,</w:t>
      </w:r>
      <w:r>
        <w:t xml:space="preserve"> </w:t>
      </w:r>
      <w:r>
        <w:t xml:space="preserve">the existing State aid rules do not include dedicated guidelines for intermodal transport. While the ongoing</w:t>
      </w:r>
      <w:r>
        <w:t xml:space="preserve"> </w:t>
      </w:r>
      <w:r>
        <w:t xml:space="preserve">review of State aid rules in this area is expected to include provisions for intermodal transport, the State aid</w:t>
      </w:r>
      <w:r>
        <w:t xml:space="preserve"> </w:t>
      </w:r>
      <w:r>
        <w:t xml:space="preserve">provided today by different Member States is outside the scope of the CTD and remains very diverse (see</w:t>
      </w:r>
      <w:r>
        <w:t xml:space="preserve"> </w:t>
      </w:r>
      <w:r>
        <w:t xml:space="preserve">section 2.2.3). Finally, there has been no or very limited change as regards the mentioned friction costs.</w:t>
      </w:r>
      <w:r>
        <w:br/>
      </w:r>
      <w:r>
        <w:t xml:space="preserve">This was also well highlighted in the results of the open public consultation (OPC), where the respondents</w:t>
      </w:r>
      <w:r>
        <w:t xml:space="preserve"> </w:t>
      </w:r>
      <w:r>
        <w:t xml:space="preserve">were asked to rate the different factors that impact the competitiveness of intermodal transport. 99</w:t>
      </w:r>
      <w:r>
        <w:t xml:space="preserve"> </w:t>
      </w:r>
      <w:r>
        <w:t xml:space="preserve">respondents replied to this question during the public consultation. The most pertinent reasons (more than</w:t>
      </w:r>
      <w:r>
        <w:t xml:space="preserve"> </w:t>
      </w:r>
      <w:r>
        <w:t xml:space="preserve">60% of respondents assign strong or very strong impact) why intermodal transport is not competitive</w:t>
      </w:r>
      <w:r>
        <w:t xml:space="preserve"> </w:t>
      </w:r>
      <w:r>
        <w:t xml:space="preserve">include: road-only transport being cheaper door-to-door, the habit of using road-only transport, high</w:t>
      </w:r>
      <w:r>
        <w:t xml:space="preserve"> </w:t>
      </w:r>
      <w:r>
        <w:t xml:space="preserve">transhipment cost and insufficient terminal infrastructure and insufficient non-road connections from nearby</w:t>
      </w:r>
      <w:r>
        <w:t xml:space="preserve"> </w:t>
      </w:r>
      <w:r>
        <w:t xml:space="preserve">terminal (terminal service offer)36. The results are given in Figure 4.</w:t>
      </w:r>
      <w:r>
        <w:br/>
      </w:r>
      <w:r>
        <w:t xml:space="preserve">The lack of terminals and better functioning of rail and inland waterways sectors, which should contribute</w:t>
      </w:r>
      <w:r>
        <w:t xml:space="preserve"> </w:t>
      </w:r>
      <w:r>
        <w:t xml:space="preserve">to better service offer and connections with non-road modes, is addressed by other initiatives as explained</w:t>
      </w:r>
      <w:r>
        <w:t xml:space="preserve"> </w:t>
      </w:r>
      <w:r>
        <w:t xml:space="preserve">in section 1.3. As regards the habit of using road-only transport and complexities of starting to use</w:t>
      </w:r>
      <w:r>
        <w:t xml:space="preserve"> </w:t>
      </w:r>
      <w:r>
        <w:t xml:space="preserve">intermodal transport, both problems are difficult to pinpoint as well as to address. The complexities are</w:t>
      </w:r>
      <w:r>
        <w:t xml:space="preserve"> </w:t>
      </w:r>
      <w:r>
        <w:t xml:space="preserve">mostly inherent to intermodal transport as it always involves many parties, multiple contracts and different</w:t>
      </w:r>
      <w:r>
        <w:t xml:space="preserve"> </w:t>
      </w:r>
      <w:r>
        <w:t xml:space="preserve">laws and rules, in particular for international operations. Logistics companies and freight forwarders are</w:t>
      </w:r>
      <w:r>
        <w:t xml:space="preserve"> </w:t>
      </w:r>
      <w:r>
        <w:t xml:space="preserve">specialised in solving these issues for shippers, if the main concern – the higher costs – can be addressed.</w:t>
      </w:r>
    </w:p>
    <w:p>
      <w:pPr>
        <w:pStyle w:val="BodyText"/>
      </w:pPr>
      <w:r>
        <w:t xml:space="preserve">34 COM(97) 243 final.</w:t>
      </w:r>
      <w:r>
        <w:t xml:space="preserve"> </w:t>
      </w:r>
      <w:r>
        <w:t xml:space="preserve">35 COM(2021) 812 final.</w:t>
      </w:r>
      <w:r>
        <w:br/>
      </w:r>
      <w:r>
        <w:t xml:space="preserve">36 Cheaper road: 42 out of 68 industry respondents, 10/14 public authorities, 4/10 EU citizens, 1/3 NGO, 1/1 trade</w:t>
      </w:r>
      <w:r>
        <w:t xml:space="preserve"> </w:t>
      </w:r>
      <w:r>
        <w:t xml:space="preserve">union and 4/4 others. Transhipment costs: 43/68 industry respondents, 10/14 public authorities, 4/10 citizens, and</w:t>
      </w:r>
      <w:r>
        <w:t xml:space="preserve"> </w:t>
      </w:r>
      <w:r>
        <w:t xml:space="preserve">1/4 other. Lack of suitable terminal capacity: 50/68 industry respondents, 5/14 public authorities, 6/10 citizens, 1/3</w:t>
      </w:r>
      <w:r>
        <w:t xml:space="preserve"> </w:t>
      </w:r>
      <w:r>
        <w:t xml:space="preserve">NGO, 1/1 trade union and 3/4 others. Lack of suitable connection: 42/68 industry respondents, 5/14 public</w:t>
      </w:r>
      <w:r>
        <w:t xml:space="preserve"> </w:t>
      </w:r>
      <w:r>
        <w:t xml:space="preserve">authorities, 6/10 citizens, 1/4 NGO, 1/1 trade union and 4/4 others.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Figure 4: Responses to “To what extent do the following factors affect the lack of competitiveness of</w:t>
      </w:r>
      <w:r>
        <w:t xml:space="preserve"> </w:t>
      </w:r>
      <w:r>
        <w:t xml:space="preserve">multimodal/intermodal37 transport compared with road-only transport (on a scale of 0-5, where 0 is no impact and 5 is</w:t>
      </w:r>
      <w:r>
        <w:t xml:space="preserve"> </w:t>
      </w:r>
      <w:r>
        <w:t xml:space="preserve">very strong impact)?”</w:t>
      </w:r>
    </w:p>
    <w:p>
      <w:pPr>
        <w:pStyle w:val="BodyText"/>
      </w:pPr>
      <w:r>
        <w:t xml:space="preserve">As regards the high costs, the impact assessment for the 2017 CTD review proposal already established that</w:t>
      </w:r>
      <w:r>
        <w:t xml:space="preserve"> </w:t>
      </w:r>
      <w:r>
        <w:t xml:space="preserve">road-only transport is considerably cheaper on medium long distances, while on longer distances,</w:t>
      </w:r>
      <w:r>
        <w:t xml:space="preserve"> </w:t>
      </w:r>
      <w:r>
        <w:t xml:space="preserve">intermodal transport is in most cases cost-competitive. The PWC, KombiConsult (2022) study38 confirmed</w:t>
      </w:r>
      <w:r>
        <w:t xml:space="preserve"> </w:t>
      </w:r>
      <w:r>
        <w:t xml:space="preserve">that, when considering all transport cost components of an intermodal operation, at 600 km all intermodal</w:t>
      </w:r>
      <w:r>
        <w:t xml:space="preserve"> </w:t>
      </w:r>
      <w:r>
        <w:t xml:space="preserve">options are more expensive than similar road-only transport, while at 1000 km most intermodal options</w:t>
      </w:r>
      <w:r>
        <w:t xml:space="preserve"> </w:t>
      </w:r>
      <w:r>
        <w:t xml:space="preserve">become competitive. The main reason for this is high transhipment and transport operation organisation and</w:t>
      </w:r>
      <w:r>
        <w:t xml:space="preserve"> </w:t>
      </w:r>
      <w:r>
        <w:t xml:space="preserve">management costs that derive from complexity of multiparty operation. The shorter the distance of an</w:t>
      </w:r>
      <w:r>
        <w:t xml:space="preserve"> </w:t>
      </w:r>
      <w:r>
        <w:t xml:space="preserve">operation, the bigger the relative share of these costs in the total cost structure. Road-leg costs also make up</w:t>
      </w:r>
      <w:r>
        <w:t xml:space="preserve"> </w:t>
      </w:r>
      <w:r>
        <w:t xml:space="preserve">a considerable part of intermodal transport cost in shorter and medium long operations, in particular as road</w:t>
      </w:r>
      <w:r>
        <w:t xml:space="preserve"> </w:t>
      </w:r>
      <w:r>
        <w:t xml:space="preserve">legs in intermodal transport are often priced not per tkm, but per time to factor in long waiting times for</w:t>
      </w:r>
      <w:r>
        <w:t xml:space="preserve"> </w:t>
      </w:r>
      <w:r>
        <w:t xml:space="preserve">loading/unloading and in terminals (Figure 5).</w:t>
      </w:r>
      <w:r>
        <w:br/>
      </w:r>
      <w:r>
        <w:t xml:space="preserve">These additional costs are inherent to intermodal transport and are the main reason why intermodal transport</w:t>
      </w:r>
      <w:r>
        <w:t xml:space="preserve"> </w:t>
      </w:r>
      <w:r>
        <w:t xml:space="preserve">is not competitive on shorter distances. For example, the price gap with road-only transport on 500 km</w:t>
      </w:r>
      <w:r>
        <w:t xml:space="preserve"> </w:t>
      </w:r>
      <w:r>
        <w:t xml:space="preserve">distance is around 19%. At 600 km, the price difference is around 9% and at 1000 km, the average</w:t>
      </w:r>
      <w:r>
        <w:t xml:space="preserve"> </w:t>
      </w:r>
      <w:r>
        <w:t xml:space="preserve">intermodal rail operation is 20% cheaper than a road-only operation.</w:t>
      </w:r>
    </w:p>
    <w:p>
      <w:pPr>
        <w:pStyle w:val="BodyText"/>
      </w:pPr>
      <w:r>
        <w:t xml:space="preserve">37 During the stakeholder consultation, inclusion of multimodal operations within the scope of the CTD was considered,</w:t>
      </w:r>
      <w:r>
        <w:t xml:space="preserve"> </w:t>
      </w:r>
      <w:r>
        <w:t xml:space="preserve">however this option was discarded, as explained in Annex 7.</w:t>
      </w:r>
      <w:r>
        <w:t xml:space="preserve"> </w:t>
      </w:r>
      <w:r>
        <w:t xml:space="preserve">38 PWC, KombiConsult (2022), op.cit.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Figure 5: Cost components and their share in an average 500 km and 1000km rail-road intermodal operation compared</w:t>
      </w:r>
      <w:r>
        <w:t xml:space="preserve"> </w:t>
      </w:r>
      <w:r>
        <w:t xml:space="preserve">to road-only operation on same distance39</w:t>
      </w:r>
    </w:p>
    <w:p>
      <w:pPr>
        <w:pStyle w:val="BodyText"/>
      </w:pPr>
      <w:r>
        <w:t xml:space="preserve">Source: own calculations based on the PWC, KombiConsult (2022) study models</w:t>
      </w:r>
      <w:r>
        <w:br/>
      </w:r>
      <w:r>
        <w:t xml:space="preserve">The average distance at which intermodal operations become cost competitive with road-only transport</w:t>
      </w:r>
      <w:r>
        <w:t xml:space="preserve"> </w:t>
      </w:r>
      <w:r>
        <w:t xml:space="preserve">without any support have been assessed to be 733 km for rail intermodal, 249 km for IWW intermodal and</w:t>
      </w:r>
      <w:r>
        <w:t xml:space="preserve"> </w:t>
      </w:r>
      <w:r>
        <w:t xml:space="preserve">817 km for SSS intermodal operations40. Broadly, below those average distances, operations are normally</w:t>
      </w:r>
      <w:r>
        <w:t xml:space="preserve"> </w:t>
      </w:r>
      <w:r>
        <w:t xml:space="preserve">not competitive and thus organisers of operations shorter than these “break-even distances” are unlikely to</w:t>
      </w:r>
      <w:r>
        <w:t xml:space="preserve"> </w:t>
      </w:r>
      <w:r>
        <w:t xml:space="preserve">consider intermodal operations as an alternative to road-only transport.</w:t>
      </w:r>
      <w:r>
        <w:br/>
      </w:r>
      <w:r>
        <w:t xml:space="preserve">Due to these inherent costs intermodal transport on short dinstances always remains more expensive than</w:t>
      </w:r>
      <w:r>
        <w:t xml:space="preserve"> </w:t>
      </w:r>
      <w:r>
        <w:t xml:space="preserve">road-only. At the same time its cost-competitivenes in medium-to-long distances is affected by the fact that</w:t>
      </w:r>
      <w:r>
        <w:t xml:space="preserve"> </w:t>
      </w:r>
      <w:r>
        <w:t xml:space="preserve">today’s transport prices do not reflect to the full extent the external costs of different modes. In case external</w:t>
      </w:r>
      <w:r>
        <w:t xml:space="preserve"> </w:t>
      </w:r>
      <w:r>
        <w:t xml:space="preserve">costs would be fully reflected, “break-even distances” would be around 600 km (Figure 6) and the market</w:t>
      </w:r>
      <w:r>
        <w:t xml:space="preserve"> </w:t>
      </w:r>
      <w:r>
        <w:t xml:space="preserve">prices alone would direct shippers towards more sustainable choices. However, the SSMS foresees the</w:t>
      </w:r>
      <w:r>
        <w:t xml:space="preserve"> </w:t>
      </w:r>
      <w:r>
        <w:t xml:space="preserve">internalisation of external costs of transport (except those from infrastructure) at the latest by 2050 by</w:t>
      </w:r>
      <w:r>
        <w:t xml:space="preserve"> </w:t>
      </w:r>
      <w:r>
        <w:t xml:space="preserve">pursuing a comprehensive set of measures41.</w:t>
      </w:r>
      <w:r>
        <w:t xml:space="preserve"> </w:t>
      </w:r>
      <w:r>
        <w:t xml:space="preserve">Meanwhile, there is large untapped potential on the EU transport market to increase the uptake of intermodal</w:t>
      </w:r>
      <w:r>
        <w:t xml:space="preserve"> </w:t>
      </w:r>
      <w:r>
        <w:t xml:space="preserve">transport on medium-long distances. A large part of road-only operations in EU are below the break-even</w:t>
      </w:r>
      <w:r>
        <w:t xml:space="preserve"> </w:t>
      </w:r>
      <w:r>
        <w:t xml:space="preserve">distances established above42. Around 23% of road-only freight transport is between 500 and 999 km and</w:t>
      </w:r>
      <w:r>
        <w:t xml:space="preserve"> </w:t>
      </w:r>
      <w:r>
        <w:t xml:space="preserve">additional 18% between 300-500 km43, which are distances considered interesting for intermodal</w:t>
      </w:r>
      <w:r>
        <w:t xml:space="preserve"> </w:t>
      </w:r>
      <w:r>
        <w:t xml:space="preserve">transport44. A sizable part of those operations could be carried out by intermodal transport if the market</w:t>
      </w:r>
      <w:r>
        <w:t xml:space="preserve"> </w:t>
      </w:r>
      <w:r>
        <w:t xml:space="preserve">conditions, in particular infrastructure availability and price, were right. The main question is how to make</w:t>
      </w:r>
      <w:r>
        <w:t xml:space="preserve"> </w:t>
      </w:r>
      <w:r>
        <w:t xml:space="preserve">operations at shorter distances interesting for transport organisers. Operations above these distances are</w:t>
      </w:r>
      <w:r>
        <w:t xml:space="preserve"> </w:t>
      </w:r>
      <w:r>
        <w:t xml:space="preserve">already cost-competitive with road-only transport, so it can be assumed that those that are still using road</w:t>
      </w:r>
      <w:r>
        <w:t xml:space="preserve"> </w:t>
      </w:r>
      <w:r>
        <w:t xml:space="preserve">do so for reasons other than price competitiveness.</w:t>
      </w:r>
    </w:p>
    <w:p>
      <w:pPr>
        <w:pStyle w:val="BodyText"/>
      </w:pPr>
      <w:r>
        <w:t xml:space="preserve">39 Differences exist, even within the same modal combination depending on the transhipment technologies and loading</w:t>
      </w:r>
      <w:r>
        <w:t xml:space="preserve"> </w:t>
      </w:r>
      <w:r>
        <w:t xml:space="preserve">units used as well as between different parts of the EU. For example, in rail-road transport, the container transport is the</w:t>
      </w:r>
      <w:r>
        <w:t xml:space="preserve"> </w:t>
      </w:r>
      <w:r>
        <w:t xml:space="preserve">most cost competitive segment and the so-called Rolling Road, i.e. accompanied intermodal transport, where full vehicle</w:t>
      </w:r>
      <w:r>
        <w:t xml:space="preserve"> </w:t>
      </w:r>
      <w:r>
        <w:t xml:space="preserve">is transported on a train, is least cost competitive vis-à-vis road-only transport at all distances. PWC, KombiConsult</w:t>
      </w:r>
      <w:r>
        <w:t xml:space="preserve"> </w:t>
      </w:r>
      <w:r>
        <w:t xml:space="preserve">(2022).</w:t>
      </w:r>
      <w:r>
        <w:t xml:space="preserve"> </w:t>
      </w:r>
      <w:r>
        <w:t xml:space="preserve">40 Ricardo et al. support study (2023), op.cit.</w:t>
      </w:r>
      <w:r>
        <w:t xml:space="preserve"> </w:t>
      </w:r>
      <w:r>
        <w:t xml:space="preserve">41 Internalisation of external costs is a process of developing and implementing over time a range of dedicated measures</w:t>
      </w:r>
      <w:r>
        <w:t xml:space="preserve"> </w:t>
      </w:r>
      <w:r>
        <w:t xml:space="preserve">in various sectoral policies. Some measures are already adopted (Eurovignette Directive, the revised EU Emission</w:t>
      </w:r>
      <w:r>
        <w:t xml:space="preserve"> </w:t>
      </w:r>
      <w:r>
        <w:t xml:space="preserve">Trading Scheme), some are negotiated (the Energy Taxation Directive) and others are still under consideration. Some are</w:t>
      </w:r>
      <w:r>
        <w:t xml:space="preserve"> </w:t>
      </w:r>
      <w:r>
        <w:t xml:space="preserve">harmonised at the EU level (the EU Emission Trading Scheme), but most leave room for flexibility at national level (road</w:t>
      </w:r>
      <w:r>
        <w:t xml:space="preserve"> </w:t>
      </w:r>
      <w:r>
        <w:t xml:space="preserve">charges and rail track access charges, vehicle and energy taxation). Most of these measures have transitional and/or phase</w:t>
      </w:r>
      <w:r>
        <w:t xml:space="preserve"> </w:t>
      </w:r>
      <w:r>
        <w:t xml:space="preserve">in periods.</w:t>
      </w:r>
      <w:r>
        <w:t xml:space="preserve"> </w:t>
      </w:r>
      <w:r>
        <w:t xml:space="preserve">42 Ricardo et al. support study (2023), op.cit.</w:t>
      </w:r>
      <w:r>
        <w:t xml:space="preserve"> </w:t>
      </w:r>
      <w:r>
        <w:t xml:space="preserve">43 According to Eurostat, today 60% of road transport is above 300km and 42% above 500km.</w:t>
      </w:r>
      <w:r>
        <w:t xml:space="preserve"> </w:t>
      </w:r>
      <w:r>
        <w:t xml:space="preserve">44 Shorter distances are unlikely to be ever competitive for rail and SSS. For IWW, considerably shorter distances could be</w:t>
      </w:r>
      <w:r>
        <w:t xml:space="preserve"> </w:t>
      </w:r>
      <w:r>
        <w:t xml:space="preserve">interesting, but potential only exists where there are inland waterways.</w:t>
      </w:r>
      <w:r>
        <w:br/>
      </w:r>
      <w:r>
        <w:t xml:space="preserve">Road</w:t>
      </w:r>
      <w:r>
        <w:t xml:space="preserve"> </w:t>
      </w:r>
      <w:r>
        <w:t xml:space="preserve">Road</w:t>
      </w:r>
      <w:r>
        <w:t xml:space="preserve"> </w:t>
      </w:r>
      <w:r>
        <w:t xml:space="preserve">Road</w:t>
      </w:r>
      <w:r>
        <w:t xml:space="preserve"> </w:t>
      </w:r>
      <w:r>
        <w:t xml:space="preserve">Road</w:t>
      </w:r>
      <w:r>
        <w:t xml:space="preserve"> </w:t>
      </w:r>
      <w:r>
        <w:t xml:space="preserve">Transhipment</w:t>
      </w:r>
      <w:r>
        <w:t xml:space="preserve"> </w:t>
      </w:r>
      <w:r>
        <w:t xml:space="preserve">Transhipment</w:t>
      </w:r>
      <w:r>
        <w:t xml:space="preserve"> </w:t>
      </w:r>
      <w:r>
        <w:t xml:space="preserve">Rail</w:t>
      </w:r>
      <w:r>
        <w:t xml:space="preserve"> </w:t>
      </w:r>
      <w:r>
        <w:t xml:space="preserve">Rail</w:t>
      </w:r>
      <w:r>
        <w:t xml:space="preserve"> </w:t>
      </w:r>
      <w:r>
        <w:t xml:space="preserve">Loading unit cost</w:t>
      </w:r>
      <w:r>
        <w:t xml:space="preserve"> </w:t>
      </w:r>
      <w:r>
        <w:t xml:space="preserve">Loading unit cost</w:t>
      </w:r>
      <w:r>
        <w:t xml:space="preserve"> </w:t>
      </w:r>
      <w:r>
        <w:t xml:space="preserve">Chain management</w:t>
      </w:r>
      <w:r>
        <w:t xml:space="preserve"> </w:t>
      </w:r>
      <w:r>
        <w:t xml:space="preserve">Chain management</w:t>
      </w:r>
      <w:r>
        <w:t xml:space="preserve"> </w:t>
      </w:r>
      <w:r>
        <w:t xml:space="preserve">0 €</w:t>
      </w:r>
      <w:r>
        <w:t xml:space="preserve"> </w:t>
      </w:r>
      <w:r>
        <w:t xml:space="preserve">200 €</w:t>
      </w:r>
      <w:r>
        <w:t xml:space="preserve"> </w:t>
      </w:r>
      <w:r>
        <w:t xml:space="preserve">400 €</w:t>
      </w:r>
      <w:r>
        <w:t xml:space="preserve"> </w:t>
      </w:r>
      <w:r>
        <w:t xml:space="preserve">600 €</w:t>
      </w:r>
      <w:r>
        <w:t xml:space="preserve"> </w:t>
      </w:r>
      <w:r>
        <w:t xml:space="preserve">800 €</w:t>
      </w:r>
      <w:r>
        <w:t xml:space="preserve"> </w:t>
      </w:r>
      <w:r>
        <w:t xml:space="preserve">1.000 €</w:t>
      </w:r>
      <w:r>
        <w:t xml:space="preserve"> </w:t>
      </w:r>
      <w:r>
        <w:t xml:space="preserve">Rail-road intermodal 1000km</w:t>
      </w:r>
      <w:r>
        <w:t xml:space="preserve"> </w:t>
      </w:r>
      <w:r>
        <w:t xml:space="preserve">Road-only 1000km</w:t>
      </w:r>
      <w:r>
        <w:t xml:space="preserve"> </w:t>
      </w:r>
      <w:r>
        <w:t xml:space="preserve">Rail-road intermodal 500km</w:t>
      </w:r>
      <w:r>
        <w:t xml:space="preserve"> </w:t>
      </w:r>
      <w:r>
        <w:t xml:space="preserve">Road-only 500 km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Figure 6: Total cost (transport cost and external cost) comparison of selected intermodal transport options at 600 km</w:t>
      </w:r>
      <w:r>
        <w:t xml:space="preserve"> </w:t>
      </w:r>
      <w:r>
        <w:t xml:space="preserve">with road-only transport at same distance</w:t>
      </w:r>
    </w:p>
    <w:p>
      <w:pPr>
        <w:pStyle w:val="BodyText"/>
      </w:pPr>
      <w:r>
        <w:t xml:space="preserve">Source: PWC, KombiConsult (2022)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This section explains the four problem drivers behind the insufficient uptake of intermodal freight transport.</w:t>
      </w:r>
      <w:r>
        <w:t xml:space="preserve"> </w:t>
      </w:r>
      <w:r>
        <w:t xml:space="preserve">Problem driver 1 (Eligibility for support under the CTD is too narrow and complicated) and problem driver</w:t>
      </w:r>
      <w:r>
        <w:t xml:space="preserve"> </w:t>
      </w:r>
      <w:r>
        <w:t xml:space="preserve">3 (The incentives provided by the CTD to enhance the relative competitiveness of intermodal transport are</w:t>
      </w:r>
      <w:r>
        <w:t xml:space="preserve"> </w:t>
      </w:r>
      <w:r>
        <w:t xml:space="preserve">insufficient to reduce the gap with road-only transport), are most critical. At the same time, tackling issues</w:t>
      </w:r>
      <w:r>
        <w:t xml:space="preserve"> </w:t>
      </w:r>
      <w:r>
        <w:t xml:space="preserve">identified in problem driver 2 (Lack of market monitoring/empirical basis for the support) and problem</w:t>
      </w:r>
      <w:r>
        <w:t xml:space="preserve"> </w:t>
      </w:r>
      <w:r>
        <w:t xml:space="preserve">driver 4 (Inefficiencies in scheduling, planning and running intermodal transport) would provide synergies</w:t>
      </w:r>
      <w:r>
        <w:t xml:space="preserve"> </w:t>
      </w:r>
      <w:r>
        <w:t xml:space="preserve">with measures addressing the key drivers.</w:t>
      </w:r>
      <w:r>
        <w:t xml:space="preserve"> </w:t>
      </w:r>
      <w:r>
        <w:t xml:space="preserve">2.2.1.</w:t>
      </w:r>
      <w:r>
        <w:t xml:space="preserve"> </w:t>
      </w:r>
      <w:r>
        <w:t xml:space="preserve">Problem Driver 1: Eligibility for support under the CTD is too narrow and complicated</w:t>
      </w:r>
      <w:r>
        <w:t xml:space="preserve"> </w:t>
      </w:r>
      <w:r>
        <w:t xml:space="preserve">According to the REFIT evaluation45 and the 2017 impact assessment46, the definition of eligible operations</w:t>
      </w:r>
      <w:r>
        <w:t xml:space="preserve"> </w:t>
      </w:r>
      <w:r>
        <w:t xml:space="preserve">in Article 1 of the CTD was found first, to cover only a small part of operations and second, to be imprecise</w:t>
      </w:r>
      <w:r>
        <w:t xml:space="preserve"> </w:t>
      </w:r>
      <w:r>
        <w:t xml:space="preserve">and causing practical problems for enforcement. 26 out of 49 respondents47 to the stakeholders survey</w:t>
      </w:r>
      <w:r>
        <w:t xml:space="preserve"> </w:t>
      </w:r>
      <w:r>
        <w:t xml:space="preserve">agreed or strongly agreed that the current eligibility criteria are too narrow. Only operations between</w:t>
      </w:r>
      <w:r>
        <w:t xml:space="preserve"> </w:t>
      </w:r>
      <w:r>
        <w:t xml:space="preserve">Member States are covered. In addtion, the definition also sets a minimum size limit for eligible loading</w:t>
      </w:r>
      <w:r>
        <w:t xml:space="preserve"> </w:t>
      </w:r>
      <w:r>
        <w:t xml:space="preserve">units, excluding operations with smaller loading units. Finally, different eligibility conditions apply to</w:t>
      </w:r>
      <w:r>
        <w:t xml:space="preserve"> </w:t>
      </w:r>
      <w:r>
        <w:t xml:space="preserve">different modal combinations, which creates both unequal treatment as well as difficulties in case different</w:t>
      </w:r>
      <w:r>
        <w:t xml:space="preserve"> </w:t>
      </w:r>
      <w:r>
        <w:t xml:space="preserve">non-road legs are used in one operation. Overall, more than half of the intermodal operations in the EU,</w:t>
      </w:r>
      <w:r>
        <w:t xml:space="preserve"> </w:t>
      </w:r>
      <w:r>
        <w:t xml:space="preserve">including all domestic intermodal operations, are excluded48.</w:t>
      </w:r>
      <w:r>
        <w:t xml:space="preserve"> </w:t>
      </w:r>
      <w:r>
        <w:t xml:space="preserve">Importantly, the way the eligible operations are defined is not fully aligned with the objectives of the CTD.</w:t>
      </w:r>
      <w:r>
        <w:t xml:space="preserve"> </w:t>
      </w:r>
      <w:r>
        <w:t xml:space="preserve">The eligibility is based on distance limits for different</w:t>
      </w:r>
      <w:r>
        <w:t xml:space="preserve"> </w:t>
      </w:r>
      <w:r>
        <w:t xml:space="preserve">‘legs’</w:t>
      </w:r>
      <w:r>
        <w:t xml:space="preserve"> </w:t>
      </w:r>
      <w:r>
        <w:t xml:space="preserve">to ensure that only operations with short road</w:t>
      </w:r>
      <w:r>
        <w:t xml:space="preserve"> </w:t>
      </w:r>
      <w:r>
        <w:t xml:space="preserve">legs and a major part of operation on the non-road leg would be eligible. In reality, the definition allows</w:t>
      </w:r>
      <w:r>
        <w:t xml:space="preserve"> </w:t>
      </w:r>
      <w:r>
        <w:t xml:space="preserve">operations where road leg(s) in the same operation together are longer than the non-road leg(s) to qualify,</w:t>
      </w:r>
      <w:r>
        <w:t xml:space="preserve"> </w:t>
      </w:r>
      <w:r>
        <w:t xml:space="preserve">as well as operations where the substitution between road and non-road is not possible and thus no modal</w:t>
      </w:r>
      <w:r>
        <w:t xml:space="preserve"> </w:t>
      </w:r>
      <w:r>
        <w:t xml:space="preserve">shift can be promoted. At the same time, a number of short-distance IWW operations are excluded despite</w:t>
      </w:r>
      <w:r>
        <w:t xml:space="preserve"> </w:t>
      </w:r>
      <w:r>
        <w:t xml:space="preserve">having a high potential of reducing road congestion, in particular around large ports. Consequently, 24 out</w:t>
      </w:r>
    </w:p>
    <w:p>
      <w:pPr>
        <w:pStyle w:val="BodyText"/>
      </w:pPr>
      <w:r>
        <w:t xml:space="preserve">45 SWD(2016) 140 final.</w:t>
      </w:r>
      <w:r>
        <w:t xml:space="preserve"> </w:t>
      </w:r>
      <w:r>
        <w:t xml:space="preserve">46 SWD(2017) 362 final.</w:t>
      </w:r>
      <w:r>
        <w:t xml:space="preserve"> </w:t>
      </w:r>
      <w:r>
        <w:t xml:space="preserve">47 20/31 industry respondents, 5/8 national authorities and 1/10 others.</w:t>
      </w:r>
      <w:r>
        <w:t xml:space="preserve"> </w:t>
      </w:r>
      <w:r>
        <w:t xml:space="preserve">48 Updating EU combined transport data, ISL, KombiConsult 2017, https://op.europa.eu/en/publication-detail/-</w:t>
      </w:r>
      <w:r>
        <w:t xml:space="preserve"> </w:t>
      </w:r>
      <w:r>
        <w:t xml:space="preserve">/publication/c5b643b4-9e78-11e7-b92d-01aa75ed71a1/language-en</w:t>
      </w:r>
      <w:r>
        <w:br/>
      </w:r>
      <w:r>
        <w:t xml:space="preserve">- €</w:t>
      </w:r>
      <w:r>
        <w:t xml:space="preserve"> </w:t>
      </w:r>
      <w:r>
        <w:t xml:space="preserve">200 €</w:t>
      </w:r>
      <w:r>
        <w:t xml:space="preserve"> </w:t>
      </w:r>
      <w:r>
        <w:t xml:space="preserve">400 €</w:t>
      </w:r>
      <w:r>
        <w:t xml:space="preserve"> </w:t>
      </w:r>
      <w:r>
        <w:t xml:space="preserve">600 €</w:t>
      </w:r>
      <w:r>
        <w:t xml:space="preserve"> </w:t>
      </w:r>
      <w:r>
        <w:t xml:space="preserve">800 €</w:t>
      </w:r>
      <w:r>
        <w:t xml:space="preserve"> </w:t>
      </w:r>
      <w:r>
        <w:t xml:space="preserve">1.000 €</w:t>
      </w:r>
      <w:r>
        <w:t xml:space="preserve"> </w:t>
      </w:r>
      <w:r>
        <w:t xml:space="preserve">1.200 €</w:t>
      </w:r>
      <w:r>
        <w:t xml:space="preserve"> </w:t>
      </w:r>
      <w:r>
        <w:t xml:space="preserve">1.400 €</w:t>
      </w:r>
      <w:r>
        <w:t xml:space="preserve"> </w:t>
      </w:r>
      <w:r>
        <w:t xml:space="preserve">1.600 €</w:t>
      </w:r>
      <w:r>
        <w:t xml:space="preserve"> </w:t>
      </w:r>
      <w:r>
        <w:t xml:space="preserve">Container</w:t>
      </w:r>
      <w:r>
        <w:t xml:space="preserve"> </w:t>
      </w:r>
      <w:r>
        <w:t xml:space="preserve">craned</w:t>
      </w:r>
      <w:r>
        <w:t xml:space="preserve"> </w:t>
      </w:r>
      <w:r>
        <w:t xml:space="preserve">Semitrailer</w:t>
      </w:r>
      <w:r>
        <w:t xml:space="preserve"> </w:t>
      </w:r>
      <w:r>
        <w:t xml:space="preserve">craned</w:t>
      </w:r>
      <w:r>
        <w:t xml:space="preserve"> </w:t>
      </w:r>
      <w:r>
        <w:t xml:space="preserve">Semitrailer</w:t>
      </w:r>
      <w:r>
        <w:t xml:space="preserve"> </w:t>
      </w:r>
      <w:r>
        <w:t xml:space="preserve">horizontal</w:t>
      </w:r>
      <w:r>
        <w:t xml:space="preserve"> </w:t>
      </w:r>
      <w:r>
        <w:t xml:space="preserve">transhipment</w:t>
      </w:r>
      <w:r>
        <w:t xml:space="preserve"> </w:t>
      </w:r>
      <w:r>
        <w:t xml:space="preserve">Accompanied</w:t>
      </w:r>
      <w:r>
        <w:t xml:space="preserve"> </w:t>
      </w:r>
      <w:r>
        <w:t xml:space="preserve">full vehicle</w:t>
      </w:r>
      <w:r>
        <w:t xml:space="preserve"> </w:t>
      </w:r>
      <w:r>
        <w:t xml:space="preserve">Container</w:t>
      </w:r>
      <w:r>
        <w:t xml:space="preserve"> </w:t>
      </w:r>
      <w:r>
        <w:t xml:space="preserve">Container</w:t>
      </w:r>
      <w:r>
        <w:t xml:space="preserve"> </w:t>
      </w:r>
      <w:r>
        <w:t xml:space="preserve">Semitrailers</w:t>
      </w:r>
      <w:r>
        <w:t xml:space="preserve"> </w:t>
      </w:r>
      <w:r>
        <w:t xml:space="preserve">RoRo</w:t>
      </w:r>
      <w:r>
        <w:t xml:space="preserve"> </w:t>
      </w:r>
      <w:r>
        <w:t xml:space="preserve">RAIL</w:t>
      </w:r>
      <w:r>
        <w:t xml:space="preserve"> </w:t>
      </w:r>
      <w:r>
        <w:t xml:space="preserve">IWW</w:t>
      </w:r>
      <w:r>
        <w:t xml:space="preserve"> </w:t>
      </w:r>
      <w:r>
        <w:t xml:space="preserve">SSS</w:t>
      </w:r>
      <w:r>
        <w:t xml:space="preserve"> </w:t>
      </w:r>
      <w:r>
        <w:t xml:space="preserve">Transport costs</w:t>
      </w:r>
      <w:r>
        <w:t xml:space="preserve"> </w:t>
      </w:r>
      <w:r>
        <w:t xml:space="preserve">External costs</w:t>
      </w:r>
      <w:r>
        <w:t xml:space="preserve"> </w:t>
      </w:r>
      <w:r>
        <w:t xml:space="preserve">Transport costs road-only incl tolls</w:t>
      </w:r>
      <w:r>
        <w:t xml:space="preserve"> </w:t>
      </w:r>
      <w:r>
        <w:t xml:space="preserve">Total road-only incl tolls and external costs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of 49 stakeholders survey respondents49 believed that the current eligibility criteria are not entirely relevant</w:t>
      </w:r>
      <w:r>
        <w:t xml:space="preserve"> </w:t>
      </w:r>
      <w:r>
        <w:t xml:space="preserve">to promote the uptake of intermodal transport and the reduction of CO2 emissions and other externalities.</w:t>
      </w:r>
      <w:r>
        <w:br/>
      </w:r>
      <w:r>
        <w:t xml:space="preserve">Moreover, the language used in the definition has resulted in different transposition and application in</w:t>
      </w:r>
      <w:r>
        <w:t xml:space="preserve"> </w:t>
      </w:r>
      <w:r>
        <w:t xml:space="preserve">Member States bringing along delays due to road checks, fines, court proceedings and infringements over</w:t>
      </w:r>
      <w:r>
        <w:t xml:space="preserve"> </w:t>
      </w:r>
      <w:r>
        <w:t xml:space="preserve">the years. 25 out of 49 survey respondents and 15 out of 29 interviewees50 considered that the current</w:t>
      </w:r>
      <w:r>
        <w:t xml:space="preserve"> </w:t>
      </w:r>
      <w:r>
        <w:t xml:space="preserve">eligibility definition allows different interpretations. For example, the most-contested term in the current</w:t>
      </w:r>
      <w:r>
        <w:t xml:space="preserve"> </w:t>
      </w:r>
      <w:r>
        <w:t xml:space="preserve">definition is the</w:t>
      </w:r>
      <w:r>
        <w:t xml:space="preserve"> </w:t>
      </w:r>
      <w:r>
        <w:t xml:space="preserve">‘nearest suitable terminal’</w:t>
      </w:r>
      <w:r>
        <w:t xml:space="preserve"> </w:t>
      </w:r>
      <w:r>
        <w:t xml:space="preserve">– that defines the eligibility for road legs for rail-road CT (RR)</w:t>
      </w:r>
      <w:r>
        <w:t xml:space="preserve"> </w:t>
      </w:r>
      <w:r>
        <w:t xml:space="preserve">options51. This term has caused considerable problems to industry, as operators are fined for violating road</w:t>
      </w:r>
      <w:r>
        <w:t xml:space="preserve"> </w:t>
      </w:r>
      <w:r>
        <w:t xml:space="preserve">cabotage or weights and dimensions rules, where national provision violate the CTD.</w:t>
      </w:r>
      <w:r>
        <w:br/>
      </w:r>
      <w:r>
        <w:t xml:space="preserve">In addition, two issues relate to proof of eligibility. First, the provisions for proof of eligibility are ineffective</w:t>
      </w:r>
      <w:r>
        <w:t xml:space="preserve"> </w:t>
      </w:r>
      <w:r>
        <w:t xml:space="preserve">and outdated. The information that is required to be presented does not allow establishing that an operation</w:t>
      </w:r>
      <w:r>
        <w:t xml:space="preserve"> </w:t>
      </w:r>
      <w:r>
        <w:t xml:space="preserve">is eligible in all cases, in particular for initial road legs. Secondly, the CTD leaves it to the operators to</w:t>
      </w:r>
      <w:r>
        <w:t xml:space="preserve"> </w:t>
      </w:r>
      <w:r>
        <w:t xml:space="preserve">decide which documents they provide for the proof and that no additional documents can be requested</w:t>
      </w:r>
      <w:r>
        <w:t xml:space="preserve"> </w:t>
      </w:r>
      <w:r>
        <w:t xml:space="preserve">(explicitly clarified in the amendment in 200852), however some Member States nevertheless request</w:t>
      </w:r>
      <w:r>
        <w:t xml:space="preserve"> </w:t>
      </w:r>
      <w:r>
        <w:t xml:space="preserve">specific document formats. This can cause problems, in particular for international operations, because</w:t>
      </w:r>
      <w:r>
        <w:t xml:space="preserve"> </w:t>
      </w:r>
      <w:r>
        <w:t xml:space="preserve">operators would have to prepare different types of transport documents for different parts of the same</w:t>
      </w:r>
      <w:r>
        <w:t xml:space="preserve"> </w:t>
      </w:r>
      <w:r>
        <w:t xml:space="preserve">operation.</w:t>
      </w:r>
      <w:r>
        <w:br/>
      </w:r>
      <w:r>
        <w:t xml:space="preserve">2.2.2. Problem Driver 2: Lack of market monitoring/empirical basis for the support</w:t>
      </w:r>
      <w:r>
        <w:t xml:space="preserve"> </w:t>
      </w:r>
      <w:r>
        <w:t xml:space="preserve">As concluded by the REFIT evaluation, the CTD lacks an effective market monitoring framework that</w:t>
      </w:r>
      <w:r>
        <w:t xml:space="preserve"> </w:t>
      </w:r>
      <w:r>
        <w:t xml:space="preserve">would allow to tailor support measures according to the actual situation. 18 out of 49 survey respondents53</w:t>
      </w:r>
      <w:r>
        <w:t xml:space="preserve"> </w:t>
      </w:r>
      <w:r>
        <w:t xml:space="preserve">agreed or strongly agreed that an empirical basis to determine the adequate level of support is missing.</w:t>
      </w:r>
      <w:r>
        <w:br/>
      </w:r>
      <w:r>
        <w:t xml:space="preserve">The CTD establishes a biennial reporting obligation on the Commission with assistance from the Member</w:t>
      </w:r>
      <w:r>
        <w:t xml:space="preserve"> </w:t>
      </w:r>
      <w:r>
        <w:t xml:space="preserve">States. However, there are major challenges to collating reliable and comparable market data. While a</w:t>
      </w:r>
      <w:r>
        <w:t xml:space="preserve"> </w:t>
      </w:r>
      <w:r>
        <w:t xml:space="preserve">number of primary sources on intermodal transport data are available, they all cover only certain segments</w:t>
      </w:r>
      <w:r>
        <w:t xml:space="preserve"> </w:t>
      </w:r>
      <w:r>
        <w:t xml:space="preserve">of the market and often use different definitions or units of measurement thereby rendering data</w:t>
      </w:r>
      <w:r>
        <w:t xml:space="preserve"> </w:t>
      </w:r>
      <w:r>
        <w:t xml:space="preserve">incomparable. The majority of the Member States do not gather, let alone regularly report, intermodal door-</w:t>
      </w:r>
      <w:r>
        <w:t xml:space="preserve"> </w:t>
      </w:r>
      <w:r>
        <w:t xml:space="preserve">to-door transport data54. Eurostat reports some data per mode, but does not report door-to-door intermodal</w:t>
      </w:r>
      <w:r>
        <w:t xml:space="preserve"> </w:t>
      </w:r>
      <w:r>
        <w:t xml:space="preserve">volumes nor any data on transhipment55.</w:t>
      </w:r>
    </w:p>
    <w:p>
      <w:pPr>
        <w:pStyle w:val="BodyText"/>
      </w:pPr>
      <w:r>
        <w:t xml:space="preserve">49 18/31 industry respondents, 5/8 national administrations 1/10 others.</w:t>
      </w:r>
      <w:r>
        <w:t xml:space="preserve"> </w:t>
      </w:r>
      <w:r>
        <w:t xml:space="preserve">50 20/31 industry, 5/8 national administrations in the survey; 10/21 industry, 2/5 administrations and 3/3 NGOs in</w:t>
      </w:r>
      <w:r>
        <w:t xml:space="preserve"> </w:t>
      </w:r>
      <w:r>
        <w:t xml:space="preserve">interviews</w:t>
      </w:r>
      <w:r>
        <w:t xml:space="preserve"> </w:t>
      </w:r>
      <w:r>
        <w:t xml:space="preserve">51 The Commission posed the question in the interpretation to CJEU in C-305/06, but the Court reached its decision on</w:t>
      </w:r>
      <w:r>
        <w:t xml:space="preserve"> </w:t>
      </w:r>
      <w:r>
        <w:t xml:space="preserve">the case before this question, so no answer was given.</w:t>
      </w:r>
      <w:r>
        <w:br/>
      </w:r>
      <w:r>
        <w:t xml:space="preserve">52 Council Regulation (EC) No 569/2008 of 12 June 2008 amending Regulation No 11 concerning the abolition of</w:t>
      </w:r>
      <w:r>
        <w:t xml:space="preserve"> </w:t>
      </w:r>
      <w:r>
        <w:t xml:space="preserve">discrimination in transport rates and conditions, in implementation of Article 79(3) of the Treaty establishing the</w:t>
      </w:r>
      <w:r>
        <w:t xml:space="preserve"> </w:t>
      </w:r>
      <w:r>
        <w:t xml:space="preserve">European Economic Community, OJ L 161, 20.06.2008.</w:t>
      </w:r>
      <w:r>
        <w:t xml:space="preserve"> </w:t>
      </w:r>
      <w:r>
        <w:t xml:space="preserve">53 14 out of 31 industry respondents and 4/8 authorities.</w:t>
      </w:r>
      <w:r>
        <w:t xml:space="preserve"> </w:t>
      </w:r>
      <w:r>
        <w:t xml:space="preserve">54 Member States primarily gather transport statistics in compliance with EU legislation that cover different modes of</w:t>
      </w:r>
      <w:r>
        <w:t xml:space="preserve"> </w:t>
      </w:r>
      <w:r>
        <w:t xml:space="preserve">transport (i.e. Regulation (EU) 70/2012 (road transport), Regulation (EC) 91/2003 (rail transport, Regulation (EC)</w:t>
      </w:r>
      <w:r>
        <w:t xml:space="preserve"> </w:t>
      </w:r>
      <w:r>
        <w:t xml:space="preserve">1365/2006 (inland waterway transport) and Regulation (EU) 42/2009 (maritime transport). However, none of these</w:t>
      </w:r>
      <w:r>
        <w:t xml:space="preserve"> </w:t>
      </w:r>
      <w:r>
        <w:t xml:space="preserve">regulations includes an obligation to specifically gather data on intermodal operations in the respective modes. 13</w:t>
      </w:r>
      <w:r>
        <w:t xml:space="preserve"> </w:t>
      </w:r>
      <w:r>
        <w:t xml:space="preserve">Member States collect and analyse statistical data on intermodal transport operations, but mostly per mode and not modal</w:t>
      </w:r>
      <w:r>
        <w:t xml:space="preserve"> </w:t>
      </w:r>
      <w:r>
        <w:t xml:space="preserve">combinations.</w:t>
      </w:r>
      <w:r>
        <w:t xml:space="preserve"> </w:t>
      </w:r>
      <w:r>
        <w:t xml:space="preserve">55 Eurostat includes the following information on intermodal transport: (1) unitisation (transport in containers and other</w:t>
      </w:r>
      <w:r>
        <w:t xml:space="preserve"> </w:t>
      </w:r>
      <w:r>
        <w:t xml:space="preserve">intermodal loading units) per mode, in tkm of gross-weight for road, rail and inland waterways and tonnes for SSS (2)</w:t>
      </w:r>
      <w:r>
        <w:t xml:space="preserve"> </w:t>
      </w:r>
      <w:r>
        <w:t xml:space="preserve">long-distance</w:t>
      </w:r>
      <w:r>
        <w:t xml:space="preserve"> </w:t>
      </w:r>
      <w:r>
        <w:t xml:space="preserve">road</w:t>
      </w:r>
      <w:r>
        <w:t xml:space="preserve"> </w:t>
      </w:r>
      <w:r>
        <w:t xml:space="preserve">freight</w:t>
      </w:r>
      <w:r>
        <w:t xml:space="preserve"> </w:t>
      </w:r>
      <w:r>
        <w:t xml:space="preserve">in</w:t>
      </w:r>
      <w:r>
        <w:t xml:space="preserve"> </w:t>
      </w:r>
      <w:r>
        <w:t xml:space="preserve">containers</w:t>
      </w:r>
      <w:r>
        <w:t xml:space="preserve"> </w:t>
      </w:r>
      <w:r>
        <w:t xml:space="preserve">(called</w:t>
      </w:r>
      <w:r>
        <w:t xml:space="preserve"> </w:t>
      </w:r>
      <w:r>
        <w:t xml:space="preserve">modal</w:t>
      </w:r>
      <w:r>
        <w:t xml:space="preserve"> </w:t>
      </w:r>
      <w:r>
        <w:t xml:space="preserve">shift</w:t>
      </w:r>
      <w:r>
        <w:t xml:space="preserve"> </w:t>
      </w:r>
      <w:r>
        <w:t xml:space="preserve">potential).</w:t>
      </w:r>
      <w:r>
        <w:t xml:space="preserve"> </w:t>
      </w:r>
      <w:r>
        <w:t xml:space="preserve">https://ec.europa.eu/eurostat/cache/metadata/en/tran_im_esms.htm Eurostat also provided data on intermodal operations</w:t>
      </w:r>
      <w:r>
        <w:t xml:space="preserve"> </w:t>
      </w:r>
      <w:r>
        <w:t xml:space="preserve">on pilot project basis, providing grants for Member States to gather such data. The pilot was ended because of the lack</w:t>
      </w:r>
      <w:r>
        <w:t xml:space="preserve"> </w:t>
      </w:r>
      <w:r>
        <w:t xml:space="preserve">of interest from Member States.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Due to the lack of comparable data on the market situation of combined transport, the Commission paused</w:t>
      </w:r>
      <w:r>
        <w:t xml:space="preserve"> </w:t>
      </w:r>
      <w:r>
        <w:t xml:space="preserve">systematic reporting in 2002. To fulfil its obligation, the Commission contracted and published in 2014 an</w:t>
      </w:r>
      <w:r>
        <w:t xml:space="preserve"> </w:t>
      </w:r>
      <w:r>
        <w:t xml:space="preserve">extensive market analysis, which was updated in 2017. The lack of data was acknowledged as an issue in</w:t>
      </w:r>
      <w:r>
        <w:t xml:space="preserve"> </w:t>
      </w:r>
      <w:r>
        <w:t xml:space="preserve">the REFIT evaluation and in the subsequent impact assessment56. For both of those reports, dedicated</w:t>
      </w:r>
      <w:r>
        <w:t xml:space="preserve"> </w:t>
      </w:r>
      <w:r>
        <w:t xml:space="preserve">primary data gathering was carried out with the help of consultants.</w:t>
      </w:r>
      <w:r>
        <w:br/>
      </w:r>
      <w:r>
        <w:t xml:space="preserve">Moreover, the CTD does not entail an automatic review mechanism to update the national support schemes</w:t>
      </w:r>
      <w:r>
        <w:t xml:space="preserve"> </w:t>
      </w:r>
      <w:r>
        <w:t xml:space="preserve">in line with market developments and needs. Even if the fiscal incentive shemes under Article 6 are very</w:t>
      </w:r>
      <w:r>
        <w:t xml:space="preserve"> </w:t>
      </w:r>
      <w:r>
        <w:t xml:space="preserve">limited, most Member States have not notified these to the Commission. Those schemes have therefore not</w:t>
      </w:r>
      <w:r>
        <w:t xml:space="preserve"> </w:t>
      </w:r>
      <w:r>
        <w:t xml:space="preserve">been assessed by the Commission regarding their compliance with State aid rules and do not necessarily</w:t>
      </w:r>
      <w:r>
        <w:t xml:space="preserve"> </w:t>
      </w:r>
      <w:r>
        <w:t xml:space="preserve">have a time limit. Other national support schemes beyond the scope of the CTD must have been notified to</w:t>
      </w:r>
      <w:r>
        <w:t xml:space="preserve"> </w:t>
      </w:r>
      <w:r>
        <w:t xml:space="preserve">the Commission and thus must have a time-limit.</w:t>
      </w:r>
      <w:r>
        <w:br/>
      </w:r>
      <w:r>
        <w:t xml:space="preserve">In the absence of adequate market analysis, notification of State support to the Commission and automatic</w:t>
      </w:r>
      <w:r>
        <w:t xml:space="preserve"> </w:t>
      </w:r>
      <w:r>
        <w:t xml:space="preserve">review for all the support schemes, it is not possible to assess if the support schemes are effective, efficient</w:t>
      </w:r>
      <w:r>
        <w:t xml:space="preserve"> </w:t>
      </w:r>
      <w:r>
        <w:t xml:space="preserve">and compatible with the internal market. In such a situation, the incentives provided to intermodal transport</w:t>
      </w:r>
      <w:r>
        <w:t xml:space="preserve"> </w:t>
      </w:r>
      <w:r>
        <w:t xml:space="preserve">are uneven, where some Member States can end up providing too little or too much support.</w:t>
      </w:r>
      <w:r>
        <w:br/>
      </w:r>
      <w:r>
        <w:t xml:space="preserve">2.2.3. Problem Driver 3: The incentives provided by the CTD to enhance the relative</w:t>
      </w:r>
      <w:r>
        <w:t xml:space="preserve"> </w:t>
      </w:r>
      <w:r>
        <w:t xml:space="preserve">competitiveness of intermodal transport are insufficient to reduce the gap with road-only</w:t>
      </w:r>
      <w:r>
        <w:t xml:space="preserve"> </w:t>
      </w:r>
      <w:r>
        <w:t xml:space="preserve">transport</w:t>
      </w:r>
      <w:r>
        <w:br/>
      </w:r>
      <w:r>
        <w:t xml:space="preserve">The modus operandi of the CTD is to make intermodal freight transport more competitive by providing</w:t>
      </w:r>
      <w:r>
        <w:t xml:space="preserve"> </w:t>
      </w:r>
      <w:r>
        <w:t xml:space="preserve">economic support and regulatory measures to compensate for market imperfections. However, according</w:t>
      </w:r>
      <w:r>
        <w:t xml:space="preserve"> </w:t>
      </w:r>
      <w:r>
        <w:t xml:space="preserve">to the REFIT evaluation, the support measures established by the CTD to enhance the relative</w:t>
      </w:r>
      <w:r>
        <w:t xml:space="preserve"> </w:t>
      </w:r>
      <w:r>
        <w:t xml:space="preserve">competitiveness of combined transport are very limited. Indeed, 70 out of the 100 responses to the OPC</w:t>
      </w:r>
      <w:r>
        <w:t xml:space="preserve"> </w:t>
      </w:r>
      <w:r>
        <w:t xml:space="preserve">agree that this is an issue57. The recent European Court of Auditors special report on intermodal transport</w:t>
      </w:r>
      <w:r>
        <w:t xml:space="preserve"> </w:t>
      </w:r>
      <w:r>
        <w:t xml:space="preserve">also concluded that support on intermodal transport was not sufficiently effective as there was still no level</w:t>
      </w:r>
      <w:r>
        <w:t xml:space="preserve"> </w:t>
      </w:r>
      <w:r>
        <w:t xml:space="preserve">playing field for intermodal freight transport in the EU due to regulatory and infrastructure barriers58.</w:t>
      </w:r>
      <w:r>
        <w:t xml:space="preserve"> </w:t>
      </w:r>
      <w:r>
        <w:t xml:space="preserve">The limited effectiveness of the support measures provided in the CTD derives from four issues. First, the</w:t>
      </w:r>
      <w:r>
        <w:t xml:space="preserve"> </w:t>
      </w:r>
      <w:r>
        <w:t xml:space="preserve">economic support is provided only to road vehicles in RR. Second, it applies to a very limited share of</w:t>
      </w:r>
      <w:r>
        <w:t xml:space="preserve"> </w:t>
      </w:r>
      <w:r>
        <w:t xml:space="preserve">operations covering only road vehicles transported on rail (rolling road operations) and road vehicles used</w:t>
      </w:r>
      <w:r>
        <w:t xml:space="preserve"> </w:t>
      </w:r>
      <w:r>
        <w:t xml:space="preserve">exclusively for combined transport operations. These types of operations cover around 5-6% of intermodal</w:t>
      </w:r>
      <w:r>
        <w:t xml:space="preserve"> </w:t>
      </w:r>
      <w:r>
        <w:t xml:space="preserve">operations in the EU. Transport of containers is not covered. Third, the level of economic support, even for</w:t>
      </w:r>
      <w:r>
        <w:t xml:space="preserve"> </w:t>
      </w:r>
      <w:r>
        <w:t xml:space="preserve">this limited range of operations, is not sufficient to induce a change in the choice for the transport mode.</w:t>
      </w:r>
      <w:r>
        <w:t xml:space="preserve"> </w:t>
      </w:r>
      <w:r>
        <w:t xml:space="preserve">The CTD does not specify the level of support and the 2014 market analysis59 found that the reimbursements</w:t>
      </w:r>
      <w:r>
        <w:t xml:space="preserve"> </w:t>
      </w:r>
      <w:r>
        <w:t xml:space="preserve">of vehicle taxes translate to support of EUR 1 to EUR 50 per operation, constituting less than 1% of total</w:t>
      </w:r>
      <w:r>
        <w:t xml:space="preserve"> </w:t>
      </w:r>
      <w:r>
        <w:t xml:space="preserve">costs. Furthermore, the support is provided to road hauliers (i.e. transport operators) and in most cases the</w:t>
      </w:r>
      <w:r>
        <w:t xml:space="preserve"> </w:t>
      </w:r>
      <w:r>
        <w:t xml:space="preserve">benefit is not passed through to transport organisers who make the decisions on the choice of transport</w:t>
      </w:r>
      <w:r>
        <w:t xml:space="preserve"> </w:t>
      </w:r>
      <w:r>
        <w:t xml:space="preserve">mode. According to the stakeholders survey, 19 out of 49 respondents60 agreed or strongly agreed with the</w:t>
      </w:r>
      <w:r>
        <w:t xml:space="preserve"> </w:t>
      </w:r>
      <w:r>
        <w:t xml:space="preserve">low, ineffective and inefficient support measures being an issue.</w:t>
      </w:r>
      <w:r>
        <w:t xml:space="preserve"> </w:t>
      </w:r>
      <w:r>
        <w:t xml:space="preserve">Fourth, national support is very heterogeneous. Given the limited scope of the CTD, several Member States</w:t>
      </w:r>
      <w:r>
        <w:t xml:space="preserve"> </w:t>
      </w:r>
      <w:r>
        <w:t xml:space="preserve">have dedicated support for intermodal transport beyond the provisions of the CTD, notified to the</w:t>
      </w:r>
    </w:p>
    <w:p>
      <w:pPr>
        <w:pStyle w:val="BodyText"/>
      </w:pPr>
      <w:r>
        <w:t xml:space="preserve">56 SWD(2017) 362 final.</w:t>
      </w:r>
      <w:r>
        <w:t xml:space="preserve"> </w:t>
      </w:r>
      <w:r>
        <w:t xml:space="preserve">57 This included 11 public authorities (CZ, 2 public authorities from BE, AT, 3 public authorities from FR, NO, IT, DE,</w:t>
      </w:r>
      <w:r>
        <w:t xml:space="preserve"> </w:t>
      </w:r>
      <w:r>
        <w:t xml:space="preserve">SE), 49 industry stakeholders, four citizens and six responses under the category ‘others’.</w:t>
      </w:r>
      <w:r>
        <w:t xml:space="preserve"> </w:t>
      </w:r>
      <w:r>
        <w:t xml:space="preserve">58 Intermodal Freight Transport, EU still far from getting freight off the road, European Court of Auditors 2023,</w:t>
      </w:r>
      <w:r>
        <w:t xml:space="preserve"> </w:t>
      </w:r>
      <w:r>
        <w:t xml:space="preserve">https://www.eca.europa.eu/Lists/ECADocuments/SR-2023-08/SR-2023-08_EN.pdf</w:t>
      </w:r>
      <w:r>
        <w:t xml:space="preserve"> </w:t>
      </w:r>
      <w:r>
        <w:t xml:space="preserve">59 Analysis of the EU combined transport, KombiConsult 2014, https://op.europa.eu/en/publication-detail/-</w:t>
      </w:r>
      <w:r>
        <w:t xml:space="preserve"> </w:t>
      </w:r>
      <w:r>
        <w:t xml:space="preserve">/publication/675724ad-969f-11e7-b92d-01aa75ed71a1</w:t>
      </w:r>
      <w:r>
        <w:br/>
      </w:r>
      <w:r>
        <w:t xml:space="preserve">60 Including four public authorities (MT, PL, HR, LV), 13 industry stakeholders and two responses under the category</w:t>
      </w:r>
      <w:r>
        <w:t xml:space="preserve"> </w:t>
      </w:r>
      <w:r>
        <w:t xml:space="preserve">‘others’.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Commission under respective State aid rules. While in all State aid to intermodal transport operations</w:t>
      </w:r>
      <w:r>
        <w:t xml:space="preserve"> </w:t>
      </w:r>
      <w:r>
        <w:t xml:space="preserve">approved by the Commission the methodology to quantify the aid amount is the same61, the support</w:t>
      </w:r>
      <w:r>
        <w:t xml:space="preserve"> </w:t>
      </w:r>
      <w:r>
        <w:t xml:space="preserve">schemes still vary in terms of scope, level, eligibility and beneficiaries. For instance, some cover specific</w:t>
      </w:r>
      <w:r>
        <w:t xml:space="preserve"> </w:t>
      </w:r>
      <w:r>
        <w:t xml:space="preserve">types of operations on one mode (e.g. start-up operations in IWW in Netherlands) or specific routes on one</w:t>
      </w:r>
      <w:r>
        <w:t xml:space="preserve"> </w:t>
      </w:r>
      <w:r>
        <w:t xml:space="preserve">mode (e.g. support for SSS in Spain), others provide wide support to shippers per loading unit transported</w:t>
      </w:r>
      <w:r>
        <w:t xml:space="preserve"> </w:t>
      </w:r>
      <w:r>
        <w:t xml:space="preserve">on RR (e.g. Croatia), support RR in the form of lump sums per operation or support transhipment costs (e.g. </w:t>
      </w:r>
      <w:r>
        <w:t xml:space="preserve"> </w:t>
      </w:r>
      <w:r>
        <w:t xml:space="preserve">Luxembourg). While these differences between the type and level of support across Member States may be</w:t>
      </w:r>
      <w:r>
        <w:t xml:space="preserve"> </w:t>
      </w:r>
      <w:r>
        <w:t xml:space="preserve">justified by national market situations, they increase the administrative burden for operators and create</w:t>
      </w:r>
      <w:r>
        <w:t xml:space="preserve"> </w:t>
      </w:r>
      <w:r>
        <w:t xml:space="preserve">frictions in the internal market. 18 out of 49 respondents62 to the survey considered different measures in</w:t>
      </w:r>
      <w:r>
        <w:t xml:space="preserve"> </w:t>
      </w:r>
      <w:r>
        <w:t xml:space="preserve">different Member States as a problem.</w:t>
      </w:r>
      <w:r>
        <w:br/>
      </w:r>
      <w:r>
        <w:t xml:space="preserve">2.2.4. Problem Driver 4: Inefficiencies in scheduling, planning and running intermodal transport</w:t>
      </w:r>
      <w:r>
        <w:t xml:space="preserve"> </w:t>
      </w:r>
      <w:r>
        <w:t xml:space="preserve">By definition, intermodal transport involves multiple parties and entails complex arrangements, which in</w:t>
      </w:r>
      <w:r>
        <w:t xml:space="preserve"> </w:t>
      </w:r>
      <w:r>
        <w:t xml:space="preserve">turn increase the costs of organising and carrying out an operation. The complexity of arrangements is</w:t>
      </w:r>
      <w:r>
        <w:t xml:space="preserve"> </w:t>
      </w:r>
      <w:r>
        <w:t xml:space="preserve">further aggravated by different habits and systems used in the different transport modes, as well as lack of</w:t>
      </w:r>
      <w:r>
        <w:t xml:space="preserve"> </w:t>
      </w:r>
      <w:r>
        <w:t xml:space="preserve">transparency and cooperation between the parties involved. While logistics companies and freight</w:t>
      </w:r>
      <w:r>
        <w:t xml:space="preserve"> </w:t>
      </w:r>
      <w:r>
        <w:t xml:space="preserve">forwarders are specialised in solving these issues for shippers, such inherent complexities of intermodal</w:t>
      </w:r>
      <w:r>
        <w:t xml:space="preserve"> </w:t>
      </w:r>
      <w:r>
        <w:t xml:space="preserve">transport operations, as far as they are not alleviated, still contribute to aggravating the problem.</w:t>
      </w:r>
      <w:r>
        <w:t xml:space="preserve"> </w:t>
      </w:r>
      <w:r>
        <w:t xml:space="preserve">Three main issues regarding inefficiencies have been identified that are not dealt with horizontally or</w:t>
      </w:r>
      <w:r>
        <w:t xml:space="preserve"> </w:t>
      </w:r>
      <w:r>
        <w:t xml:space="preserve">homogeneously under different sectoral legislation:</w:t>
      </w:r>
      <w:r>
        <w:br/>
      </w:r>
      <w:r>
        <w:t xml:space="preserve">1. Data interchange: The SSMS identifies the need to improve multimodal data interchange and smart</w:t>
      </w:r>
      <w:r>
        <w:t xml:space="preserve"> </w:t>
      </w:r>
      <w:r>
        <w:t xml:space="preserve">traffic management to simplify the complex regulatory, administrative and business arrangements.</w:t>
      </w:r>
      <w:r>
        <w:t xml:space="preserve"> </w:t>
      </w:r>
      <w:r>
        <w:t xml:space="preserve">Operators use different intermodal and unimodal planning and execution tools, with a wide variety of</w:t>
      </w:r>
      <w:r>
        <w:t xml:space="preserve"> </w:t>
      </w:r>
      <w:r>
        <w:t xml:space="preserve">interfaces and frequently, each with its own dataset requirements and semantics. 13 out of 49 respondents63</w:t>
      </w:r>
      <w:r>
        <w:t xml:space="preserve"> </w:t>
      </w:r>
      <w:r>
        <w:t xml:space="preserve">to the stakeholders’ survey agreed that there is lack of interoperability, and the fragmentation of the different</w:t>
      </w:r>
      <w:r>
        <w:t xml:space="preserve"> </w:t>
      </w:r>
      <w:r>
        <w:t xml:space="preserve">data sharing systems is an important limiting issue. Existing data sharing applications include information</w:t>
      </w:r>
      <w:r>
        <w:t xml:space="preserve"> </w:t>
      </w:r>
      <w:r>
        <w:t xml:space="preserve">on orders, business documents, planning data and support of protocols and safety regulations. The lack of</w:t>
      </w:r>
      <w:r>
        <w:t xml:space="preserve"> </w:t>
      </w:r>
      <w:r>
        <w:t xml:space="preserve">communication between different systems has a significant impact not only during the planning phase, but</w:t>
      </w:r>
      <w:r>
        <w:t xml:space="preserve"> </w:t>
      </w:r>
      <w:r>
        <w:t xml:space="preserve">also during the operation phase. For example, issues related to the insufficient tracking and tracing of</w:t>
      </w:r>
      <w:r>
        <w:t xml:space="preserve"> </w:t>
      </w:r>
      <w:r>
        <w:t xml:space="preserve">shipments prevent operators from monitoring the operation and responding adequately to delays64. 12 out</w:t>
      </w:r>
      <w:r>
        <w:t xml:space="preserve"> </w:t>
      </w:r>
      <w:r>
        <w:t xml:space="preserve">of the 49 respondents65 to the stakeholders’ survey, including all shippers/organisers consulted, identified</w:t>
      </w:r>
      <w:r>
        <w:t xml:space="preserve"> </w:t>
      </w:r>
      <w:r>
        <w:t xml:space="preserve">this as a factor that hinders the uptake of intermodal transport.</w:t>
      </w:r>
      <w:r>
        <w:t xml:space="preserve"> </w:t>
      </w:r>
      <w:r>
        <w:t xml:space="preserve">2. Transparency: Lack of transparency about terminal operations, their facilities and services, is an</w:t>
      </w:r>
      <w:r>
        <w:t xml:space="preserve"> </w:t>
      </w:r>
      <w:r>
        <w:t xml:space="preserve">important problem not dealt with sufficiently in mode specific legislation. Lack of information about</w:t>
      </w:r>
      <w:r>
        <w:t xml:space="preserve"> </w:t>
      </w:r>
      <w:r>
        <w:t xml:space="preserve">terminals was identified as a problem in the PWC, KombiConsult study66 as well as by the recent European</w:t>
      </w:r>
      <w:r>
        <w:t xml:space="preserve"> </w:t>
      </w:r>
      <w:r>
        <w:t xml:space="preserve">Court of Auditors report67. There is not enough information available to transport organisers, in particular</w:t>
      </w:r>
      <w:r>
        <w:t xml:space="preserve"> </w:t>
      </w:r>
      <w:r>
        <w:t xml:space="preserve">to new entrants, to accurately compare the services and facilities of terminals. For rail, rules are set in</w:t>
      </w:r>
      <w:r>
        <w:t xml:space="preserve"> </w:t>
      </w:r>
      <w:r>
        <w:t xml:space="preserve">Regulation 2017/2177 on access to service facilities, but its application has only partially solved the issue.</w:t>
      </w:r>
      <w:r>
        <w:t xml:space="preserve"> </w:t>
      </w:r>
      <w:r>
        <w:t xml:space="preserve">No transparency requirements for information to be made publicly available exist for inland waterways and</w:t>
      </w:r>
    </w:p>
    <w:p>
      <w:pPr>
        <w:pStyle w:val="BodyText"/>
      </w:pPr>
      <w:r>
        <w:t xml:space="preserve">61 It is calculated as a percentage of the avoided external costs. When the aid intensity stays below 50% of the avoided</w:t>
      </w:r>
      <w:r>
        <w:t xml:space="preserve"> </w:t>
      </w:r>
      <w:r>
        <w:t xml:space="preserve">external costs and 30% of the total cost of the subsidised transport mode, the Commission considers that there is a</w:t>
      </w:r>
      <w:r>
        <w:t xml:space="preserve"> </w:t>
      </w:r>
      <w:r>
        <w:t xml:space="preserve">presumption of necessity and proportionality of the aid. For aid above these thresholds, Member States must demonstrate</w:t>
      </w:r>
      <w:r>
        <w:t xml:space="preserve"> </w:t>
      </w:r>
      <w:r>
        <w:t xml:space="preserve">the need and proportionality of the measures in question.</w:t>
      </w:r>
      <w:r>
        <w:br/>
      </w:r>
      <w:r>
        <w:t xml:space="preserve">62 13 out of 31 industry stakeholders and 5/8 authorities.</w:t>
      </w:r>
      <w:r>
        <w:t xml:space="preserve"> </w:t>
      </w:r>
      <w:r>
        <w:t xml:space="preserve">63 Including three public authorities (DK, LV, PL), seven industry stakeholders, and three responses under ‘others’ category.</w:t>
      </w:r>
      <w:r>
        <w:t xml:space="preserve"> </w:t>
      </w:r>
      <w:r>
        <w:t xml:space="preserve">64 Gathering additional data on EU combined transport, TRT 2017, https://op.europa.eu/en/publication-detail/-</w:t>
      </w:r>
      <w:r>
        <w:t xml:space="preserve"> </w:t>
      </w:r>
      <w:r>
        <w:t xml:space="preserve">/publication/e58e6253-fc01-11e7-b8f5-01aa75ed71a1</w:t>
      </w:r>
      <w:r>
        <w:br/>
      </w:r>
      <w:r>
        <w:t xml:space="preserve">65 Including two public authorities (DK, PL), eight industry stakeholders and two responses under ‘others’ category.</w:t>
      </w:r>
      <w:r>
        <w:t xml:space="preserve"> </w:t>
      </w:r>
      <w:r>
        <w:t xml:space="preserve">66 PWC, KombiConsult (2022), op.cit.</w:t>
      </w:r>
      <w:r>
        <w:t xml:space="preserve"> </w:t>
      </w:r>
      <w:r>
        <w:t xml:space="preserve">67 European Court of Auditors (2023), op. cit.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short sea shipping terminals. This results in inability to make initial assessments if desired intermodal</w:t>
      </w:r>
      <w:r>
        <w:t xml:space="preserve"> </w:t>
      </w:r>
      <w:r>
        <w:t xml:space="preserve">operations would even be possible, without entering a dialogue with all terminals.</w:t>
      </w:r>
      <w:r>
        <w:br/>
      </w:r>
      <w:r>
        <w:t xml:space="preserve">3. Operational inefficiencies in terminals. Intermodal transport requires transhipment between the modes</w:t>
      </w:r>
      <w:r>
        <w:t xml:space="preserve"> </w:t>
      </w:r>
      <w:r>
        <w:t xml:space="preserve">in a transhipment terminal. Low operational efficiency of terminals can considerably increase the handling</w:t>
      </w:r>
      <w:r>
        <w:t xml:space="preserve"> </w:t>
      </w:r>
      <w:r>
        <w:t xml:space="preserve">time and delays due to issues such as yard congestion, the need for shunting due to short handling tracks,</w:t>
      </w:r>
      <w:r>
        <w:t xml:space="preserve"> </w:t>
      </w:r>
      <w:r>
        <w:t xml:space="preserve">delays in transhipment due to insufficient transhipment technology or staff, lack of suitable transhipment</w:t>
      </w:r>
      <w:r>
        <w:t xml:space="preserve"> </w:t>
      </w:r>
      <w:r>
        <w:t xml:space="preserve">equipment, among others. The investments by terminals into improving their operational efficiency are</w:t>
      </w:r>
      <w:r>
        <w:t xml:space="preserve"> </w:t>
      </w:r>
      <w:r>
        <w:t xml:space="preserve">unequal and sometimes insufficient, in particular in areas with less competition between the terminals. The</w:t>
      </w:r>
      <w:r>
        <w:t xml:space="preserve"> </w:t>
      </w:r>
      <w:r>
        <w:t xml:space="preserve">poor quality of service in terminals in the vicinity was considered by 37 of 100 respondents68 in the OPC as</w:t>
      </w:r>
      <w:r>
        <w:t xml:space="preserve"> </w:t>
      </w:r>
      <w:r>
        <w:t xml:space="preserve">a factor negatively affecting the competitiveness of intermodal transport. While the proposed revision of the</w:t>
      </w:r>
      <w:r>
        <w:t xml:space="preserve"> </w:t>
      </w:r>
      <w:r>
        <w:t xml:space="preserve">TEN-T Regulation imposes some requirements on TEN-T RR terminals (such as to be able to tranship all</w:t>
      </w:r>
      <w:r>
        <w:t xml:space="preserve"> </w:t>
      </w:r>
      <w:r>
        <w:t xml:space="preserve">types of loading units for vertical transhipment terminals and handle 740 m long trains without</w:t>
      </w:r>
      <w:r>
        <w:t xml:space="preserve"> </w:t>
      </w:r>
      <w:r>
        <w:t xml:space="preserve">manipulation), no other motivation exists for terminal upgrades in areas where there is no or limited</w:t>
      </w:r>
      <w:r>
        <w:t xml:space="preserve"> </w:t>
      </w:r>
      <w:r>
        <w:t xml:space="preserve">competition.</w:t>
      </w:r>
      <w:r>
        <w:br/>
      </w: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According to the 2022 Strategic Foresight Report69, coupled with population growth and higher living standards,</w:t>
      </w:r>
      <w:r>
        <w:t xml:space="preserve"> </w:t>
      </w:r>
      <w:r>
        <w:t xml:space="preserve">the demand for transport will continue to grow. In the baseline scenario, EU road freight transport is projected to</w:t>
      </w:r>
      <w:r>
        <w:t xml:space="preserve"> </w:t>
      </w:r>
      <w:r>
        <w:t xml:space="preserve">grow by 49% by 2050, notwithstanding efforts to shift more traffic to other modes such as rail or waterborne.</w:t>
      </w:r>
      <w:r>
        <w:t xml:space="preserve"> </w:t>
      </w:r>
      <w:r>
        <w:t xml:space="preserve">However, as the Strategic Foresight Report identifies synergies between digital and green transitions, digitalisation</w:t>
      </w:r>
      <w:r>
        <w:t xml:space="preserve"> </w:t>
      </w:r>
      <w:r>
        <w:t xml:space="preserve">and artificial intelligence is also expected to boost the emergence of more efficient multimodal mobility solutions.</w:t>
      </w:r>
      <w:r>
        <w:t xml:space="preserve"> </w:t>
      </w:r>
      <w:r>
        <w:t xml:space="preserve">This would also benefit intermodal freight transport and developments in this direction have already started, e.g. </w:t>
      </w:r>
      <w:r>
        <w:t xml:space="preserve"> </w:t>
      </w:r>
      <w:r>
        <w:t xml:space="preserve">with the implementation of the eFTI Regulation.</w:t>
      </w:r>
      <w:r>
        <w:t xml:space="preserve"> </w:t>
      </w:r>
      <w:r>
        <w:t xml:space="preserve">However, without further EU level action, the uptake of intermodal transport options for freight operations is likely</w:t>
      </w:r>
      <w:r>
        <w:t xml:space="preserve"> </w:t>
      </w:r>
      <w:r>
        <w:t xml:space="preserve">to remain limited in the short to medium term. With no further changes to the CTD, only a limited share of the</w:t>
      </w:r>
      <w:r>
        <w:t xml:space="preserve"> </w:t>
      </w:r>
      <w:r>
        <w:t xml:space="preserve">market would continue to have access to existing support which is needed to compensate for the lack of level</w:t>
      </w:r>
      <w:r>
        <w:t xml:space="preserve"> </w:t>
      </w:r>
      <w:r>
        <w:t xml:space="preserve">playing field between the modes. Inconsistent interpretation and implementation of the CTD by Member States is</w:t>
      </w:r>
      <w:r>
        <w:t xml:space="preserve"> </w:t>
      </w:r>
      <w:r>
        <w:t xml:space="preserve">expected to continue creating legal uncertainties. Even for eligible operations, the level of support is expected to</w:t>
      </w:r>
      <w:r>
        <w:t xml:space="preserve"> </w:t>
      </w:r>
      <w:r>
        <w:t xml:space="preserve">remain insufficient to incentivise the shift from road-only transport to intermodal transport options. With no</w:t>
      </w:r>
      <w:r>
        <w:t xml:space="preserve"> </w:t>
      </w:r>
      <w:r>
        <w:t xml:space="preserve">changes to the eligibility (i.e. the definition), the support would continue to be less effective and limited to less</w:t>
      </w:r>
      <w:r>
        <w:t xml:space="preserve"> </w:t>
      </w:r>
      <w:r>
        <w:t xml:space="preserve">than half of all the intermodal operations in the EU.</w:t>
      </w:r>
      <w:r>
        <w:t xml:space="preserve"> </w:t>
      </w:r>
      <w:r>
        <w:t xml:space="preserve">While some identified inefficiencies in intermodal transport will be addressed, either by way of other EU legislation</w:t>
      </w:r>
      <w:r>
        <w:t xml:space="preserve"> </w:t>
      </w:r>
      <w:r>
        <w:t xml:space="preserve">or market developments, the cost of intermodal transport would not go down to the level that would make most</w:t>
      </w:r>
      <w:r>
        <w:t xml:space="preserve"> </w:t>
      </w:r>
      <w:r>
        <w:t xml:space="preserve">medium-long operations competitive. Other external factors affecting the transport market can have further</w:t>
      </w:r>
      <w:r>
        <w:t xml:space="preserve"> </w:t>
      </w:r>
      <w:r>
        <w:t xml:space="preserve">negative impact on competitiveness. For example, the current energy crisis has, due to high electricity costs,</w:t>
      </w:r>
      <w:r>
        <w:t xml:space="preserve"> </w:t>
      </w:r>
      <w:r>
        <w:t xml:space="preserve">increased the price gap between road-only and intermodal transport70. Thus, the need for the CTD, as an</w:t>
      </w:r>
      <w:r>
        <w:t xml:space="preserve"> </w:t>
      </w:r>
      <w:r>
        <w:t xml:space="preserve">instrument to support the competitiveness of intermodal transport, remains, while the appropriateness of the</w:t>
      </w:r>
      <w:r>
        <w:t xml:space="preserve"> </w:t>
      </w:r>
      <w:r>
        <w:t xml:space="preserve">level and type of support needs to be continuously assessed vis-à-vis market developments.</w:t>
      </w:r>
      <w:r>
        <w:t xml:space="preserve"> </w:t>
      </w:r>
      <w:r>
        <w:t xml:space="preserve">While there have been discussions with Eurostat to improve the reporting of intermodal transport data, no</w:t>
      </w:r>
      <w:r>
        <w:t xml:space="preserve"> </w:t>
      </w:r>
      <w:r>
        <w:t xml:space="preserve">revision of relevant Eurostat regulations is currently planned. The information on market conditions can only be</w:t>
      </w:r>
      <w:r>
        <w:t xml:space="preserve"> </w:t>
      </w:r>
      <w:r>
        <w:t xml:space="preserve">gathered by dedicated studies. Some inefficiencies might be reduced due to unilateral steps by private parties, in</w:t>
      </w:r>
      <w:r>
        <w:t xml:space="preserve"> </w:t>
      </w:r>
      <w:r>
        <w:t xml:space="preserve">particular on transparency. Similarly, private third-party development of planning tools or sector-wide voluntary</w:t>
      </w:r>
      <w:r>
        <w:t xml:space="preserve"> </w:t>
      </w:r>
      <w:r>
        <w:t xml:space="preserve">agreements on data interoperability are possible, albeit unlikely, in particular between different modes.</w:t>
      </w:r>
    </w:p>
    <w:p>
      <w:pPr>
        <w:pStyle w:val="BodyText"/>
      </w:pPr>
      <w:r>
        <w:t xml:space="preserve">68 Five public authorities (2 public authorities from BE, AT, FR, IT), 25 industry stakeholders, four EU citizens and three responses under ‘others’ category.</w:t>
      </w:r>
      <w:r>
        <w:t xml:space="preserve"> </w:t>
      </w:r>
      <w:r>
        <w:t xml:space="preserve">69 COM(2022) 289 final.</w:t>
      </w:r>
      <w:r>
        <w:t xml:space="preserve"> </w:t>
      </w:r>
      <w:r>
        <w:t xml:space="preserve">70 UIRR/UIP joint statement, https://www.uirr.com/en/media-centre/press-releases-and-position-</w:t>
      </w:r>
      <w:r>
        <w:t xml:space="preserve"> </w:t>
      </w:r>
      <w:r>
        <w:t xml:space="preserve">papers/2022/mediacentre/2370-joint-erfa-uip-uirr-statement-on-energy-price-increases.html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Nevertheless, without EU level action, it will not be possible to ensure a common level of interoperability and</w:t>
      </w:r>
      <w:r>
        <w:t xml:space="preserve"> </w:t>
      </w:r>
      <w:r>
        <w:t xml:space="preserve">transparency across the EU.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Title VI (Articles 90-100) of the Treaty on the Functioning of the EU71 (TFEU) establishes the EU’s prerogative to</w:t>
      </w:r>
      <w:r>
        <w:t xml:space="preserve"> </w:t>
      </w:r>
      <w:r>
        <w:t xml:space="preserve">make provisions for the Common Transport Policy. Article 91(1)(c) TFEU provides that the EU has competence in</w:t>
      </w:r>
      <w:r>
        <w:t xml:space="preserve"> </w:t>
      </w:r>
      <w:r>
        <w:t xml:space="preserve">the field of transport to lay down measures to improve transport safety, while Article 91(1)(d) TFEU provides the</w:t>
      </w:r>
      <w:r>
        <w:t xml:space="preserve"> </w:t>
      </w:r>
      <w:r>
        <w:t xml:space="preserve">same competence as regards “any other appropriate provisions”.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Under the principle of subsidiarity, in areas which do not fall within its exclusive competence, the EU shall act only</w:t>
      </w:r>
      <w:r>
        <w:t xml:space="preserve"> </w:t>
      </w:r>
      <w:r>
        <w:t xml:space="preserve">if, and in so far as, the objectives of the proposed action cannot be sufficiently achieved by the Member States.</w:t>
      </w:r>
      <w:r>
        <w:t xml:space="preserve"> </w:t>
      </w:r>
      <w:r>
        <w:t xml:space="preserve">Negative transport externalities, in particular those relating to climate change, are trans-boundary</w:t>
      </w:r>
      <w:r>
        <w:t xml:space="preserve"> </w:t>
      </w:r>
      <w:r>
        <w:t xml:space="preserve">problems, which cannot be solved by national or local action alone. The pressing need to reduce GHG</w:t>
      </w:r>
      <w:r>
        <w:t xml:space="preserve"> </w:t>
      </w:r>
      <w:r>
        <w:t xml:space="preserve">emissions produced by freight transport applies equally to cross-border and domestic operations. This is</w:t>
      </w:r>
      <w:r>
        <w:t xml:space="preserve"> </w:t>
      </w:r>
      <w:r>
        <w:t xml:space="preserve">also the case of congestion and accidents on major transport corridors. Thus, the problem identified needs to</w:t>
      </w:r>
      <w:r>
        <w:t xml:space="preserve"> </w:t>
      </w:r>
      <w:r>
        <w:t xml:space="preserve">be addressed at EU level because it has a cross-border dimension. Otherwise, non-harmonised and fragmented</w:t>
      </w:r>
      <w:r>
        <w:t xml:space="preserve"> </w:t>
      </w:r>
      <w:r>
        <w:t xml:space="preserve">approaches at national level, which will fall short of effectively addressing the cross-border issues of intermodal</w:t>
      </w:r>
      <w:r>
        <w:t xml:space="preserve"> </w:t>
      </w:r>
      <w:r>
        <w:t xml:space="preserve">transport (81% of which is international) bear the risk of leading to competitive distortions in the Single Market.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aim of the CTD is to promote the uptake of intermodal transport, of which 81% is between Member States,</w:t>
      </w:r>
      <w:r>
        <w:t xml:space="preserve"> </w:t>
      </w:r>
      <w:r>
        <w:t xml:space="preserve">across the EU through support framework based on common eligibility criteria. From the policy and the internal</w:t>
      </w:r>
      <w:r>
        <w:t xml:space="preserve"> </w:t>
      </w:r>
      <w:r>
        <w:t xml:space="preserve">market perspective, it is important to aim that the benefits provided for in the CTD are applicable in a comparable</w:t>
      </w:r>
      <w:r>
        <w:t xml:space="preserve"> </w:t>
      </w:r>
      <w:r>
        <w:t xml:space="preserve">way throughout the EU. In conditions, where economic support under the today’s CTD is very limited, many</w:t>
      </w:r>
      <w:r>
        <w:t xml:space="preserve"> </w:t>
      </w:r>
      <w:r>
        <w:t xml:space="preserve">Member States have reverted to supporting intermodal operations directly under the State aid rules. Those</w:t>
      </w:r>
      <w:r>
        <w:t xml:space="preserve"> </w:t>
      </w:r>
      <w:r>
        <w:t xml:space="preserve">support measures may not be equally accessible to all operators, given that different eligibility criteria are used.</w:t>
      </w:r>
      <w:r>
        <w:t xml:space="preserve"> </w:t>
      </w:r>
      <w:r>
        <w:t xml:space="preserve">Therefore, some operators may gain a competitive advantage with impacts beyond their national border. EU</w:t>
      </w:r>
      <w:r>
        <w:t xml:space="preserve"> </w:t>
      </w:r>
      <w:r>
        <w:t xml:space="preserve">action with the aim to harmonise rules on eligibility and support framework that are coordinated with State aid</w:t>
      </w:r>
      <w:r>
        <w:t xml:space="preserve"> </w:t>
      </w:r>
      <w:r>
        <w:t xml:space="preserve">rules, will help create comparable treatment of operators across EU, simplify administrative procedures for</w:t>
      </w:r>
      <w:r>
        <w:t xml:space="preserve"> </w:t>
      </w:r>
      <w:r>
        <w:t xml:space="preserve">industry, the Member States and the Commission and improve the functioning of the internal market. This cannot</w:t>
      </w:r>
      <w:r>
        <w:t xml:space="preserve"> </w:t>
      </w:r>
      <w:r>
        <w:t xml:space="preserve">be achieved with regulation at Member State level only.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CTD sets the increase of the uptake of intermodal transport as a means to achieve the objective of reducing</w:t>
      </w:r>
      <w:r>
        <w:t xml:space="preserve"> </w:t>
      </w:r>
      <w:r>
        <w:t xml:space="preserve">negative transport externalities72. In the same vein, the general objective of this revision is to facilitate an increase</w:t>
      </w:r>
      <w:r>
        <w:t xml:space="preserve"> </w:t>
      </w:r>
      <w:r>
        <w:t xml:space="preserve">in the share of rail, SSS and IWW transport in total intra-EU freight transport to reduce the negative externalities</w:t>
      </w:r>
      <w:r>
        <w:t xml:space="preserve"> </w:t>
      </w:r>
      <w:r>
        <w:t xml:space="preserve">and the energy consumption in the transport sector as well as to mitigate the fragmentation of internal market. In</w:t>
      </w:r>
      <w:r>
        <w:t xml:space="preserve"> </w:t>
      </w:r>
      <w:r>
        <w:t xml:space="preserve">particular, in the context of a holistic approach together with a variety of modal initiatives on rail, inland</w:t>
      </w:r>
      <w:r>
        <w:t xml:space="preserve"> </w:t>
      </w:r>
      <w:r>
        <w:t xml:space="preserve">waterways, short sea shipping and road transport as well as horizontal instruments on infrastructure, digital</w:t>
      </w:r>
    </w:p>
    <w:p>
      <w:pPr>
        <w:pStyle w:val="BodyText"/>
      </w:pPr>
      <w:r>
        <w:t xml:space="preserve">71 Consolidated version of the Treaty on the Functioning of the European Union, OJ C 326, 26.10.2012, p. 47–390.</w:t>
      </w:r>
      <w:r>
        <w:t xml:space="preserve"> </w:t>
      </w:r>
      <w:r>
        <w:t xml:space="preserve">72 The preamble of CTD states: “Whereas the increasing problems relating to road congestion, the environment and</w:t>
      </w:r>
      <w:r>
        <w:t xml:space="preserve"> </w:t>
      </w:r>
      <w:r>
        <w:t xml:space="preserve">road safety call, in the public interest, for the further development of combined transport as an alternative to road</w:t>
      </w:r>
      <w:r>
        <w:t xml:space="preserve"> </w:t>
      </w:r>
      <w:r>
        <w:t xml:space="preserve">transport.”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solutions and GHG accounting, its objective is to bring forward in time the higher uptake of intermodal transport</w:t>
      </w:r>
      <w:r>
        <w:t xml:space="preserve"> </w:t>
      </w:r>
      <w:r>
        <w:t xml:space="preserve">while the effects of other instruments have not yet taken full effect.</w:t>
      </w:r>
      <w:r>
        <w:br/>
      </w:r>
      <w:r>
        <w:t xml:space="preserve">The initiative should also contribute to the digital transformation as well as SDG. More specifically, it should</w:t>
      </w:r>
      <w:r>
        <w:t xml:space="preserve"> </w:t>
      </w:r>
      <w:r>
        <w:t xml:space="preserve">contribute towards SDG 13 (Take urgent action to combat climate change and its impacts), SDG 9 (Build resilient</w:t>
      </w:r>
      <w:r>
        <w:t xml:space="preserve"> </w:t>
      </w:r>
      <w:r>
        <w:t xml:space="preserve">infrastructure, promote inclusive and sustainable industrialisation and foster innovation) and SDG 11 (Make cities</w:t>
      </w:r>
      <w:r>
        <w:t xml:space="preserve"> </w:t>
      </w:r>
      <w:r>
        <w:t xml:space="preserve">and human settlements inclusive, safe, resilient and sustainable).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(SOs) and their correspondence with the problem drivers are presented in Figure 7.</w:t>
      </w:r>
      <w:r>
        <w:t xml:space="preserve"> </w:t>
      </w:r>
      <w:r>
        <w:t xml:space="preserve">Figure 7: Specific objective and their relation to problem drivers</w:t>
      </w:r>
    </w:p>
    <w:p>
      <w:pPr>
        <w:pStyle w:val="BodyText"/>
      </w:pPr>
      <w:r>
        <w:t xml:space="preserve">Specific Objective 1 (SO1) - Provide support to a wider range of intermodal operations under effective and common</w:t>
      </w:r>
      <w:r>
        <w:t xml:space="preserve"> </w:t>
      </w:r>
      <w:r>
        <w:t xml:space="preserve">eligibility conditions. The first specific objective is based on the need to improve the existing eligibility conditions</w:t>
      </w:r>
      <w:r>
        <w:t xml:space="preserve"> </w:t>
      </w:r>
      <w:r>
        <w:t xml:space="preserve">and ensure that a larger part of intermodal operations could be included in the scope, while applying effective</w:t>
      </w:r>
      <w:r>
        <w:t xml:space="preserve"> </w:t>
      </w:r>
      <w:r>
        <w:t xml:space="preserve">eligibility criteria. It would be important to ensure the coverage of all operations that could significantly contribute</w:t>
      </w:r>
      <w:r>
        <w:t xml:space="preserve"> </w:t>
      </w:r>
      <w:r>
        <w:t xml:space="preserve">to reducing negative externalities but are not cost competitive vis-à-vis road-only transport. 28 of 49 respondents</w:t>
      </w:r>
      <w:r>
        <w:t xml:space="preserve"> </w:t>
      </w:r>
      <w:r>
        <w:t xml:space="preserve">to the survey and 18 out of 29 interviewees73 supported that CTD eligibility assessment should be extended to a</w:t>
      </w:r>
      <w:r>
        <w:t xml:space="preserve"> </w:t>
      </w:r>
      <w:r>
        <w:t xml:space="preserve">wider range of operations. All respondents to the survey agreed that eligibility conditions should be justified from</w:t>
      </w:r>
      <w:r>
        <w:t xml:space="preserve"> </w:t>
      </w:r>
      <w:r>
        <w:t xml:space="preserve">the perspective of the general objective and made easy to control. Multiple stakeholders pointed out in the</w:t>
      </w:r>
      <w:r>
        <w:t xml:space="preserve"> </w:t>
      </w:r>
      <w:r>
        <w:t xml:space="preserve">stakeholder meeting as well as in comments to the survey that the eligibility should be the same for different</w:t>
      </w:r>
      <w:r>
        <w:t xml:space="preserve"> </w:t>
      </w:r>
      <w:r>
        <w:t xml:space="preserve">modal combinations.</w:t>
      </w:r>
      <w:r>
        <w:t xml:space="preserve"> </w:t>
      </w:r>
      <w:r>
        <w:t xml:space="preserve">Specific Objective 2 (SO2) - Ensure better support by improving reporting on the intermodal transport. The second</w:t>
      </w:r>
      <w:r>
        <w:t xml:space="preserve"> </w:t>
      </w:r>
      <w:r>
        <w:t xml:space="preserve">specific objective reflects the need to base the economic support on empirical evidence and to ensure that this</w:t>
      </w:r>
      <w:r>
        <w:t xml:space="preserve"> </w:t>
      </w:r>
      <w:r>
        <w:t xml:space="preserve">support is regularly adjusted to consider the real needs of the market as well as the decreasing price gap as</w:t>
      </w:r>
      <w:r>
        <w:t xml:space="preserve"> </w:t>
      </w:r>
      <w:r>
        <w:t xml:space="preserve">external costs become increasingly internalised. 20 out of 49 survey74 respondents supported the objective to</w:t>
      </w:r>
      <w:r>
        <w:t xml:space="preserve"> </w:t>
      </w:r>
      <w:r>
        <w:t xml:space="preserve">improve monitoring and reporting on the status of intermodal transport.</w:t>
      </w:r>
      <w:r>
        <w:br/>
      </w:r>
      <w:r>
        <w:t xml:space="preserve">Specific Objective 3 (SO3) - Increase the competitiveness of intermodal transport to contribute to reducing negative</w:t>
      </w:r>
      <w:r>
        <w:t xml:space="preserve"> </w:t>
      </w:r>
      <w:r>
        <w:t xml:space="preserve">externalities. The third specific objective refers to the need to make intermodal transport a more attractive</w:t>
      </w:r>
      <w:r>
        <w:t xml:space="preserve"> </w:t>
      </w:r>
      <w:r>
        <w:t xml:space="preserve">alternative to road-only transport. 22 out of 49 respondents75 to the survey agreed or strongly agreed that the</w:t>
      </w:r>
      <w:r>
        <w:t xml:space="preserve"> </w:t>
      </w:r>
      <w:r>
        <w:t xml:space="preserve">objective of the revised CTD should be to increase the competitiveness of intermodal transport. In practical terms,</w:t>
      </w:r>
    </w:p>
    <w:p>
      <w:pPr>
        <w:pStyle w:val="BodyText"/>
      </w:pPr>
      <w:r>
        <w:t xml:space="preserve">73 23/31 industry and 5/8 authority respondents in survey, 15/21 industry and 3/5 authorities in interviews.</w:t>
      </w:r>
      <w:r>
        <w:t xml:space="preserve"> </w:t>
      </w:r>
      <w:r>
        <w:t xml:space="preserve">74 16/31 industry and 4/8 authority respondents.</w:t>
      </w:r>
      <w:r>
        <w:t xml:space="preserve"> </w:t>
      </w:r>
      <w:r>
        <w:t xml:space="preserve">75 18/31 industry and 4/8 authority respondents.</w:t>
      </w:r>
      <w:r>
        <w:t xml:space="preserve"> </w:t>
      </w:r>
      <w:r>
        <w:t xml:space="preserve">PD2: Lack of market</w:t>
      </w:r>
      <w:r>
        <w:t xml:space="preserve"> </w:t>
      </w:r>
      <w:r>
        <w:t xml:space="preserve">monitoring/empirical basis for support</w:t>
      </w:r>
      <w:r>
        <w:t xml:space="preserve"> </w:t>
      </w:r>
      <w:r>
        <w:t xml:space="preserve">PD4: Inefficiencies in scheduling,</w:t>
      </w:r>
      <w:r>
        <w:t xml:space="preserve"> </w:t>
      </w:r>
      <w:r>
        <w:t xml:space="preserve">planning and running intermodal</w:t>
      </w:r>
      <w:r>
        <w:t xml:space="preserve"> </w:t>
      </w:r>
      <w:r>
        <w:t xml:space="preserve">transport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PD3: Incentives provided by the CTD</w:t>
      </w:r>
      <w:r>
        <w:t xml:space="preserve"> </w:t>
      </w:r>
      <w:r>
        <w:t xml:space="preserve">to enhance relative competitiveness of</w:t>
      </w:r>
      <w:r>
        <w:t xml:space="preserve"> </w:t>
      </w:r>
      <w:r>
        <w:t xml:space="preserve">intermodal transport are insufficient to</w:t>
      </w:r>
      <w:r>
        <w:t xml:space="preserve"> </w:t>
      </w:r>
      <w:r>
        <w:t xml:space="preserve">reduce the gap with road-only transport</w:t>
      </w:r>
      <w:r>
        <w:t xml:space="preserve"> </w:t>
      </w:r>
      <w:r>
        <w:t xml:space="preserve">PD1: Eligibility for support under the</w:t>
      </w:r>
      <w:r>
        <w:t xml:space="preserve"> </w:t>
      </w:r>
      <w:r>
        <w:t xml:space="preserve">CTD is too narrow and complicated</w:t>
      </w:r>
      <w:r>
        <w:t xml:space="preserve"> </w:t>
      </w:r>
      <w:r>
        <w:t xml:space="preserve">GO: Facilitate an</w:t>
      </w:r>
      <w:r>
        <w:t xml:space="preserve"> </w:t>
      </w:r>
      <w:r>
        <w:t xml:space="preserve">increase in the share of</w:t>
      </w:r>
      <w:r>
        <w:t xml:space="preserve"> </w:t>
      </w:r>
      <w:r>
        <w:t xml:space="preserve">rail, SSS and IWW</w:t>
      </w:r>
      <w:r>
        <w:t xml:space="preserve"> </w:t>
      </w:r>
      <w:r>
        <w:t xml:space="preserve">transport in total intra-</w:t>
      </w:r>
      <w:r>
        <w:t xml:space="preserve"> </w:t>
      </w:r>
      <w:r>
        <w:t xml:space="preserve">EU freight transport, to</w:t>
      </w:r>
      <w:r>
        <w:t xml:space="preserve"> </w:t>
      </w:r>
      <w:r>
        <w:t xml:space="preserve">reduce negative</w:t>
      </w:r>
      <w:r>
        <w:t xml:space="preserve"> </w:t>
      </w:r>
      <w:r>
        <w:t xml:space="preserve">externalities and energy</w:t>
      </w:r>
      <w:r>
        <w:t xml:space="preserve"> </w:t>
      </w:r>
      <w:r>
        <w:t xml:space="preserve">consumption of</w:t>
      </w:r>
      <w:r>
        <w:t xml:space="preserve"> </w:t>
      </w:r>
      <w:r>
        <w:t xml:space="preserve">transport as well as</w:t>
      </w:r>
      <w:r>
        <w:t xml:space="preserve"> </w:t>
      </w:r>
      <w:r>
        <w:t xml:space="preserve">mitigate the</w:t>
      </w:r>
      <w:r>
        <w:t xml:space="preserve"> </w:t>
      </w:r>
      <w:r>
        <w:t xml:space="preserve">fragmentation of the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SO2: Ensure better support by</w:t>
      </w:r>
      <w:r>
        <w:t xml:space="preserve"> </w:t>
      </w:r>
      <w:r>
        <w:t xml:space="preserve">improving reporting on the intermodal</w:t>
      </w:r>
      <w:r>
        <w:t xml:space="preserve"> </w:t>
      </w:r>
      <w:r>
        <w:t xml:space="preserve">transport</w:t>
      </w:r>
      <w:r>
        <w:br/>
      </w:r>
      <w:r>
        <w:t xml:space="preserve">SO4: Improve transparency and</w:t>
      </w:r>
      <w:r>
        <w:t xml:space="preserve"> </w:t>
      </w:r>
      <w:r>
        <w:t xml:space="preserve">cooperation and simplify entry to the</w:t>
      </w:r>
      <w:r>
        <w:t xml:space="preserve"> </w:t>
      </w:r>
      <w:r>
        <w:t xml:space="preserve">market</w:t>
      </w:r>
      <w:r>
        <w:t xml:space="preserve"> </w:t>
      </w:r>
      <w:r>
        <w:t xml:space="preserve">SO3: Increase the competitiveness of</w:t>
      </w:r>
      <w:r>
        <w:t xml:space="preserve"> </w:t>
      </w:r>
      <w:r>
        <w:t xml:space="preserve">intermodal transport to contribute to</w:t>
      </w:r>
      <w:r>
        <w:t xml:space="preserve"> </w:t>
      </w:r>
      <w:r>
        <w:t xml:space="preserve">reducing negative externalities</w:t>
      </w:r>
      <w:r>
        <w:br/>
      </w:r>
      <w:r>
        <w:t xml:space="preserve">SO1: Provide support to a wider range</w:t>
      </w:r>
      <w:r>
        <w:t xml:space="preserve"> </w:t>
      </w:r>
      <w:r>
        <w:t xml:space="preserve">of operations under effective and</w:t>
      </w:r>
      <w:r>
        <w:t xml:space="preserve"> </w:t>
      </w:r>
      <w:r>
        <w:t xml:space="preserve">common eligibility conditions</w:t>
      </w:r>
      <w:r>
        <w:t xml:space="preserve"> </w:t>
      </w:r>
      <w:r>
        <w:t xml:space="preserve">Specific objectives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the provided support should reduce the price gap between road-only and intermodal transport and thereby result</w:t>
      </w:r>
      <w:r>
        <w:t xml:space="preserve"> </w:t>
      </w:r>
      <w:r>
        <w:t xml:space="preserve">in bringing down the distance at which an intermodal transport becomes cost competitive also for the medium-</w:t>
      </w:r>
      <w:r>
        <w:t xml:space="preserve"> </w:t>
      </w:r>
      <w:r>
        <w:t xml:space="preserve">long operations, leading to a higher uptake of intermodal transport and lower external costs of freight transport.</w:t>
      </w:r>
      <w:r>
        <w:t xml:space="preserve"> </w:t>
      </w:r>
      <w:r>
        <w:t xml:space="preserve">Specific Objective 4 (SO4) - Improve transparency and cooperation and simplify entry to the market. The fourth</w:t>
      </w:r>
      <w:r>
        <w:t xml:space="preserve"> </w:t>
      </w:r>
      <w:r>
        <w:t xml:space="preserve">objective reflects the need to make it easier for transport organisers to take up intermodal transport. In this</w:t>
      </w:r>
      <w:r>
        <w:t xml:space="preserve"> </w:t>
      </w:r>
      <w:r>
        <w:t xml:space="preserve">regard, the CTD should improve the cooperation and exchange of information between the different parties in the</w:t>
      </w:r>
      <w:r>
        <w:t xml:space="preserve"> </w:t>
      </w:r>
      <w:r>
        <w:t xml:space="preserve">transport chain and improve the efficiency of transhipment terminals as well as ensure that the information about</w:t>
      </w:r>
      <w:r>
        <w:t xml:space="preserve"> </w:t>
      </w:r>
      <w:r>
        <w:t xml:space="preserve">services and facilities in terminals would be easily available. 17 out of 49 survey respondents and 18 out of 29</w:t>
      </w:r>
      <w:r>
        <w:t xml:space="preserve"> </w:t>
      </w:r>
      <w:r>
        <w:t xml:space="preserve">interviewees76 agreed or strongly agreed that improving transparency and cooperation to facilitate and simplify</w:t>
      </w:r>
      <w:r>
        <w:t xml:space="preserve"> </w:t>
      </w:r>
      <w:r>
        <w:t xml:space="preserve">entry to the market is an important objective.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starting point for the impact assessment of this initiative is the EU Reference scenario 2020 (REF2020)77, which</w:t>
      </w:r>
      <w:r>
        <w:t xml:space="preserve"> </w:t>
      </w:r>
      <w:r>
        <w:t xml:space="preserve">takes into account the impacts of the COVID-19 pandemic on the transport sector. Building on REF2020, the</w:t>
      </w:r>
      <w:r>
        <w:t xml:space="preserve"> </w:t>
      </w:r>
      <w:r>
        <w:t xml:space="preserve">baseline has been designed to include the initiatives of the ‘Fit for 55’ package proposed by the Commission on</w:t>
      </w:r>
      <w:r>
        <w:t xml:space="preserve"> </w:t>
      </w:r>
      <w:r>
        <w:t xml:space="preserve">14 July 202178 and the initiatives of the REPowerEU package proposed by the Commission on 18 May 202279.</w:t>
      </w:r>
      <w:r>
        <w:t xml:space="preserve"> </w:t>
      </w:r>
      <w:r>
        <w:t xml:space="preserve">More specifically, it should be noted that the baseline scenario takes into account the CO2 standards for vehicles,</w:t>
      </w:r>
      <w:r>
        <w:t xml:space="preserve"> </w:t>
      </w:r>
      <w:r>
        <w:t xml:space="preserve">the FuelEU maritime Regulation and the ReFuelEU aviation Regulation, as well as the Alternative Fuels</w:t>
      </w:r>
      <w:r>
        <w:t xml:space="preserve"> </w:t>
      </w:r>
      <w:r>
        <w:t xml:space="preserve">Infrastructure Regulation and the proposed review of the Renewable Energy Directive. It also reflects the extension</w:t>
      </w:r>
      <w:r>
        <w:t xml:space="preserve"> </w:t>
      </w:r>
      <w:r>
        <w:t xml:space="preserve">of the ETS to the maritime sector and seting up a self-standing ETS for road transport and buildings, as well as the</w:t>
      </w:r>
      <w:r>
        <w:t xml:space="preserve"> </w:t>
      </w:r>
      <w:r>
        <w:t xml:space="preserve">proposed revision of the Energy Taxation Directive. Beyond this, it reflects the Eurovignette Directive and national</w:t>
      </w:r>
      <w:r>
        <w:t xml:space="preserve"> </w:t>
      </w:r>
      <w:r>
        <w:t xml:space="preserve">measures like vehicle taxation. Thus, the baseline scenario takes into account the complex synergies between</w:t>
      </w:r>
      <w:r>
        <w:t xml:space="preserve"> </w:t>
      </w:r>
      <w:r>
        <w:t xml:space="preserve">these policy instruments. The baseline scenario assumes no further EU level intervention on intermodal transport</w:t>
      </w:r>
      <w:r>
        <w:t xml:space="preserve"> </w:t>
      </w:r>
      <w:r>
        <w:t xml:space="preserve">beyond the current CTD. For further details see Annex 4.</w:t>
      </w:r>
      <w:r>
        <w:t xml:space="preserve"> </w:t>
      </w:r>
      <w:r>
        <w:t xml:space="preserve">In terms of transport network, the baseline scenario accounts for the proposed revision of the TEN-T Regulation80.</w:t>
      </w:r>
      <w:r>
        <w:t xml:space="preserve"> </w:t>
      </w:r>
      <w:r>
        <w:t xml:space="preserve">It assumes that the high-quality TEN-T rail network would be gradually completed in three steps: 2030 for the core</w:t>
      </w:r>
      <w:r>
        <w:t xml:space="preserve"> </w:t>
      </w:r>
      <w:r>
        <w:t xml:space="preserve">network, 2040 for the extended core network and 2050 for the comprehensive network. It also assumes full</w:t>
      </w:r>
      <w:r>
        <w:t xml:space="preserve"> </w:t>
      </w:r>
      <w:r>
        <w:t xml:space="preserve">electrification of the core TEN-T rail network by 2030 and of the comprehensive network by 2050. In addition, the</w:t>
      </w:r>
      <w:r>
        <w:t xml:space="preserve"> </w:t>
      </w:r>
      <w:r>
        <w:t xml:space="preserve">proposal includes for the first time an obligation on Member States to ensure sufficient multimodal freight</w:t>
      </w:r>
      <w:r>
        <w:t xml:space="preserve"> </w:t>
      </w:r>
      <w:r>
        <w:t xml:space="preserve">terminal capacity based on dedicated analysis and action plans, which is part of the baseline scenario. The baseline</w:t>
      </w:r>
      <w:r>
        <w:t xml:space="preserve"> </w:t>
      </w:r>
      <w:r>
        <w:t xml:space="preserve">also incorporates foresight megatrends81 and developments captured in the 2022 Strategic Foresight Report82,</w:t>
      </w:r>
      <w:r>
        <w:t xml:space="preserve"> </w:t>
      </w:r>
      <w:r>
        <w:t xml:space="preserve">such as the trend of increasing demand for transport as population and living standards grow as well as the links</w:t>
      </w:r>
      <w:r>
        <w:t xml:space="preserve"> </w:t>
      </w:r>
      <w:r>
        <w:t xml:space="preserve">between the digital and green transition.</w:t>
      </w:r>
      <w:r>
        <w:t xml:space="preserve"> </w:t>
      </w:r>
      <w:r>
        <w:t xml:space="preserve">In the baseline scenario, EU transport activity is projected to grow post-2020, following the recovery from</w:t>
      </w:r>
      <w:r>
        <w:t xml:space="preserve"> </w:t>
      </w:r>
      <w:r>
        <w:t xml:space="preserve">the COVID pandemic. Road transport would maintain its dominant role, its activity going up by 29.1% by</w:t>
      </w:r>
      <w:r>
        <w:t xml:space="preserve"> </w:t>
      </w:r>
      <w:r>
        <w:t xml:space="preserve">2030 relative to 2015 (48.9% for 2015-2050)83. Rail transport activity is projected to grow significantly</w:t>
      </w:r>
      <w:r>
        <w:t xml:space="preserve"> </w:t>
      </w:r>
      <w:r>
        <w:t xml:space="preserve">faster than road, driven in particular by the gradual completion of the TEN-T network, where Member States</w:t>
      </w:r>
      <w:r>
        <w:t xml:space="preserve"> </w:t>
      </w:r>
      <w:r>
        <w:t xml:space="preserve">and private investment will continue to be supported by the EU funding instruments such as Connecting</w:t>
      </w:r>
    </w:p>
    <w:p>
      <w:pPr>
        <w:pStyle w:val="BodyText"/>
      </w:pPr>
      <w:r>
        <w:t xml:space="preserve">76 13/41 and 4/8 authority respondents in survey, 14/21 industry and 2/5 authority respondents, 2/3 NGOs.</w:t>
      </w:r>
      <w:r>
        <w:t xml:space="preserve"> </w:t>
      </w:r>
      <w:r>
        <w:t xml:space="preserve">77 Detailed information about the preparation process, assumptions and results are provided in the EU Reference Scenario</w:t>
      </w:r>
      <w:r>
        <w:t xml:space="preserve"> </w:t>
      </w:r>
      <w:r>
        <w:t xml:space="preserve">2020, https://energy.ec.europa.eu/data-and-analysis/energy-modelling/eu-reference-scenario-2020_en</w:t>
      </w:r>
      <w:r>
        <w:t xml:space="preserve"> </w:t>
      </w:r>
      <w:r>
        <w:t xml:space="preserve">78 https://ec.europa.eu/info/strategy/priorities-2019-2024/european-green-deal/delivering-european-green-deal_en</w:t>
      </w:r>
      <w:r>
        <w:t xml:space="preserve"> </w:t>
      </w:r>
      <w:r>
        <w:t xml:space="preserve">79 https://ec.europa.eu/commission/presscorner/detail/en/IP_22_3131</w:t>
      </w:r>
      <w:r>
        <w:t xml:space="preserve"> </w:t>
      </w:r>
      <w:r>
        <w:t xml:space="preserve">80 COM(2021) 812 final.</w:t>
      </w:r>
      <w:r>
        <w:t xml:space="preserve"> </w:t>
      </w:r>
      <w:r>
        <w:t xml:space="preserve">81 https://knowledge4policy.ec.europa.eu/foresight/tool/megatrends-hub_en#explore</w:t>
      </w:r>
      <w:r>
        <w:br/>
      </w:r>
      <w:r>
        <w:t xml:space="preserve">82 COM(2022) 289 final.</w:t>
      </w:r>
      <w:r>
        <w:t xml:space="preserve"> </w:t>
      </w:r>
      <w:r>
        <w:t xml:space="preserve">83 More explanations on the relation with the baseline scenarios underpinning the ‘Fit for 55’ package and REPowerEU</w:t>
      </w:r>
      <w:r>
        <w:t xml:space="preserve"> </w:t>
      </w:r>
      <w:r>
        <w:t xml:space="preserve">package are provided in Annex 4.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Europe Facility, Cohesion Fund and the European Regional Development Fund. Measures of the ‘Fit for</w:t>
      </w:r>
      <w:r>
        <w:t xml:space="preserve"> </w:t>
      </w:r>
      <w:r>
        <w:t xml:space="preserve">55’ package also increase to some extent the competitiveness of rail and of waterborne transport relative to</w:t>
      </w:r>
      <w:r>
        <w:t xml:space="preserve"> </w:t>
      </w:r>
      <w:r>
        <w:t xml:space="preserve">road transport. Freight rail traffic would increase by 42.2% by 2030 relative to 2015 (96% for 2015-2050),</w:t>
      </w:r>
      <w:r>
        <w:t xml:space="preserve"> </w:t>
      </w:r>
      <w:r>
        <w:t xml:space="preserve">hence falling short of the milestone of the SSMS of increasing the traffic by 50% by 2030 and doubling it</w:t>
      </w:r>
      <w:r>
        <w:t xml:space="preserve"> </w:t>
      </w:r>
      <w:r>
        <w:t xml:space="preserve">by 205084. Inland waterways and short sea shipping activity is projected to go up by 21.1% by 2030 relative</w:t>
      </w:r>
      <w:r>
        <w:t xml:space="preserve"> </w:t>
      </w:r>
      <w:r>
        <w:t xml:space="preserve">to 2015 (49.5% for 2015-2050), also falling short of the milestone of the SSMS, in particular for 2030 (i.e. </w:t>
      </w:r>
      <w:r>
        <w:t xml:space="preserve"> </w:t>
      </w:r>
      <w:r>
        <w:t xml:space="preserve">increase inland waterways and short sea shipping traffic by 25% by 2030 and by 50% by 2050)85.</w:t>
      </w:r>
      <w:r>
        <w:br/>
      </w:r>
      <w:r>
        <w:t xml:space="preserve">In 2015, the total intermodal transport volume in the EU was 534 billion tkm (Table 3)86. 68.5% of this was carried</w:t>
      </w:r>
      <w:r>
        <w:t xml:space="preserve"> </w:t>
      </w:r>
      <w:r>
        <w:t xml:space="preserve">by SSS. RR constituted 28.5%, while transport by IWW, which is relevant only within a limited number of river</w:t>
      </w:r>
      <w:r>
        <w:t xml:space="preserve"> </w:t>
      </w:r>
      <w:r>
        <w:t xml:space="preserve">basins, accounted for 3%. 54% of all intermodal transport was containerised (from which 58% on SSS), 18.7% was</w:t>
      </w:r>
      <w:r>
        <w:t xml:space="preserve"> </w:t>
      </w:r>
      <w:r>
        <w:t xml:space="preserve">carried in semitrailers (from which 77% on ferries), 4% in swap-bodies almost entirely on rail and 24% was</w:t>
      </w:r>
      <w:r>
        <w:t xml:space="preserve"> </w:t>
      </w:r>
      <w:r>
        <w:t xml:space="preserve">accompanied transport in full vehicle combinations (90% of this on ferries). By 2020, the total volume of intra-EU</w:t>
      </w:r>
      <w:r>
        <w:t xml:space="preserve"> </w:t>
      </w:r>
      <w:r>
        <w:t xml:space="preserve">intermodal transport had grown by 9% compared to 2015, to 584 billion tkm. Out of this 69.2% was maritime</w:t>
      </w:r>
      <w:r>
        <w:t xml:space="preserve"> </w:t>
      </w:r>
      <w:r>
        <w:t xml:space="preserve">intermodal transport, 28.3% RR and 2.6% IWW.</w:t>
      </w:r>
      <w:r>
        <w:br/>
      </w:r>
      <w:r>
        <w:t xml:space="preserve">Table 3: Intermodal and combined transport, 2015</w:t>
      </w:r>
      <w:r>
        <w:t xml:space="preserve"> </w:t>
      </w:r>
      <w:r>
        <w:t xml:space="preserve">Mode</w:t>
      </w:r>
      <w:r>
        <w:t xml:space="preserve"> </w:t>
      </w:r>
      <w:r>
        <w:t xml:space="preserve">Intra-EU freight</w:t>
      </w:r>
      <w:r>
        <w:t xml:space="preserve"> </w:t>
      </w:r>
      <w:r>
        <w:t xml:space="preserve">Door-to-door intermodal</w:t>
      </w:r>
      <w:r>
        <w:t xml:space="preserve"> </w:t>
      </w:r>
      <w:r>
        <w:t xml:space="preserve">Intermodal legs</w:t>
      </w:r>
      <w:r>
        <w:t xml:space="preserve"> </w:t>
      </w:r>
      <w:r>
        <w:t xml:space="preserve">Door-to-door CT</w:t>
      </w:r>
      <w:r>
        <w:t xml:space="preserve"> </w:t>
      </w:r>
      <w:r>
        <w:t xml:space="preserve">bn tkm</w:t>
      </w:r>
      <w:r>
        <w:t xml:space="preserve"> </w:t>
      </w:r>
      <w:r>
        <w:t xml:space="preserve">bn tkm</w:t>
      </w:r>
      <w:r>
        <w:t xml:space="preserve"> </w:t>
      </w:r>
      <w:r>
        <w:t xml:space="preserve">% of total</w:t>
      </w:r>
      <w:r>
        <w:t xml:space="preserve"> </w:t>
      </w:r>
      <w:r>
        <w:t xml:space="preserve">intra-EU</w:t>
      </w:r>
      <w:r>
        <w:t xml:space="preserve"> </w:t>
      </w:r>
      <w:r>
        <w:t xml:space="preserve">freight</w:t>
      </w:r>
      <w:r>
        <w:t xml:space="preserve"> </w:t>
      </w:r>
      <w:r>
        <w:t xml:space="preserve">bn tkm</w:t>
      </w:r>
      <w:r>
        <w:t xml:space="preserve"> </w:t>
      </w:r>
      <w:r>
        <w:t xml:space="preserve">% of total</w:t>
      </w:r>
      <w:r>
        <w:t xml:space="preserve"> </w:t>
      </w:r>
      <w:r>
        <w:t xml:space="preserve">modal freight</w:t>
      </w:r>
      <w:r>
        <w:t xml:space="preserve"> </w:t>
      </w:r>
      <w:r>
        <w:t xml:space="preserve">bn tkm</w:t>
      </w:r>
      <w:r>
        <w:t xml:space="preserve"> </w:t>
      </w:r>
      <w:r>
        <w:t xml:space="preserve">% of</w:t>
      </w:r>
      <w:r>
        <w:t xml:space="preserve"> </w:t>
      </w:r>
      <w:r>
        <w:t xml:space="preserve">intermodal</w:t>
      </w:r>
      <w:r>
        <w:t xml:space="preserve"> </w:t>
      </w:r>
      <w:r>
        <w:t xml:space="preserve">Road</w:t>
      </w:r>
      <w:r>
        <w:t xml:space="preserve"> </w:t>
      </w:r>
      <w:r>
        <w:t xml:space="preserve">1,562</w:t>
      </w:r>
      <w:r>
        <w:t xml:space="preserve"> </w:t>
      </w:r>
      <w:r>
        <w:t xml:space="preserve">149</w:t>
      </w:r>
      <w:r>
        <w:t xml:space="preserve"> </w:t>
      </w:r>
      <w:r>
        <w:t xml:space="preserve">10%</w:t>
      </w:r>
      <w:r>
        <w:t xml:space="preserve"> </w:t>
      </w:r>
      <w:r>
        <w:t xml:space="preserve">Rail</w:t>
      </w:r>
      <w:r>
        <w:t xml:space="preserve"> </w:t>
      </w:r>
      <w:r>
        <w:t xml:space="preserve">396</w:t>
      </w:r>
      <w:r>
        <w:t xml:space="preserve"> </w:t>
      </w:r>
      <w:r>
        <w:t xml:space="preserve">152</w:t>
      </w:r>
      <w:r>
        <w:t xml:space="preserve"> </w:t>
      </w:r>
      <w:r>
        <w:t xml:space="preserve">5%</w:t>
      </w:r>
      <w:r>
        <w:t xml:space="preserve"> </w:t>
      </w:r>
      <w:r>
        <w:t xml:space="preserve">123</w:t>
      </w:r>
      <w:r>
        <w:t xml:space="preserve"> </w:t>
      </w:r>
      <w:r>
        <w:t xml:space="preserve">31%</w:t>
      </w:r>
      <w:r>
        <w:t xml:space="preserve"> </w:t>
      </w:r>
      <w:r>
        <w:t xml:space="preserve">92</w:t>
      </w:r>
      <w:r>
        <w:t xml:space="preserve"> </w:t>
      </w:r>
      <w:r>
        <w:t xml:space="preserve">60%</w:t>
      </w:r>
      <w:r>
        <w:t xml:space="preserve"> </w:t>
      </w:r>
      <w:r>
        <w:t xml:space="preserve">IWW</w:t>
      </w:r>
      <w:r>
        <w:t xml:space="preserve"> </w:t>
      </w:r>
      <w:r>
        <w:t xml:space="preserve">147</w:t>
      </w:r>
      <w:r>
        <w:t xml:space="preserve"> </w:t>
      </w:r>
      <w:r>
        <w:t xml:space="preserve">16</w:t>
      </w:r>
      <w:r>
        <w:t xml:space="preserve"> </w:t>
      </w:r>
      <w:r>
        <w:t xml:space="preserve">1%</w:t>
      </w:r>
      <w:r>
        <w:t xml:space="preserve"> </w:t>
      </w:r>
      <w:r>
        <w:t xml:space="preserve">14</w:t>
      </w:r>
      <w:r>
        <w:t xml:space="preserve"> </w:t>
      </w:r>
      <w:r>
        <w:t xml:space="preserve">9%</w:t>
      </w:r>
      <w:r>
        <w:t xml:space="preserve"> </w:t>
      </w:r>
      <w:r>
        <w:t xml:space="preserve">11</w:t>
      </w:r>
      <w:r>
        <w:t xml:space="preserve"> </w:t>
      </w:r>
      <w:r>
        <w:t xml:space="preserve">69%</w:t>
      </w:r>
      <w:r>
        <w:t xml:space="preserve"> </w:t>
      </w:r>
      <w:r>
        <w:t xml:space="preserve">SSS</w:t>
      </w:r>
      <w:r>
        <w:t xml:space="preserve"> </w:t>
      </w:r>
      <w:r>
        <w:t xml:space="preserve">864</w:t>
      </w:r>
      <w:r>
        <w:t xml:space="preserve"> </w:t>
      </w:r>
      <w:r>
        <w:t xml:space="preserve">366</w:t>
      </w:r>
      <w:r>
        <w:t xml:space="preserve"> </w:t>
      </w:r>
      <w:r>
        <w:t xml:space="preserve">12%</w:t>
      </w:r>
      <w:r>
        <w:t xml:space="preserve"> </w:t>
      </w:r>
      <w:r>
        <w:t xml:space="preserve">248</w:t>
      </w:r>
      <w:r>
        <w:t xml:space="preserve"> </w:t>
      </w:r>
      <w:r>
        <w:t xml:space="preserve">29%</w:t>
      </w:r>
      <w:r>
        <w:t xml:space="preserve"> </w:t>
      </w:r>
      <w:r>
        <w:t xml:space="preserve">123</w:t>
      </w:r>
      <w:r>
        <w:t xml:space="preserve"> </w:t>
      </w:r>
      <w:r>
        <w:t xml:space="preserve">34%</w:t>
      </w:r>
      <w:r>
        <w:t xml:space="preserve"> </w:t>
      </w:r>
      <w:r>
        <w:t xml:space="preserve">Total</w:t>
      </w:r>
      <w:r>
        <w:t xml:space="preserve"> </w:t>
      </w:r>
      <w:r>
        <w:t xml:space="preserve">2,969</w:t>
      </w:r>
      <w:r>
        <w:t xml:space="preserve"> </w:t>
      </w:r>
      <w:r>
        <w:t xml:space="preserve">534</w:t>
      </w:r>
      <w:r>
        <w:t xml:space="preserve"> </w:t>
      </w:r>
      <w:r>
        <w:t xml:space="preserve">18%</w:t>
      </w:r>
      <w:r>
        <w:t xml:space="preserve"> </w:t>
      </w:r>
      <w:r>
        <w:t xml:space="preserve">534</w:t>
      </w:r>
      <w:r>
        <w:t xml:space="preserve"> </w:t>
      </w:r>
      <w:r>
        <w:t xml:space="preserve">18%</w:t>
      </w:r>
      <w:r>
        <w:t xml:space="preserve"> </w:t>
      </w:r>
      <w:r>
        <w:t xml:space="preserve">226</w:t>
      </w:r>
      <w:r>
        <w:t xml:space="preserve"> </w:t>
      </w:r>
      <w:r>
        <w:t xml:space="preserve">42%</w:t>
      </w:r>
      <w:r>
        <w:t xml:space="preserve"> </w:t>
      </w:r>
      <w:r>
        <w:t xml:space="preserve">Source: Statistical pocketbook 2022; Ricardo et al. support study (2023)</w:t>
      </w:r>
      <w:r>
        <w:br/>
      </w:r>
      <w:r>
        <w:t xml:space="preserve">The operations covered by the definition in the CTD are considerably lower constituting 42.3% in 2015 and</w:t>
      </w:r>
      <w:r>
        <w:t xml:space="preserve"> </w:t>
      </w:r>
      <w:r>
        <w:t xml:space="preserve">42.1% in 2020 from total intra-EU intermodal transport and amounting to 226 billion tkm and 246 billion</w:t>
      </w:r>
      <w:r>
        <w:t xml:space="preserve"> </w:t>
      </w:r>
      <w:r>
        <w:t xml:space="preserve">tkm, respectively. For rail intermodal, in 2015, 60% of operations were covered by the CTD, for IWW 69%</w:t>
      </w:r>
      <w:r>
        <w:t xml:space="preserve"> </w:t>
      </w:r>
      <w:r>
        <w:t xml:space="preserve">and for SSS 34%87.</w:t>
      </w:r>
    </w:p>
    <w:p>
      <w:pPr>
        <w:pStyle w:val="BodyText"/>
      </w:pPr>
      <w:r>
        <w:t xml:space="preserve">84 As rail infrastructure capacity will need to accommodate an increasing amount of demand, in the baseline scenario by</w:t>
      </w:r>
      <w:r>
        <w:t xml:space="preserve"> </w:t>
      </w:r>
      <w:r>
        <w:t xml:space="preserve">2030 nearly 9,000 kilometres of rail (about 6.5% of the network) would be affected by capacity restrictions, of which</w:t>
      </w:r>
      <w:r>
        <w:t xml:space="preserve"> </w:t>
      </w:r>
      <w:r>
        <w:t xml:space="preserve">6,500 kilometres would be congested (4.7% of the network) and 2,500 kilometres highly utilised (1.8% of the network).</w:t>
      </w:r>
      <w:r>
        <w:t xml:space="preserve"> </w:t>
      </w:r>
      <w:r>
        <w:t xml:space="preserve">By 2050, the rail network affected by capacity restrictions is projected to further increase to 20,200 kilometres (about</w:t>
      </w:r>
      <w:r>
        <w:t xml:space="preserve"> </w:t>
      </w:r>
      <w:r>
        <w:t xml:space="preserve">14.6% of the network), of which 11,500 kilometres would be congested (8.3% of the network) and 8,700 kilometres</w:t>
      </w:r>
      <w:r>
        <w:t xml:space="preserve"> </w:t>
      </w:r>
      <w:r>
        <w:t xml:space="preserve">highly utilised (6.3% of the network).</w:t>
      </w:r>
      <w:r>
        <w:t xml:space="preserve"> </w:t>
      </w:r>
      <w:r>
        <w:t xml:space="preserve">85 The scenarios underpinning the impact assessments accompanying the 2030 Climate Target Plan and the ‘Fit for 55’</w:t>
      </w:r>
      <w:r>
        <w:t xml:space="preserve"> </w:t>
      </w:r>
      <w:r>
        <w:t xml:space="preserve">initiatives and the staff working documents accompanying the SSMS and the REPowerEU package, took into account a</w:t>
      </w:r>
      <w:r>
        <w:t xml:space="preserve"> </w:t>
      </w:r>
      <w:r>
        <w:t xml:space="preserve">broader range of policies (including this initiative as well as the initiatives on rail capacity, the revision of the Weights</w:t>
      </w:r>
      <w:r>
        <w:t xml:space="preserve"> </w:t>
      </w:r>
      <w:r>
        <w:t xml:space="preserve">and Dimensions Directive and the CEEU) that were represented in a stylised way ahead of the actual proposals, to show</w:t>
      </w:r>
      <w:r>
        <w:t xml:space="preserve"> </w:t>
      </w:r>
      <w:r>
        <w:t xml:space="preserve">the delivery of at least 55% emissions reduction target by 2030 and to account for the interaction with the forthcoming</w:t>
      </w:r>
      <w:r>
        <w:t xml:space="preserve"> </w:t>
      </w:r>
      <w:r>
        <w:t xml:space="preserve">initiatives. These initiatives (in particular the rail capacity initiative) are contributing towards the achievement of the</w:t>
      </w:r>
      <w:r>
        <w:t xml:space="preserve"> </w:t>
      </w:r>
      <w:r>
        <w:t xml:space="preserve">milestones set in the context of the SSMS. To define a meaningful baseline scenario for the initiatives being part of the</w:t>
      </w:r>
      <w:r>
        <w:t xml:space="preserve"> </w:t>
      </w:r>
      <w:r>
        <w:t xml:space="preserve">Greening freight package, these initiatives were not considered in the baseline scenario. This is the reason why the</w:t>
      </w:r>
      <w:r>
        <w:t xml:space="preserve"> </w:t>
      </w:r>
      <w:r>
        <w:t xml:space="preserve">milestones of the SSMS are not assumed to be met in the baseline.</w:t>
      </w:r>
      <w:r>
        <w:t xml:space="preserve"> </w:t>
      </w:r>
      <w:r>
        <w:t xml:space="preserve">86 ISL, KombiConsult (2017), op. cit. As no comparable data is systematically collected on the road legs of intermodal</w:t>
      </w:r>
      <w:r>
        <w:t xml:space="preserve"> </w:t>
      </w:r>
      <w:r>
        <w:t xml:space="preserve">transport, intermodal specific data is based on the ISL, KombiConsult study (2017) where 2015 was the latest reported</w:t>
      </w:r>
      <w:r>
        <w:t xml:space="preserve"> </w:t>
      </w:r>
      <w:r>
        <w:t xml:space="preserve">year. The UK volumes have been subtracted for comparison with future projections on EU27. Intermodal transport in EU</w:t>
      </w:r>
      <w:r>
        <w:t xml:space="preserve"> </w:t>
      </w:r>
      <w:r>
        <w:t xml:space="preserve">includes domestic and intermodal door-to-door transport operations, including road legs and non-road legs. Intermodal</w:t>
      </w:r>
      <w:r>
        <w:t xml:space="preserve"> </w:t>
      </w:r>
      <w:r>
        <w:t xml:space="preserve">traffic between EU and third countries such as deep-sea maritime transport is not included.</w:t>
      </w:r>
      <w:r>
        <w:t xml:space="preserve"> </w:t>
      </w:r>
      <w:r>
        <w:t xml:space="preserve">87 This is due to the fact that many maritime operations, in particular island transport, are domestic and thus excluded</w:t>
      </w:r>
      <w:r>
        <w:t xml:space="preserve"> </w:t>
      </w:r>
      <w:r>
        <w:t xml:space="preserve">from the scope, or that the road legs are longer than allowed by the current CTD, e.g. according to ISL, KombiConsult</w:t>
      </w:r>
      <w:r>
        <w:t xml:space="preserve"> </w:t>
      </w:r>
      <w:r>
        <w:t xml:space="preserve">(2017), the median length of road legs in maritime intermodal is 98 km, while the average is 257 km, meaning that while</w:t>
      </w:r>
      <w:r>
        <w:t xml:space="preserve"> </w:t>
      </w:r>
      <w:r>
        <w:t xml:space="preserve">majority of road legs are within current length limits, some are considerably longer.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The projected growth in the different intermodal segments is defined based on the expected evolution of the</w:t>
      </w:r>
      <w:r>
        <w:t xml:space="preserve"> </w:t>
      </w:r>
      <w:r>
        <w:t xml:space="preserve">increase in the overall EU freight transport activity, and the increasing role of the unitised transport within</w:t>
      </w:r>
      <w:r>
        <w:t xml:space="preserve"> </w:t>
      </w:r>
      <w:r>
        <w:t xml:space="preserve">the EU freight market. It also takes into account the measures aimed at reducing and internalising the</w:t>
      </w:r>
      <w:r>
        <w:t xml:space="preserve"> </w:t>
      </w:r>
      <w:r>
        <w:t xml:space="preserve">external costs of transport, mentioned above, and the complex synergies between them. At the same time,</w:t>
      </w:r>
      <w:r>
        <w:t xml:space="preserve"> </w:t>
      </w:r>
      <w:r>
        <w:t xml:space="preserve">the baseline evolution for this impact assessment has been defined using a conservative approach,</w:t>
      </w:r>
      <w:r>
        <w:t xml:space="preserve"> </w:t>
      </w:r>
      <w:r>
        <w:t xml:space="preserve">considering in particular the constraints on terminal capacity88. As a result, in the baseline scenario, the total</w:t>
      </w:r>
      <w:r>
        <w:t xml:space="preserve"> </w:t>
      </w:r>
      <w:r>
        <w:t xml:space="preserve">intra-EU intermodal transport is projected to grow 33% by 2030 and 91% by 2050 (relative to 2015). By</w:t>
      </w:r>
      <w:r>
        <w:t xml:space="preserve"> </w:t>
      </w:r>
      <w:r>
        <w:t xml:space="preserve">2030, the RR will grow by 55% and by 2050 almost triple (171% relative to 2015), while IWW would grow</w:t>
      </w:r>
      <w:r>
        <w:t xml:space="preserve"> </w:t>
      </w:r>
      <w:r>
        <w:t xml:space="preserve">by 4% by 2030 and 37.4% by 2050. SSS intermodal is expected to grow by 25% by 2030 and 60% by 2050.</w:t>
      </w:r>
      <w:r>
        <w:t xml:space="preserve"> </w:t>
      </w:r>
      <w:r>
        <w:t xml:space="preserve">The operations covered by today’s CTD are expected to grow at comparable rates (Figure 8).</w:t>
      </w:r>
      <w:r>
        <w:br/>
      </w:r>
      <w:r>
        <w:t xml:space="preserve">Figure 8: Projected growth of intra-EU intermodal and combined transport in the baseline scenario</w:t>
      </w:r>
    </w:p>
    <w:p>
      <w:pPr>
        <w:pStyle w:val="BodyText"/>
      </w:pPr>
      <w:r>
        <w:t xml:space="preserve">Source: Ricardo et al. support study (2023)</w:t>
      </w:r>
      <w:r>
        <w:t xml:space="preserve"> </w:t>
      </w:r>
      <w:r>
        <w:t xml:space="preserve">Comparing the total non-road legs volume of intermodal transport with the respective total modal activity,</w:t>
      </w:r>
      <w:r>
        <w:t xml:space="preserve"> </w:t>
      </w:r>
      <w:r>
        <w:t xml:space="preserve">the intermodal transport accounted for 27.4% of all EU27 non-road freight transport activity in 2015. For</w:t>
      </w:r>
      <w:r>
        <w:t xml:space="preserve"> </w:t>
      </w:r>
      <w:r>
        <w:t xml:space="preserve">the various modes, in 2015 the share of transport activity carried on intermodal transport was 31% for rail</w:t>
      </w:r>
      <w:r>
        <w:t xml:space="preserve"> </w:t>
      </w:r>
      <w:r>
        <w:t xml:space="preserve">and 29% for SSS, while for IWW this share is lower, around 9%. In the baseline scenario, the share of</w:t>
      </w:r>
      <w:r>
        <w:t xml:space="preserve"> </w:t>
      </w:r>
      <w:r>
        <w:t xml:space="preserve">intermodal in total non-road freight is estimated to reach 28.9% in 2030 and 32.9% in 2050. The highest</w:t>
      </w:r>
      <w:r>
        <w:t xml:space="preserve"> </w:t>
      </w:r>
      <w:r>
        <w:t xml:space="preserve">increase in the share is expected in the rail intermodal sector.</w:t>
      </w:r>
      <w:r>
        <w:br/>
      </w:r>
      <w:r>
        <w:t xml:space="preserve">CO2 emissions from transport are projected to be 24% lower by 2030 compared to 2015, and 87% lower by</w:t>
      </w:r>
      <w:r>
        <w:t xml:space="preserve"> </w:t>
      </w:r>
      <w:r>
        <w:t xml:space="preserve">2050. The baseline scenario shows that the emission reductions from the transport sector would contribute</w:t>
      </w:r>
      <w:r>
        <w:t xml:space="preserve"> </w:t>
      </w:r>
      <w:r>
        <w:t xml:space="preserve">towards the ambition of at least 55% emission reductions by 2030 and climate neutrality by 2050, while</w:t>
      </w:r>
      <w:r>
        <w:t xml:space="preserve"> </w:t>
      </w:r>
      <w:r>
        <w:t xml:space="preserve">relying to a significant extent on technological solutions (i.e. the uptake of low- and zero-emission vehicles</w:t>
      </w:r>
      <w:r>
        <w:t xml:space="preserve"> </w:t>
      </w:r>
      <w:r>
        <w:t xml:space="preserve">and of renewable and low carbon fuels) and carbon pricing. This would depart from the balanced approach</w:t>
      </w:r>
      <w:r>
        <w:t xml:space="preserve"> </w:t>
      </w:r>
      <w:r>
        <w:t xml:space="preserve">underpinning the impact assessments accompanying the ‘Fit for 55’ package and the staff working</w:t>
      </w:r>
      <w:r>
        <w:t xml:space="preserve"> </w:t>
      </w:r>
      <w:r>
        <w:t xml:space="preserve">document accompanying the REPowerEU initiatives89, showing a combined approach of carbon pricing</w:t>
      </w:r>
      <w:r>
        <w:t xml:space="preserve"> </w:t>
      </w:r>
      <w:r>
        <w:t xml:space="preserve">instruments and regulatory-based measures to deliver on the increased climate ambition90. NOx emissions</w:t>
      </w:r>
      <w:r>
        <w:t xml:space="preserve"> </w:t>
      </w:r>
      <w:r>
        <w:t xml:space="preserve">are projected to go down by 56% between 2015 and 2030 (85% by 2050), mainly driven by the</w:t>
      </w:r>
    </w:p>
    <w:p>
      <w:pPr>
        <w:pStyle w:val="BodyText"/>
      </w:pPr>
      <w:r>
        <w:t xml:space="preserve">88 Terminal capacity will likely remain an issue in the immediate future especially in the rail sector until sufficient terminal</w:t>
      </w:r>
      <w:r>
        <w:t xml:space="preserve"> </w:t>
      </w:r>
      <w:r>
        <w:t xml:space="preserve">capacity, as proposed by the TEN-T Regulation revision, is ensured. The recent PWC, KombiConsult (2022) study</w:t>
      </w:r>
      <w:r>
        <w:t xml:space="preserve"> </w:t>
      </w:r>
      <w:r>
        <w:t xml:space="preserve">estimates for instance that terminal capacity in the EU will increase by only 18% until 2030, considering current plans</w:t>
      </w:r>
      <w:r>
        <w:t xml:space="preserve"> </w:t>
      </w:r>
      <w:r>
        <w:t xml:space="preserve">for both terminal upgrades and new terminal constructions.</w:t>
      </w:r>
      <w:r>
        <w:t xml:space="preserve"> </w:t>
      </w:r>
      <w:r>
        <w:t xml:space="preserve">89 SWD(2022) 230 final.</w:t>
      </w:r>
      <w:r>
        <w:t xml:space="preserve"> </w:t>
      </w:r>
      <w:r>
        <w:t xml:space="preserve">90 The scenarios underpinning the impact assessments accompanying the ‘Fit for 55’ initiatives and the staff working</w:t>
      </w:r>
      <w:r>
        <w:t xml:space="preserve"> </w:t>
      </w:r>
      <w:r>
        <w:t xml:space="preserve">document accompanying the REPowerEU initiatives incorporated a broader range of policies (including this initiative)</w:t>
      </w:r>
      <w:r>
        <w:t xml:space="preserve"> </w:t>
      </w:r>
      <w:r>
        <w:t xml:space="preserve">that were represented in a stylised way ahead of the actual proposals, to show the delivery of at least 55% emissions</w:t>
      </w:r>
      <w:r>
        <w:t xml:space="preserve"> </w:t>
      </w:r>
      <w:r>
        <w:t xml:space="preserve">reduction target by 2030 and to account for the interaction with the forthcoming initiatives. The scenario reflecting the</w:t>
      </w:r>
      <w:r>
        <w:t xml:space="preserve"> </w:t>
      </w:r>
      <w:r>
        <w:t xml:space="preserve">‘Fit for 55’ initiatives, the REPowerEU initiatives and the forthcoming initiatives shows the need to reduce emissions</w:t>
      </w:r>
      <w:r>
        <w:t xml:space="preserve"> </w:t>
      </w:r>
      <w:r>
        <w:t xml:space="preserve">from transport by 26% by 2030 relative to 2015 and by 94% by 2050. Therefore, this initiative contributes towards the at</w:t>
      </w:r>
      <w:r>
        <w:t xml:space="preserve"> </w:t>
      </w:r>
      <w:r>
        <w:t xml:space="preserve">least 55% emissions reductions target by 2030 and achieving climate neutrality by 2050.</w:t>
      </w:r>
      <w:r>
        <w:t xml:space="preserve"> </w:t>
      </w:r>
      <w:r>
        <w:t xml:space="preserve">-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Rail intermodal</w:t>
      </w:r>
      <w:r>
        <w:t xml:space="preserve"> </w:t>
      </w:r>
      <w:r>
        <w:t xml:space="preserve">IWW intermodal</w:t>
      </w:r>
      <w:r>
        <w:t xml:space="preserve"> </w:t>
      </w:r>
      <w:r>
        <w:t xml:space="preserve">SSS intermodal</w:t>
      </w:r>
      <w:r>
        <w:t xml:space="preserve"> </w:t>
      </w:r>
      <w:r>
        <w:t xml:space="preserve">Rail CTD</w:t>
      </w:r>
      <w:r>
        <w:t xml:space="preserve"> </w:t>
      </w:r>
      <w:r>
        <w:t xml:space="preserve">IWW CTD</w:t>
      </w:r>
      <w:r>
        <w:t xml:space="preserve"> </w:t>
      </w:r>
      <w:r>
        <w:t xml:space="preserve">SSS CTD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electrification of the road transport and in particular of the light duty vehicles segment. The decline in</w:t>
      </w:r>
      <w:r>
        <w:t xml:space="preserve"> </w:t>
      </w:r>
      <w:r>
        <w:t xml:space="preserve">particulate matter (PM2.5) would be slightly lower by 2030 at 52% relative to 2015 (90% by 2050).</w:t>
      </w:r>
      <w:r>
        <w:t xml:space="preserve"> </w:t>
      </w:r>
      <w:r>
        <w:t xml:space="preserve">Despite the infrastructure charges included in baseline, road freight congestion costs would continue to</w:t>
      </w:r>
      <w:r>
        <w:t xml:space="preserve"> </w:t>
      </w:r>
      <w:r>
        <w:t xml:space="preserve">increase, and are estimated to amount to EUR 752 billion, expressed as present value over 2025-205091.</w:t>
      </w:r>
      <w:r>
        <w:t xml:space="preserve"> </w:t>
      </w:r>
      <w:r>
        <w:t xml:space="preserve">Congestion on the inter-urban network would be the result of growing freight transport activity along</w:t>
      </w:r>
      <w:r>
        <w:t xml:space="preserve"> </w:t>
      </w:r>
      <w:r>
        <w:t xml:space="preserve">specific corridors, in particular where these corridors cross urban areas with heavy local traffic. External</w:t>
      </w:r>
      <w:r>
        <w:t xml:space="preserve"> </w:t>
      </w:r>
      <w:r>
        <w:t xml:space="preserve">costs of road freight accidents are also projected to remain high, at EUR 98 billion expressed as present</w:t>
      </w:r>
      <w:r>
        <w:t xml:space="preserve"> </w:t>
      </w:r>
      <w:r>
        <w:t xml:space="preserve">value over 2025-2050.</w:t>
      </w:r>
      <w:r>
        <w:br/>
      </w:r>
      <w:r>
        <w:t xml:space="preserve">The baseline scenario reflects the projected higher energy prices driven by the Russian invasion of</w:t>
      </w:r>
      <w:r>
        <w:t xml:space="preserve"> </w:t>
      </w:r>
      <w:r>
        <w:t xml:space="preserve">Ukraine92. Beyond this aspect, it was however not possible to quantify the impact of the Russian invasion</w:t>
      </w:r>
      <w:r>
        <w:t xml:space="preserve"> </w:t>
      </w:r>
      <w:r>
        <w:t xml:space="preserve">of Ukraine, as there is large uncertainty with respect to its impacts, in particular for the medium to long</w:t>
      </w:r>
      <w:r>
        <w:t xml:space="preserve"> </w:t>
      </w:r>
      <w:r>
        <w:t xml:space="preserve">term. While its impact is felt in terms of trade (e.g. grain, bulk fertilizers and hydrocarbons) and in certain</w:t>
      </w:r>
      <w:r>
        <w:t xml:space="preserve"> </w:t>
      </w:r>
      <w:r>
        <w:t xml:space="preserve">geographical areas, the impact on the baseline of this initiative is expected to be limited. The problem that</w:t>
      </w:r>
      <w:r>
        <w:t xml:space="preserve"> </w:t>
      </w:r>
      <w:r>
        <w:t xml:space="preserve">the uptake of the intermodal freight transport is insufficient for effectively contributing to the reduction of</w:t>
      </w:r>
      <w:r>
        <w:t xml:space="preserve"> </w:t>
      </w:r>
      <w:r>
        <w:t xml:space="preserve">external costs and energy consumption of transport is likely to persist.</w:t>
      </w:r>
      <w:r>
        <w:br/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5.2.1. Retained policy measures</w:t>
      </w:r>
      <w:r>
        <w:t xml:space="preserve"> </w:t>
      </w:r>
      <w:r>
        <w:t xml:space="preserve">As a first step, a comprehensive list of possible policy measures was established after consultations with</w:t>
      </w:r>
      <w:r>
        <w:t xml:space="preserve"> </w:t>
      </w:r>
      <w:r>
        <w:t xml:space="preserve">stakeholders, an expert meeting, independent research and the Commission’s own analysis. This list was screened</w:t>
      </w:r>
      <w:r>
        <w:t xml:space="preserve"> </w:t>
      </w:r>
      <w:r>
        <w:t xml:space="preserve">based on the likely effectiveness, efficiency and proportionality of the proposed measures in relation to the given</w:t>
      </w:r>
      <w:r>
        <w:t xml:space="preserve"> </w:t>
      </w:r>
      <w:r>
        <w:t xml:space="preserve">objectives, as well as their legal, political and technical feasibility. The retained policy measures have been grouped</w:t>
      </w:r>
      <w:r>
        <w:t xml:space="preserve"> </w:t>
      </w:r>
      <w:r>
        <w:t xml:space="preserve">in three policy options, with one of them having three sub-options. Table 4 presents the list of policy measures</w:t>
      </w:r>
      <w:r>
        <w:t xml:space="preserve"> </w:t>
      </w:r>
      <w:r>
        <w:t xml:space="preserve">included in the policy options, organised based on problem driver and specific objective they address. Measures</w:t>
      </w:r>
      <w:r>
        <w:t xml:space="preserve"> </w:t>
      </w:r>
      <w:r>
        <w:t xml:space="preserve">PM3 (proof of eligibility via eFTI platforms) and PM16 and PM17 (improving transparency of terminal services) are</w:t>
      </w:r>
      <w:r>
        <w:t xml:space="preserve"> </w:t>
      </w:r>
      <w:r>
        <w:t xml:space="preserve">common to all policy options.</w:t>
      </w:r>
      <w:r>
        <w:t xml:space="preserve"> </w:t>
      </w:r>
      <w:r>
        <w:t xml:space="preserve">Table 4: List of retained measures and options</w:t>
      </w:r>
      <w:r>
        <w:t xml:space="preserve"> </w:t>
      </w:r>
      <w:r>
        <w:t xml:space="preserve">No</w:t>
      </w:r>
      <w:r>
        <w:t xml:space="preserve"> </w:t>
      </w:r>
      <w:r>
        <w:t xml:space="preserve">Categories measures by</w:t>
      </w:r>
      <w:r>
        <w:t xml:space="preserve"> </w:t>
      </w:r>
      <w:r>
        <w:t xml:space="preserve">thematic area</w:t>
      </w:r>
      <w:r>
        <w:t xml:space="preserve"> </w:t>
      </w:r>
      <w:r>
        <w:t xml:space="preserve">Proble</w:t>
      </w:r>
      <w:r>
        <w:t xml:space="preserve"> </w:t>
      </w:r>
      <w:r>
        <w:t xml:space="preserve">m</w:t>
      </w:r>
      <w:r>
        <w:t xml:space="preserve"> </w:t>
      </w:r>
      <w:r>
        <w:t xml:space="preserve">drivers</w:t>
      </w:r>
      <w:r>
        <w:t xml:space="preserve"> </w:t>
      </w:r>
      <w:r>
        <w:t xml:space="preserve">and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</w:t>
      </w:r>
      <w:r>
        <w:t xml:space="preserve"> </w:t>
      </w:r>
      <w:r>
        <w:t xml:space="preserve">es</w:t>
      </w:r>
      <w:r>
        <w:br/>
      </w:r>
      <w:r>
        <w:t xml:space="preserve">PO-</w:t>
      </w:r>
      <w:r>
        <w:t xml:space="preserve"> </w:t>
      </w:r>
      <w:r>
        <w:t xml:space="preserve">A</w:t>
      </w:r>
      <w:r>
        <w:t xml:space="preserve"> </w:t>
      </w:r>
      <w:r>
        <w:t xml:space="preserve">PO-</w:t>
      </w:r>
      <w:r>
        <w:t xml:space="preserve"> </w:t>
      </w:r>
      <w:r>
        <w:t xml:space="preserve">B1</w:t>
      </w:r>
      <w:r>
        <w:t xml:space="preserve"> </w:t>
      </w:r>
      <w:r>
        <w:t xml:space="preserve">PO-</w:t>
      </w:r>
      <w:r>
        <w:t xml:space="preserve"> </w:t>
      </w:r>
      <w:r>
        <w:t xml:space="preserve">B2a</w:t>
      </w:r>
      <w:r>
        <w:t xml:space="preserve"> </w:t>
      </w:r>
      <w:r>
        <w:t xml:space="preserve">PO-</w:t>
      </w:r>
      <w:r>
        <w:t xml:space="preserve"> </w:t>
      </w:r>
      <w:r>
        <w:t xml:space="preserve">B2b</w:t>
      </w:r>
      <w:r>
        <w:t xml:space="preserve"> </w:t>
      </w:r>
      <w:r>
        <w:t xml:space="preserve">PO-C</w:t>
      </w:r>
    </w:p>
    <w:p>
      <w:pPr>
        <w:pStyle w:val="BodyText"/>
      </w:pPr>
      <w:r>
        <w:t xml:space="preserve">Provide support to a wider range of operations under effective eligibility</w:t>
      </w:r>
      <w:r>
        <w:t xml:space="preserve"> </w:t>
      </w:r>
      <w:r>
        <w:t xml:space="preserve">conditions</w:t>
      </w:r>
      <w:r>
        <w:t xml:space="preserve"> </w:t>
      </w:r>
      <w:r>
        <w:t xml:space="preserve">PM1</w:t>
      </w:r>
      <w:r>
        <w:t xml:space="preserve"> </w:t>
      </w:r>
      <w:r>
        <w:t xml:space="preserve">Include in the scope all intermodal</w:t>
      </w:r>
      <w:r>
        <w:t xml:space="preserve"> </w:t>
      </w:r>
      <w:r>
        <w:t xml:space="preserve">operations in the EU that save</w:t>
      </w:r>
      <w:r>
        <w:t xml:space="preserve"> </w:t>
      </w:r>
      <w:r>
        <w:t xml:space="preserve">25% GHG when using intermodal</w:t>
      </w:r>
      <w:r>
        <w:t xml:space="preserve"> </w:t>
      </w:r>
      <w:r>
        <w:t xml:space="preserve">operation instead of road-only;</w:t>
      </w:r>
      <w:r>
        <w:t xml:space="preserve"> </w:t>
      </w:r>
      <w:r>
        <w:t xml:space="preserve">calculation of GHG savings is</w:t>
      </w:r>
      <w:r>
        <w:t xml:space="preserve"> </w:t>
      </w:r>
      <w:r>
        <w:t xml:space="preserve">based on common EU</w:t>
      </w:r>
      <w:r>
        <w:t xml:space="preserve"> </w:t>
      </w:r>
      <w:r>
        <w:t xml:space="preserve">methodology (CEEU)</w:t>
      </w:r>
      <w:r>
        <w:t xml:space="preserve"> </w:t>
      </w:r>
      <w:r>
        <w:t xml:space="preserve">PD1</w:t>
      </w:r>
      <w:r>
        <w:t xml:space="preserve"> </w:t>
      </w:r>
      <w:r>
        <w:t xml:space="preserve">SO1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PM2</w:t>
      </w:r>
      <w:r>
        <w:t xml:space="preserve"> </w:t>
      </w:r>
      <w:r>
        <w:t xml:space="preserve">all-</w:t>
      </w:r>
      <w:r>
        <w:t xml:space="preserve"> </w:t>
      </w:r>
      <w:r>
        <w:t xml:space="preserve">intra</w:t>
      </w:r>
      <w:r>
        <w:t xml:space="preserve"> </w:t>
      </w:r>
      <w:r>
        <w:t xml:space="preserve">-EU</w:t>
      </w:r>
      <w:r>
        <w:t xml:space="preserve"> </w:t>
      </w:r>
      <w:r>
        <w:t xml:space="preserve">Include in the scope all intermodal</w:t>
      </w:r>
      <w:r>
        <w:t xml:space="preserve"> </w:t>
      </w:r>
      <w:r>
        <w:t xml:space="preserve">operations in the EU that save</w:t>
      </w:r>
      <w:r>
        <w:t xml:space="preserve"> </w:t>
      </w:r>
      <w:r>
        <w:t xml:space="preserve">40% external costs when using</w:t>
      </w:r>
      <w:r>
        <w:t xml:space="preserve"> </w:t>
      </w:r>
      <w:r>
        <w:t xml:space="preserve">intermodal operation instead of</w:t>
      </w:r>
      <w:r>
        <w:t xml:space="preserve"> </w:t>
      </w:r>
      <w:r>
        <w:t xml:space="preserve">road-only; calculation of external</w:t>
      </w:r>
      <w:r>
        <w:t xml:space="preserve"> </w:t>
      </w:r>
      <w:r>
        <w:t xml:space="preserve">costs is based on common EU</w:t>
      </w:r>
      <w:r>
        <w:t xml:space="preserve"> </w:t>
      </w:r>
      <w:r>
        <w:t xml:space="preserve">methodology based on the unit</w:t>
      </w:r>
      <w:r>
        <w:t xml:space="preserve"> </w:t>
      </w:r>
      <w:r>
        <w:t xml:space="preserve">PD1</w:t>
      </w:r>
      <w:r>
        <w:t xml:space="preserve"> </w:t>
      </w:r>
      <w:r>
        <w:t xml:space="preserve">SO1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91 Road congestion costs cover both the road legs of intermodal transport operations and road-only transport operations.</w:t>
      </w:r>
      <w:r>
        <w:br/>
      </w:r>
      <w:r>
        <w:t xml:space="preserve">92 SWD(2022) 230 final.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No</w:t>
      </w:r>
      <w:r>
        <w:t xml:space="preserve"> </w:t>
      </w:r>
      <w:r>
        <w:t xml:space="preserve">Categories measures by</w:t>
      </w:r>
      <w:r>
        <w:t xml:space="preserve"> </w:t>
      </w:r>
      <w:r>
        <w:t xml:space="preserve">thematic area</w:t>
      </w:r>
      <w:r>
        <w:t xml:space="preserve"> </w:t>
      </w:r>
      <w:r>
        <w:t xml:space="preserve">Proble</w:t>
      </w:r>
      <w:r>
        <w:t xml:space="preserve"> </w:t>
      </w:r>
      <w:r>
        <w:t xml:space="preserve">m</w:t>
      </w:r>
      <w:r>
        <w:t xml:space="preserve"> </w:t>
      </w:r>
      <w:r>
        <w:t xml:space="preserve">drivers</w:t>
      </w:r>
      <w:r>
        <w:t xml:space="preserve"> </w:t>
      </w:r>
      <w:r>
        <w:t xml:space="preserve">and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</w:t>
      </w:r>
      <w:r>
        <w:t xml:space="preserve"> </w:t>
      </w:r>
      <w:r>
        <w:t xml:space="preserve">es</w:t>
      </w:r>
      <w:r>
        <w:br/>
      </w:r>
      <w:r>
        <w:t xml:space="preserve">PO-</w:t>
      </w:r>
      <w:r>
        <w:t xml:space="preserve"> </w:t>
      </w:r>
      <w:r>
        <w:t xml:space="preserve">A</w:t>
      </w:r>
      <w:r>
        <w:t xml:space="preserve"> </w:t>
      </w:r>
      <w:r>
        <w:t xml:space="preserve">PO-</w:t>
      </w:r>
      <w:r>
        <w:t xml:space="preserve"> </w:t>
      </w:r>
      <w:r>
        <w:t xml:space="preserve">B1</w:t>
      </w:r>
      <w:r>
        <w:t xml:space="preserve"> </w:t>
      </w:r>
      <w:r>
        <w:t xml:space="preserve">PO-</w:t>
      </w:r>
      <w:r>
        <w:t xml:space="preserve"> </w:t>
      </w:r>
      <w:r>
        <w:t xml:space="preserve">B2a</w:t>
      </w:r>
      <w:r>
        <w:t xml:space="preserve"> </w:t>
      </w:r>
      <w:r>
        <w:t xml:space="preserve">PO-</w:t>
      </w:r>
      <w:r>
        <w:t xml:space="preserve"> </w:t>
      </w:r>
      <w:r>
        <w:t xml:space="preserve">B2b</w:t>
      </w:r>
      <w:r>
        <w:t xml:space="preserve"> </w:t>
      </w:r>
      <w:r>
        <w:t xml:space="preserve">PO-C</w:t>
      </w:r>
      <w:r>
        <w:t xml:space="preserve"> </w:t>
      </w:r>
      <w:r>
        <w:t xml:space="preserve">values from the Handbook93,</w:t>
      </w:r>
      <w:r>
        <w:t xml:space="preserve"> </w:t>
      </w:r>
      <w:r>
        <w:t xml:space="preserve">established by means of an</w:t>
      </w:r>
      <w:r>
        <w:t xml:space="preserve"> </w:t>
      </w:r>
      <w:r>
        <w:t xml:space="preserve">implementing act</w:t>
      </w:r>
      <w:r>
        <w:t xml:space="preserve"> </w:t>
      </w:r>
      <w:r>
        <w:t xml:space="preserve">PM2</w:t>
      </w:r>
      <w:r>
        <w:t xml:space="preserve"> </w:t>
      </w:r>
      <w:r>
        <w:t xml:space="preserve">cross</w:t>
      </w:r>
      <w:r>
        <w:t xml:space="preserve"> </w:t>
      </w:r>
      <w:r>
        <w:t xml:space="preserve">-</w:t>
      </w:r>
      <w:r>
        <w:t xml:space="preserve"> </w:t>
      </w:r>
      <w:r>
        <w:t xml:space="preserve">bord</w:t>
      </w:r>
      <w:r>
        <w:t xml:space="preserve"> </w:t>
      </w:r>
      <w:r>
        <w:t xml:space="preserve">er</w:t>
      </w:r>
      <w:r>
        <w:t xml:space="preserve"> </w:t>
      </w:r>
      <w:r>
        <w:t xml:space="preserve">Include in the scope only cross-</w:t>
      </w:r>
      <w:r>
        <w:t xml:space="preserve"> </w:t>
      </w:r>
      <w:r>
        <w:t xml:space="preserve">border intermodal operations in</w:t>
      </w:r>
      <w:r>
        <w:t xml:space="preserve"> </w:t>
      </w:r>
      <w:r>
        <w:t xml:space="preserve">the EU that save 40% external</w:t>
      </w:r>
      <w:r>
        <w:t xml:space="preserve"> </w:t>
      </w:r>
      <w:r>
        <w:t xml:space="preserve">costs when using intermodal</w:t>
      </w:r>
      <w:r>
        <w:t xml:space="preserve"> </w:t>
      </w:r>
      <w:r>
        <w:t xml:space="preserve">operation instead of road-only;</w:t>
      </w:r>
      <w:r>
        <w:t xml:space="preserve"> </w:t>
      </w:r>
      <w:r>
        <w:t xml:space="preserve">calculation of external costs is</w:t>
      </w:r>
      <w:r>
        <w:t xml:space="preserve"> </w:t>
      </w:r>
      <w:r>
        <w:t xml:space="preserve">based on common EU</w:t>
      </w:r>
      <w:r>
        <w:t xml:space="preserve"> </w:t>
      </w:r>
      <w:r>
        <w:t xml:space="preserve">methodology based on the unit</w:t>
      </w:r>
      <w:r>
        <w:t xml:space="preserve"> </w:t>
      </w:r>
      <w:r>
        <w:t xml:space="preserve">values from the Handbook,</w:t>
      </w:r>
      <w:r>
        <w:t xml:space="preserve"> </w:t>
      </w:r>
      <w:r>
        <w:t xml:space="preserve">established by means of an</w:t>
      </w:r>
      <w:r>
        <w:t xml:space="preserve"> </w:t>
      </w:r>
      <w:r>
        <w:t xml:space="preserve">implementing act</w:t>
      </w:r>
      <w:r>
        <w:t xml:space="preserve"> </w:t>
      </w:r>
      <w:r>
        <w:t xml:space="preserve">PD1</w:t>
      </w:r>
      <w:r>
        <w:t xml:space="preserve"> </w:t>
      </w:r>
      <w:r>
        <w:t xml:space="preserve">SO1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PM3</w:t>
      </w:r>
      <w:r>
        <w:t xml:space="preserve"> </w:t>
      </w:r>
      <w:r>
        <w:t xml:space="preserve">Establish common data set for</w:t>
      </w:r>
      <w:r>
        <w:t xml:space="preserve"> </w:t>
      </w:r>
      <w:r>
        <w:t xml:space="preserve">proof of eligibility with</w:t>
      </w:r>
      <w:r>
        <w:t xml:space="preserve"> </w:t>
      </w:r>
      <w:r>
        <w:t xml:space="preserve">implementation via eFTI platforms</w:t>
      </w:r>
      <w:r>
        <w:br/>
      </w:r>
      <w:r>
        <w:t xml:space="preserve">PD1</w:t>
      </w:r>
      <w:r>
        <w:t xml:space="preserve"> </w:t>
      </w:r>
      <w:r>
        <w:t xml:space="preserve">SO1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Ensure better support by improving reporting on the multimodal/</w:t>
      </w:r>
      <w:r>
        <w:t xml:space="preserve"> </w:t>
      </w:r>
      <w:r>
        <w:t xml:space="preserve">intermodal transport</w:t>
      </w:r>
      <w:r>
        <w:br/>
      </w:r>
      <w:r>
        <w:t xml:space="preserve">PM4</w:t>
      </w:r>
      <w:r>
        <w:t xml:space="preserve"> </w:t>
      </w:r>
      <w:r>
        <w:t xml:space="preserve">Replace reporting by the</w:t>
      </w:r>
      <w:r>
        <w:t xml:space="preserve"> </w:t>
      </w:r>
      <w:r>
        <w:t xml:space="preserve">Commission with Member States’</w:t>
      </w:r>
      <w:r>
        <w:t xml:space="preserve"> </w:t>
      </w:r>
      <w:r>
        <w:t xml:space="preserve">voluntary analysis and strategic</w:t>
      </w:r>
      <w:r>
        <w:t xml:space="preserve"> </w:t>
      </w:r>
      <w:r>
        <w:t xml:space="preserve">planning for sustainable freight</w:t>
      </w:r>
      <w:r>
        <w:t xml:space="preserve"> </w:t>
      </w:r>
      <w:r>
        <w:t xml:space="preserve">transport</w:t>
      </w:r>
      <w:r>
        <w:br/>
      </w:r>
      <w:r>
        <w:t xml:space="preserve">PD2</w:t>
      </w:r>
      <w:r>
        <w:t xml:space="preserve"> </w:t>
      </w:r>
      <w:r>
        <w:t xml:space="preserve">SO2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PM5</w:t>
      </w:r>
      <w:r>
        <w:t xml:space="preserve"> </w:t>
      </w:r>
      <w:r>
        <w:t xml:space="preserve">Replace reporting by the</w:t>
      </w:r>
      <w:r>
        <w:t xml:space="preserve"> </w:t>
      </w:r>
      <w:r>
        <w:t xml:space="preserve">Commission with Member States’</w:t>
      </w:r>
      <w:r>
        <w:t xml:space="preserve"> </w:t>
      </w:r>
      <w:r>
        <w:t xml:space="preserve">mandatory analysis and strategic</w:t>
      </w:r>
      <w:r>
        <w:t xml:space="preserve"> </w:t>
      </w:r>
      <w:r>
        <w:t xml:space="preserve">planning for all freight transport</w:t>
      </w:r>
      <w:r>
        <w:t xml:space="preserve"> </w:t>
      </w:r>
      <w:r>
        <w:t xml:space="preserve">system (cross-modal). An</w:t>
      </w:r>
      <w:r>
        <w:t xml:space="preserve"> </w:t>
      </w:r>
      <w:r>
        <w:t xml:space="preserve">obligation to regularly review the</w:t>
      </w:r>
      <w:r>
        <w:t xml:space="preserve"> </w:t>
      </w:r>
      <w:r>
        <w:t xml:space="preserve">measures.</w:t>
      </w:r>
      <w:r>
        <w:br/>
      </w:r>
      <w:r>
        <w:t xml:space="preserve">PD2</w:t>
      </w:r>
      <w:r>
        <w:t xml:space="preserve"> </w:t>
      </w:r>
      <w:r>
        <w:t xml:space="preserve">SO2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PM6</w:t>
      </w:r>
      <w:r>
        <w:t xml:space="preserve"> </w:t>
      </w:r>
      <w:r>
        <w:t xml:space="preserve">Reporting by the Commission with</w:t>
      </w:r>
      <w:r>
        <w:t xml:space="preserve"> </w:t>
      </w:r>
      <w:r>
        <w:t xml:space="preserve">revised monitoring data and</w:t>
      </w:r>
      <w:r>
        <w:t xml:space="preserve"> </w:t>
      </w:r>
      <w:r>
        <w:t xml:space="preserve">reporting period, including a</w:t>
      </w:r>
      <w:r>
        <w:t xml:space="preserve"> </w:t>
      </w:r>
      <w:r>
        <w:t xml:space="preserve">review clause for reassessing the</w:t>
      </w:r>
      <w:r>
        <w:t xml:space="preserve"> </w:t>
      </w:r>
      <w:r>
        <w:t xml:space="preserve">support regime established in the</w:t>
      </w:r>
      <w:r>
        <w:t xml:space="preserve"> </w:t>
      </w:r>
      <w:r>
        <w:t xml:space="preserve">CTD.</w:t>
      </w:r>
      <w:r>
        <w:br/>
      </w:r>
      <w:r>
        <w:t xml:space="preserve">Obligation for Member States to</w:t>
      </w:r>
      <w:r>
        <w:t xml:space="preserve"> </w:t>
      </w:r>
      <w:r>
        <w:t xml:space="preserve">notify ex ante their support</w:t>
      </w:r>
      <w:r>
        <w:t xml:space="preserve"> </w:t>
      </w:r>
      <w:r>
        <w:t xml:space="preserve">schemes, which the Commission</w:t>
      </w:r>
      <w:r>
        <w:t xml:space="preserve"> </w:t>
      </w:r>
      <w:r>
        <w:t xml:space="preserve">has to make available in a</w:t>
      </w:r>
      <w:r>
        <w:t xml:space="preserve"> </w:t>
      </w:r>
      <w:r>
        <w:t xml:space="preserve">common website</w:t>
      </w:r>
      <w:r>
        <w:br/>
      </w:r>
      <w:r>
        <w:t xml:space="preserve">PD2</w:t>
      </w:r>
      <w:r>
        <w:t xml:space="preserve"> </w:t>
      </w:r>
      <w:r>
        <w:t xml:space="preserve">SO2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Increase competitiveness of multimodal/ intermodal transport</w:t>
      </w:r>
      <w:r>
        <w:t xml:space="preserve"> </w:t>
      </w:r>
      <w:r>
        <w:t xml:space="preserve">PM7</w:t>
      </w:r>
      <w:r>
        <w:t xml:space="preserve"> </w:t>
      </w:r>
      <w:r>
        <w:t xml:space="preserve">Mandatory harmonised support,</w:t>
      </w:r>
      <w:r>
        <w:t xml:space="preserve"> </w:t>
      </w:r>
      <w:r>
        <w:t xml:space="preserve">does not constitute State aid:</w:t>
      </w:r>
      <w:r>
        <w:t xml:space="preserve"> </w:t>
      </w:r>
      <w:r>
        <w:t xml:space="preserve">harmonised obligation on Member</w:t>
      </w:r>
      <w:r>
        <w:t xml:space="preserve"> </w:t>
      </w:r>
      <w:r>
        <w:t xml:space="preserve">States to provide support with an</w:t>
      </w:r>
      <w:r>
        <w:t xml:space="preserve"> </w:t>
      </w:r>
      <w:r>
        <w:t xml:space="preserve">aim to reduce door-to-door costs</w:t>
      </w:r>
      <w:r>
        <w:t xml:space="preserve"> </w:t>
      </w:r>
      <w:r>
        <w:t xml:space="preserve">of intermodal operations at a level</w:t>
      </w:r>
      <w:r>
        <w:t xml:space="preserve"> </w:t>
      </w:r>
      <w:r>
        <w:t xml:space="preserve">that induces modal shift; remove</w:t>
      </w:r>
      <w:r>
        <w:t xml:space="preserve"> </w:t>
      </w:r>
      <w:r>
        <w:t xml:space="preserve">PD3</w:t>
      </w:r>
      <w:r>
        <w:t xml:space="preserve"> </w:t>
      </w:r>
      <w:r>
        <w:t xml:space="preserve">SO3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93 The Handbook on the external costs of transport CE Delft et al. (2019). op.cit.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No</w:t>
      </w:r>
      <w:r>
        <w:t xml:space="preserve"> </w:t>
      </w:r>
      <w:r>
        <w:t xml:space="preserve">Categories measures by</w:t>
      </w:r>
      <w:r>
        <w:t xml:space="preserve"> </w:t>
      </w:r>
      <w:r>
        <w:t xml:space="preserve">thematic area</w:t>
      </w:r>
      <w:r>
        <w:t xml:space="preserve"> </w:t>
      </w:r>
      <w:r>
        <w:t xml:space="preserve">Proble</w:t>
      </w:r>
      <w:r>
        <w:t xml:space="preserve"> </w:t>
      </w:r>
      <w:r>
        <w:t xml:space="preserve">m</w:t>
      </w:r>
      <w:r>
        <w:t xml:space="preserve"> </w:t>
      </w:r>
      <w:r>
        <w:t xml:space="preserve">drivers</w:t>
      </w:r>
      <w:r>
        <w:t xml:space="preserve"> </w:t>
      </w:r>
      <w:r>
        <w:t xml:space="preserve">and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</w:t>
      </w:r>
      <w:r>
        <w:t xml:space="preserve"> </w:t>
      </w:r>
      <w:r>
        <w:t xml:space="preserve">es</w:t>
      </w:r>
      <w:r>
        <w:br/>
      </w:r>
      <w:r>
        <w:t xml:space="preserve">PO-</w:t>
      </w:r>
      <w:r>
        <w:t xml:space="preserve"> </w:t>
      </w:r>
      <w:r>
        <w:t xml:space="preserve">A</w:t>
      </w:r>
      <w:r>
        <w:t xml:space="preserve"> </w:t>
      </w:r>
      <w:r>
        <w:t xml:space="preserve">PO-</w:t>
      </w:r>
      <w:r>
        <w:t xml:space="preserve"> </w:t>
      </w:r>
      <w:r>
        <w:t xml:space="preserve">B1</w:t>
      </w:r>
      <w:r>
        <w:t xml:space="preserve"> </w:t>
      </w:r>
      <w:r>
        <w:t xml:space="preserve">PO-</w:t>
      </w:r>
      <w:r>
        <w:t xml:space="preserve"> </w:t>
      </w:r>
      <w:r>
        <w:t xml:space="preserve">B2a</w:t>
      </w:r>
      <w:r>
        <w:t xml:space="preserve"> </w:t>
      </w:r>
      <w:r>
        <w:t xml:space="preserve">PO-</w:t>
      </w:r>
      <w:r>
        <w:t xml:space="preserve"> </w:t>
      </w:r>
      <w:r>
        <w:t xml:space="preserve">B2b</w:t>
      </w:r>
      <w:r>
        <w:t xml:space="preserve"> </w:t>
      </w:r>
      <w:r>
        <w:t xml:space="preserve">PO-C</w:t>
      </w:r>
      <w:r>
        <w:t xml:space="preserve"> </w:t>
      </w:r>
      <w:r>
        <w:t xml:space="preserve">all existing regulatory measures</w:t>
      </w:r>
      <w:r>
        <w:t xml:space="preserve"> </w:t>
      </w:r>
      <w:r>
        <w:t xml:space="preserve">(Articles 2, 4, 7, 8, 9)</w:t>
      </w:r>
      <w:r>
        <w:t xml:space="preserve"> </w:t>
      </w:r>
      <w:r>
        <w:t xml:space="preserve">PM8</w:t>
      </w:r>
      <w:r>
        <w:t xml:space="preserve"> </w:t>
      </w:r>
      <w:r>
        <w:t xml:space="preserve">Voluntary non-harmonised</w:t>
      </w:r>
      <w:r>
        <w:t xml:space="preserve"> </w:t>
      </w:r>
      <w:r>
        <w:t xml:space="preserve">support, the State aid rules apply</w:t>
      </w:r>
      <w:r>
        <w:t xml:space="preserve"> </w:t>
      </w:r>
      <w:r>
        <w:t xml:space="preserve">where relevant: call on Member</w:t>
      </w:r>
      <w:r>
        <w:t xml:space="preserve"> </w:t>
      </w:r>
      <w:r>
        <w:t xml:space="preserve">States to use operational support</w:t>
      </w:r>
      <w:r>
        <w:t xml:space="preserve"> </w:t>
      </w:r>
      <w:r>
        <w:t xml:space="preserve">tools from the Toolbox with an</w:t>
      </w:r>
      <w:r>
        <w:t xml:space="preserve"> </w:t>
      </w:r>
      <w:r>
        <w:t xml:space="preserve">aim to reduce door-to-door costs</w:t>
      </w:r>
      <w:r>
        <w:t xml:space="preserve"> </w:t>
      </w:r>
      <w:r>
        <w:t xml:space="preserve">of intermodal operations at a level</w:t>
      </w:r>
      <w:r>
        <w:t xml:space="preserve"> </w:t>
      </w:r>
      <w:r>
        <w:t xml:space="preserve">that induces modal shift</w:t>
      </w:r>
      <w:r>
        <w:t xml:space="preserve"> </w:t>
      </w:r>
      <w:r>
        <w:t xml:space="preserve">PD3</w:t>
      </w:r>
      <w:r>
        <w:t xml:space="preserve"> </w:t>
      </w:r>
      <w:r>
        <w:t xml:space="preserve">SO3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PM9</w:t>
      </w:r>
      <w:r>
        <w:t xml:space="preserve"> </w:t>
      </w:r>
      <w:r>
        <w:t xml:space="preserve">Mandatory non-harmonised</w:t>
      </w:r>
      <w:r>
        <w:t xml:space="preserve"> </w:t>
      </w:r>
      <w:r>
        <w:t xml:space="preserve">support, the State aid rules apply</w:t>
      </w:r>
      <w:r>
        <w:t xml:space="preserve"> </w:t>
      </w:r>
      <w:r>
        <w:t xml:space="preserve">where relevant: obligation on</w:t>
      </w:r>
      <w:r>
        <w:t xml:space="preserve"> </w:t>
      </w:r>
      <w:r>
        <w:t xml:space="preserve">Member States to have at least</w:t>
      </w:r>
      <w:r>
        <w:t xml:space="preserve"> </w:t>
      </w:r>
      <w:r>
        <w:t xml:space="preserve">one operational support tool from</w:t>
      </w:r>
      <w:r>
        <w:t xml:space="preserve"> </w:t>
      </w:r>
      <w:r>
        <w:t xml:space="preserve">the Toolbox with an aim to reduce</w:t>
      </w:r>
      <w:r>
        <w:t xml:space="preserve"> </w:t>
      </w:r>
      <w:r>
        <w:t xml:space="preserve">door-to-door costs of intermodal</w:t>
      </w:r>
      <w:r>
        <w:t xml:space="preserve"> </w:t>
      </w:r>
      <w:r>
        <w:t xml:space="preserve">operation at a level that induces</w:t>
      </w:r>
      <w:r>
        <w:t xml:space="preserve"> </w:t>
      </w:r>
      <w:r>
        <w:t xml:space="preserve">modal shift</w:t>
      </w:r>
      <w:r>
        <w:t xml:space="preserve"> </w:t>
      </w:r>
      <w:r>
        <w:t xml:space="preserve">PD3</w:t>
      </w:r>
      <w:r>
        <w:t xml:space="preserve"> </w:t>
      </w:r>
      <w:r>
        <w:t xml:space="preserve">SO3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PM1</w:t>
      </w:r>
      <w:r>
        <w:t xml:space="preserve"> </w:t>
      </w:r>
      <w:r>
        <w:t xml:space="preserve">0</w:t>
      </w:r>
      <w:r>
        <w:t xml:space="preserve"> </w:t>
      </w:r>
      <w:r>
        <w:t xml:space="preserve">Voluntary support, the State aid</w:t>
      </w:r>
      <w:r>
        <w:t xml:space="preserve"> </w:t>
      </w:r>
      <w:r>
        <w:t xml:space="preserve">rules apply where relevant: call on</w:t>
      </w:r>
      <w:r>
        <w:t xml:space="preserve"> </w:t>
      </w:r>
      <w:r>
        <w:t xml:space="preserve">Member States to provide start-up</w:t>
      </w:r>
      <w:r>
        <w:t xml:space="preserve"> </w:t>
      </w:r>
      <w:r>
        <w:t xml:space="preserve">support</w:t>
      </w:r>
      <w:r>
        <w:t xml:space="preserve"> </w:t>
      </w:r>
      <w:r>
        <w:t xml:space="preserve">PD3</w:t>
      </w:r>
      <w:r>
        <w:t xml:space="preserve"> </w:t>
      </w:r>
      <w:r>
        <w:t xml:space="preserve">SO3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PM1</w:t>
      </w:r>
      <w:r>
        <w:t xml:space="preserve"> </w:t>
      </w:r>
      <w:r>
        <w:t xml:space="preserve">1</w:t>
      </w:r>
      <w:r>
        <w:t xml:space="preserve"> </w:t>
      </w:r>
      <w:r>
        <w:t xml:space="preserve">Mandatory non-harmonised</w:t>
      </w:r>
      <w:r>
        <w:t xml:space="preserve"> </w:t>
      </w:r>
      <w:r>
        <w:t xml:space="preserve">support, the State aid rules apply</w:t>
      </w:r>
      <w:r>
        <w:t xml:space="preserve"> </w:t>
      </w:r>
      <w:r>
        <w:t xml:space="preserve">where relevant: obligation on</w:t>
      </w:r>
      <w:r>
        <w:t xml:space="preserve"> </w:t>
      </w:r>
      <w:r>
        <w:t xml:space="preserve">Member States to have at least</w:t>
      </w:r>
      <w:r>
        <w:t xml:space="preserve"> </w:t>
      </w:r>
      <w:r>
        <w:t xml:space="preserve">one technological upgrade support</w:t>
      </w:r>
      <w:r>
        <w:t xml:space="preserve"> </w:t>
      </w:r>
      <w:r>
        <w:t xml:space="preserve">measure from the Toolbox</w:t>
      </w:r>
      <w:r>
        <w:t xml:space="preserve"> </w:t>
      </w:r>
      <w:r>
        <w:t xml:space="preserve">PD3</w:t>
      </w:r>
      <w:r>
        <w:t xml:space="preserve"> </w:t>
      </w:r>
      <w:r>
        <w:t xml:space="preserve">SO3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PM1</w:t>
      </w:r>
      <w:r>
        <w:t xml:space="preserve"> </w:t>
      </w:r>
      <w:r>
        <w:t xml:space="preserve">2</w:t>
      </w:r>
      <w:r>
        <w:t xml:space="preserve"> </w:t>
      </w:r>
      <w:r>
        <w:t xml:space="preserve">Limit the direct financial support</w:t>
      </w:r>
      <w:r>
        <w:t xml:space="preserve"> </w:t>
      </w:r>
      <w:r>
        <w:t xml:space="preserve">only to short and medium-long</w:t>
      </w:r>
      <w:r>
        <w:t xml:space="preserve"> </w:t>
      </w:r>
      <w:r>
        <w:t xml:space="preserve">operations that are normally not</w:t>
      </w:r>
      <w:r>
        <w:t xml:space="preserve"> </w:t>
      </w:r>
      <w:r>
        <w:t xml:space="preserve">cost-competitive with road-only</w:t>
      </w:r>
      <w:r>
        <w:t xml:space="preserve"> </w:t>
      </w:r>
      <w:r>
        <w:t xml:space="preserve">transport (mode specific</w:t>
      </w:r>
      <w:r>
        <w:t xml:space="preserve"> </w:t>
      </w:r>
      <w:r>
        <w:t xml:space="preserve">thresholds)</w:t>
      </w:r>
      <w:r>
        <w:t xml:space="preserve"> </w:t>
      </w:r>
      <w:r>
        <w:t xml:space="preserve">PD3</w:t>
      </w:r>
      <w:r>
        <w:t xml:space="preserve"> </w:t>
      </w:r>
      <w:r>
        <w:t xml:space="preserve">SO3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PM1</w:t>
      </w:r>
      <w:r>
        <w:t xml:space="preserve"> </w:t>
      </w:r>
      <w:r>
        <w:t xml:space="preserve">3</w:t>
      </w:r>
      <w:r>
        <w:t xml:space="preserve"> </w:t>
      </w:r>
      <w:r>
        <w:t xml:space="preserve">Exempt road-legs of eligible</w:t>
      </w:r>
      <w:r>
        <w:t xml:space="preserve"> </w:t>
      </w:r>
      <w:r>
        <w:t xml:space="preserve">operations from weekend and</w:t>
      </w:r>
      <w:r>
        <w:t xml:space="preserve"> </w:t>
      </w:r>
      <w:r>
        <w:t xml:space="preserve">holiday driving bans</w:t>
      </w:r>
      <w:r>
        <w:br/>
      </w:r>
      <w:r>
        <w:t xml:space="preserve">PD3</w:t>
      </w:r>
      <w:r>
        <w:t xml:space="preserve"> </w:t>
      </w:r>
      <w:r>
        <w:t xml:space="preserve">SO3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Improve transparency and cooperation and simplify entry to the market</w:t>
      </w:r>
      <w:r>
        <w:t xml:space="preserve"> </w:t>
      </w:r>
      <w:r>
        <w:t xml:space="preserve">PM1</w:t>
      </w:r>
      <w:r>
        <w:t xml:space="preserve"> </w:t>
      </w:r>
      <w:r>
        <w:t xml:space="preserve">4</w:t>
      </w:r>
      <w:r>
        <w:t xml:space="preserve"> </w:t>
      </w:r>
      <w:r>
        <w:t xml:space="preserve">Define a data set for information</w:t>
      </w:r>
      <w:r>
        <w:t xml:space="preserve"> </w:t>
      </w:r>
      <w:r>
        <w:t xml:space="preserve">to be shared between parties of</w:t>
      </w:r>
      <w:r>
        <w:t xml:space="preserve"> </w:t>
      </w:r>
      <w:r>
        <w:t xml:space="preserve">transport chain by means of an</w:t>
      </w:r>
      <w:r>
        <w:t xml:space="preserve"> </w:t>
      </w:r>
      <w:r>
        <w:t xml:space="preserve">implementing or delegated act</w:t>
      </w:r>
      <w:r>
        <w:t xml:space="preserve"> </w:t>
      </w:r>
      <w:r>
        <w:t xml:space="preserve">PD4</w:t>
      </w:r>
      <w:r>
        <w:t xml:space="preserve"> </w:t>
      </w:r>
      <w:r>
        <w:t xml:space="preserve">SO4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PM1</w:t>
      </w:r>
      <w:r>
        <w:t xml:space="preserve"> </w:t>
      </w:r>
      <w:r>
        <w:t xml:space="preserve">5</w:t>
      </w:r>
      <w:r>
        <w:t xml:space="preserve"> </w:t>
      </w:r>
      <w:r>
        <w:t xml:space="preserve">Establish an obligation to use</w:t>
      </w:r>
      <w:r>
        <w:t xml:space="preserve"> </w:t>
      </w:r>
      <w:r>
        <w:t xml:space="preserve">common data exchange protocols</w:t>
      </w:r>
      <w:r>
        <w:t xml:space="preserve"> </w:t>
      </w:r>
      <w:r>
        <w:t xml:space="preserve">for operations covered by this</w:t>
      </w:r>
      <w:r>
        <w:t xml:space="preserve"> </w:t>
      </w:r>
      <w:r>
        <w:t xml:space="preserve">Directive by means of an</w:t>
      </w:r>
      <w:r>
        <w:t xml:space="preserve"> </w:t>
      </w:r>
      <w:r>
        <w:t xml:space="preserve">implementing or delegated act</w:t>
      </w:r>
      <w:r>
        <w:t xml:space="preserve"> </w:t>
      </w:r>
      <w:r>
        <w:t xml:space="preserve">PD4</w:t>
      </w:r>
      <w:r>
        <w:t xml:space="preserve"> </w:t>
      </w:r>
      <w:r>
        <w:t xml:space="preserve">SO4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PM1</w:t>
      </w:r>
      <w:r>
        <w:t xml:space="preserve"> </w:t>
      </w:r>
      <w:r>
        <w:t xml:space="preserve">6</w:t>
      </w:r>
      <w:r>
        <w:t xml:space="preserve"> </w:t>
      </w:r>
      <w:r>
        <w:t xml:space="preserve">Require terminal operators to</w:t>
      </w:r>
      <w:r>
        <w:t xml:space="preserve"> </w:t>
      </w:r>
      <w:r>
        <w:t xml:space="preserve">publish information on services</w:t>
      </w:r>
      <w:r>
        <w:t xml:space="preserve"> </w:t>
      </w:r>
      <w:r>
        <w:t xml:space="preserve">and facilities available in each</w:t>
      </w:r>
      <w:r>
        <w:t xml:space="preserve"> </w:t>
      </w:r>
      <w:r>
        <w:t xml:space="preserve">terminal. List of mandatory</w:t>
      </w:r>
      <w:r>
        <w:t xml:space="preserve"> </w:t>
      </w:r>
      <w:r>
        <w:t xml:space="preserve">PD4</w:t>
      </w:r>
      <w:r>
        <w:t xml:space="preserve"> </w:t>
      </w:r>
      <w:r>
        <w:t xml:space="preserve">SO4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No</w:t>
      </w:r>
      <w:r>
        <w:t xml:space="preserve"> </w:t>
      </w:r>
      <w:r>
        <w:t xml:space="preserve">Categories measures by</w:t>
      </w:r>
      <w:r>
        <w:t xml:space="preserve"> </w:t>
      </w:r>
      <w:r>
        <w:t xml:space="preserve">thematic area</w:t>
      </w:r>
      <w:r>
        <w:t xml:space="preserve"> </w:t>
      </w:r>
      <w:r>
        <w:t xml:space="preserve">Proble</w:t>
      </w:r>
      <w:r>
        <w:t xml:space="preserve"> </w:t>
      </w:r>
      <w:r>
        <w:t xml:space="preserve">m</w:t>
      </w:r>
      <w:r>
        <w:t xml:space="preserve"> </w:t>
      </w:r>
      <w:r>
        <w:t xml:space="preserve">drivers</w:t>
      </w:r>
      <w:r>
        <w:t xml:space="preserve"> </w:t>
      </w:r>
      <w:r>
        <w:t xml:space="preserve">and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</w:t>
      </w:r>
      <w:r>
        <w:t xml:space="preserve"> </w:t>
      </w:r>
      <w:r>
        <w:t xml:space="preserve">es</w:t>
      </w:r>
      <w:r>
        <w:br/>
      </w:r>
      <w:r>
        <w:t xml:space="preserve">PO-</w:t>
      </w:r>
      <w:r>
        <w:t xml:space="preserve"> </w:t>
      </w:r>
      <w:r>
        <w:t xml:space="preserve">A</w:t>
      </w:r>
      <w:r>
        <w:t xml:space="preserve"> </w:t>
      </w:r>
      <w:r>
        <w:t xml:space="preserve">PO-</w:t>
      </w:r>
      <w:r>
        <w:t xml:space="preserve"> </w:t>
      </w:r>
      <w:r>
        <w:t xml:space="preserve">B1</w:t>
      </w:r>
      <w:r>
        <w:t xml:space="preserve"> </w:t>
      </w:r>
      <w:r>
        <w:t xml:space="preserve">PO-</w:t>
      </w:r>
      <w:r>
        <w:t xml:space="preserve"> </w:t>
      </w:r>
      <w:r>
        <w:t xml:space="preserve">B2a</w:t>
      </w:r>
      <w:r>
        <w:t xml:space="preserve"> </w:t>
      </w:r>
      <w:r>
        <w:t xml:space="preserve">PO-</w:t>
      </w:r>
      <w:r>
        <w:t xml:space="preserve"> </w:t>
      </w:r>
      <w:r>
        <w:t xml:space="preserve">B2b</w:t>
      </w:r>
      <w:r>
        <w:t xml:space="preserve"> </w:t>
      </w:r>
      <w:r>
        <w:t xml:space="preserve">PO-C</w:t>
      </w:r>
      <w:r>
        <w:t xml:space="preserve"> </w:t>
      </w:r>
      <w:r>
        <w:t xml:space="preserve">information to be established in an</w:t>
      </w:r>
      <w:r>
        <w:t xml:space="preserve"> </w:t>
      </w:r>
      <w:r>
        <w:t xml:space="preserve">implementing act.</w:t>
      </w:r>
      <w:r>
        <w:t xml:space="preserve"> </w:t>
      </w:r>
      <w:r>
        <w:t xml:space="preserve">PM1</w:t>
      </w:r>
      <w:r>
        <w:t xml:space="preserve"> </w:t>
      </w:r>
      <w:r>
        <w:t xml:space="preserve">7</w:t>
      </w:r>
      <w:r>
        <w:t xml:space="preserve"> </w:t>
      </w:r>
      <w:r>
        <w:t xml:space="preserve">Provide a possibility to establish a</w:t>
      </w:r>
      <w:r>
        <w:t xml:space="preserve"> </w:t>
      </w:r>
      <w:r>
        <w:t xml:space="preserve">framework of terminal categories</w:t>
      </w:r>
      <w:r>
        <w:t xml:space="preserve"> </w:t>
      </w:r>
      <w:r>
        <w:t xml:space="preserve">based on minimum requirements</w:t>
      </w:r>
      <w:r>
        <w:t xml:space="preserve"> </w:t>
      </w:r>
      <w:r>
        <w:t xml:space="preserve">on services/facilities available at</w:t>
      </w:r>
      <w:r>
        <w:t xml:space="preserve"> </w:t>
      </w:r>
      <w:r>
        <w:t xml:space="preserve">terminals, by means of an</w:t>
      </w:r>
      <w:r>
        <w:t xml:space="preserve"> </w:t>
      </w:r>
      <w:r>
        <w:t xml:space="preserve">implementing act.</w:t>
      </w:r>
      <w:r>
        <w:t xml:space="preserve"> </w:t>
      </w:r>
      <w:r>
        <w:t xml:space="preserve">PD4</w:t>
      </w:r>
      <w:r>
        <w:t xml:space="preserve"> </w:t>
      </w:r>
      <w:r>
        <w:t xml:space="preserve">SO4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The main questions that were addressed when choosing the retained policy measures and building the policy</w:t>
      </w:r>
      <w:r>
        <w:t xml:space="preserve"> </w:t>
      </w:r>
      <w:r>
        <w:t xml:space="preserve">options are discussed below.</w:t>
      </w:r>
      <w:r>
        <w:t xml:space="preserve"> </w:t>
      </w:r>
      <w:r>
        <w:t xml:space="preserve">Under specific objective 1 “Provide support to a wider range of operations under effective eligibility</w:t>
      </w:r>
      <w:r>
        <w:t xml:space="preserve"> </w:t>
      </w:r>
      <w:r>
        <w:t xml:space="preserve">conditions” the main question of the analysis was which operations should be eligible for the support. From</w:t>
      </w:r>
      <w:r>
        <w:t xml:space="preserve"> </w:t>
      </w:r>
      <w:r>
        <w:t xml:space="preserve">the perspective of the general objective, all intermodal operations in the EU, including domestic intermodal</w:t>
      </w:r>
      <w:r>
        <w:t xml:space="preserve"> </w:t>
      </w:r>
      <w:r>
        <w:t xml:space="preserve">operations, should be covered (as in the 1998 and 2017 proposals). On the other hand, to cater for potential</w:t>
      </w:r>
      <w:r>
        <w:t xml:space="preserve"> </w:t>
      </w:r>
      <w:r>
        <w:t xml:space="preserve">questions around subsidiarity, PM2-cross-border considered only cross-border operations.</w:t>
      </w:r>
      <w:r>
        <w:br/>
      </w:r>
      <w:r>
        <w:t xml:space="preserve">Regarding eligibility criteria, following the experience of the current CTD, previous two amendment</w:t>
      </w:r>
      <w:r>
        <w:t xml:space="preserve"> </w:t>
      </w:r>
      <w:r>
        <w:t xml:space="preserve">attempts and the results of the stakeholder consultation, it was concluded that a new and more objective</w:t>
      </w:r>
      <w:r>
        <w:t xml:space="preserve"> </w:t>
      </w:r>
      <w:r>
        <w:t xml:space="preserve">approach is needed for defining eligibility, where it is directly linked to the savings of the external costs.</w:t>
      </w:r>
      <w:r>
        <w:t xml:space="preserve"> </w:t>
      </w:r>
      <w:r>
        <w:t xml:space="preserve">This means that only intermodal operations that achieve significant savings in external costs will be eligible</w:t>
      </w:r>
      <w:r>
        <w:t xml:space="preserve"> </w:t>
      </w:r>
      <w:r>
        <w:t xml:space="preserve">under the revised CTD. Two different measures were analysed: eligibility based on GHG alone (PM1)94 or</w:t>
      </w:r>
      <w:r>
        <w:t xml:space="preserve"> </w:t>
      </w:r>
      <w:r>
        <w:t xml:space="preserve">on a wider set of externalities including in additon to GHG also air pollution, noise, congestion and</w:t>
      </w:r>
      <w:r>
        <w:t xml:space="preserve"> </w:t>
      </w:r>
      <w:r>
        <w:t xml:space="preserve">accidents95 (PM2-all-intra-EU and PM2-cross-border). For both, further analysis was carried out to</w:t>
      </w:r>
      <w:r>
        <w:t xml:space="preserve"> </w:t>
      </w:r>
      <w:r>
        <w:t xml:space="preserve">establish the percentage threshold of external cost savings.</w:t>
      </w:r>
      <w:r>
        <w:br/>
      </w:r>
      <w:r>
        <w:t xml:space="preserve">Various thresholds (from 20% to 75%) were tested and assessed, the two guiding principles being to ensure</w:t>
      </w:r>
      <w:r>
        <w:t xml:space="preserve"> </w:t>
      </w:r>
      <w:r>
        <w:t xml:space="preserve">that (a) all modal combination could be eligible and (b) a major part of operations would be carried by a</w:t>
      </w:r>
      <w:r>
        <w:t xml:space="preserve"> </w:t>
      </w:r>
      <w:r>
        <w:t xml:space="preserve">non-road mode (see Annex 4, section 3.1.1). Common to all POs is a measure to review the list of</w:t>
      </w:r>
      <w:r>
        <w:t xml:space="preserve"> </w:t>
      </w:r>
      <w:r>
        <w:t xml:space="preserve">information that needs to be provided for proof of eligibility and establish an obligation to use eFTI</w:t>
      </w:r>
      <w:r>
        <w:t xml:space="preserve"> </w:t>
      </w:r>
      <w:r>
        <w:t xml:space="preserve">platforms for making this information available. eFTI platforms would automatically calculate eligibility</w:t>
      </w:r>
      <w:r>
        <w:t xml:space="preserve"> </w:t>
      </w:r>
      <w:r>
        <w:t xml:space="preserve">based on transport data already in the system (PM3).</w:t>
      </w:r>
      <w:r>
        <w:br/>
      </w:r>
      <w:r>
        <w:t xml:space="preserve">Under the specific objective 2 “Ensure better support by improving reporting on the multimodal/ intermodal</w:t>
      </w:r>
      <w:r>
        <w:t xml:space="preserve"> </w:t>
      </w:r>
      <w:r>
        <w:t xml:space="preserve">transport”, two measures were considered in addition to the possibility to keep the existing Commission</w:t>
      </w:r>
      <w:r>
        <w:t xml:space="preserve"> </w:t>
      </w:r>
      <w:r>
        <w:t xml:space="preserve">reporting obligation with small changes in monitoring data and frequecy of reporting (PM6)96. These two</w:t>
      </w:r>
      <w:r>
        <w:t xml:space="preserve"> </w:t>
      </w:r>
      <w:r>
        <w:t xml:space="preserve">measures involve market analysis and reporting by Member States, either voluntary (PM4) or mandatory</w:t>
      </w:r>
      <w:r>
        <w:t xml:space="preserve"> </w:t>
      </w:r>
      <w:r>
        <w:t xml:space="preserve">(PM5). Such market analysis is needed to adjust the support measures, but also to evaluate the support</w:t>
      </w:r>
    </w:p>
    <w:p>
      <w:pPr>
        <w:pStyle w:val="BodyText"/>
      </w:pPr>
      <w:r>
        <w:t xml:space="preserve">94 An option with GHG only was considered, given that it was promoted by some stakeholders, even though it gathered</w:t>
      </w:r>
      <w:r>
        <w:t xml:space="preserve"> </w:t>
      </w:r>
      <w:r>
        <w:t xml:space="preserve">less support than basing eligibility on a wider set of externalities (4 compared to 18 survey respondents out of 22, i.e. </w:t>
      </w:r>
      <w:r>
        <w:t xml:space="preserve"> </w:t>
      </w:r>
      <w:r>
        <w:t xml:space="preserve">18%; and 4 compared to 14 interviewees out of 21, i.e. 33%). In addition, it was assessed, whether including in eligibility</w:t>
      </w:r>
      <w:r>
        <w:t xml:space="preserve"> </w:t>
      </w:r>
      <w:r>
        <w:t xml:space="preserve">criteria only GHG, which is easier to monitor and could to some extent act as a proxy to capture the other externalities,</w:t>
      </w:r>
      <w:r>
        <w:t xml:space="preserve"> </w:t>
      </w:r>
      <w:r>
        <w:t xml:space="preserve">could be sufficient to achieve the objectives.</w:t>
      </w:r>
      <w:r>
        <w:br/>
      </w:r>
      <w:r>
        <w:t xml:space="preserve">95 GHG, air pollution, congestion, noise, fatalities and injuries were used for modelling.</w:t>
      </w:r>
      <w:r>
        <w:t xml:space="preserve"> </w:t>
      </w:r>
      <w:r>
        <w:t xml:space="preserve">96 The “Impact assessment support study for the review of the Community guidelines on State aid for railway</w:t>
      </w:r>
      <w:r>
        <w:t xml:space="preserve"> </w:t>
      </w:r>
      <w:r>
        <w:t xml:space="preserve">undertakings” noted that to learn about the effectiveness and efficiency of various scheme designs, evidence is required,</w:t>
      </w:r>
      <w:r>
        <w:t xml:space="preserve"> </w:t>
      </w:r>
      <w:r>
        <w:t xml:space="preserve">but ex-post evaluations for State aid schemes under the Railway Guidelines are very rare. The introduction of the</w:t>
      </w:r>
      <w:r>
        <w:t xml:space="preserve"> </w:t>
      </w:r>
      <w:r>
        <w:t xml:space="preserve">requirement to evaluate schemes could facilitate the generation of such evidence, and allow for better informed choices</w:t>
      </w:r>
      <w:r>
        <w:t xml:space="preserve"> </w:t>
      </w:r>
      <w:r>
        <w:t xml:space="preserve">of scheme design in the future.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regime established in the CTD, given that over time different regulatory and market-based measures, which</w:t>
      </w:r>
      <w:r>
        <w:t xml:space="preserve"> </w:t>
      </w:r>
      <w:r>
        <w:t xml:space="preserve">reduce and internalise the external costs, are phased in.</w:t>
      </w:r>
      <w:r>
        <w:br/>
      </w:r>
      <w:r>
        <w:t xml:space="preserve">Under the specific objective 3 “Increase competitiveness of multimodal/ intermodal transport”, a choice</w:t>
      </w:r>
      <w:r>
        <w:t xml:space="preserve"> </w:t>
      </w:r>
      <w:r>
        <w:t xml:space="preserve">had to be made between different economic support and regulatory measures. As a result of an analysis of</w:t>
      </w:r>
      <w:r>
        <w:t xml:space="preserve"> </w:t>
      </w:r>
      <w:r>
        <w:t xml:space="preserve">most common support schemes in the EU and in the world as well as those proposed in the literature, three</w:t>
      </w:r>
      <w:r>
        <w:t xml:space="preserve"> </w:t>
      </w:r>
      <w:r>
        <w:t xml:space="preserve">types of support measures were selected – operational support that can be mandatory and harmonised</w:t>
      </w:r>
      <w:r>
        <w:t xml:space="preserve"> </w:t>
      </w:r>
      <w:r>
        <w:t xml:space="preserve">(PM7), voluntary (PM8) or mandatory but not harmonised (PM9), start-up support and support for new</w:t>
      </w:r>
      <w:r>
        <w:t xml:space="preserve"> </w:t>
      </w:r>
      <w:r>
        <w:t xml:space="preserve">services and for technological upgrade (e.g. for loading units, machinery and digital equipment). With a</w:t>
      </w:r>
      <w:r>
        <w:t xml:space="preserve"> </w:t>
      </w:r>
      <w:r>
        <w:t xml:space="preserve">view to coordinate between national measures as well as with with State aid rules, lists of different support</w:t>
      </w:r>
      <w:r>
        <w:t xml:space="preserve"> </w:t>
      </w:r>
      <w:r>
        <w:t xml:space="preserve">tools that could be used under these measures by Member States – a Toolbox – was established. The</w:t>
      </w:r>
      <w:r>
        <w:t xml:space="preserve"> </w:t>
      </w:r>
      <w:r>
        <w:t xml:space="preserve">Toolbox includes tools for operational (PM7, PM8, PM9) and for technological upgrade (PM11) support.</w:t>
      </w:r>
      <w:r>
        <w:t xml:space="preserve"> </w:t>
      </w:r>
      <w:r>
        <w:t xml:space="preserve">Each group includes a list of different tools (for examples see Annex 9). A limitation of the admissibility</w:t>
      </w:r>
      <w:r>
        <w:t xml:space="preserve"> </w:t>
      </w:r>
      <w:r>
        <w:t xml:space="preserve">for economic support under PM7-PM9 to only short and medium-long freight transport operations was</w:t>
      </w:r>
      <w:r>
        <w:t xml:space="preserve"> </w:t>
      </w:r>
      <w:r>
        <w:t xml:space="preserve">retained to avoid supporting operations that are price-competitive without support (PM12). In addition, one</w:t>
      </w:r>
      <w:r>
        <w:t xml:space="preserve"> </w:t>
      </w:r>
      <w:r>
        <w:t xml:space="preserve">new regulatory support measure in addition to existing ones in the current CTD is proposed similar to the</w:t>
      </w:r>
      <w:r>
        <w:t xml:space="preserve"> </w:t>
      </w:r>
      <w:r>
        <w:t xml:space="preserve">1998 amendment proposal, to establish an exemption from driving bans for road-legs of intermodal</w:t>
      </w:r>
      <w:r>
        <w:t xml:space="preserve"> </w:t>
      </w:r>
      <w:r>
        <w:t xml:space="preserve">transport to ensure timely arrival to terminals (PM13).</w:t>
      </w:r>
      <w:r>
        <w:br/>
      </w:r>
      <w:r>
        <w:t xml:space="preserve">Under the specific objective 4 “Improve transparency and cooperation to facilitate flexibility and simplify</w:t>
      </w:r>
      <w:r>
        <w:t xml:space="preserve"> </w:t>
      </w:r>
      <w:r>
        <w:t xml:space="preserve">entry to the market”, measures for data interoperability (PM14, PM15) and terminal transparency (PM16,</w:t>
      </w:r>
      <w:r>
        <w:t xml:space="preserve"> </w:t>
      </w:r>
      <w:r>
        <w:t xml:space="preserve">PM17) were retained.</w:t>
      </w:r>
      <w:r>
        <w:br/>
      </w:r>
      <w:r>
        <w:t xml:space="preserve">A detailed description of retained policy measures is given in Annex 6.</w:t>
      </w:r>
      <w:r>
        <w:t xml:space="preserve"> </w:t>
      </w:r>
      <w:r>
        <w:t xml:space="preserve">5.2.2. The construction and description of the options</w:t>
      </w:r>
      <w:r>
        <w:t xml:space="preserve"> </w:t>
      </w:r>
      <w:r>
        <w:t xml:space="preserve">Policy measures are assigned to policy options (POs) based on their level of intervention. PO-A is the option with</w:t>
      </w:r>
      <w:r>
        <w:t xml:space="preserve"> </w:t>
      </w:r>
      <w:r>
        <w:t xml:space="preserve">the softest intervention at EU level, while PO-C shows the strongest intervention. Following this general principle,</w:t>
      </w:r>
      <w:r>
        <w:t xml:space="preserve"> </w:t>
      </w:r>
      <w:r>
        <w:t xml:space="preserve">the measures were selected so that in each policy option all identified problem drivers and specific objectives are</w:t>
      </w:r>
      <w:r>
        <w:t xml:space="preserve"> </w:t>
      </w:r>
      <w:r>
        <w:t xml:space="preserve">addressed. The results of stakeholders’ consultations and field research were used for the final design of the</w:t>
      </w:r>
      <w:r>
        <w:t xml:space="preserve"> </w:t>
      </w:r>
      <w:r>
        <w:t xml:space="preserve">measures and their combination into options, including variants to PO-B, allowing to assess different eligibility</w:t>
      </w:r>
      <w:r>
        <w:t xml:space="preserve"> </w:t>
      </w:r>
      <w:r>
        <w:t xml:space="preserve">criteria.</w:t>
      </w:r>
      <w:r>
        <w:t xml:space="preserve"> </w:t>
      </w:r>
      <w:r>
        <w:t xml:space="preserve">The different options are characterised by:</w:t>
      </w:r>
      <w:r>
        <w:t xml:space="preserve"> </w:t>
      </w:r>
      <w:r>
        <w:t xml:space="preserve">- The choice of scope and eligibility criteria (PD1, SO1):</w:t>
      </w:r>
      <w:r>
        <w:t xml:space="preserve"> </w:t>
      </w:r>
      <w:r>
        <w:t xml:space="preserve">o All options, except PO-B2b, cover all intra-EU operations (including domestic). PO-B2b</w:t>
      </w:r>
      <w:r>
        <w:t xml:space="preserve"> </w:t>
      </w:r>
      <w:r>
        <w:t xml:space="preserve">includes only cross-border intra-EU operations.</w:t>
      </w:r>
      <w:r>
        <w:br/>
      </w:r>
      <w:r>
        <w:t xml:space="preserve">o PO-B1 is based on GHG emissions reduction, while all other options consider a wider set of</w:t>
      </w:r>
      <w:r>
        <w:t xml:space="preserve"> </w:t>
      </w:r>
      <w:r>
        <w:t xml:space="preserve">negative externalities from the transport sector (PM2). PM3 is included in all POs, as it</w:t>
      </w:r>
      <w:r>
        <w:t xml:space="preserve"> </w:t>
      </w:r>
      <w:r>
        <w:t xml:space="preserve">establishes a common enforcement regime.</w:t>
      </w:r>
      <w:r>
        <w:t xml:space="preserve"> </w:t>
      </w:r>
      <w:r>
        <w:t xml:space="preserve">- The way to organise market monitoring (PD2, SO2): (PM4-PM6) varies from Member States voluntary</w:t>
      </w:r>
      <w:r>
        <w:t xml:space="preserve"> </w:t>
      </w:r>
      <w:r>
        <w:t xml:space="preserve">analysis and strategic planning in PO-A to a mandatory cross-modal analysis in most interventionist PO-</w:t>
      </w:r>
      <w:r>
        <w:t xml:space="preserve"> </w:t>
      </w:r>
      <w:r>
        <w:t xml:space="preserve">C. PO-B keeps the reporting obligation with the Commission.</w:t>
      </w:r>
      <w:r>
        <w:t xml:space="preserve"> </w:t>
      </w:r>
      <w:r>
        <w:t xml:space="preserve">- Different intervention intensities of economic and regulatory support measures (PD3, SO3): these vary</w:t>
      </w:r>
      <w:r>
        <w:t xml:space="preserve"> </w:t>
      </w:r>
      <w:r>
        <w:t xml:space="preserve">from voluntary in PO-A to mandatory but not harmonised in PO-B to mandatory and harmonised in PO-</w:t>
      </w:r>
      <w:r>
        <w:t xml:space="preserve"> </w:t>
      </w:r>
      <w:r>
        <w:t xml:space="preserve">C. PO-A and PO-B will establish an upper distance limit to ensure that only operations that normally are</w:t>
      </w:r>
      <w:r>
        <w:t xml:space="preserve"> </w:t>
      </w:r>
      <w:r>
        <w:t xml:space="preserve">not competitive with road-only can benefit. PO-C does not have such a limit, to allow to assess the impact</w:t>
      </w:r>
      <w:r>
        <w:t xml:space="preserve"> </w:t>
      </w:r>
      <w:r>
        <w:t xml:space="preserve">of an alternative design. Support measures for PO-A and PO-B are defined in the Toolbox allowing</w:t>
      </w:r>
      <w:r>
        <w:t xml:space="preserve"> </w:t>
      </w:r>
      <w:r>
        <w:t xml:space="preserve">Member States to choose, while in PO-C one common harmonised support scheme applies across the</w:t>
      </w:r>
      <w:r>
        <w:t xml:space="preserve"> </w:t>
      </w:r>
      <w:r>
        <w:t xml:space="preserve">EU. In all options, the support should be sufficient to induce modal shift.</w:t>
      </w:r>
      <w:r>
        <w:t xml:space="preserve"> </w:t>
      </w:r>
      <w:r>
        <w:t xml:space="preserve">- The choice of measures to ease the market entry and cooperation (PD4, SO4): all options include</w:t>
      </w:r>
      <w:r>
        <w:t xml:space="preserve"> </w:t>
      </w:r>
      <w:r>
        <w:t xml:space="preserve">terminal transparency requirements and propose to categorise terminals. PO-C defines, in addition,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common data sets and exchange protocols, with highest level of intervention in business-to-business data</w:t>
      </w:r>
      <w:r>
        <w:t xml:space="preserve"> </w:t>
      </w:r>
      <w:r>
        <w:t xml:space="preserve">exchange process between different transport chain parties.</w:t>
      </w:r>
      <w:r>
        <w:t xml:space="preserve"> </w:t>
      </w:r>
      <w:r>
        <w:t xml:space="preserve">Policy option A (PO-A) is the option with softest intervention at EU level. It applies to all intra-EU operations,</w:t>
      </w:r>
      <w:r>
        <w:t xml:space="preserve"> </w:t>
      </w:r>
      <w:r>
        <w:t xml:space="preserve">except those that do not have a viable road alternative. The eligibility is based on a wider set of externalities,</w:t>
      </w:r>
      <w:r>
        <w:t xml:space="preserve"> </w:t>
      </w:r>
      <w:r>
        <w:t xml:space="preserve">requiring savings of at least 40% of external costs, with a methodology established in the Handbook on the</w:t>
      </w:r>
      <w:r>
        <w:t xml:space="preserve"> </w:t>
      </w:r>
      <w:r>
        <w:t xml:space="preserve">external costs of transport97 (PM2-all-intra-EU). The guidance for calculations will be established in an</w:t>
      </w:r>
      <w:r>
        <w:t xml:space="preserve"> </w:t>
      </w:r>
      <w:r>
        <w:t xml:space="preserve">implementing act98. The data to be provided for the proof of eligibility will be reviewed and tied to eFTI platforms</w:t>
      </w:r>
      <w:r>
        <w:t xml:space="preserve"> </w:t>
      </w:r>
      <w:r>
        <w:t xml:space="preserve">(PM3).</w:t>
      </w:r>
      <w:r>
        <w:br/>
      </w:r>
      <w:r>
        <w:t xml:space="preserve">The current Commission’s biennial reporting obligation will be replaced by a call to Member States to carry out</w:t>
      </w:r>
      <w:r>
        <w:t xml:space="preserve"> </w:t>
      </w:r>
      <w:r>
        <w:t xml:space="preserve">regular analysis and strategic planning for sustainable modes of transport to choose appropriate support (PM4).</w:t>
      </w:r>
      <w:r>
        <w:t xml:space="preserve"> </w:t>
      </w:r>
      <w:r>
        <w:t xml:space="preserve">While PO-A does not oblige Member States to provide any support, it does provide a Toolbox with predefined</w:t>
      </w:r>
      <w:r>
        <w:t xml:space="preserve"> </w:t>
      </w:r>
      <w:r>
        <w:t xml:space="preserve">support tools to choose from (PM8). Where relevant, such support tools need to be compliant with State aid rules,</w:t>
      </w:r>
      <w:r>
        <w:t xml:space="preserve"> </w:t>
      </w:r>
      <w:r>
        <w:t xml:space="preserve">including the time limits on support schemes. Member States are not required to change their existing State aid</w:t>
      </w:r>
      <w:r>
        <w:t xml:space="preserve"> </w:t>
      </w:r>
      <w:r>
        <w:t xml:space="preserve">schemes (which are outside the scope of the current CTD). Member States are also called on to not support</w:t>
      </w:r>
      <w:r>
        <w:t xml:space="preserve"> </w:t>
      </w:r>
      <w:r>
        <w:t xml:space="preserve">operations that are longer than the established cost-competitiveness distances to avoid inefficiencies and/or</w:t>
      </w:r>
      <w:r>
        <w:t xml:space="preserve"> </w:t>
      </w:r>
      <w:r>
        <w:t xml:space="preserve">windfall profits (PM12). Sectoral State aid guidelines and block exemptions, where available, will apply.</w:t>
      </w:r>
      <w:r>
        <w:t xml:space="preserve"> </w:t>
      </w:r>
      <w:r>
        <w:t xml:space="preserve">For terminal transparency and cooperation, one implementing act would introduce common transparency</w:t>
      </w:r>
      <w:r>
        <w:t xml:space="preserve"> </w:t>
      </w:r>
      <w:r>
        <w:t xml:space="preserve">rules for terminals ensuring that all terminals make publicly available data on terminal facilities and services</w:t>
      </w:r>
      <w:r>
        <w:t xml:space="preserve"> </w:t>
      </w:r>
      <w:r>
        <w:t xml:space="preserve">(PM16) and another could, after additional dedicated analysis, establish a terminal categorisation</w:t>
      </w:r>
      <w:r>
        <w:t xml:space="preserve"> </w:t>
      </w:r>
      <w:r>
        <w:t xml:space="preserve">framework (PM17). These measures are complementary to the proposed revision of the TEN-T Regulation,</w:t>
      </w:r>
      <w:r>
        <w:t xml:space="preserve"> </w:t>
      </w:r>
      <w:r>
        <w:t xml:space="preserve">which addresses the terminal capacity and quality on the TEN-T network and is reflected in the baseline.</w:t>
      </w:r>
      <w:r>
        <w:br/>
      </w:r>
      <w:r>
        <w:t xml:space="preserve">Policy option B (PO-B) is the option that combines obligations at EU level with flexibility to take into account</w:t>
      </w:r>
      <w:r>
        <w:t xml:space="preserve"> </w:t>
      </w:r>
      <w:r>
        <w:t xml:space="preserve">Member States specific situations. It obliges Member States to support intermodal transport but gives them a</w:t>
      </w:r>
      <w:r>
        <w:t xml:space="preserve"> </w:t>
      </w:r>
      <w:r>
        <w:t xml:space="preserve">freedom to choose among the operational and technological upgrade support tools listed in the Toolbox, to</w:t>
      </w:r>
      <w:r>
        <w:t xml:space="preserve"> </w:t>
      </w:r>
      <w:r>
        <w:t xml:space="preserve">address the challenges in national transport systems. For the scope, the following variants are analysed:</w:t>
      </w:r>
      <w:r>
        <w:t xml:space="preserve"> </w:t>
      </w:r>
      <w:r>
        <w:t xml:space="preserve">• PO-B1 and PO-B2a apply to all intra-EU operations except those that do not have a viable road-</w:t>
      </w:r>
      <w:r>
        <w:t xml:space="preserve"> </w:t>
      </w:r>
      <w:r>
        <w:t xml:space="preserve">alternative (PM1 and PM2-all-intra-EU, respectively).</w:t>
      </w:r>
      <w:r>
        <w:br/>
      </w:r>
      <w:r>
        <w:t xml:space="preserve">• PO-B2b applies only to cross-border intra-EU operations, having a similar scope to the current CTD</w:t>
      </w:r>
      <w:r>
        <w:t xml:space="preserve"> </w:t>
      </w:r>
      <w:r>
        <w:t xml:space="preserve">(PM2-cross-border).</w:t>
      </w:r>
      <w:r>
        <w:t xml:space="preserve"> </w:t>
      </w:r>
      <w:r>
        <w:t xml:space="preserve">Another set of variants are analysed for the eligibility condition:</w:t>
      </w:r>
      <w:r>
        <w:br/>
      </w:r>
      <w:r>
        <w:t xml:space="preserve">• In option PO-B1, the eligibility is based on GHG savings with a threshold of 25% (expressed in tonnes</w:t>
      </w:r>
      <w:r>
        <w:t xml:space="preserve"> </w:t>
      </w:r>
      <w:r>
        <w:t xml:space="preserve">of CO2 equivalent, PM1) calculated using the methodology that is currently being elaborated in a</w:t>
      </w:r>
      <w:r>
        <w:t xml:space="preserve"> </w:t>
      </w:r>
      <w:r>
        <w:t xml:space="preserve">parallel EU initiative, namely CEEU.</w:t>
      </w:r>
      <w:r>
        <w:t xml:space="preserve"> </w:t>
      </w:r>
      <w:r>
        <w:t xml:space="preserve">• In options PO-B2a and PO-B2b, the eligibility is based on a wider set of externalities, similarly to PO-</w:t>
      </w:r>
      <w:r>
        <w:t xml:space="preserve"> </w:t>
      </w:r>
      <w:r>
        <w:t xml:space="preserve">A (PM2-all intra-EU and PM2-cross-border, respectively).</w:t>
      </w:r>
      <w:r>
        <w:br/>
      </w:r>
      <w:r>
        <w:t xml:space="preserve">In all PO-B sub-options, the data to be provided for proof of eligibility will be reviewed and tied to eFTI platforms</w:t>
      </w:r>
      <w:r>
        <w:t xml:space="preserve"> </w:t>
      </w:r>
      <w:r>
        <w:t xml:space="preserve">(PM3).</w:t>
      </w:r>
      <w:r>
        <w:t xml:space="preserve"> </w:t>
      </w:r>
      <w:r>
        <w:t xml:space="preserve">For market analysis and reporting, all PO-B sub-options would rely on the current obligation where the</w:t>
      </w:r>
      <w:r>
        <w:t xml:space="preserve"> </w:t>
      </w:r>
      <w:r>
        <w:t xml:space="preserve">Commission has to prepare the reports with assistance from Member States and by using dedicated market</w:t>
      </w:r>
      <w:r>
        <w:t xml:space="preserve"> </w:t>
      </w:r>
      <w:r>
        <w:t xml:space="preserve">analysis studies (PM6). However, the interval between reports would be extended from 2 to 5 years, to</w:t>
      </w:r>
    </w:p>
    <w:p>
      <w:pPr>
        <w:pStyle w:val="BodyText"/>
      </w:pPr>
      <w:r>
        <w:t xml:space="preserve">97 CE Delft (2019).</w:t>
      </w:r>
      <w:r>
        <w:br/>
      </w:r>
      <w:r>
        <w:t xml:space="preserve">98 To ensure sufficiently precise comparison of operations, it would be necessary to continue updating the Handbook on</w:t>
      </w:r>
      <w:r>
        <w:t xml:space="preserve"> </w:t>
      </w:r>
      <w:r>
        <w:t xml:space="preserve">regular basis, taking into account the latest scientific evidence. In addition, consistency and complementarity with the</w:t>
      </w:r>
      <w:r>
        <w:t xml:space="preserve"> </w:t>
      </w:r>
      <w:r>
        <w:t xml:space="preserve">upcoming CEEU has to be ensured.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allow support measures to have an effect. The list of monitoring data to be covered by the report will be</w:t>
      </w:r>
      <w:r>
        <w:t xml:space="preserve"> </w:t>
      </w:r>
      <w:r>
        <w:t xml:space="preserve">updated. A review clause for the assessment of the need to continue the support and its suitability will be</w:t>
      </w:r>
      <w:r>
        <w:t xml:space="preserve"> </w:t>
      </w:r>
      <w:r>
        <w:t xml:space="preserve">included as well as an obligation on Member States to notify to the Commission their upcoming support</w:t>
      </w:r>
      <w:r>
        <w:t xml:space="preserve"> </w:t>
      </w:r>
      <w:r>
        <w:t xml:space="preserve">schemes. The Commision has to publish this information.</w:t>
      </w:r>
      <w:r>
        <w:br/>
      </w:r>
      <w:r>
        <w:t xml:space="preserve">For support tools, all PO-B sub-options require Member States to reduce operational costs (PM9) as well</w:t>
      </w:r>
      <w:r>
        <w:t xml:space="preserve"> </w:t>
      </w:r>
      <w:r>
        <w:t xml:space="preserve">as to provide support for technological upgrades (PM11) (at least one tool for each). However, Member</w:t>
      </w:r>
      <w:r>
        <w:t xml:space="preserve"> </w:t>
      </w:r>
      <w:r>
        <w:t xml:space="preserve">States can choose their own tools from the Toolbox to adapt the support to national circumstances within</w:t>
      </w:r>
      <w:r>
        <w:t xml:space="preserve"> </w:t>
      </w:r>
      <w:r>
        <w:t xml:space="preserve">the given limits. Furthermore, Member States are called upon to establish start-up support measure for new</w:t>
      </w:r>
      <w:r>
        <w:t xml:space="preserve"> </w:t>
      </w:r>
      <w:r>
        <w:t xml:space="preserve">intermodal routes, in particular in case of new terminals (PM10). Member States are also called on not to</w:t>
      </w:r>
      <w:r>
        <w:t xml:space="preserve"> </w:t>
      </w:r>
      <w:r>
        <w:t xml:space="preserve">support operations that are longer than the established cost-competitiveness distances to avoid inefficiencies</w:t>
      </w:r>
      <w:r>
        <w:t xml:space="preserve"> </w:t>
      </w:r>
      <w:r>
        <w:t xml:space="preserve">and/or windfall profits (PM12). Sectoral State aid guidelines and block exemptions, where available, will</w:t>
      </w:r>
      <w:r>
        <w:t xml:space="preserve"> </w:t>
      </w:r>
      <w:r>
        <w:t xml:space="preserve">apply. All PO-B sub-options would include a regulatory benefit exempting road-legs of eligible operations</w:t>
      </w:r>
      <w:r>
        <w:t xml:space="preserve"> </w:t>
      </w:r>
      <w:r>
        <w:t xml:space="preserve">from fixed driving bans (night-time, weekend and holiday driving bans) (PM13).</w:t>
      </w:r>
      <w:r>
        <w:br/>
      </w:r>
      <w:r>
        <w:t xml:space="preserve">For terminal transparency and cooperation, the measures are the same as in PO-A.</w:t>
      </w:r>
      <w:r>
        <w:t xml:space="preserve"> </w:t>
      </w:r>
      <w:r>
        <w:t xml:space="preserve">Policy option C (PO-C) establishes the strongest EU level intervention. It applies to all intra-EU operations</w:t>
      </w:r>
      <w:r>
        <w:t xml:space="preserve"> </w:t>
      </w:r>
      <w:r>
        <w:t xml:space="preserve">except those that do not have a road-alternative. The eligibility is the same as for PO-A and PO-B2</w:t>
      </w:r>
      <w:r>
        <w:t xml:space="preserve"> </w:t>
      </w:r>
      <w:r>
        <w:t xml:space="preserve">suboptions, based on a wider set of externalities at a 40% threshold (PM2-all-intra-EU). Like in other</w:t>
      </w:r>
      <w:r>
        <w:t xml:space="preserve"> </w:t>
      </w:r>
      <w:r>
        <w:t xml:space="preserve">options, the data to be provided for proof of eligibility will be reviewed and tied to eFTI platforms (PM3).</w:t>
      </w:r>
      <w:r>
        <w:br/>
      </w:r>
      <w:r>
        <w:t xml:space="preserve">The Commission’s biennial reporting obligation will be replaced by Member States’ obligation to carry out</w:t>
      </w:r>
      <w:r>
        <w:t xml:space="preserve"> </w:t>
      </w:r>
      <w:r>
        <w:t xml:space="preserve">regular analysis and strategic planning that covers the full transport system and includes cross-modal</w:t>
      </w:r>
      <w:r>
        <w:t xml:space="preserve"> </w:t>
      </w:r>
      <w:r>
        <w:t xml:space="preserve">analysis (PM5). This enables to assess the efficiency of the measures in terms of the objectives of increasing</w:t>
      </w:r>
      <w:r>
        <w:t xml:space="preserve"> </w:t>
      </w:r>
      <w:r>
        <w:t xml:space="preserve">the share of rail, SSS and IWW transport in total intra-EU freight transport. In this context, Member States</w:t>
      </w:r>
      <w:r>
        <w:t xml:space="preserve"> </w:t>
      </w:r>
      <w:r>
        <w:t xml:space="preserve">will have an obligation to gather data on intermodal operations in the respective modal combinations.</w:t>
      </w:r>
      <w:r>
        <w:br/>
      </w:r>
      <w:r>
        <w:t xml:space="preserve">For support tools, it obliges Member States to provide harmonised support to reduce the cost of (the part of)</w:t>
      </w:r>
      <w:r>
        <w:t xml:space="preserve"> </w:t>
      </w:r>
      <w:r>
        <w:t xml:space="preserve">eligible operations taking place in their territory at the level that induces uptake of intermodal transport</w:t>
      </w:r>
      <w:r>
        <w:t xml:space="preserve"> </w:t>
      </w:r>
      <w:r>
        <w:t xml:space="preserve">(PM7). This support level is assessed to be 10% of total door-to-door cost of the operation for the shipper</w:t>
      </w:r>
      <w:r>
        <w:t xml:space="preserve"> </w:t>
      </w:r>
      <w:r>
        <w:t xml:space="preserve">(for more details, see section 6.1.1 and Annex 4, section 3.3.1). PO-C would also include a regulatory benefit</w:t>
      </w:r>
      <w:r>
        <w:t xml:space="preserve"> </w:t>
      </w:r>
      <w:r>
        <w:t xml:space="preserve">exempting road-legs of eligible operations from fixed driving bans, as in PO-B (PM13).</w:t>
      </w:r>
      <w:r>
        <w:br/>
      </w:r>
      <w:r>
        <w:t xml:space="preserve">For data interoperability, PO-C provides establishing a defined data set that needs to be interoperable and can be</w:t>
      </w:r>
      <w:r>
        <w:t xml:space="preserve"> </w:t>
      </w:r>
      <w:r>
        <w:t xml:space="preserve">shared across the transport chain (PM14). In addition, an obligation is established on Member States and private</w:t>
      </w:r>
      <w:r>
        <w:t xml:space="preserve"> </w:t>
      </w:r>
      <w:r>
        <w:t xml:space="preserve">parties to ensure the use of common data sets and data exchange protocols between transport modes and</w:t>
      </w:r>
      <w:r>
        <w:t xml:space="preserve"> </w:t>
      </w:r>
      <w:r>
        <w:t xml:space="preserve">different parties in intermodal operations, based on the ongoing work of the Digital Transport and Logistics forum</w:t>
      </w:r>
      <w:r>
        <w:t xml:space="preserve"> </w:t>
      </w:r>
      <w:r>
        <w:t xml:space="preserve">(PM15). The measures for terminal transparency (PM16 and PM17) are the same as in PO-A and PO-B.</w:t>
      </w:r>
      <w:r>
        <w:br/>
      </w:r>
      <w:r>
        <w:t xml:space="preserve">5.3.</w:t>
      </w:r>
      <w:r>
        <w:t xml:space="preserve"> </w:t>
      </w:r>
      <w:r>
        <w:t xml:space="preserve">Measures and options discarded at an early stage</w:t>
      </w:r>
      <w:r>
        <w:t xml:space="preserve"> </w:t>
      </w:r>
      <w:r>
        <w:t xml:space="preserve">5.3.1. Discarded policy measures</w:t>
      </w:r>
      <w:r>
        <w:t xml:space="preserve"> </w:t>
      </w:r>
      <w:r>
        <w:t xml:space="preserve">Regarding the scope, the possibility to extend the coverage of the CTD to all multimodal (rather than only</w:t>
      </w:r>
      <w:r>
        <w:t xml:space="preserve"> </w:t>
      </w:r>
      <w:r>
        <w:t xml:space="preserve">intermodal) operations was evaluated but discarded as being technically unfeasible. In addition, a measure to</w:t>
      </w:r>
      <w:r>
        <w:t xml:space="preserve"> </w:t>
      </w:r>
      <w:r>
        <w:t xml:space="preserve">extend the support to all intermodal operations, including to the parts taking place outside of EU territory was</w:t>
      </w:r>
      <w:r>
        <w:t xml:space="preserve"> </w:t>
      </w:r>
      <w:r>
        <w:t xml:space="preserve">discarded due to high financial costs and implementation difficulties.</w:t>
      </w:r>
      <w:r>
        <w:br/>
      </w:r>
      <w:r>
        <w:t xml:space="preserve">As regards support measures, a call for Member States to provide any support without target support level and</w:t>
      </w:r>
      <w:r>
        <w:t xml:space="preserve"> </w:t>
      </w:r>
      <w:r>
        <w:t xml:space="preserve">guidance from the Toolbox (as in PM8) was discarded as ineffective.</w:t>
      </w:r>
      <w:r>
        <w:br/>
      </w:r>
      <w:r>
        <w:t xml:space="preserve">Finally, a measure to establish common data standards only for eligible intermodal operations was discarded as</w:t>
      </w:r>
      <w:r>
        <w:t xml:space="preserve"> </w:t>
      </w:r>
      <w:r>
        <w:t xml:space="preserve">ineffective, as was the measure of a voluntary industry-driven terminal categories framework. Establishment of EU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freight transport horizontal and vertical cooperation platforms was discarded as technically questionable and more</w:t>
      </w:r>
      <w:r>
        <w:t xml:space="preserve"> </w:t>
      </w:r>
      <w:r>
        <w:t xml:space="preserve">suitable for private initiatives.</w:t>
      </w:r>
      <w:r>
        <w:t xml:space="preserve"> </w:t>
      </w:r>
      <w:r>
        <w:t xml:space="preserve">A more detailed description of discarded policy measures is given in Annex 7.</w:t>
      </w:r>
      <w:r>
        <w:t xml:space="preserve"> </w:t>
      </w:r>
      <w:r>
        <w:t xml:space="preserve">5.3.2. Policy options discarded at an early stage</w:t>
      </w:r>
      <w:r>
        <w:t xml:space="preserve"> </w:t>
      </w:r>
      <w:r>
        <w:t xml:space="preserve">One sub-option of PO-A, using GHG savings rather than a wider set of externalities, was discarded given its limited</w:t>
      </w:r>
      <w:r>
        <w:t xml:space="preserve"> </w:t>
      </w:r>
      <w:r>
        <w:t xml:space="preserve">contribution to the objectives. Following the analysis on the externalities’ savings thresholds, two additional sub-</w:t>
      </w:r>
      <w:r>
        <w:t xml:space="preserve"> </w:t>
      </w:r>
      <w:r>
        <w:t xml:space="preserve">options of PO-B were discarded. Sub-option PO-B1’, where the GHG savings level was 40%, was discarded because</w:t>
      </w:r>
      <w:r>
        <w:t xml:space="preserve"> </w:t>
      </w:r>
      <w:r>
        <w:t xml:space="preserve">IWW would never be eligible and SSS would not be eligible as of 2040. PO-B2’, where a wider set of externalities</w:t>
      </w:r>
      <w:r>
        <w:t xml:space="preserve"> </w:t>
      </w:r>
      <w:r>
        <w:t xml:space="preserve">savings level was 25%, was discarded as having too low threshold, whereby all operations on rail would have been</w:t>
      </w:r>
      <w:r>
        <w:t xml:space="preserve"> </w:t>
      </w:r>
      <w:r>
        <w:t xml:space="preserve">eligible, even those where the rail leg would be less than 10% of total distance.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section summarises the main expected economic, social and environmental impacts of each policy option99.</w:t>
      </w:r>
      <w:r>
        <w:t xml:space="preserve"> </w:t>
      </w:r>
      <w:r>
        <w:t xml:space="preserve">The proposed measures are assumed to be implemented from 2025 onwards, so the assessment has been</w:t>
      </w:r>
      <w:r>
        <w:t xml:space="preserve"> </w:t>
      </w:r>
      <w:r>
        <w:t xml:space="preserve">undertaken for the 2025-2050 period and refers to EU-27. Costs and benefits are expressed as present value over</w:t>
      </w:r>
      <w:r>
        <w:t xml:space="preserve"> </w:t>
      </w:r>
      <w:r>
        <w:t xml:space="preserve">the 2025-2050 period, using a 3% discount rate. Further details on the methodological approach are provided in</w:t>
      </w:r>
      <w:r>
        <w:t xml:space="preserve"> </w:t>
      </w:r>
      <w:r>
        <w:t xml:space="preserve">Annex 4.</w:t>
      </w:r>
      <w:r>
        <w:t xml:space="preserve"> </w:t>
      </w:r>
      <w:r>
        <w:t xml:space="preserve">6.1.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The assessment of the economic impacts includes the costs which the various policy options entail for</w:t>
      </w:r>
      <w:r>
        <w:t xml:space="preserve"> </w:t>
      </w:r>
      <w:r>
        <w:t xml:space="preserve">national public administrations, for the European Commission and for the businesses. A quantitative</w:t>
      </w:r>
      <w:r>
        <w:t xml:space="preserve"> </w:t>
      </w:r>
      <w:r>
        <w:t xml:space="preserve">assessment of the impacts on volumes of intermodal transport and on administrative, adjustment and</w:t>
      </w:r>
      <w:r>
        <w:t xml:space="preserve"> </w:t>
      </w:r>
      <w:r>
        <w:t xml:space="preserve">economic support costs as well as cost savings for businesses and public authorities per policy measure and</w:t>
      </w:r>
      <w:r>
        <w:t xml:space="preserve"> </w:t>
      </w:r>
      <w:r>
        <w:t xml:space="preserve">policy option has been performed and is presented in detail in Annex 4. In addition, this section covers the</w:t>
      </w:r>
      <w:r>
        <w:t xml:space="preserve"> </w:t>
      </w:r>
      <w:r>
        <w:t xml:space="preserve">impacts on the competitiveness of intermodal transport and GDP, SMEs, digital by default100, the</w:t>
      </w:r>
      <w:r>
        <w:t xml:space="preserve"> </w:t>
      </w:r>
      <w:r>
        <w:t xml:space="preserve">functioning of the internal market and competition, energy consumption and regional distribution. The</w:t>
      </w:r>
      <w:r>
        <w:t xml:space="preserve"> </w:t>
      </w:r>
      <w:r>
        <w:t xml:space="preserve">economic impacts result from the changes of the market price of intermodal transport and the resulting</w:t>
      </w:r>
      <w:r>
        <w:t xml:space="preserve"> </w:t>
      </w:r>
      <w:r>
        <w:t xml:space="preserve">modal shift, on the one hand, and increased budgetary contribution by Member States, on the other hand.</w:t>
      </w:r>
      <w:r>
        <w:br/>
      </w:r>
      <w:r>
        <w:t xml:space="preserve">6.1.1. Impact on competitiveness of intermodal transport, modal shift and GDP</w:t>
      </w:r>
      <w:r>
        <w:t xml:space="preserve"> </w:t>
      </w:r>
      <w:r>
        <w:t xml:space="preserve">The support to be provided by Member States to eligible intermodal operations is aimed at achieving a reduction</w:t>
      </w:r>
      <w:r>
        <w:t xml:space="preserve"> </w:t>
      </w:r>
      <w:r>
        <w:t xml:space="preserve">in the transport prices for senders of goods - the shippers, allowing operations that today are not price-competitive</w:t>
      </w:r>
      <w:r>
        <w:t xml:space="preserve"> </w:t>
      </w:r>
      <w:r>
        <w:t xml:space="preserve">with road-only transport to have a comparable or lower price than a road operation on same distances. This is</w:t>
      </w:r>
      <w:r>
        <w:t xml:space="preserve"> </w:t>
      </w:r>
      <w:r>
        <w:t xml:space="preserve">expected to motivate the shippers to choose more intermodal transport for their transport needs. The TRUST</w:t>
      </w:r>
      <w:r>
        <w:t xml:space="preserve"> </w:t>
      </w:r>
      <w:r>
        <w:t xml:space="preserve">model has been used to estimate the impact on modal shift due to a reduction in transport costs (for the non-road</w:t>
      </w:r>
      <w:r>
        <w:t xml:space="preserve"> </w:t>
      </w:r>
      <w:r>
        <w:t xml:space="preserve">legs of the intermodal operations) and transhipment costs brought about the support measures, while considering</w:t>
      </w:r>
      <w:r>
        <w:t xml:space="preserve"> </w:t>
      </w:r>
      <w:r>
        <w:t xml:space="preserve">the multimodal transport network embedded in the model. More explanations about the model are provided in</w:t>
      </w:r>
      <w:r>
        <w:t xml:space="preserve"> </w:t>
      </w:r>
      <w:r>
        <w:t xml:space="preserve">Annex 4.</w:t>
      </w:r>
      <w:r>
        <w:t xml:space="preserve"> </w:t>
      </w:r>
      <w:r>
        <w:t xml:space="preserve">Evidence of the effectiveness of economic support measures on the uptake of intermodal transport and modal</w:t>
      </w:r>
      <w:r>
        <w:t xml:space="preserve"> </w:t>
      </w:r>
      <w:r>
        <w:t xml:space="preserve">shift can be found in various applications across the EU. Results of the Marco Polo I programme (2003-2006) that</w:t>
      </w:r>
      <w:r>
        <w:t xml:space="preserve"> </w:t>
      </w:r>
      <w:r>
        <w:t xml:space="preserve">amounted to EUR 41.8 million of funding, showed that funded actions resulted in a modal shift of 21.9 billion tkm</w:t>
      </w:r>
      <w:r>
        <w:t xml:space="preserve"> </w:t>
      </w:r>
      <w:r>
        <w:t xml:space="preserve">away from road. Marco Polo II programme (2007-2013) had a longer duration, with final funding of EUR 99.8</w:t>
      </w:r>
      <w:r>
        <w:t xml:space="preserve"> </w:t>
      </w:r>
      <w:r>
        <w:t xml:space="preserve">million, and included two new types of actions (Motorways of the Sea and traffic avoidance). The funding intensity</w:t>
      </w:r>
      <w:r>
        <w:t xml:space="preserve"> </w:t>
      </w:r>
      <w:r>
        <w:t xml:space="preserve">was also doubled, from 1 to 2 EUR for each 500 tkm shifted away from road (i.e. from 0.002 to 0.004 EUR per tkm</w:t>
      </w:r>
    </w:p>
    <w:p>
      <w:pPr>
        <w:pStyle w:val="BodyText"/>
      </w:pPr>
      <w:r>
        <w:t xml:space="preserve">99 The analysis in this section is based on Ricardo et al. support study (2023), and on the analysis of stakeholders’</w:t>
      </w:r>
      <w:r>
        <w:t xml:space="preserve"> </w:t>
      </w:r>
      <w:r>
        <w:t xml:space="preserve">feedback.</w:t>
      </w:r>
      <w:r>
        <w:t xml:space="preserve"> </w:t>
      </w:r>
      <w:r>
        <w:t xml:space="preserve">100 https://ec.europa.eu/info/sites/default/files/file_import/digitally-transformed_user-focused_data-</w:t>
      </w:r>
      <w:r>
        <w:t xml:space="preserve"> </w:t>
      </w:r>
      <w:r>
        <w:t xml:space="preserve">driven_commission_en.pdf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shifted). Considering all modal shift actions, Marco Polo II programme is estimated to have resulted in 35 billion</w:t>
      </w:r>
      <w:r>
        <w:t xml:space="preserve"> </w:t>
      </w:r>
      <w:r>
        <w:t xml:space="preserve">tonne-kilometres shifted away from road, of which 19.5 bn tkm to rail, 14.8 bn tkm to SSS and 0.7 bn tkm to IWW.</w:t>
      </w:r>
      <w:r>
        <w:t xml:space="preserve"> </w:t>
      </w:r>
      <w:r>
        <w:t xml:space="preserve">In addition, as explained in Annex 4, the results of Marco Polo II programme showed that each new intermodal</w:t>
      </w:r>
      <w:r>
        <w:t xml:space="preserve"> </w:t>
      </w:r>
      <w:r>
        <w:t xml:space="preserve">service can shift between 815,000 and 846,000 tkm off the road (to rail and SSS services), and about 260,000 tkm</w:t>
      </w:r>
      <w:r>
        <w:t xml:space="preserve"> </w:t>
      </w:r>
      <w:r>
        <w:t xml:space="preserve">in the case of IWW services101. Additional explanations on the Marco Polo programme and evidence from other</w:t>
      </w:r>
      <w:r>
        <w:t xml:space="preserve"> </w:t>
      </w:r>
      <w:r>
        <w:t xml:space="preserve">support measures (Ferrobonus and Ecobonus in Italy, aid for rail transport in certain intermodal transport services</w:t>
      </w:r>
      <w:r>
        <w:t xml:space="preserve"> </w:t>
      </w:r>
      <w:r>
        <w:t xml:space="preserve">and aid for innovative combined transport in Austria) at national level are included in Annex 14.</w:t>
      </w:r>
      <w:r>
        <w:br/>
      </w:r>
      <w:r>
        <w:t xml:space="preserve">The impact on modal shift driven by the three policy options is a function of eligibility (how many operations are</w:t>
      </w:r>
      <w:r>
        <w:t xml:space="preserve"> </w:t>
      </w:r>
      <w:r>
        <w:t xml:space="preserve">eligible to be supported) and different approaches to support it.</w:t>
      </w:r>
      <w:r>
        <w:br/>
      </w:r>
      <w:r>
        <w:t xml:space="preserve">To identify the necessary level of support for making intermodal operations price-competitive, the analysis</w:t>
      </w:r>
      <w:r>
        <w:t xml:space="preserve"> </w:t>
      </w:r>
      <w:r>
        <w:t xml:space="preserve">focussed on the average break-even distances, i.e. the shortest distance at which intermodal operations will</w:t>
      </w:r>
      <w:r>
        <w:t xml:space="preserve"> </w:t>
      </w:r>
      <w:r>
        <w:t xml:space="preserve">become price-competitive with road-only operations, as discussed in section 2.1.1. Getting more operators to</w:t>
      </w:r>
      <w:r>
        <w:t xml:space="preserve"> </w:t>
      </w:r>
      <w:r>
        <w:t xml:space="preserve">choose intermodal transport means in practice that the break-even distances in the future have to be shorter than</w:t>
      </w:r>
      <w:r>
        <w:t xml:space="preserve"> </w:t>
      </w:r>
      <w:r>
        <w:t xml:space="preserve">today. This will depend on the share of costs supported by Member States. A limited cost-benefit analysis was</w:t>
      </w:r>
      <w:r>
        <w:t xml:space="preserve"> </w:t>
      </w:r>
      <w:r>
        <w:t xml:space="preserve">carried out to establish what levels of support would provide which decrease in the break-even distances and</w:t>
      </w:r>
      <w:r>
        <w:t xml:space="preserve"> </w:t>
      </w:r>
      <w:r>
        <w:t xml:space="preserve">which impact on volumes of modal shift, while also keeping in mind that increased support means a higher</w:t>
      </w:r>
      <w:r>
        <w:t xml:space="preserve"> </w:t>
      </w:r>
      <w:r>
        <w:t xml:space="preserve">budgetary burden for Member States. Model simulations were used to estimate the stand-alone impact of</w:t>
      </w:r>
      <w:r>
        <w:t xml:space="preserve"> </w:t>
      </w:r>
      <w:r>
        <w:t xml:space="preserve">reducing the costs on the break-even distance and on modal shift (i.e. without considering any eligibility condition),</w:t>
      </w:r>
      <w:r>
        <w:t xml:space="preserve"> </w:t>
      </w:r>
      <w:r>
        <w:t xml:space="preserve">as shown in Figure 9. The analysis was carried out by reducing the door-to-door costs by 5%, 10%, 15% and 20%,</w:t>
      </w:r>
      <w:r>
        <w:t xml:space="preserve"> </w:t>
      </w:r>
      <w:r>
        <w:t xml:space="preserve">and the impact on the distances at which the intermodal operation would become cost-competitive with road-</w:t>
      </w:r>
      <w:r>
        <w:t xml:space="preserve"> </w:t>
      </w:r>
      <w:r>
        <w:t xml:space="preserve">only transport was estimated. Based on stakeholder consultation, literature review and modelling, the reasonable</w:t>
      </w:r>
      <w:r>
        <w:t xml:space="preserve"> </w:t>
      </w:r>
      <w:r>
        <w:t xml:space="preserve">support level (aid intensity) to compensate for the price gap between road-only and intermodal transport that</w:t>
      </w:r>
      <w:r>
        <w:t xml:space="preserve"> </w:t>
      </w:r>
      <w:r>
        <w:t xml:space="preserve">would induce modal shift was assessed to be between 10% and 15%. A lower level than 10% will not result in</w:t>
      </w:r>
      <w:r>
        <w:t xml:space="preserve"> </w:t>
      </w:r>
      <w:r>
        <w:t xml:space="preserve">sufficient price reduction to motivate operators to shift their operations to intermodal. A higher level will bring the</w:t>
      </w:r>
      <w:r>
        <w:t xml:space="preserve"> </w:t>
      </w:r>
      <w:r>
        <w:t xml:space="preserve">break-even distances to levels where operations are not competitive for reasons other than price (transit time and</w:t>
      </w:r>
      <w:r>
        <w:t xml:space="preserve"> </w:t>
      </w:r>
      <w:r>
        <w:t xml:space="preserve">inconvenience). Considering that higher support levels also bring along higher budgetary costs for Member States,</w:t>
      </w:r>
      <w:r>
        <w:t xml:space="preserve"> </w:t>
      </w:r>
      <w:r>
        <w:t xml:space="preserve">10% has been chosen for the purpose of this impact assessment. For further details on the related assessment of</w:t>
      </w:r>
      <w:r>
        <w:t xml:space="preserve"> </w:t>
      </w:r>
      <w:r>
        <w:t xml:space="preserve">support level, see Annex 4, section 3.3.1.</w:t>
      </w:r>
      <w:r>
        <w:br/>
      </w:r>
      <w:r>
        <w:t xml:space="preserve">Figure 9: Impacts of different levels of door-to-door cost reduction (% increase in intermodal transport activity compared</w:t>
      </w:r>
      <w:r>
        <w:t xml:space="preserve"> </w:t>
      </w:r>
      <w:r>
        <w:t xml:space="preserve">to the baseline)</w:t>
      </w:r>
    </w:p>
    <w:p>
      <w:pPr>
        <w:pStyle w:val="BodyText"/>
      </w:pPr>
      <w:r>
        <w:t xml:space="preserve">Source: Ricardo et al. support study (2023)</w:t>
      </w:r>
      <w:r>
        <w:t xml:space="preserve"> </w:t>
      </w:r>
      <w:r>
        <w:t xml:space="preserve">This level of support will not make all intermodal operations price-competitive, but rather will reduce the break-</w:t>
      </w:r>
      <w:r>
        <w:t xml:space="preserve"> </w:t>
      </w:r>
      <w:r>
        <w:t xml:space="preserve">even distance and thus make more medium-long distance intermodal operations interesting for shippers. The</w:t>
      </w:r>
    </w:p>
    <w:p>
      <w:pPr>
        <w:pStyle w:val="BodyText"/>
      </w:pPr>
      <w:r>
        <w:t xml:space="preserve">101 INEA (2020), Marco Polo II Programme, Final report.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Rail</w:t>
      </w:r>
      <w:r>
        <w:t xml:space="preserve"> </w:t>
      </w:r>
      <w:r>
        <w:t xml:space="preserve">IWW</w:t>
      </w:r>
      <w:r>
        <w:t xml:space="preserve"> </w:t>
      </w:r>
      <w:r>
        <w:t xml:space="preserve">SSS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short distance operations will not become price-competitive but are also less likely to shift to intermodal for other</w:t>
      </w:r>
      <w:r>
        <w:t xml:space="preserve"> </w:t>
      </w:r>
      <w:r>
        <w:t xml:space="preserve">reasons, mostly due to longer transport time when terminal operations are involved. At the same time, long</w:t>
      </w:r>
      <w:r>
        <w:t xml:space="preserve"> </w:t>
      </w:r>
      <w:r>
        <w:t xml:space="preserve">distance operations are already price-competitive and do not require additional economic support. Thus, the</w:t>
      </w:r>
      <w:r>
        <w:t xml:space="preserve"> </w:t>
      </w:r>
      <w:r>
        <w:t xml:space="preserve">impact will be concentrated on medium-long intermodal operations between the distance threshold where they</w:t>
      </w:r>
      <w:r>
        <w:t xml:space="preserve"> </w:t>
      </w:r>
      <w:r>
        <w:t xml:space="preserve">are already competitive and a new lower threshold where they will not become competitive due to reasons</w:t>
      </w:r>
      <w:r>
        <w:t xml:space="preserve"> </w:t>
      </w:r>
      <w:r>
        <w:t xml:space="preserve">beyond cost-competitiveness. The assessment also takes into account the expected developments over time in the</w:t>
      </w:r>
      <w:r>
        <w:t xml:space="preserve"> </w:t>
      </w:r>
      <w:r>
        <w:t xml:space="preserve">efficiency and prices of road-only transport and the resulting risk of reverse modal shift – the risk that some</w:t>
      </w:r>
      <w:r>
        <w:t xml:space="preserve"> </w:t>
      </w:r>
      <w:r>
        <w:t xml:space="preserve">intermodal operations could move back to road-only transport if road transport becomes more competitive and</w:t>
      </w:r>
      <w:r>
        <w:t xml:space="preserve"> </w:t>
      </w:r>
      <w:r>
        <w:t xml:space="preserve">the break-even distances of road and intermodal transport increase instead of decreasing.</w:t>
      </w:r>
      <w:r>
        <w:br/>
      </w:r>
      <w:r>
        <w:t xml:space="preserve">Figure 10 represents the break-even distances at which operations can become price-competitive with the</w:t>
      </w:r>
      <w:r>
        <w:t xml:space="preserve"> </w:t>
      </w:r>
      <w:r>
        <w:t xml:space="preserve">proposed support of 10%, ceteris paribus. The impact is different on different modal combinations. The biggest</w:t>
      </w:r>
      <w:r>
        <w:t xml:space="preserve"> </w:t>
      </w:r>
      <w:r>
        <w:t xml:space="preserve">impact will be felt on RR, where door-to-door operations up to 200 km shorter than today will become price</w:t>
      </w:r>
      <w:r>
        <w:t xml:space="preserve"> </w:t>
      </w:r>
      <w:r>
        <w:t xml:space="preserve">competitive, with lower average competitive distance after support being 533 km (from which 417 km on rail). The</w:t>
      </w:r>
      <w:r>
        <w:t xml:space="preserve"> </w:t>
      </w:r>
      <w:r>
        <w:t xml:space="preserve">smallest impact will be on IWW operations, where 45 km shorter operations, at around 204 km (from which 184</w:t>
      </w:r>
      <w:r>
        <w:t xml:space="preserve"> </w:t>
      </w:r>
      <w:r>
        <w:t xml:space="preserve">on barge) will become price-competitive. SSS operations will figure in the middle with reduction of break-even</w:t>
      </w:r>
      <w:r>
        <w:t xml:space="preserve"> </w:t>
      </w:r>
      <w:r>
        <w:t xml:space="preserve">distance by 120 km to 697 km (from which 541 km on sea).</w:t>
      </w:r>
      <w:r>
        <w:t xml:space="preserve"> </w:t>
      </w:r>
      <w:r>
        <w:t xml:space="preserve">Figure 10: Average cost-competitive door-to-door distances in intermodal transport without and with the support</w:t>
      </w:r>
      <w:r>
        <w:t xml:space="preserve"> </w:t>
      </w:r>
      <w:r>
        <w:t xml:space="preserve">proposed in this revision, per modal combination (cost in EUR and km)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The assessment also considers other factors that impact the decisions of shippers beyond price – availability of</w:t>
      </w:r>
      <w:r>
        <w:t xml:space="preserve"> </w:t>
      </w:r>
      <w:r>
        <w:t xml:space="preserve">infrastructure, suitable connections, delivery time etc., meaning that not all operations within those distance</w:t>
      </w:r>
      <w:r>
        <w:t xml:space="preserve"> </w:t>
      </w:r>
      <w:r>
        <w:t xml:space="preserve">bands will shift to intermodal.</w:t>
      </w:r>
      <w:r>
        <w:br/>
      </w:r>
      <w:r>
        <w:t xml:space="preserve">The final impact on new price-competitive break-even distances depends on the level of final effective support</w:t>
      </w:r>
      <w:r>
        <w:t xml:space="preserve"> </w:t>
      </w:r>
      <w:r>
        <w:t xml:space="preserve">passed through to final users. The 2014 study on CT102 concluded, supported by the experience of DG Competition,</w:t>
      </w:r>
      <w:r>
        <w:t xml:space="preserve"> </w:t>
      </w:r>
      <w:r>
        <w:t xml:space="preserve">that the pass-through of the support depends on who are the beneficiaries as well as specific conditions of a</w:t>
      </w:r>
      <w:r>
        <w:t xml:space="preserve"> </w:t>
      </w:r>
      <w:r>
        <w:t xml:space="preserve">scheme. It is thus important that beneficiaries, conditions and level of support are established in a way that induce</w:t>
      </w:r>
      <w:r>
        <w:t xml:space="preserve"> </w:t>
      </w:r>
      <w:r>
        <w:t xml:space="preserve">changes in the behaviour of those taking the decision on modal choice. This is also part of the assessment carried</w:t>
      </w:r>
      <w:r>
        <w:t xml:space="preserve"> </w:t>
      </w:r>
      <w:r>
        <w:t xml:space="preserve">out by DG Competition of the State aid measures notified by Member States.</w:t>
      </w:r>
    </w:p>
    <w:p>
      <w:pPr>
        <w:pStyle w:val="BodyText"/>
      </w:pPr>
      <w:r>
        <w:t xml:space="preserve">102 KombiConsult (2014), op. cit.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The additional volumes of intermodal operations in 2030 and 2050, relative to the baseline, are presented in Table</w:t>
      </w:r>
      <w:r>
        <w:t xml:space="preserve"> </w:t>
      </w:r>
      <w:r>
        <w:t xml:space="preserve">5. Cumulatively over 2025-2050, PO-A is expected to achieve a total additional volume of intermodal operations of</w:t>
      </w:r>
      <w:r>
        <w:t xml:space="preserve"> </w:t>
      </w:r>
      <w:r>
        <w:t xml:space="preserve">24.6 bn tkm relative to the baseline. The modest increase is a result of the fact that in PO-A providing support will</w:t>
      </w:r>
      <w:r>
        <w:t xml:space="preserve"> </w:t>
      </w:r>
      <w:r>
        <w:t xml:space="preserve">be voluntary, meaning little change compared to the baseline is expected. In PO-B and PO-C, the volumes are</w:t>
      </w:r>
      <w:r>
        <w:t xml:space="preserve"> </w:t>
      </w:r>
      <w:r>
        <w:t xml:space="preserve">expected to grow at a considerably higher rate, with the growth increasing considerably between 2030 and 2040.</w:t>
      </w:r>
      <w:r>
        <w:t xml:space="preserve"> </w:t>
      </w:r>
      <w:r>
        <w:t xml:space="preserve">Cumulatively over 2025-2050, the total additional volume for PO-B1 would be 1,388 bn tkm, for PO-B2a 1,391 bn</w:t>
      </w:r>
      <w:r>
        <w:t xml:space="preserve"> </w:t>
      </w:r>
      <w:r>
        <w:t xml:space="preserve">tkm, for PO-B2b 1,072 bn tkm, and for PO-C 829 bn tkm103. The difference between PO-B1 and PO-B2a stems from</w:t>
      </w:r>
      <w:r>
        <w:t xml:space="preserve"> </w:t>
      </w:r>
      <w:r>
        <w:t xml:space="preserve">different eligibility, in particular the fact that in PO-B1 the eligibility is based only on GHG savings, which makes</w:t>
      </w:r>
      <w:r>
        <w:t xml:space="preserve"> </w:t>
      </w:r>
      <w:r>
        <w:t xml:space="preserve">most IWW and some SSS operations not eligible already before 2040. The difference between PO-B2a and PO-B2b</w:t>
      </w:r>
      <w:r>
        <w:t xml:space="preserve"> </w:t>
      </w:r>
      <w:r>
        <w:t xml:space="preserve">stems from the different scope, with PO-B2a coving all intra-EU operations (including domestic) while PO-B2b only</w:t>
      </w:r>
      <w:r>
        <w:t xml:space="preserve"> </w:t>
      </w:r>
      <w:r>
        <w:t xml:space="preserve">cross-border intra-EU operations. The total additional volume in PO-C is smaller than in PO-B mostly because of</w:t>
      </w:r>
      <w:r>
        <w:t xml:space="preserve"> </w:t>
      </w:r>
      <w:r>
        <w:t xml:space="preserve">removal of existing regulatory measures, including the equivalent treatment of international combined transport</w:t>
      </w:r>
      <w:r>
        <w:t xml:space="preserve"> </w:t>
      </w:r>
      <w:r>
        <w:t xml:space="preserve">with international road transport as regards the use of non-resident hauliers (Article 4) that is considered today the</w:t>
      </w:r>
      <w:r>
        <w:t xml:space="preserve"> </w:t>
      </w:r>
      <w:r>
        <w:t xml:space="preserve">most important regulatory benefit by stakeholders. All policy options contribute towards SDG 9 (Build resilient</w:t>
      </w:r>
      <w:r>
        <w:t xml:space="preserve"> </w:t>
      </w:r>
      <w:r>
        <w:t xml:space="preserve">infrastructure, promote inclusive and sustainable industrialisation and foster innovation).</w:t>
      </w:r>
      <w:r>
        <w:t xml:space="preserve"> </w:t>
      </w:r>
      <w:r>
        <w:t xml:space="preserve">Table 5: Modal shift (traffic volume of new non-road legs) and total intermodal transport (incl. road legs) that would</w:t>
      </w:r>
      <w:r>
        <w:t xml:space="preserve"> </w:t>
      </w:r>
      <w:r>
        <w:t xml:space="preserve">be induced by different POs and growth compared to the baseline in 2030 and 2050 (bn tkm)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Rail</w:t>
      </w:r>
      <w:r>
        <w:t xml:space="preserve"> </w:t>
      </w:r>
      <w:r>
        <w:t xml:space="preserve">IWW</w:t>
      </w:r>
      <w:r>
        <w:t xml:space="preserve"> </w:t>
      </w:r>
      <w:r>
        <w:t xml:space="preserve">SSS</w:t>
      </w:r>
      <w:r>
        <w:t xml:space="preserve"> </w:t>
      </w:r>
      <w:r>
        <w:t xml:space="preserve">Rail</w:t>
      </w:r>
      <w:r>
        <w:t xml:space="preserve"> </w:t>
      </w:r>
      <w:r>
        <w:t xml:space="preserve">IWW</w:t>
      </w:r>
      <w:r>
        <w:t xml:space="preserve"> </w:t>
      </w:r>
      <w:r>
        <w:t xml:space="preserve">SSS</w:t>
      </w:r>
      <w:r>
        <w:t xml:space="preserve"> </w:t>
      </w:r>
      <w:r>
        <w:t xml:space="preserve">Total</w:t>
      </w:r>
      <w:r>
        <w:br/>
      </w:r>
      <w:r>
        <w:t xml:space="preserve">intermodal</w:t>
      </w:r>
      <w:r>
        <w:t xml:space="preserve"> </w:t>
      </w:r>
      <w:r>
        <w:t xml:space="preserve">% growth</w:t>
      </w:r>
      <w:r>
        <w:br/>
      </w:r>
      <w:r>
        <w:t xml:space="preserve">Total</w:t>
      </w:r>
      <w:r>
        <w:br/>
      </w:r>
      <w:r>
        <w:t xml:space="preserve">intermodal</w:t>
      </w:r>
      <w:r>
        <w:t xml:space="preserve"> </w:t>
      </w:r>
      <w:r>
        <w:t xml:space="preserve">% growth</w:t>
      </w:r>
      <w:r>
        <w:t xml:space="preserve"> </w:t>
      </w:r>
      <w:r>
        <w:t xml:space="preserve">PO-A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1.0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0.38</w:t>
      </w:r>
      <w:r>
        <w:t xml:space="preserve"> </w:t>
      </w:r>
      <w:r>
        <w:t xml:space="preserve">0.1%</w:t>
      </w:r>
      <w:r>
        <w:t xml:space="preserve"> </w:t>
      </w:r>
      <w:r>
        <w:t xml:space="preserve">1.6</w:t>
      </w:r>
      <w:r>
        <w:t xml:space="preserve"> </w:t>
      </w:r>
      <w:r>
        <w:t xml:space="preserve">0.2%</w:t>
      </w:r>
      <w:r>
        <w:t xml:space="preserve"> </w:t>
      </w:r>
      <w:r>
        <w:t xml:space="preserve">PO-B1</w:t>
      </w:r>
      <w:r>
        <w:t xml:space="preserve"> </w:t>
      </w:r>
      <w:r>
        <w:t xml:space="preserve">17.0</w:t>
      </w:r>
      <w:r>
        <w:t xml:space="preserve"> </w:t>
      </w:r>
      <w:r>
        <w:t xml:space="preserve">0.3</w:t>
      </w:r>
      <w:r>
        <w:t xml:space="preserve"> </w:t>
      </w:r>
      <w:r>
        <w:t xml:space="preserve">11.3</w:t>
      </w:r>
      <w:r>
        <w:t xml:space="preserve"> </w:t>
      </w:r>
      <w:r>
        <w:t xml:space="preserve">36.7</w:t>
      </w:r>
      <w:r>
        <w:t xml:space="preserve"> </w:t>
      </w:r>
      <w:r>
        <w:t xml:space="preserve">0.04</w:t>
      </w:r>
      <w:r>
        <w:t xml:space="preserve"> </w:t>
      </w:r>
      <w:r>
        <w:t xml:space="preserve">14.2</w:t>
      </w:r>
      <w:r>
        <w:t xml:space="preserve"> </w:t>
      </w:r>
      <w:r>
        <w:t xml:space="preserve">37.9</w:t>
      </w:r>
      <w:r>
        <w:t xml:space="preserve"> </w:t>
      </w:r>
      <w:r>
        <w:t xml:space="preserve">5.4%</w:t>
      </w:r>
      <w:r>
        <w:t xml:space="preserve"> </w:t>
      </w:r>
      <w:r>
        <w:t xml:space="preserve">66.1</w:t>
      </w:r>
      <w:r>
        <w:t xml:space="preserve"> </w:t>
      </w:r>
      <w:r>
        <w:t xml:space="preserve">6.5%</w:t>
      </w:r>
      <w:r>
        <w:t xml:space="preserve"> </w:t>
      </w:r>
      <w:r>
        <w:t xml:space="preserve">PO-B2a</w:t>
      </w:r>
      <w:r>
        <w:t xml:space="preserve"> </w:t>
      </w:r>
      <w:r>
        <w:t xml:space="preserve">16.6</w:t>
      </w:r>
      <w:r>
        <w:t xml:space="preserve"> </w:t>
      </w:r>
      <w:r>
        <w:t xml:space="preserve">0.6</w:t>
      </w:r>
      <w:r>
        <w:t xml:space="preserve"> </w:t>
      </w:r>
      <w:r>
        <w:t xml:space="preserve">11.5</w:t>
      </w:r>
      <w:r>
        <w:t xml:space="preserve"> </w:t>
      </w:r>
      <w:r>
        <w:t xml:space="preserve">36.8</w:t>
      </w:r>
      <w:r>
        <w:t xml:space="preserve"> </w:t>
      </w:r>
      <w:r>
        <w:t xml:space="preserve">0.8</w:t>
      </w:r>
      <w:r>
        <w:t xml:space="preserve"> </w:t>
      </w:r>
      <w:r>
        <w:t xml:space="preserve">14.7</w:t>
      </w:r>
      <w:r>
        <w:t xml:space="preserve"> </w:t>
      </w:r>
      <w:r>
        <w:t xml:space="preserve">37.7</w:t>
      </w:r>
      <w:r>
        <w:t xml:space="preserve"> </w:t>
      </w:r>
      <w:r>
        <w:t xml:space="preserve">5.3%</w:t>
      </w:r>
      <w:r>
        <w:t xml:space="preserve"> </w:t>
      </w:r>
      <w:r>
        <w:t xml:space="preserve">67.5</w:t>
      </w:r>
      <w:r>
        <w:t xml:space="preserve"> </w:t>
      </w:r>
      <w:r>
        <w:t xml:space="preserve">6.6%</w:t>
      </w:r>
      <w:r>
        <w:t xml:space="preserve"> </w:t>
      </w:r>
      <w:r>
        <w:t xml:space="preserve">PO-B2b</w:t>
      </w:r>
      <w:r>
        <w:t xml:space="preserve"> </w:t>
      </w:r>
      <w:r>
        <w:t xml:space="preserve">13.5</w:t>
      </w:r>
      <w:r>
        <w:t xml:space="preserve"> </w:t>
      </w:r>
      <w:r>
        <w:t xml:space="preserve">0.6</w:t>
      </w:r>
      <w:r>
        <w:t xml:space="preserve"> </w:t>
      </w:r>
      <w:r>
        <w:t xml:space="preserve">10.7</w:t>
      </w:r>
      <w:r>
        <w:t xml:space="preserve"> </w:t>
      </w:r>
      <w:r>
        <w:t xml:space="preserve">24.3</w:t>
      </w:r>
      <w:r>
        <w:t xml:space="preserve"> </w:t>
      </w:r>
      <w:r>
        <w:t xml:space="preserve">0.8</w:t>
      </w:r>
      <w:r>
        <w:t xml:space="preserve"> </w:t>
      </w:r>
      <w:r>
        <w:t xml:space="preserve">11.9</w:t>
      </w:r>
      <w:r>
        <w:t xml:space="preserve"> </w:t>
      </w:r>
      <w:r>
        <w:t xml:space="preserve">32.8</w:t>
      </w:r>
      <w:r>
        <w:t xml:space="preserve"> </w:t>
      </w:r>
      <w:r>
        <w:t xml:space="preserve">4.6%</w:t>
      </w:r>
      <w:r>
        <w:t xml:space="preserve"> </w:t>
      </w:r>
      <w:r>
        <w:t xml:space="preserve">48.1</w:t>
      </w:r>
      <w:r>
        <w:t xml:space="preserve"> </w:t>
      </w:r>
      <w:r>
        <w:t xml:space="preserve">4.7%</w:t>
      </w:r>
      <w:r>
        <w:t xml:space="preserve"> </w:t>
      </w:r>
      <w:r>
        <w:t xml:space="preserve">PO-C</w:t>
      </w:r>
      <w:r>
        <w:t xml:space="preserve"> </w:t>
      </w:r>
      <w:r>
        <w:t xml:space="preserve">8.4</w:t>
      </w:r>
      <w:r>
        <w:t xml:space="preserve"> </w:t>
      </w:r>
      <w:r>
        <w:t xml:space="preserve">0.2</w:t>
      </w:r>
      <w:r>
        <w:t xml:space="preserve"> </w:t>
      </w:r>
      <w:r>
        <w:t xml:space="preserve">5.3</w:t>
      </w:r>
      <w:r>
        <w:t xml:space="preserve"> </w:t>
      </w:r>
      <w:r>
        <w:t xml:space="preserve">25.9</w:t>
      </w:r>
      <w:r>
        <w:t xml:space="preserve"> </w:t>
      </w:r>
      <w:r>
        <w:t xml:space="preserve">0.3</w:t>
      </w:r>
      <w:r>
        <w:t xml:space="preserve"> </w:t>
      </w:r>
      <w:r>
        <w:t xml:space="preserve">9.8</w:t>
      </w:r>
      <w:r>
        <w:t xml:space="preserve"> </w:t>
      </w:r>
      <w:r>
        <w:t xml:space="preserve">18.3</w:t>
      </w:r>
      <w:r>
        <w:t xml:space="preserve"> </w:t>
      </w:r>
      <w:r>
        <w:t xml:space="preserve">2.6%</w:t>
      </w:r>
      <w:r>
        <w:t xml:space="preserve"> </w:t>
      </w:r>
      <w:r>
        <w:t xml:space="preserve">46.7</w:t>
      </w:r>
      <w:r>
        <w:t xml:space="preserve"> </w:t>
      </w:r>
      <w:r>
        <w:t xml:space="preserve">4.6%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It is important to point out that in the sub-option PO-B1 with the GHG-only eligibility criterion, most IWW</w:t>
      </w:r>
      <w:r>
        <w:t xml:space="preserve"> </w:t>
      </w:r>
      <w:r>
        <w:t xml:space="preserve">operations will not be eligible for support during the second half of the analysed period104, while almost all RR</w:t>
      </w:r>
      <w:r>
        <w:t xml:space="preserve"> </w:t>
      </w:r>
      <w:r>
        <w:t xml:space="preserve">operations, including those where the rail leg is very short and road legs are longer than rail leg would be eligible.</w:t>
      </w:r>
      <w:r>
        <w:t xml:space="preserve"> </w:t>
      </w:r>
      <w:r>
        <w:t xml:space="preserve">The increase in rail compensates for the loss in IWW and the total impact for PO-B1 is similar to PO-B2a both in</w:t>
      </w:r>
      <w:r>
        <w:t xml:space="preserve"> </w:t>
      </w:r>
      <w:r>
        <w:t xml:space="preserve">each year as well as over the period of 2025-2050, relative to the baseline. The impact of PO-B2b is projected to be</w:t>
      </w:r>
      <w:r>
        <w:t xml:space="preserve"> </w:t>
      </w:r>
      <w:r>
        <w:t xml:space="preserve">lower than that of PO-B2a due to the fact that it covers only cross-border intra-EU operations.</w:t>
      </w:r>
    </w:p>
    <w:p>
      <w:pPr>
        <w:pStyle w:val="BodyText"/>
      </w:pPr>
      <w:r>
        <w:t xml:space="preserve">103 The objective of the initiative is to induce a substitution effect. The income effect, as shown by the modelling results,</w:t>
      </w:r>
      <w:r>
        <w:t xml:space="preserve"> </w:t>
      </w:r>
      <w:r>
        <w:t xml:space="preserve">is limited in all policy options (i.e. the increase in the total transport activity is lower than 0.2% relative to the baseline</w:t>
      </w:r>
      <w:r>
        <w:t xml:space="preserve"> </w:t>
      </w:r>
      <w:r>
        <w:t xml:space="preserve">for all time periods). This is because the demand for freight transport depends on the demand and supply of goods and</w:t>
      </w:r>
      <w:r>
        <w:t xml:space="preserve"> </w:t>
      </w:r>
      <w:r>
        <w:t xml:space="preserve">the price elasticity of demand for freight transport is low. Furthermore, support will not bring the price lower than</w:t>
      </w:r>
      <w:r>
        <w:t xml:space="preserve"> </w:t>
      </w:r>
      <w:r>
        <w:t xml:space="preserve">currently charged for road transport services.</w:t>
      </w:r>
      <w:r>
        <w:t xml:space="preserve"> </w:t>
      </w:r>
      <w:r>
        <w:t xml:space="preserve">104 The fact that most IWW operations will not be eligible under PO-B1 during the second half of the period is due to the</w:t>
      </w:r>
      <w:r>
        <w:t xml:space="preserve"> </w:t>
      </w:r>
      <w:r>
        <w:t xml:space="preserve">fact that the greenhouse gas emissions performance of road transport is projected to significantly improve over time and</w:t>
      </w:r>
      <w:r>
        <w:t xml:space="preserve"> </w:t>
      </w:r>
      <w:r>
        <w:t xml:space="preserve">catch up with that of IWW. This is not due to lower ability to reduce greenhouse gas emissions from IWW relative to</w:t>
      </w:r>
      <w:r>
        <w:t xml:space="preserve"> </w:t>
      </w:r>
      <w:r>
        <w:t xml:space="preserve">road transport. It rather reflects the EU level and Member States level policies implemented and proposed so far, and</w:t>
      </w:r>
      <w:r>
        <w:t xml:space="preserve"> </w:t>
      </w:r>
      <w:r>
        <w:t xml:space="preserve">included in the baseline. As different regulatory and market-based measures are phased in (reducing and internalising the</w:t>
      </w:r>
      <w:r>
        <w:t xml:space="preserve"> </w:t>
      </w:r>
      <w:r>
        <w:t xml:space="preserve">external costs) the relevance and eligibility criteria in the CTD will need to be reassessed and adjusted.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Figure 11: Additional intermodal volume per policy option and mode over 2025-2050, relative to the baseline, in bn</w:t>
      </w:r>
      <w:r>
        <w:t xml:space="preserve"> </w:t>
      </w:r>
      <w:r>
        <w:t xml:space="preserve">tkm</w:t>
      </w:r>
    </w:p>
    <w:p>
      <w:pPr>
        <w:pStyle w:val="BodyText"/>
      </w:pPr>
      <w:r>
        <w:t xml:space="preserve">Source: Ricardo et al. support study (2023)</w:t>
      </w:r>
      <w:r>
        <w:t xml:space="preserve"> </w:t>
      </w:r>
      <w:r>
        <w:t xml:space="preserve">The increase in the intermodal rail traffic, as envisaged in the best performing policy options (PO-B1 and PO-B2a),</w:t>
      </w:r>
      <w:r>
        <w:t xml:space="preserve"> </w:t>
      </w:r>
      <w:r>
        <w:t xml:space="preserve">is expected to require up to a maximum 3% increase in rail capacity relative to the baseline in 2050 that can be</w:t>
      </w:r>
      <w:r>
        <w:t xml:space="preserve"> </w:t>
      </w:r>
      <w:r>
        <w:t xml:space="preserve">absorbed thanks to better management of the rail capacity105. In this context, it should be noted that the rail</w:t>
      </w:r>
      <w:r>
        <w:t xml:space="preserve"> </w:t>
      </w:r>
      <w:r>
        <w:t xml:space="preserve">capacity initiative, part of the forthcoming Greening freight package, is expected to bring about an improvement in</w:t>
      </w:r>
      <w:r>
        <w:t xml:space="preserve"> </w:t>
      </w:r>
      <w:r>
        <w:t xml:space="preserve">the management of capacity and traffic that results in visible progress of rail performance106. This comes in</w:t>
      </w:r>
      <w:r>
        <w:t xml:space="preserve"> </w:t>
      </w:r>
      <w:r>
        <w:t xml:space="preserve">addition to the improvements in infrastructure envisaged in the baseline scenario, due to the proposed revision of</w:t>
      </w:r>
      <w:r>
        <w:t xml:space="preserve"> </w:t>
      </w:r>
      <w:r>
        <w:t xml:space="preserve">the TEN-T Regulation. This includes for the first time an obligation on Member States to ensure sufficient</w:t>
      </w:r>
      <w:r>
        <w:t xml:space="preserve"> </w:t>
      </w:r>
      <w:r>
        <w:t xml:space="preserve">multimodal freight terminal capacity based on dedicated analysis and action plans. Post-2030, terminal capacity is</w:t>
      </w:r>
      <w:r>
        <w:t xml:space="preserve"> </w:t>
      </w:r>
      <w:r>
        <w:t xml:space="preserve">thus expected to increase in line with the demand. The proposal also envisages that the high-quality TEN-T rail</w:t>
      </w:r>
      <w:r>
        <w:t xml:space="preserve"> </w:t>
      </w:r>
      <w:r>
        <w:t xml:space="preserve">network would be gradually completed in three steps: 2030 for the core network, 2040 for the extended core</w:t>
      </w:r>
      <w:r>
        <w:t xml:space="preserve"> </w:t>
      </w:r>
      <w:r>
        <w:t xml:space="preserve">network and 2050 for the comprehensive network, as explained in section 5.1.1.</w:t>
      </w:r>
      <w:r>
        <w:t xml:space="preserve"> </w:t>
      </w:r>
      <w:r>
        <w:t xml:space="preserve">The increase in the competitiveness of intermodal transport operations is expected to have knock-on effects</w:t>
      </w:r>
      <w:r>
        <w:t xml:space="preserve"> </w:t>
      </w:r>
      <w:r>
        <w:t xml:space="preserve">throughout the entire economy, leveraging the initial impact on the transport sector. This is also expected to lead</w:t>
      </w:r>
      <w:r>
        <w:t xml:space="preserve"> </w:t>
      </w:r>
      <w:r>
        <w:t xml:space="preserve">to positive impacts on GDP. The impact on GDP is however estimated to be small as the proposal does not bring</w:t>
      </w:r>
      <w:r>
        <w:t xml:space="preserve"> </w:t>
      </w:r>
      <w:r>
        <w:t xml:space="preserve">along new transport activity, but rather induces redistribution of operations between the modes. All policy options</w:t>
      </w:r>
      <w:r>
        <w:t xml:space="preserve"> </w:t>
      </w:r>
      <w:r>
        <w:t xml:space="preserve">are expected to have a small positive impact on GDP (Table 6). The changes are expected mostly due to positive</w:t>
      </w:r>
      <w:r>
        <w:t xml:space="preserve"> </w:t>
      </w:r>
      <w:r>
        <w:t xml:space="preserve">effects on logistics organisers, terminal activity and engagement of more companies in one transport operation.</w:t>
      </w:r>
      <w:r>
        <w:t xml:space="preserve"> </w:t>
      </w:r>
      <w:r>
        <w:t xml:space="preserve">PO-A is estimated to have a very limited impact on GDP relative to the baseline (less than 0.1% increase in 2030</w:t>
      </w:r>
      <w:r>
        <w:t xml:space="preserve"> </w:t>
      </w:r>
      <w:r>
        <w:t xml:space="preserve">and 2050) because of the limited support given and the low impact on intermodal volumes. The impact of PO-B1</w:t>
      </w:r>
      <w:r>
        <w:t xml:space="preserve"> </w:t>
      </w:r>
      <w:r>
        <w:t xml:space="preserve">will be larger relative to the baseline (less than 0.1% increase in 2030 and 0.1% increase in 2050), but relatively low</w:t>
      </w:r>
      <w:r>
        <w:t xml:space="preserve"> </w:t>
      </w:r>
      <w:r>
        <w:t xml:space="preserve">compared to PO-B2a, PO-B2b and PO-C (0.1% increase in 2030 and around 0.3% increase in 2050).</w:t>
      </w:r>
      <w:r>
        <w:br/>
      </w:r>
      <w:r>
        <w:t xml:space="preserve">Table 6: Increase in GDP compared to the baseline, EU-27, EUR bn (in 2021 prices)</w:t>
      </w:r>
    </w:p>
    <w:p>
      <w:pPr>
        <w:pStyle w:val="BodyText"/>
      </w:pPr>
      <w:r>
        <w:t xml:space="preserve">PO-A</w:t>
      </w:r>
      <w:r>
        <w:t xml:space="preserve"> </w:t>
      </w:r>
      <w:r>
        <w:t xml:space="preserve">PO-B1</w:t>
      </w:r>
      <w:r>
        <w:t xml:space="preserve"> </w:t>
      </w:r>
      <w:r>
        <w:t xml:space="preserve">PO-B2a</w:t>
      </w:r>
      <w:r>
        <w:t xml:space="preserve"> </w:t>
      </w:r>
      <w:r>
        <w:t xml:space="preserve">PO-B2b</w:t>
      </w:r>
      <w:r>
        <w:t xml:space="preserve"> </w:t>
      </w:r>
      <w:r>
        <w:t xml:space="preserve">PO-C</w:t>
      </w:r>
      <w:r>
        <w:t xml:space="preserve"> </w:t>
      </w:r>
      <w:r>
        <w:t xml:space="preserve">GDP</w:t>
      </w:r>
      <w:r>
        <w:t xml:space="preserve"> </w:t>
      </w:r>
      <w:r>
        <w:t xml:space="preserve">2030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15</w:t>
      </w:r>
      <w:r>
        <w:t xml:space="preserve"> </w:t>
      </w:r>
      <w:r>
        <w:t xml:space="preserve">15</w:t>
      </w:r>
      <w:r>
        <w:t xml:space="preserve"> </w:t>
      </w:r>
      <w:r>
        <w:t xml:space="preserve">16</w:t>
      </w:r>
      <w:r>
        <w:t xml:space="preserve"> </w:t>
      </w:r>
      <w:r>
        <w:t xml:space="preserve">2050</w:t>
      </w:r>
      <w:r>
        <w:t xml:space="preserve"> </w:t>
      </w:r>
      <w:r>
        <w:t xml:space="preserve">2</w:t>
      </w:r>
      <w:r>
        <w:t xml:space="preserve"> </w:t>
      </w:r>
      <w:r>
        <w:t xml:space="preserve">25</w:t>
      </w:r>
      <w:r>
        <w:t xml:space="preserve"> </w:t>
      </w:r>
      <w:r>
        <w:t xml:space="preserve">68</w:t>
      </w:r>
      <w:r>
        <w:t xml:space="preserve"> </w:t>
      </w:r>
      <w:r>
        <w:t xml:space="preserve">57</w:t>
      </w:r>
      <w:r>
        <w:t xml:space="preserve"> </w:t>
      </w:r>
      <w:r>
        <w:t xml:space="preserve">67</w:t>
      </w:r>
      <w:r>
        <w:t xml:space="preserve"> </w:t>
      </w:r>
      <w:r>
        <w:t xml:space="preserve">Source: Ricardo et al. support study (2023)</w:t>
      </w:r>
    </w:p>
    <w:p>
      <w:pPr>
        <w:pStyle w:val="BodyText"/>
      </w:pPr>
      <w:r>
        <w:t xml:space="preserve">105 As explained in Annex 4, the TRUST model was used as part of the modelling framework for this impact assessment.</w:t>
      </w:r>
      <w:r>
        <w:t xml:space="preserve"> </w:t>
      </w:r>
      <w:r>
        <w:t xml:space="preserve">The TRUST model is a European transport network model simulating road, rail, inland waterways and maritime transport</w:t>
      </w:r>
      <w:r>
        <w:t xml:space="preserve"> </w:t>
      </w:r>
      <w:r>
        <w:t xml:space="preserve">activity. TRUST covers the whole EU and its neighbouring countries and it allows for the assignment of passenger and</w:t>
      </w:r>
      <w:r>
        <w:t xml:space="preserve"> </w:t>
      </w:r>
      <w:r>
        <w:t xml:space="preserve">freight origin-destination (OD) matrices at NUTS3 level (about 1,600 zones) on the multimodal transport network. As</w:t>
      </w:r>
      <w:r>
        <w:t xml:space="preserve"> </w:t>
      </w:r>
      <w:r>
        <w:t xml:space="preserve">explained in Annex 4, the model also reflects the intermodal transport chains.</w:t>
      </w:r>
      <w:r>
        <w:t xml:space="preserve"> </w:t>
      </w:r>
      <w:r>
        <w:t xml:space="preserve">106 The preferred policy option estimates a 4% increase in rail capacity by 2050, relative to the baseline.</w:t>
      </w:r>
      <w:r>
        <w:t xml:space="preserve"> </w:t>
      </w:r>
      <w:r>
        <w:t xml:space="preserve">0,0</w:t>
      </w:r>
      <w:r>
        <w:t xml:space="preserve"> </w:t>
      </w:r>
      <w:r>
        <w:t xml:space="preserve">100,0</w:t>
      </w:r>
      <w:r>
        <w:t xml:space="preserve"> </w:t>
      </w:r>
      <w:r>
        <w:t xml:space="preserve">200,0</w:t>
      </w:r>
      <w:r>
        <w:t xml:space="preserve"> </w:t>
      </w:r>
      <w:r>
        <w:t xml:space="preserve">300,0</w:t>
      </w:r>
      <w:r>
        <w:t xml:space="preserve"> </w:t>
      </w:r>
      <w:r>
        <w:t xml:space="preserve">400,0</w:t>
      </w:r>
      <w:r>
        <w:t xml:space="preserve"> </w:t>
      </w:r>
      <w:r>
        <w:t xml:space="preserve">500,0</w:t>
      </w:r>
      <w:r>
        <w:t xml:space="preserve"> </w:t>
      </w:r>
      <w:r>
        <w:t xml:space="preserve">600,0</w:t>
      </w:r>
      <w:r>
        <w:t xml:space="preserve"> </w:t>
      </w:r>
      <w:r>
        <w:t xml:space="preserve">700,0</w:t>
      </w:r>
      <w:r>
        <w:t xml:space="preserve"> </w:t>
      </w:r>
      <w:r>
        <w:t xml:space="preserve">800,0</w:t>
      </w:r>
      <w:r>
        <w:t xml:space="preserve"> </w:t>
      </w:r>
      <w:r>
        <w:t xml:space="preserve">900,0</w:t>
      </w:r>
      <w:r>
        <w:t xml:space="preserve"> </w:t>
      </w:r>
      <w:r>
        <w:t xml:space="preserve">1000,0</w:t>
      </w:r>
      <w:r>
        <w:t xml:space="preserve"> </w:t>
      </w:r>
      <w:r>
        <w:t xml:space="preserve">Rail intermodal</w:t>
      </w:r>
      <w:r>
        <w:t xml:space="preserve"> </w:t>
      </w:r>
      <w:r>
        <w:t xml:space="preserve">SSS intermodal</w:t>
      </w:r>
      <w:r>
        <w:t xml:space="preserve"> </w:t>
      </w:r>
      <w:r>
        <w:t xml:space="preserve">IWW intermodal</w:t>
      </w:r>
      <w:r>
        <w:t xml:space="preserve"> </w:t>
      </w:r>
      <w:r>
        <w:t xml:space="preserve">PO B2-b</w:t>
      </w:r>
      <w:r>
        <w:t xml:space="preserve"> </w:t>
      </w:r>
      <w:r>
        <w:t xml:space="preserve">PO C</w:t>
      </w:r>
      <w:r>
        <w:t xml:space="preserve"> </w:t>
      </w:r>
      <w:r>
        <w:t xml:space="preserve">PO B2</w:t>
      </w:r>
      <w:r>
        <w:t xml:space="preserve"> </w:t>
      </w:r>
      <w:r>
        <w:t xml:space="preserve">PO B1</w:t>
      </w:r>
      <w:r>
        <w:t xml:space="preserve"> </w:t>
      </w:r>
      <w:r>
        <w:t xml:space="preserve">PO A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6.1.2. Impact on national public administrations</w:t>
      </w:r>
      <w:r>
        <w:t xml:space="preserve"> </w:t>
      </w:r>
      <w:r>
        <w:t xml:space="preserve">Adjustment costs for public authorities. Adjustment costs derive from different obligations on data gathering,</w:t>
      </w:r>
      <w:r>
        <w:t xml:space="preserve"> </w:t>
      </w:r>
      <w:r>
        <w:t xml:space="preserve">analysis and strategic planning under PM4-PM6, where the strongest impact is expected in PO-C mandating new</w:t>
      </w:r>
      <w:r>
        <w:t xml:space="preserve"> </w:t>
      </w:r>
      <w:r>
        <w:t xml:space="preserve">harmonised analysis and strategic planning for freight transport system in Member States (PM5). The recurrent</w:t>
      </w:r>
      <w:r>
        <w:t xml:space="preserve"> </w:t>
      </w:r>
      <w:r>
        <w:t xml:space="preserve">adjustment costs in PO-C are estimated at EUR 1.6 million every 5 years from 2025 onwards, while the one-off</w:t>
      </w:r>
      <w:r>
        <w:t xml:space="preserve"> </w:t>
      </w:r>
      <w:r>
        <w:t xml:space="preserve">costs at EUR 1.1 million for setting up the data gathering system. In PO-A, where the data gathering, analysis and</w:t>
      </w:r>
      <w:r>
        <w:t xml:space="preserve"> </w:t>
      </w:r>
      <w:r>
        <w:t xml:space="preserve">strategic planning for sustainable freight transport remains voluntary (PM4), the recurrent costs are estimated at</w:t>
      </w:r>
      <w:r>
        <w:t xml:space="preserve"> </w:t>
      </w:r>
      <w:r>
        <w:t xml:space="preserve">EUR 0.3 million every 5 years from 2025 onwards, while the one-off costs for setting up additional data gathering</w:t>
      </w:r>
      <w:r>
        <w:t xml:space="preserve"> </w:t>
      </w:r>
      <w:r>
        <w:t xml:space="preserve">systems are EUR 0.2 million. In PO-B, there are no additional costs relative to the baseline for national public</w:t>
      </w:r>
      <w:r>
        <w:t xml:space="preserve"> </w:t>
      </w:r>
      <w:r>
        <w:t xml:space="preserve">authorities. The costs for the European Commission (due to PM6) are discussed in section 6.1.3. Expressed as</w:t>
      </w:r>
      <w:r>
        <w:t xml:space="preserve"> </w:t>
      </w:r>
      <w:r>
        <w:t xml:space="preserve">present value over 2025-2050, the total adjustment costs for national public authorities are estimated at EUR 1.4</w:t>
      </w:r>
      <w:r>
        <w:t xml:space="preserve"> </w:t>
      </w:r>
      <w:r>
        <w:t xml:space="preserve">million in PO-A (of which EUR 0.2 million one-off costs) and at EUR 7.8 million in PO-C (of which EUR 1.1 million</w:t>
      </w:r>
      <w:r>
        <w:t xml:space="preserve"> </w:t>
      </w:r>
      <w:r>
        <w:t xml:space="preserve">one-off costs)107.</w:t>
      </w:r>
      <w:r>
        <w:t xml:space="preserve"> </w:t>
      </w:r>
      <w:r>
        <w:t xml:space="preserve">Economic costs (costs of support) for public authorities. By far the biggest impact on national administrations</w:t>
      </w:r>
      <w:r>
        <w:t xml:space="preserve"> </w:t>
      </w:r>
      <w:r>
        <w:t xml:space="preserve">compared to the baseline is the cost of economic support deriving from extended eligibility and support measures</w:t>
      </w:r>
      <w:r>
        <w:t xml:space="preserve"> </w:t>
      </w:r>
      <w:r>
        <w:t xml:space="preserve">under PM7-PM12 (see Table 7). The differences in these costs depend mostly on eligibility criteria which define</w:t>
      </w:r>
      <w:r>
        <w:t xml:space="preserve"> </w:t>
      </w:r>
      <w:r>
        <w:t xml:space="preserve">how many operations would benefit from support (volume supported), including the scope (all intra-EU operations</w:t>
      </w:r>
      <w:r>
        <w:t xml:space="preserve"> </w:t>
      </w:r>
      <w:r>
        <w:t xml:space="preserve">versus only cross-border intra-EU operations), as well as on the choice of type of support in each policy option.</w:t>
      </w:r>
      <w:r>
        <w:t xml:space="preserve"> </w:t>
      </w:r>
      <w:r>
        <w:t xml:space="preserve">Table 7: Impacts on recurrent costs and costs savings for public authorities compared to the baseline, EU-27 (million</w:t>
      </w:r>
      <w:r>
        <w:t xml:space="preserve"> </w:t>
      </w:r>
      <w:r>
        <w:t xml:space="preserve">EUR, in 2021 prices)</w:t>
      </w:r>
      <w:r>
        <w:br/>
      </w:r>
      <w:r>
        <w:t xml:space="preserve">Applicable policy measures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PO-B1</w:t>
      </w:r>
      <w:r>
        <w:t xml:space="preserve"> </w:t>
      </w:r>
      <w:r>
        <w:t xml:space="preserve">PO-B2a</w:t>
      </w:r>
      <w:r>
        <w:t xml:space="preserve"> </w:t>
      </w:r>
      <w:r>
        <w:t xml:space="preserve">PO-B2b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 for data gathering, analysis and strategic planning</w:t>
      </w:r>
      <w:r>
        <w:t xml:space="preserve"> </w:t>
      </w:r>
      <w:r>
        <w:t xml:space="preserve">PM4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</w:p>
    <w:p>
      <w:pPr>
        <w:pStyle w:val="BodyText"/>
      </w:pPr>
      <w:r>
        <w:t xml:space="preserve">PM5</w:t>
      </w:r>
    </w:p>
    <w:p>
      <w:pPr>
        <w:pStyle w:val="BodyText"/>
      </w:pPr>
      <w:r>
        <w:t xml:space="preserve">1.6</w:t>
      </w:r>
      <w:r>
        <w:t xml:space="preserve"> </w:t>
      </w:r>
      <w:r>
        <w:t xml:space="preserve">1.6</w:t>
      </w:r>
      <w:r>
        <w:t xml:space="preserve"> </w:t>
      </w:r>
      <w:r>
        <w:t xml:space="preserve">Economic costs – cost of support</w:t>
      </w:r>
      <w:r>
        <w:t xml:space="preserve"> </w:t>
      </w:r>
      <w:r>
        <w:t xml:space="preserve">PM7*</w:t>
      </w:r>
    </w:p>
    <w:p>
      <w:pPr>
        <w:pStyle w:val="BodyText"/>
      </w:pPr>
      <w:r>
        <w:t xml:space="preserve">1,665.3</w:t>
      </w:r>
      <w:r>
        <w:t xml:space="preserve"> </w:t>
      </w:r>
      <w:r>
        <w:t xml:space="preserve">2,394.1</w:t>
      </w:r>
      <w:r>
        <w:t xml:space="preserve"> </w:t>
      </w:r>
      <w:r>
        <w:t xml:space="preserve">PM8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PM9*</w:t>
      </w:r>
    </w:p>
    <w:p>
      <w:pPr>
        <w:pStyle w:val="BodyText"/>
      </w:pPr>
      <w:r>
        <w:t xml:space="preserve">246.7</w:t>
      </w:r>
      <w:r>
        <w:t xml:space="preserve"> </w:t>
      </w:r>
      <w:r>
        <w:t xml:space="preserve">352.2</w:t>
      </w:r>
      <w:r>
        <w:t xml:space="preserve"> </w:t>
      </w:r>
      <w:r>
        <w:t xml:space="preserve">262.0</w:t>
      </w:r>
      <w:r>
        <w:t xml:space="preserve"> </w:t>
      </w:r>
      <w:r>
        <w:t xml:space="preserve">437.9</w:t>
      </w:r>
      <w:r>
        <w:t xml:space="preserve"> </w:t>
      </w:r>
      <w:r>
        <w:t xml:space="preserve">200.3</w:t>
      </w:r>
      <w:r>
        <w:t xml:space="preserve"> </w:t>
      </w:r>
      <w:r>
        <w:t xml:space="preserve">269.0</w:t>
      </w:r>
    </w:p>
    <w:p>
      <w:pPr>
        <w:pStyle w:val="BodyText"/>
      </w:pPr>
      <w:r>
        <w:t xml:space="preserve">PM10</w:t>
      </w:r>
    </w:p>
    <w:p>
      <w:pPr>
        <w:pStyle w:val="BodyText"/>
      </w:pPr>
      <w:r>
        <w:t xml:space="preserve">112.0</w:t>
      </w:r>
      <w:r>
        <w:t xml:space="preserve"> </w:t>
      </w:r>
      <w:r>
        <w:t xml:space="preserve">0.0</w:t>
      </w:r>
      <w:r>
        <w:t xml:space="preserve"> </w:t>
      </w:r>
      <w:r>
        <w:t xml:space="preserve">112.0</w:t>
      </w:r>
      <w:r>
        <w:t xml:space="preserve"> </w:t>
      </w:r>
      <w:r>
        <w:t xml:space="preserve">0.0</w:t>
      </w:r>
      <w:r>
        <w:t xml:space="preserve"> </w:t>
      </w:r>
      <w:r>
        <w:t xml:space="preserve">112.0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PM11</w:t>
      </w:r>
    </w:p>
    <w:p>
      <w:pPr>
        <w:pStyle w:val="BodyText"/>
      </w:pPr>
      <w:r>
        <w:t xml:space="preserve">5.1</w:t>
      </w:r>
      <w:r>
        <w:t xml:space="preserve"> </w:t>
      </w:r>
      <w:r>
        <w:t xml:space="preserve">13.1</w:t>
      </w:r>
      <w:r>
        <w:t xml:space="preserve"> </w:t>
      </w:r>
      <w:r>
        <w:t xml:space="preserve">5.1</w:t>
      </w:r>
      <w:r>
        <w:t xml:space="preserve"> </w:t>
      </w:r>
      <w:r>
        <w:t xml:space="preserve">13.1</w:t>
      </w:r>
      <w:r>
        <w:t xml:space="preserve"> </w:t>
      </w:r>
      <w:r>
        <w:t xml:space="preserve">5.1</w:t>
      </w:r>
      <w:r>
        <w:t xml:space="preserve"> </w:t>
      </w:r>
      <w:r>
        <w:t xml:space="preserve">13.1</w:t>
      </w:r>
    </w:p>
    <w:p>
      <w:pPr>
        <w:pStyle w:val="BodyText"/>
      </w:pPr>
      <w:r>
        <w:t xml:space="preserve">Administrative costs savings</w:t>
      </w:r>
      <w:r>
        <w:t xml:space="preserve"> </w:t>
      </w:r>
      <w:r>
        <w:t xml:space="preserve">PM3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Total costs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363.8</w:t>
      </w:r>
      <w:r>
        <w:t xml:space="preserve"> </w:t>
      </w:r>
      <w:r>
        <w:t xml:space="preserve">365.4</w:t>
      </w:r>
      <w:r>
        <w:t xml:space="preserve"> </w:t>
      </w:r>
      <w:r>
        <w:t xml:space="preserve">379.1</w:t>
      </w:r>
      <w:r>
        <w:t xml:space="preserve"> </w:t>
      </w:r>
      <w:r>
        <w:t xml:space="preserve">451.1</w:t>
      </w:r>
      <w:r>
        <w:t xml:space="preserve"> </w:t>
      </w:r>
      <w:r>
        <w:t xml:space="preserve">317.4</w:t>
      </w:r>
      <w:r>
        <w:t xml:space="preserve"> </w:t>
      </w:r>
      <w:r>
        <w:t xml:space="preserve">282.1</w:t>
      </w:r>
      <w:r>
        <w:t xml:space="preserve"> </w:t>
      </w:r>
      <w:r>
        <w:t xml:space="preserve">1,666.9</w:t>
      </w:r>
      <w:r>
        <w:t xml:space="preserve"> </w:t>
      </w:r>
      <w:r>
        <w:t xml:space="preserve">2,395.7</w:t>
      </w:r>
      <w:r>
        <w:t xml:space="preserve"> </w:t>
      </w:r>
      <w:r>
        <w:t xml:space="preserve">Total costs savings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Net costs</w:t>
      </w:r>
      <w:r>
        <w:t xml:space="preserve"> </w:t>
      </w:r>
      <w:r>
        <w:t xml:space="preserve">0.1</w:t>
      </w:r>
      <w:r>
        <w:t xml:space="preserve"> </w:t>
      </w:r>
      <w:r>
        <w:t xml:space="preserve">0.3</w:t>
      </w:r>
      <w:r>
        <w:t xml:space="preserve"> </w:t>
      </w:r>
      <w:r>
        <w:t xml:space="preserve">363.5</w:t>
      </w:r>
      <w:r>
        <w:t xml:space="preserve"> </w:t>
      </w:r>
      <w:r>
        <w:t xml:space="preserve">365.4</w:t>
      </w:r>
      <w:r>
        <w:t xml:space="preserve"> </w:t>
      </w:r>
      <w:r>
        <w:t xml:space="preserve">378.8</w:t>
      </w:r>
      <w:r>
        <w:t xml:space="preserve"> </w:t>
      </w:r>
      <w:r>
        <w:t xml:space="preserve">451.1</w:t>
      </w:r>
      <w:r>
        <w:t xml:space="preserve"> </w:t>
      </w:r>
      <w:r>
        <w:t xml:space="preserve">317.2</w:t>
      </w:r>
      <w:r>
        <w:t xml:space="preserve"> </w:t>
      </w:r>
      <w:r>
        <w:t xml:space="preserve">282.1</w:t>
      </w:r>
      <w:r>
        <w:t xml:space="preserve"> </w:t>
      </w:r>
      <w:r>
        <w:t xml:space="preserve">1,666.6</w:t>
      </w:r>
      <w:r>
        <w:t xml:space="preserve"> </w:t>
      </w:r>
      <w:r>
        <w:t xml:space="preserve">2,395.7</w:t>
      </w:r>
      <w:r>
        <w:t xml:space="preserve"> </w:t>
      </w:r>
      <w:r>
        <w:t xml:space="preserve">Source: Ricardo et al. support study (2023), * The costs of support for PM7 and PM9 reflect the synergies with PM10-</w:t>
      </w:r>
      <w:r>
        <w:t xml:space="preserve"> </w:t>
      </w:r>
      <w:r>
        <w:t xml:space="preserve">PM13 on the intermodal volume eligible for support.</w:t>
      </w:r>
      <w:r>
        <w:t xml:space="preserve"> </w:t>
      </w:r>
      <w:r>
        <w:t xml:space="preserve">In PO-A the support is voluntary (PM8) and thus Member States are expected to continue with their current</w:t>
      </w:r>
      <w:r>
        <w:t xml:space="preserve"> </w:t>
      </w:r>
      <w:r>
        <w:t xml:space="preserve">support schemes, resulting in no additional operational support relative to the baseline, even if eligibility is</w:t>
      </w:r>
      <w:r>
        <w:t xml:space="preserve"> </w:t>
      </w:r>
      <w:r>
        <w:t xml:space="preserve">theoretically increased (due to PM1). In PO-B1, the additional cost of operational support due to PM9 is estimated</w:t>
      </w:r>
      <w:r>
        <w:t xml:space="preserve"> </w:t>
      </w:r>
      <w:r>
        <w:t xml:space="preserve">at EUR 246.7 million in 2030 and EUR 352.2 million in 2050 relative to the baseline. In PO-B2a, where eligibility is</w:t>
      </w:r>
      <w:r>
        <w:t xml:space="preserve"> </w:t>
      </w:r>
      <w:r>
        <w:t xml:space="preserve">defined through saving 40% of wider set of externalities (PM2-all-intra-EU) for all intra-EU operations and the type</w:t>
      </w:r>
      <w:r>
        <w:t xml:space="preserve"> </w:t>
      </w:r>
      <w:r>
        <w:t xml:space="preserve">of support provided is the same as in PO-B1 (PM9), the cost of operational support is projected to be EUR 262</w:t>
      </w:r>
      <w:r>
        <w:t xml:space="preserve"> </w:t>
      </w:r>
      <w:r>
        <w:t xml:space="preserve">million in 2030 and EUR 437.9 million in 2050. In PO-B2b, the cost of operational support is projected at EUR 200.3</w:t>
      </w:r>
      <w:r>
        <w:t xml:space="preserve"> </w:t>
      </w:r>
      <w:r>
        <w:t xml:space="preserve">million in 2030 and EUR 269 million in 2050, lower than in PO-B2a, due to the fact that PO-B2b only covers cross-</w:t>
      </w:r>
      <w:r>
        <w:t xml:space="preserve"> </w:t>
      </w:r>
      <w:r>
        <w:t xml:space="preserve">border intra-EU operations (PM2-cross-border). The cost of harmonised mandatory operational support in PO-C</w:t>
      </w:r>
    </w:p>
    <w:p>
      <w:pPr>
        <w:pStyle w:val="BodyText"/>
      </w:pPr>
      <w:r>
        <w:t xml:space="preserve">107 More detailed explanations of costs by policy measure are provided in Annex 4.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due to PM7 (in combination with eligibility defined under PM2-all-intra-EU) is estimated to be considerably higher</w:t>
      </w:r>
      <w:r>
        <w:t xml:space="preserve"> </w:t>
      </w:r>
      <w:r>
        <w:t xml:space="preserve">as no upper distance limit is applied on operations eligible for operational support (PM12). This is estimated at EUR</w:t>
      </w:r>
      <w:r>
        <w:t xml:space="preserve"> </w:t>
      </w:r>
      <w:r>
        <w:t xml:space="preserve">1.7 bn in 2030 and EUR 2.4 bn in 2050 relative to the baseline (see Table 7).</w:t>
      </w:r>
      <w:r>
        <w:br/>
      </w:r>
      <w:r>
        <w:t xml:space="preserve">The economic cost of PM10 (start-up support) and PM11 (technological upgrade support) apply only in PO-B1, PO-</w:t>
      </w:r>
      <w:r>
        <w:t xml:space="preserve"> </w:t>
      </w:r>
      <w:r>
        <w:t xml:space="preserve">B2a and PO-B2b. They are estimated at EUR 112 million for PM10 and EUR 5.1 million for PM11 in 2030 relative to</w:t>
      </w:r>
      <w:r>
        <w:t xml:space="preserve"> </w:t>
      </w:r>
      <w:r>
        <w:t xml:space="preserve">the baseline. In 2050, no start-up support applies anymore, while the technological upgrade support amounts to</w:t>
      </w:r>
      <w:r>
        <w:t xml:space="preserve"> </w:t>
      </w:r>
      <w:r>
        <w:t xml:space="preserve">EUR 13.1 million (see Table 7).</w:t>
      </w:r>
      <w:r>
        <w:br/>
      </w:r>
      <w:r>
        <w:t xml:space="preserve">It needs to be clarified that the cost of operational support due to PM7/PM9 is affected by support provided under</w:t>
      </w:r>
      <w:r>
        <w:t xml:space="preserve"> </w:t>
      </w:r>
      <w:r>
        <w:t xml:space="preserve">PM10 (start-up support) and PM11 (technological upgrade support) in PO-B, and by regulatory support under</w:t>
      </w:r>
      <w:r>
        <w:t xml:space="preserve"> </w:t>
      </w:r>
      <w:r>
        <w:t xml:space="preserve">PM13 (exemptions from driving bans) in both PO-B and PO-C, each of which results in additional intermodal traffic</w:t>
      </w:r>
      <w:r>
        <w:t xml:space="preserve"> </w:t>
      </w:r>
      <w:r>
        <w:t xml:space="preserve">relative to the baseline and thereby increases the volume of operations eligible for operational support108.</w:t>
      </w:r>
      <w:r>
        <w:br/>
      </w:r>
      <w:r>
        <w:t xml:space="preserve">At the same time, in PO-A and PO-B, PM12 limits the obligation to provide operational support only to those</w:t>
      </w:r>
      <w:r>
        <w:t xml:space="preserve"> </w:t>
      </w:r>
      <w:r>
        <w:t xml:space="preserve">operations that are not financially self-sustained, thereby reducing the budgetary burden. The estimates for the</w:t>
      </w:r>
      <w:r>
        <w:t xml:space="preserve"> </w:t>
      </w:r>
      <w:r>
        <w:t xml:space="preserve">cost of support provided above and in Table 7 already reflect all synergies between the support measures included</w:t>
      </w:r>
      <w:r>
        <w:t xml:space="preserve"> </w:t>
      </w:r>
      <w:r>
        <w:t xml:space="preserve">in each option. More detailed explanations are provided in Annex 4.</w:t>
      </w:r>
      <w:r>
        <w:br/>
      </w:r>
      <w:r>
        <w:t xml:space="preserve">The total additional economic support by national public authorities relative to the baseline is estimated to be the</w:t>
      </w:r>
      <w:r>
        <w:t xml:space="preserve"> </w:t>
      </w:r>
      <w:r>
        <w:t xml:space="preserve">highest in PO-C (EUR 1.7 billion in 2030 and EUR 2.4 billion in 2050), followed by PO-B2a (EUR 379.1 million in 2030</w:t>
      </w:r>
      <w:r>
        <w:t xml:space="preserve"> </w:t>
      </w:r>
      <w:r>
        <w:t xml:space="preserve">and EUR 451.1 million in 2050), PO-B1 (EUR 363.8 million in 2030 and EUR 365.4 million in 2050), and PO-B2b (EUR</w:t>
      </w:r>
      <w:r>
        <w:t xml:space="preserve"> </w:t>
      </w:r>
      <w:r>
        <w:t xml:space="preserve">317.4 million in 2030 and EUR 282.1 million in 2050). In PO-A, where support remains voluntary, no additional</w:t>
      </w:r>
      <w:r>
        <w:t xml:space="preserve"> </w:t>
      </w:r>
      <w:r>
        <w:t xml:space="preserve">costs are expected. Expressed as present value over 2025-2050, the additional economic support is estimated at</w:t>
      </w:r>
      <w:r>
        <w:t xml:space="preserve"> </w:t>
      </w:r>
      <w:r>
        <w:t xml:space="preserve">EUR 34.8 bn in PO-C, EUR 7.5 bn in PO-B2a, EUR 7.2 bn in PO-B1 and EUR 5.3 bn in PO-B2b relative to the baseline.</w:t>
      </w:r>
      <w:r>
        <w:t xml:space="preserve"> </w:t>
      </w:r>
      <w:r>
        <w:t xml:space="preserve">The difference between PO-B1 and PO-B2 sub-options derives from different eligibility criteria.</w:t>
      </w:r>
      <w:r>
        <w:br/>
      </w:r>
      <w:r>
        <w:t xml:space="preserve">The estimated economic costs (cost of support) for public authorities in 2030 and 2050, by policy option</w:t>
      </w:r>
      <w:r>
        <w:t xml:space="preserve"> </w:t>
      </w:r>
      <w:r>
        <w:t xml:space="preserve">and Member State compared to the baseline, are provided in Table 8 and Table 9 below. The tables provide</w:t>
      </w:r>
      <w:r>
        <w:t xml:space="preserve"> </w:t>
      </w:r>
      <w:r>
        <w:t xml:space="preserve">both the cost of support in million EUR and as percent of GDP, relative to the baseline. The estimated</w:t>
      </w:r>
      <w:r>
        <w:t xml:space="preserve"> </w:t>
      </w:r>
      <w:r>
        <w:t xml:space="preserve">economic costs (cost of support) for public authorities in 2030 and 2050, by policy measure and Member</w:t>
      </w:r>
      <w:r>
        <w:t xml:space="preserve"> </w:t>
      </w:r>
      <w:r>
        <w:t xml:space="preserve">State compared to the baseline are provided in Annex 4. It should be noted however that due to the nature</w:t>
      </w:r>
      <w:r>
        <w:t xml:space="preserve"> </w:t>
      </w:r>
      <w:r>
        <w:t xml:space="preserve">of the CTD, where the support provided also depends on the applications for support by transport operators,</w:t>
      </w:r>
      <w:r>
        <w:t xml:space="preserve"> </w:t>
      </w:r>
      <w:r>
        <w:t xml:space="preserve">the outcome by Member State may turn out to be different than estimated in this impact assessment.</w:t>
      </w:r>
      <w:r>
        <w:t xml:space="preserve"> </w:t>
      </w:r>
      <w:r>
        <w:t xml:space="preserve">However, the estimates below provide an indication of the order of magnitude of the cost of support.</w:t>
      </w:r>
      <w:r>
        <w:br/>
      </w:r>
      <w:r>
        <w:t xml:space="preserve">It should be noted that for 2030, the cost of support is estimated to be up to 0.03% of GDP for Member</w:t>
      </w:r>
      <w:r>
        <w:t xml:space="preserve"> </w:t>
      </w:r>
      <w:r>
        <w:t xml:space="preserve">States in PO-B1 and PO-B2a and up to 0.05% of GDP for Member States in PO-C (see Table 8). For 2050,</w:t>
      </w:r>
      <w:r>
        <w:t xml:space="preserve"> </w:t>
      </w:r>
      <w:r>
        <w:t xml:space="preserve">the cost of support is estimated at up to 0.02% of GDP for Member States in PO-B1 and PO-B2a and up to</w:t>
      </w:r>
      <w:r>
        <w:t xml:space="preserve"> </w:t>
      </w:r>
      <w:r>
        <w:t xml:space="preserve">0.08% of GDP for PO-C (see Table 9). The higher cost of support, expressed as percent of GDP relative to</w:t>
      </w:r>
      <w:r>
        <w:t xml:space="preserve"> </w:t>
      </w:r>
      <w:r>
        <w:t xml:space="preserve">the baseline, estimated for the Eastern European Member States can be explained by: the absence of support</w:t>
      </w:r>
      <w:r>
        <w:t xml:space="preserve"> </w:t>
      </w:r>
      <w:r>
        <w:t xml:space="preserve">schemes under the current CTD in most of these countries; the higher effectiveness in terms of modal shift</w:t>
      </w:r>
      <w:r>
        <w:t xml:space="preserve"> </w:t>
      </w:r>
      <w:r>
        <w:t xml:space="preserve">of support schemes in these countries, which depends on the relative costs of road and rail transport109; and,</w:t>
      </w:r>
      <w:r>
        <w:t xml:space="preserve"> </w:t>
      </w:r>
      <w:r>
        <w:t xml:space="preserve">the comparatively lower GDP levels.</w:t>
      </w:r>
    </w:p>
    <w:p>
      <w:pPr>
        <w:pStyle w:val="BodyText"/>
      </w:pPr>
      <w:r>
        <w:t xml:space="preserve">108 It is however important to point out that while the economic support measures PM7-PM9 are complementary to PM10</w:t>
      </w:r>
      <w:r>
        <w:t xml:space="preserve"> </w:t>
      </w:r>
      <w:r>
        <w:t xml:space="preserve">and PM11, they do not result in “double” support for an operation as the beneficiaries of these support measures are</w:t>
      </w:r>
      <w:r>
        <w:t xml:space="preserve"> </w:t>
      </w:r>
      <w:r>
        <w:t xml:space="preserve">different (See Annex 4 on stakeholders). Support under PM10 and PM11 aims at enabling the operations and increasing</w:t>
      </w:r>
      <w:r>
        <w:t xml:space="preserve"> </w:t>
      </w:r>
      <w:r>
        <w:t xml:space="preserve">their efficiency. When the support under PM10 and PM11 reduces the total cost of operation, the support given under</w:t>
      </w:r>
      <w:r>
        <w:t xml:space="preserve"> </w:t>
      </w:r>
      <w:r>
        <w:t xml:space="preserve">PM7-PM9 will also reduce as the support is relative to the cost of operation.</w:t>
      </w:r>
      <w:r>
        <w:t xml:space="preserve"> </w:t>
      </w:r>
      <w:r>
        <w:t xml:space="preserve">109 This is because of the lower road transport costs in these countries.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Table 8: Estimated economic costs (cost of support) for public authorities in 2030, by policy option and Member State,</w:t>
      </w:r>
      <w:r>
        <w:t xml:space="preserve"> </w:t>
      </w:r>
      <w:r>
        <w:t xml:space="preserve">compared to the baseline (million EUR, in 2021 prices, and percent of GDP)</w:t>
      </w:r>
    </w:p>
    <w:p>
      <w:pPr>
        <w:pStyle w:val="BodyText"/>
      </w:pPr>
      <w:r>
        <w:t xml:space="preserve">Economic support (EUR million)</w:t>
      </w:r>
      <w:r>
        <w:t xml:space="preserve"> </w:t>
      </w:r>
      <w:r>
        <w:t xml:space="preserve">Economic support as percent of GDP</w:t>
      </w:r>
      <w:r>
        <w:t xml:space="preserve"> </w:t>
      </w:r>
      <w:r>
        <w:t xml:space="preserve">PO-A</w:t>
      </w:r>
      <w:r>
        <w:t xml:space="preserve"> </w:t>
      </w:r>
      <w:r>
        <w:t xml:space="preserve">PO-B1</w:t>
      </w:r>
      <w:r>
        <w:t xml:space="preserve"> </w:t>
      </w:r>
      <w:r>
        <w:t xml:space="preserve">PO-B2a</w:t>
      </w:r>
      <w:r>
        <w:t xml:space="preserve"> </w:t>
      </w:r>
      <w:r>
        <w:t xml:space="preserve">PO-B2-b</w:t>
      </w:r>
      <w:r>
        <w:t xml:space="preserve"> </w:t>
      </w:r>
      <w:r>
        <w:t xml:space="preserve">PO-C</w:t>
      </w:r>
      <w:r>
        <w:t xml:space="preserve"> </w:t>
      </w:r>
      <w:r>
        <w:t xml:space="preserve">PO-A</w:t>
      </w:r>
      <w:r>
        <w:t xml:space="preserve"> </w:t>
      </w:r>
      <w:r>
        <w:t xml:space="preserve">PO-B1</w:t>
      </w:r>
      <w:r>
        <w:t xml:space="preserve"> </w:t>
      </w:r>
      <w:r>
        <w:t xml:space="preserve">PO-B2a</w:t>
      </w:r>
      <w:r>
        <w:t xml:space="preserve"> </w:t>
      </w:r>
      <w:r>
        <w:t xml:space="preserve">PO-B2-b</w:t>
      </w:r>
      <w:r>
        <w:t xml:space="preserve"> </w:t>
      </w:r>
      <w:r>
        <w:t xml:space="preserve">PO-C</w:t>
      </w:r>
      <w:r>
        <w:t xml:space="preserve"> </w:t>
      </w:r>
      <w:r>
        <w:t xml:space="preserve">AT</w:t>
      </w:r>
      <w:r>
        <w:t xml:space="preserve"> </w:t>
      </w:r>
      <w:r>
        <w:t xml:space="preserve">0.0</w:t>
      </w:r>
      <w:r>
        <w:t xml:space="preserve"> </w:t>
      </w:r>
      <w:r>
        <w:t xml:space="preserve">7.4</w:t>
      </w:r>
      <w:r>
        <w:t xml:space="preserve"> </w:t>
      </w:r>
      <w:r>
        <w:t xml:space="preserve">7.8</w:t>
      </w:r>
      <w:r>
        <w:t xml:space="preserve"> </w:t>
      </w:r>
      <w:r>
        <w:t xml:space="preserve">4.8</w:t>
      </w:r>
      <w:r>
        <w:t xml:space="preserve"> </w:t>
      </w:r>
      <w:r>
        <w:t xml:space="preserve">36.9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BE</w:t>
      </w:r>
      <w:r>
        <w:t xml:space="preserve"> </w:t>
      </w:r>
      <w:r>
        <w:t xml:space="preserve">0.0</w:t>
      </w:r>
      <w:r>
        <w:t xml:space="preserve"> </w:t>
      </w:r>
      <w:r>
        <w:t xml:space="preserve">13.7</w:t>
      </w:r>
      <w:r>
        <w:t xml:space="preserve"> </w:t>
      </w:r>
      <w:r>
        <w:t xml:space="preserve">14.5</w:t>
      </w:r>
      <w:r>
        <w:t xml:space="preserve"> </w:t>
      </w:r>
      <w:r>
        <w:t xml:space="preserve">13.8</w:t>
      </w:r>
      <w:r>
        <w:t xml:space="preserve"> </w:t>
      </w:r>
      <w:r>
        <w:t xml:space="preserve">100.4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0.02%</w:t>
      </w:r>
      <w:r>
        <w:t xml:space="preserve"> </w:t>
      </w:r>
      <w:r>
        <w:t xml:space="preserve">BG</w:t>
      </w:r>
      <w:r>
        <w:t xml:space="preserve"> </w:t>
      </w:r>
      <w:r>
        <w:t xml:space="preserve">0.0</w:t>
      </w:r>
      <w:r>
        <w:t xml:space="preserve"> </w:t>
      </w:r>
      <w:r>
        <w:t xml:space="preserve">4.4</w:t>
      </w:r>
      <w:r>
        <w:t xml:space="preserve"> </w:t>
      </w:r>
      <w:r>
        <w:t xml:space="preserve">4.7</w:t>
      </w:r>
      <w:r>
        <w:t xml:space="preserve"> </w:t>
      </w:r>
      <w:r>
        <w:t xml:space="preserve">3.8</w:t>
      </w:r>
      <w:r>
        <w:t xml:space="preserve"> </w:t>
      </w:r>
      <w:r>
        <w:t xml:space="preserve">31.4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0.05%</w:t>
      </w:r>
      <w:r>
        <w:t xml:space="preserve"> </w:t>
      </w:r>
      <w:r>
        <w:t xml:space="preserve">CZ</w:t>
      </w:r>
      <w:r>
        <w:t xml:space="preserve"> </w:t>
      </w:r>
      <w:r>
        <w:t xml:space="preserve">0.0</w:t>
      </w:r>
      <w:r>
        <w:t xml:space="preserve"> </w:t>
      </w:r>
      <w:r>
        <w:t xml:space="preserve">8.2</w:t>
      </w:r>
      <w:r>
        <w:t xml:space="preserve"> </w:t>
      </w:r>
      <w:r>
        <w:t xml:space="preserve">8.4</w:t>
      </w:r>
      <w:r>
        <w:t xml:space="preserve"> </w:t>
      </w:r>
      <w:r>
        <w:t xml:space="preserve">7.2</w:t>
      </w:r>
      <w:r>
        <w:t xml:space="preserve"> </w:t>
      </w:r>
      <w:r>
        <w:t xml:space="preserve">11.0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0.0</w:t>
      </w:r>
      <w:r>
        <w:t xml:space="preserve"> </w:t>
      </w:r>
      <w:r>
        <w:t xml:space="preserve">42.8</w:t>
      </w:r>
      <w:r>
        <w:t xml:space="preserve"> </w:t>
      </w:r>
      <w:r>
        <w:t xml:space="preserve">45.4</w:t>
      </w:r>
      <w:r>
        <w:t xml:space="preserve"> </w:t>
      </w:r>
      <w:r>
        <w:t xml:space="preserve">32.9</w:t>
      </w:r>
      <w:r>
        <w:t xml:space="preserve"> </w:t>
      </w:r>
      <w:r>
        <w:t xml:space="preserve">247.7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DK</w:t>
      </w:r>
      <w:r>
        <w:t xml:space="preserve"> </w:t>
      </w:r>
      <w:r>
        <w:t xml:space="preserve">0.0</w:t>
      </w:r>
      <w:r>
        <w:t xml:space="preserve"> </w:t>
      </w:r>
      <w:r>
        <w:t xml:space="preserve">16.2</w:t>
      </w:r>
      <w:r>
        <w:t xml:space="preserve"> </w:t>
      </w:r>
      <w:r>
        <w:t xml:space="preserve">16.5</w:t>
      </w:r>
      <w:r>
        <w:t xml:space="preserve"> </w:t>
      </w:r>
      <w:r>
        <w:t xml:space="preserve">15.7</w:t>
      </w:r>
      <w:r>
        <w:t xml:space="preserve"> </w:t>
      </w:r>
      <w:r>
        <w:t xml:space="preserve">30.7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EE</w:t>
      </w:r>
      <w:r>
        <w:t xml:space="preserve"> </w:t>
      </w:r>
      <w:r>
        <w:t xml:space="preserve">0.0</w:t>
      </w:r>
      <w:r>
        <w:t xml:space="preserve"> </w:t>
      </w:r>
      <w:r>
        <w:t xml:space="preserve">0.7</w:t>
      </w:r>
      <w:r>
        <w:t xml:space="preserve"> </w:t>
      </w:r>
      <w:r>
        <w:t xml:space="preserve">0.8</w:t>
      </w:r>
      <w:r>
        <w:t xml:space="preserve"> </w:t>
      </w:r>
      <w:r>
        <w:t xml:space="preserve">0.4</w:t>
      </w:r>
      <w:r>
        <w:t xml:space="preserve"> </w:t>
      </w:r>
      <w:r>
        <w:t xml:space="preserve">4.4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ES</w:t>
      </w:r>
      <w:r>
        <w:t xml:space="preserve"> </w:t>
      </w:r>
      <w:r>
        <w:t xml:space="preserve">0.0</w:t>
      </w:r>
      <w:r>
        <w:t xml:space="preserve"> </w:t>
      </w:r>
      <w:r>
        <w:t xml:space="preserve">29.7</w:t>
      </w:r>
      <w:r>
        <w:t xml:space="preserve"> </w:t>
      </w:r>
      <w:r>
        <w:t xml:space="preserve">30.8</w:t>
      </w:r>
      <w:r>
        <w:t xml:space="preserve"> </w:t>
      </w:r>
      <w:r>
        <w:t xml:space="preserve">28.6</w:t>
      </w:r>
      <w:r>
        <w:t xml:space="preserve"> </w:t>
      </w:r>
      <w:r>
        <w:t xml:space="preserve">130.7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EL</w:t>
      </w:r>
      <w:r>
        <w:t xml:space="preserve"> </w:t>
      </w:r>
      <w:r>
        <w:t xml:space="preserve">0.0</w:t>
      </w:r>
      <w:r>
        <w:t xml:space="preserve"> </w:t>
      </w:r>
      <w:r>
        <w:t xml:space="preserve">5.8</w:t>
      </w:r>
      <w:r>
        <w:t xml:space="preserve"> </w:t>
      </w:r>
      <w:r>
        <w:t xml:space="preserve">6.2</w:t>
      </w:r>
      <w:r>
        <w:t xml:space="preserve"> </w:t>
      </w:r>
      <w:r>
        <w:t xml:space="preserve">5.3</w:t>
      </w:r>
      <w:r>
        <w:t xml:space="preserve"> </w:t>
      </w:r>
      <w:r>
        <w:t xml:space="preserve">47.2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0.02%</w:t>
      </w:r>
      <w:r>
        <w:t xml:space="preserve"> </w:t>
      </w:r>
      <w:r>
        <w:t xml:space="preserve">FI</w:t>
      </w:r>
      <w:r>
        <w:t xml:space="preserve"> </w:t>
      </w:r>
      <w:r>
        <w:t xml:space="preserve">0.0</w:t>
      </w:r>
      <w:r>
        <w:t xml:space="preserve"> </w:t>
      </w:r>
      <w:r>
        <w:t xml:space="preserve">9.2</w:t>
      </w:r>
      <w:r>
        <w:t xml:space="preserve"> </w:t>
      </w:r>
      <w:r>
        <w:t xml:space="preserve">9.7</w:t>
      </w:r>
      <w:r>
        <w:t xml:space="preserve"> </w:t>
      </w:r>
      <w:r>
        <w:t xml:space="preserve">8.2</w:t>
      </w:r>
      <w:r>
        <w:t xml:space="preserve"> </w:t>
      </w:r>
      <w:r>
        <w:t xml:space="preserve">66.1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0.02%</w:t>
      </w:r>
      <w:r>
        <w:t xml:space="preserve"> </w:t>
      </w:r>
      <w:r>
        <w:t xml:space="preserve">FR</w:t>
      </w:r>
      <w:r>
        <w:t xml:space="preserve"> </w:t>
      </w:r>
      <w:r>
        <w:t xml:space="preserve">0.0</w:t>
      </w:r>
      <w:r>
        <w:t xml:space="preserve"> </w:t>
      </w:r>
      <w:r>
        <w:t xml:space="preserve">41.1</w:t>
      </w:r>
      <w:r>
        <w:t xml:space="preserve"> </w:t>
      </w:r>
      <w:r>
        <w:t xml:space="preserve">42.7</w:t>
      </w:r>
      <w:r>
        <w:t xml:space="preserve"> </w:t>
      </w:r>
      <w:r>
        <w:t xml:space="preserve">35.9</w:t>
      </w:r>
      <w:r>
        <w:t xml:space="preserve"> </w:t>
      </w:r>
      <w:r>
        <w:t xml:space="preserve">177.3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HR</w:t>
      </w:r>
      <w:r>
        <w:t xml:space="preserve"> </w:t>
      </w:r>
      <w:r>
        <w:t xml:space="preserve">0.0</w:t>
      </w:r>
      <w:r>
        <w:t xml:space="preserve"> </w:t>
      </w:r>
      <w:r>
        <w:t xml:space="preserve">15.8</w:t>
      </w:r>
      <w:r>
        <w:t xml:space="preserve"> </w:t>
      </w:r>
      <w:r>
        <w:t xml:space="preserve">16.0</w:t>
      </w:r>
      <w:r>
        <w:t xml:space="preserve"> </w:t>
      </w:r>
      <w:r>
        <w:t xml:space="preserve">14.9</w:t>
      </w:r>
      <w:r>
        <w:t xml:space="preserve"> </w:t>
      </w:r>
      <w:r>
        <w:t xml:space="preserve">25.7</w:t>
      </w:r>
      <w:r>
        <w:t xml:space="preserve"> </w:t>
      </w:r>
      <w:r>
        <w:t xml:space="preserve">0.00%</w:t>
      </w:r>
      <w:r>
        <w:t xml:space="preserve"> </w:t>
      </w:r>
      <w:r>
        <w:t xml:space="preserve">0.03%</w:t>
      </w:r>
      <w:r>
        <w:t xml:space="preserve"> </w:t>
      </w:r>
      <w:r>
        <w:t xml:space="preserve">0.03%</w:t>
      </w:r>
      <w:r>
        <w:t xml:space="preserve"> </w:t>
      </w:r>
      <w:r>
        <w:t xml:space="preserve">0.03%</w:t>
      </w:r>
      <w:r>
        <w:t xml:space="preserve"> </w:t>
      </w:r>
      <w:r>
        <w:t xml:space="preserve">0.05%</w:t>
      </w:r>
      <w:r>
        <w:t xml:space="preserve"> </w:t>
      </w:r>
      <w:r>
        <w:t xml:space="preserve">HU</w:t>
      </w:r>
      <w:r>
        <w:t xml:space="preserve"> </w:t>
      </w:r>
      <w:r>
        <w:t xml:space="preserve">0.0</w:t>
      </w:r>
      <w:r>
        <w:t xml:space="preserve"> </w:t>
      </w:r>
      <w:r>
        <w:t xml:space="preserve">6.6</w:t>
      </w:r>
      <w:r>
        <w:t xml:space="preserve"> </w:t>
      </w:r>
      <w:r>
        <w:t xml:space="preserve">7.0</w:t>
      </w:r>
      <w:r>
        <w:t xml:space="preserve"> </w:t>
      </w:r>
      <w:r>
        <w:t xml:space="preserve">2.9</w:t>
      </w:r>
      <w:r>
        <w:t xml:space="preserve"> </w:t>
      </w:r>
      <w:r>
        <w:t xml:space="preserve">33.1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0.02%</w:t>
      </w:r>
      <w:r>
        <w:t xml:space="preserve"> </w:t>
      </w:r>
      <w:r>
        <w:t xml:space="preserve">IE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0.0</w:t>
      </w:r>
      <w:r>
        <w:t xml:space="preserve"> </w:t>
      </w:r>
      <w:r>
        <w:t xml:space="preserve">34.2</w:t>
      </w:r>
      <w:r>
        <w:t xml:space="preserve"> </w:t>
      </w:r>
      <w:r>
        <w:t xml:space="preserve">35.5</w:t>
      </w:r>
      <w:r>
        <w:t xml:space="preserve"> </w:t>
      </w:r>
      <w:r>
        <w:t xml:space="preserve">33.3</w:t>
      </w:r>
      <w:r>
        <w:t xml:space="preserve"> </w:t>
      </w:r>
      <w:r>
        <w:t xml:space="preserve">149.1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LV</w:t>
      </w:r>
      <w:r>
        <w:t xml:space="preserve"> </w:t>
      </w:r>
      <w:r>
        <w:t xml:space="preserve">0.0</w:t>
      </w:r>
      <w:r>
        <w:t xml:space="preserve"> </w:t>
      </w:r>
      <w:r>
        <w:t xml:space="preserve">2.8</w:t>
      </w:r>
      <w:r>
        <w:t xml:space="preserve"> </w:t>
      </w:r>
      <w:r>
        <w:t xml:space="preserve">2.9</w:t>
      </w:r>
      <w:r>
        <w:t xml:space="preserve"> </w:t>
      </w:r>
      <w:r>
        <w:t xml:space="preserve">1.5</w:t>
      </w:r>
      <w:r>
        <w:t xml:space="preserve"> </w:t>
      </w:r>
      <w:r>
        <w:t xml:space="preserve">16.1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0.00%</w:t>
      </w:r>
      <w:r>
        <w:t xml:space="preserve"> </w:t>
      </w:r>
      <w:r>
        <w:t xml:space="preserve">0.04%</w:t>
      </w:r>
      <w:r>
        <w:t xml:space="preserve"> </w:t>
      </w:r>
      <w:r>
        <w:t xml:space="preserve">LT</w:t>
      </w:r>
      <w:r>
        <w:t xml:space="preserve"> </w:t>
      </w:r>
      <w:r>
        <w:t xml:space="preserve">0.0</w:t>
      </w:r>
      <w:r>
        <w:t xml:space="preserve"> </w:t>
      </w:r>
      <w:r>
        <w:t xml:space="preserve">3.5</w:t>
      </w:r>
      <w:r>
        <w:t xml:space="preserve"> </w:t>
      </w:r>
      <w:r>
        <w:t xml:space="preserve">3.7</w:t>
      </w:r>
      <w:r>
        <w:t xml:space="preserve"> </w:t>
      </w:r>
      <w:r>
        <w:t xml:space="preserve">0.7</w:t>
      </w:r>
      <w:r>
        <w:t xml:space="preserve"> </w:t>
      </w:r>
      <w:r>
        <w:t xml:space="preserve">17.7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0.00%</w:t>
      </w:r>
      <w:r>
        <w:t xml:space="preserve"> </w:t>
      </w:r>
      <w:r>
        <w:t xml:space="preserve">0.03%</w:t>
      </w:r>
      <w:r>
        <w:t xml:space="preserve"> </w:t>
      </w:r>
      <w:r>
        <w:t xml:space="preserve">LU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0.4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MT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0.0</w:t>
      </w:r>
      <w:r>
        <w:t xml:space="preserve"> </w:t>
      </w:r>
      <w:r>
        <w:t xml:space="preserve">52.2</w:t>
      </w:r>
      <w:r>
        <w:t xml:space="preserve"> </w:t>
      </w:r>
      <w:r>
        <w:t xml:space="preserve">54.6</w:t>
      </w:r>
      <w:r>
        <w:t xml:space="preserve"> </w:t>
      </w:r>
      <w:r>
        <w:t xml:space="preserve">53.5</w:t>
      </w:r>
      <w:r>
        <w:t xml:space="preserve"> </w:t>
      </w:r>
      <w:r>
        <w:t xml:space="preserve">293.3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0.03%</w:t>
      </w:r>
      <w:r>
        <w:t xml:space="preserve"> </w:t>
      </w:r>
      <w:r>
        <w:t xml:space="preserve">PL</w:t>
      </w:r>
      <w:r>
        <w:t xml:space="preserve"> </w:t>
      </w:r>
      <w:r>
        <w:t xml:space="preserve">0.0</w:t>
      </w:r>
      <w:r>
        <w:t xml:space="preserve"> </w:t>
      </w:r>
      <w:r>
        <w:t xml:space="preserve">22.4</w:t>
      </w:r>
      <w:r>
        <w:t xml:space="preserve"> </w:t>
      </w:r>
      <w:r>
        <w:t xml:space="preserve">23.0</w:t>
      </w:r>
      <w:r>
        <w:t xml:space="preserve"> </w:t>
      </w:r>
      <w:r>
        <w:t xml:space="preserve">19.2</w:t>
      </w:r>
      <w:r>
        <w:t xml:space="preserve"> </w:t>
      </w:r>
      <w:r>
        <w:t xml:space="preserve">64.9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PT</w:t>
      </w:r>
      <w:r>
        <w:t xml:space="preserve"> </w:t>
      </w:r>
      <w:r>
        <w:t xml:space="preserve">0.0</w:t>
      </w:r>
      <w:r>
        <w:t xml:space="preserve"> </w:t>
      </w:r>
      <w:r>
        <w:t xml:space="preserve">6.1</w:t>
      </w:r>
      <w:r>
        <w:t xml:space="preserve"> </w:t>
      </w:r>
      <w:r>
        <w:t xml:space="preserve">6.5</w:t>
      </w:r>
      <w:r>
        <w:t xml:space="preserve"> </w:t>
      </w:r>
      <w:r>
        <w:t xml:space="preserve">6.4</w:t>
      </w:r>
      <w:r>
        <w:t xml:space="preserve"> </w:t>
      </w:r>
      <w:r>
        <w:t xml:space="preserve">46.8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0.02%</w:t>
      </w:r>
      <w:r>
        <w:t xml:space="preserve"> </w:t>
      </w:r>
      <w:r>
        <w:t xml:space="preserve">RO</w:t>
      </w:r>
      <w:r>
        <w:t xml:space="preserve"> </w:t>
      </w:r>
      <w:r>
        <w:t xml:space="preserve">0.0</w:t>
      </w:r>
      <w:r>
        <w:t xml:space="preserve"> </w:t>
      </w:r>
      <w:r>
        <w:t xml:space="preserve">7.1</w:t>
      </w:r>
      <w:r>
        <w:t xml:space="preserve"> </w:t>
      </w:r>
      <w:r>
        <w:t xml:space="preserve">7.6</w:t>
      </w:r>
      <w:r>
        <w:t xml:space="preserve"> </w:t>
      </w:r>
      <w:r>
        <w:t xml:space="preserve">2.1</w:t>
      </w:r>
      <w:r>
        <w:t xml:space="preserve"> </w:t>
      </w:r>
      <w:r>
        <w:t xml:space="preserve">39.2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SE</w:t>
      </w:r>
      <w:r>
        <w:t xml:space="preserve"> </w:t>
      </w:r>
      <w:r>
        <w:t xml:space="preserve">0.0</w:t>
      </w:r>
      <w:r>
        <w:t xml:space="preserve"> </w:t>
      </w:r>
      <w:r>
        <w:t xml:space="preserve">10.2</w:t>
      </w:r>
      <w:r>
        <w:t xml:space="preserve"> </w:t>
      </w:r>
      <w:r>
        <w:t xml:space="preserve">10.8</w:t>
      </w:r>
      <w:r>
        <w:t xml:space="preserve"> </w:t>
      </w:r>
      <w:r>
        <w:t xml:space="preserve">4.0</w:t>
      </w:r>
      <w:r>
        <w:t xml:space="preserve"> </w:t>
      </w:r>
      <w:r>
        <w:t xml:space="preserve">62.7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SI</w:t>
      </w:r>
      <w:r>
        <w:t xml:space="preserve"> </w:t>
      </w:r>
      <w:r>
        <w:t xml:space="preserve">0.0</w:t>
      </w:r>
      <w:r>
        <w:t xml:space="preserve"> </w:t>
      </w:r>
      <w:r>
        <w:t xml:space="preserve">15.6</w:t>
      </w:r>
      <w:r>
        <w:t xml:space="preserve"> </w:t>
      </w:r>
      <w:r>
        <w:t xml:space="preserve">15.8</w:t>
      </w:r>
      <w:r>
        <w:t xml:space="preserve"> </w:t>
      </w:r>
      <w:r>
        <w:t xml:space="preserve">14.8</w:t>
      </w:r>
      <w:r>
        <w:t xml:space="preserve"> </w:t>
      </w:r>
      <w:r>
        <w:t xml:space="preserve">22.6</w:t>
      </w:r>
      <w:r>
        <w:t xml:space="preserve"> </w:t>
      </w:r>
      <w:r>
        <w:t xml:space="preserve">0.00%</w:t>
      </w:r>
      <w:r>
        <w:t xml:space="preserve"> </w:t>
      </w:r>
      <w:r>
        <w:t xml:space="preserve">0.03%</w:t>
      </w:r>
      <w:r>
        <w:t xml:space="preserve"> </w:t>
      </w:r>
      <w:r>
        <w:t xml:space="preserve">0.03%</w:t>
      </w:r>
      <w:r>
        <w:t xml:space="preserve"> </w:t>
      </w:r>
      <w:r>
        <w:t xml:space="preserve">0.02%</w:t>
      </w:r>
      <w:r>
        <w:t xml:space="preserve"> </w:t>
      </w:r>
      <w:r>
        <w:t xml:space="preserve">0.04%</w:t>
      </w:r>
      <w:r>
        <w:t xml:space="preserve"> </w:t>
      </w:r>
      <w:r>
        <w:t xml:space="preserve">SK</w:t>
      </w:r>
      <w:r>
        <w:t xml:space="preserve"> </w:t>
      </w:r>
      <w:r>
        <w:t xml:space="preserve">0.0</w:t>
      </w:r>
      <w:r>
        <w:t xml:space="preserve"> </w:t>
      </w:r>
      <w:r>
        <w:t xml:space="preserve">7.9</w:t>
      </w:r>
      <w:r>
        <w:t xml:space="preserve"> </w:t>
      </w:r>
      <w:r>
        <w:t xml:space="preserve">8.0</w:t>
      </w:r>
      <w:r>
        <w:t xml:space="preserve"> </w:t>
      </w:r>
      <w:r>
        <w:t xml:space="preserve">7.3</w:t>
      </w:r>
      <w:r>
        <w:t xml:space="preserve"> </w:t>
      </w:r>
      <w:r>
        <w:t xml:space="preserve">9.6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EU-27</w:t>
      </w:r>
      <w:r>
        <w:t xml:space="preserve"> </w:t>
      </w:r>
      <w:r>
        <w:t xml:space="preserve">0.0</w:t>
      </w:r>
      <w:r>
        <w:t xml:space="preserve"> </w:t>
      </w:r>
      <w:r>
        <w:t xml:space="preserve">363.8</w:t>
      </w:r>
      <w:r>
        <w:t xml:space="preserve"> </w:t>
      </w:r>
      <w:r>
        <w:t xml:space="preserve">379.1</w:t>
      </w:r>
      <w:r>
        <w:t xml:space="preserve"> </w:t>
      </w:r>
      <w:r>
        <w:t xml:space="preserve">317.4</w:t>
      </w:r>
      <w:r>
        <w:t xml:space="preserve"> </w:t>
      </w:r>
      <w:r>
        <w:t xml:space="preserve">1665.3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Table 9: Estimated economic costs (cost of support) for public authorities in 2050, by policy option and Member State,</w:t>
      </w:r>
      <w:r>
        <w:t xml:space="preserve"> </w:t>
      </w:r>
      <w:r>
        <w:t xml:space="preserve">compared to the baseline (million EUR, in 2021 prices, and percent of GDP)</w:t>
      </w:r>
    </w:p>
    <w:p>
      <w:pPr>
        <w:pStyle w:val="BodyText"/>
      </w:pPr>
      <w:r>
        <w:t xml:space="preserve">Economic support (EUR million)</w:t>
      </w:r>
      <w:r>
        <w:t xml:space="preserve"> </w:t>
      </w:r>
      <w:r>
        <w:t xml:space="preserve">Economic support as percent of GDP</w:t>
      </w:r>
      <w:r>
        <w:t xml:space="preserve"> </w:t>
      </w:r>
      <w:r>
        <w:t xml:space="preserve">PO-A</w:t>
      </w:r>
      <w:r>
        <w:t xml:space="preserve"> </w:t>
      </w:r>
      <w:r>
        <w:t xml:space="preserve">PO-B1</w:t>
      </w:r>
      <w:r>
        <w:t xml:space="preserve"> </w:t>
      </w:r>
      <w:r>
        <w:t xml:space="preserve">PO-B2a</w:t>
      </w:r>
      <w:r>
        <w:t xml:space="preserve"> </w:t>
      </w:r>
      <w:r>
        <w:t xml:space="preserve">PO-B2-b</w:t>
      </w:r>
      <w:r>
        <w:t xml:space="preserve"> </w:t>
      </w:r>
      <w:r>
        <w:t xml:space="preserve">PO-C</w:t>
      </w:r>
      <w:r>
        <w:t xml:space="preserve"> </w:t>
      </w:r>
      <w:r>
        <w:t xml:space="preserve">PO-A</w:t>
      </w:r>
      <w:r>
        <w:t xml:space="preserve"> </w:t>
      </w:r>
      <w:r>
        <w:t xml:space="preserve">PO-B1</w:t>
      </w:r>
      <w:r>
        <w:t xml:space="preserve"> </w:t>
      </w:r>
      <w:r>
        <w:t xml:space="preserve">PO-B2a</w:t>
      </w:r>
      <w:r>
        <w:t xml:space="preserve"> </w:t>
      </w:r>
      <w:r>
        <w:t xml:space="preserve">PO-B2-b</w:t>
      </w:r>
      <w:r>
        <w:t xml:space="preserve"> </w:t>
      </w:r>
      <w:r>
        <w:t xml:space="preserve">PO-C</w:t>
      </w:r>
      <w:r>
        <w:t xml:space="preserve"> </w:t>
      </w:r>
      <w:r>
        <w:t xml:space="preserve">AT</w:t>
      </w:r>
      <w:r>
        <w:t xml:space="preserve"> </w:t>
      </w:r>
      <w:r>
        <w:t xml:space="preserve">0.0</w:t>
      </w:r>
      <w:r>
        <w:t xml:space="preserve"> </w:t>
      </w:r>
      <w:r>
        <w:t xml:space="preserve">14.0</w:t>
      </w:r>
      <w:r>
        <w:t xml:space="preserve"> </w:t>
      </w:r>
      <w:r>
        <w:t xml:space="preserve">17.1</w:t>
      </w:r>
      <w:r>
        <w:t xml:space="preserve"> </w:t>
      </w:r>
      <w:r>
        <w:t xml:space="preserve">7.4</w:t>
      </w:r>
      <w:r>
        <w:t xml:space="preserve"> </w:t>
      </w:r>
      <w:r>
        <w:t xml:space="preserve">69.5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BE</w:t>
      </w:r>
      <w:r>
        <w:t xml:space="preserve"> </w:t>
      </w:r>
      <w:r>
        <w:t xml:space="preserve">0.0</w:t>
      </w:r>
      <w:r>
        <w:t xml:space="preserve"> </w:t>
      </w:r>
      <w:r>
        <w:t xml:space="preserve">18.3</w:t>
      </w:r>
      <w:r>
        <w:t xml:space="preserve"> </w:t>
      </w:r>
      <w:r>
        <w:t xml:space="preserve">22.8</w:t>
      </w:r>
      <w:r>
        <w:t xml:space="preserve"> </w:t>
      </w:r>
      <w:r>
        <w:t xml:space="preserve">17.2</w:t>
      </w:r>
      <w:r>
        <w:t xml:space="preserve"> </w:t>
      </w:r>
      <w:r>
        <w:t xml:space="preserve">136.4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0.02%</w:t>
      </w:r>
      <w:r>
        <w:t xml:space="preserve"> </w:t>
      </w:r>
      <w:r>
        <w:t xml:space="preserve">BG</w:t>
      </w:r>
      <w:r>
        <w:t xml:space="preserve"> </w:t>
      </w:r>
      <w:r>
        <w:t xml:space="preserve">0.0</w:t>
      </w:r>
      <w:r>
        <w:t xml:space="preserve"> </w:t>
      </w:r>
      <w:r>
        <w:t xml:space="preserve">4.9</w:t>
      </w:r>
      <w:r>
        <w:t xml:space="preserve"> </w:t>
      </w:r>
      <w:r>
        <w:t xml:space="preserve">6.3</w:t>
      </w:r>
      <w:r>
        <w:t xml:space="preserve"> </w:t>
      </w:r>
      <w:r>
        <w:t xml:space="preserve">4.4</w:t>
      </w:r>
      <w:r>
        <w:t xml:space="preserve"> </w:t>
      </w:r>
      <w:r>
        <w:t xml:space="preserve">38.4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0.05%</w:t>
      </w:r>
      <w:r>
        <w:t xml:space="preserve"> </w:t>
      </w:r>
      <w:r>
        <w:t xml:space="preserve">CZ</w:t>
      </w:r>
      <w:r>
        <w:t xml:space="preserve"> </w:t>
      </w:r>
      <w:r>
        <w:t xml:space="preserve">0.0</w:t>
      </w:r>
      <w:r>
        <w:t xml:space="preserve"> </w:t>
      </w:r>
      <w:r>
        <w:t xml:space="preserve">5.4</w:t>
      </w:r>
      <w:r>
        <w:t xml:space="preserve"> </w:t>
      </w:r>
      <w:r>
        <w:t xml:space="preserve">6.6</w:t>
      </w:r>
      <w:r>
        <w:t xml:space="preserve"> </w:t>
      </w:r>
      <w:r>
        <w:t xml:space="preserve">3.4</w:t>
      </w:r>
      <w:r>
        <w:t xml:space="preserve"> </w:t>
      </w:r>
      <w:r>
        <w:t xml:space="preserve">27.0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CY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0.0</w:t>
      </w:r>
      <w:r>
        <w:t xml:space="preserve"> </w:t>
      </w:r>
      <w:r>
        <w:t xml:space="preserve">65.8</w:t>
      </w:r>
      <w:r>
        <w:t xml:space="preserve"> </w:t>
      </w:r>
      <w:r>
        <w:t xml:space="preserve">82.5</w:t>
      </w:r>
      <w:r>
        <w:t xml:space="preserve"> </w:t>
      </w:r>
      <w:r>
        <w:t xml:space="preserve">51.5</w:t>
      </w:r>
      <w:r>
        <w:t xml:space="preserve"> </w:t>
      </w:r>
      <w:r>
        <w:t xml:space="preserve">387.1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DK</w:t>
      </w:r>
      <w:r>
        <w:t xml:space="preserve"> </w:t>
      </w:r>
      <w:r>
        <w:t xml:space="preserve">0.0</w:t>
      </w:r>
      <w:r>
        <w:t xml:space="preserve"> </w:t>
      </w:r>
      <w:r>
        <w:t xml:space="preserve">7.0</w:t>
      </w:r>
      <w:r>
        <w:t xml:space="preserve"> </w:t>
      </w:r>
      <w:r>
        <w:t xml:space="preserve">8.5</w:t>
      </w:r>
      <w:r>
        <w:t xml:space="preserve"> </w:t>
      </w:r>
      <w:r>
        <w:t xml:space="preserve">7.0</w:t>
      </w:r>
      <w:r>
        <w:t xml:space="preserve"> </w:t>
      </w:r>
      <w:r>
        <w:t xml:space="preserve">51.5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EE</w:t>
      </w:r>
      <w:r>
        <w:t xml:space="preserve"> </w:t>
      </w:r>
      <w:r>
        <w:t xml:space="preserve">0.0</w:t>
      </w:r>
      <w:r>
        <w:t xml:space="preserve"> </w:t>
      </w:r>
      <w:r>
        <w:t xml:space="preserve">1.3</w:t>
      </w:r>
      <w:r>
        <w:t xml:space="preserve"> </w:t>
      </w:r>
      <w:r>
        <w:t xml:space="preserve">1.6</w:t>
      </w:r>
      <w:r>
        <w:t xml:space="preserve"> </w:t>
      </w:r>
      <w:r>
        <w:t xml:space="preserve">0.7</w:t>
      </w:r>
      <w:r>
        <w:t xml:space="preserve"> </w:t>
      </w:r>
      <w:r>
        <w:t xml:space="preserve">7.1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ES</w:t>
      </w:r>
      <w:r>
        <w:t xml:space="preserve"> </w:t>
      </w:r>
      <w:r>
        <w:t xml:space="preserve">0.0</w:t>
      </w:r>
      <w:r>
        <w:t xml:space="preserve"> </w:t>
      </w:r>
      <w:r>
        <w:t xml:space="preserve">26.8</w:t>
      </w:r>
      <w:r>
        <w:t xml:space="preserve"> </w:t>
      </w:r>
      <w:r>
        <w:t xml:space="preserve">32.6</w:t>
      </w:r>
      <w:r>
        <w:t xml:space="preserve"> </w:t>
      </w:r>
      <w:r>
        <w:t xml:space="preserve">21.8</w:t>
      </w:r>
      <w:r>
        <w:t xml:space="preserve"> </w:t>
      </w:r>
      <w:r>
        <w:t xml:space="preserve">200.0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EL</w:t>
      </w:r>
      <w:r>
        <w:t xml:space="preserve"> </w:t>
      </w:r>
      <w:r>
        <w:t xml:space="preserve">0.0</w:t>
      </w:r>
      <w:r>
        <w:t xml:space="preserve"> </w:t>
      </w:r>
      <w:r>
        <w:t xml:space="preserve">7.5</w:t>
      </w:r>
      <w:r>
        <w:t xml:space="preserve"> </w:t>
      </w:r>
      <w:r>
        <w:t xml:space="preserve">9.1</w:t>
      </w:r>
      <w:r>
        <w:t xml:space="preserve"> </w:t>
      </w:r>
      <w:r>
        <w:t xml:space="preserve">7.4</w:t>
      </w:r>
      <w:r>
        <w:t xml:space="preserve"> </w:t>
      </w:r>
      <w:r>
        <w:t xml:space="preserve">63.1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0.02%</w:t>
      </w:r>
      <w:r>
        <w:t xml:space="preserve"> </w:t>
      </w:r>
      <w:r>
        <w:t xml:space="preserve">FI</w:t>
      </w:r>
      <w:r>
        <w:t xml:space="preserve"> </w:t>
      </w:r>
      <w:r>
        <w:t xml:space="preserve">0.0</w:t>
      </w:r>
      <w:r>
        <w:t xml:space="preserve"> </w:t>
      </w:r>
      <w:r>
        <w:t xml:space="preserve">11.1</w:t>
      </w:r>
      <w:r>
        <w:t xml:space="preserve"> </w:t>
      </w:r>
      <w:r>
        <w:t xml:space="preserve">13.6</w:t>
      </w:r>
      <w:r>
        <w:t xml:space="preserve"> </w:t>
      </w:r>
      <w:r>
        <w:t xml:space="preserve">9.2</w:t>
      </w:r>
      <w:r>
        <w:t xml:space="preserve"> </w:t>
      </w:r>
      <w:r>
        <w:t xml:space="preserve">80.2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0.02%</w:t>
      </w:r>
      <w:r>
        <w:t xml:space="preserve"> </w:t>
      </w:r>
      <w:r>
        <w:t xml:space="preserve">FR</w:t>
      </w:r>
      <w:r>
        <w:t xml:space="preserve"> </w:t>
      </w:r>
      <w:r>
        <w:t xml:space="preserve">0.0</w:t>
      </w:r>
      <w:r>
        <w:t xml:space="preserve"> </w:t>
      </w:r>
      <w:r>
        <w:t xml:space="preserve">41.4</w:t>
      </w:r>
      <w:r>
        <w:t xml:space="preserve"> </w:t>
      </w:r>
      <w:r>
        <w:t xml:space="preserve">50.6</w:t>
      </w:r>
      <w:r>
        <w:t xml:space="preserve"> </w:t>
      </w:r>
      <w:r>
        <w:t xml:space="preserve">33.7</w:t>
      </w:r>
      <w:r>
        <w:t xml:space="preserve"> </w:t>
      </w:r>
      <w:r>
        <w:t xml:space="preserve">259.1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HR</w:t>
      </w:r>
      <w:r>
        <w:t xml:space="preserve"> </w:t>
      </w:r>
      <w:r>
        <w:t xml:space="preserve">0.0</w:t>
      </w:r>
      <w:r>
        <w:t xml:space="preserve"> </w:t>
      </w:r>
      <w:r>
        <w:t xml:space="preserve">4.1</w:t>
      </w:r>
      <w:r>
        <w:t xml:space="preserve"> </w:t>
      </w:r>
      <w:r>
        <w:t xml:space="preserve">5.0</w:t>
      </w:r>
      <w:r>
        <w:t xml:space="preserve"> </w:t>
      </w:r>
      <w:r>
        <w:t xml:space="preserve">3.1</w:t>
      </w:r>
      <w:r>
        <w:t xml:space="preserve"> </w:t>
      </w:r>
      <w:r>
        <w:t xml:space="preserve">26.5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0.00%</w:t>
      </w:r>
      <w:r>
        <w:t xml:space="preserve"> </w:t>
      </w:r>
      <w:r>
        <w:t xml:space="preserve">0.04%</w:t>
      </w:r>
      <w:r>
        <w:t xml:space="preserve"> </w:t>
      </w:r>
      <w:r>
        <w:t xml:space="preserve">HU</w:t>
      </w:r>
      <w:r>
        <w:t xml:space="preserve"> </w:t>
      </w:r>
      <w:r>
        <w:t xml:space="preserve">0.0</w:t>
      </w:r>
      <w:r>
        <w:t xml:space="preserve"> </w:t>
      </w:r>
      <w:r>
        <w:t xml:space="preserve">10.6</w:t>
      </w:r>
      <w:r>
        <w:t xml:space="preserve"> </w:t>
      </w:r>
      <w:r>
        <w:t xml:space="preserve">12.9</w:t>
      </w:r>
      <w:r>
        <w:t xml:space="preserve"> </w:t>
      </w:r>
      <w:r>
        <w:t xml:space="preserve">5.0</w:t>
      </w:r>
      <w:r>
        <w:t xml:space="preserve"> </w:t>
      </w:r>
      <w:r>
        <w:t xml:space="preserve">53.1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0.02%</w:t>
      </w:r>
      <w:r>
        <w:t xml:space="preserve"> </w:t>
      </w:r>
      <w:r>
        <w:t xml:space="preserve">IE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0.3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0.0</w:t>
      </w:r>
      <w:r>
        <w:t xml:space="preserve"> </w:t>
      </w:r>
      <w:r>
        <w:t xml:space="preserve">30.5</w:t>
      </w:r>
      <w:r>
        <w:t xml:space="preserve"> </w:t>
      </w:r>
      <w:r>
        <w:t xml:space="preserve">37.4</w:t>
      </w:r>
      <w:r>
        <w:t xml:space="preserve"> </w:t>
      </w:r>
      <w:r>
        <w:t xml:space="preserve">25.4</w:t>
      </w:r>
      <w:r>
        <w:t xml:space="preserve"> </w:t>
      </w:r>
      <w:r>
        <w:t xml:space="preserve">208.0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Economic support (EUR million)</w:t>
      </w:r>
      <w:r>
        <w:t xml:space="preserve"> </w:t>
      </w:r>
      <w:r>
        <w:t xml:space="preserve">Economic support as percent of GDP</w:t>
      </w:r>
      <w:r>
        <w:t xml:space="preserve"> </w:t>
      </w:r>
      <w:r>
        <w:t xml:space="preserve">PO-A</w:t>
      </w:r>
      <w:r>
        <w:t xml:space="preserve"> </w:t>
      </w:r>
      <w:r>
        <w:t xml:space="preserve">PO-B1</w:t>
      </w:r>
      <w:r>
        <w:t xml:space="preserve"> </w:t>
      </w:r>
      <w:r>
        <w:t xml:space="preserve">PO-B2a</w:t>
      </w:r>
      <w:r>
        <w:t xml:space="preserve"> </w:t>
      </w:r>
      <w:r>
        <w:t xml:space="preserve">PO-B2-b</w:t>
      </w:r>
      <w:r>
        <w:t xml:space="preserve"> </w:t>
      </w:r>
      <w:r>
        <w:t xml:space="preserve">PO-C</w:t>
      </w:r>
      <w:r>
        <w:t xml:space="preserve"> </w:t>
      </w:r>
      <w:r>
        <w:t xml:space="preserve">PO-A</w:t>
      </w:r>
      <w:r>
        <w:t xml:space="preserve"> </w:t>
      </w:r>
      <w:r>
        <w:t xml:space="preserve">PO-B1</w:t>
      </w:r>
      <w:r>
        <w:t xml:space="preserve"> </w:t>
      </w:r>
      <w:r>
        <w:t xml:space="preserve">PO-B2a</w:t>
      </w:r>
      <w:r>
        <w:t xml:space="preserve"> </w:t>
      </w:r>
      <w:r>
        <w:t xml:space="preserve">PO-B2-b</w:t>
      </w:r>
      <w:r>
        <w:t xml:space="preserve"> </w:t>
      </w:r>
      <w:r>
        <w:t xml:space="preserve">PO-C</w:t>
      </w:r>
      <w:r>
        <w:t xml:space="preserve"> </w:t>
      </w:r>
      <w:r>
        <w:t xml:space="preserve">LV</w:t>
      </w:r>
      <w:r>
        <w:t xml:space="preserve"> </w:t>
      </w:r>
      <w:r>
        <w:t xml:space="preserve">0.0</w:t>
      </w:r>
      <w:r>
        <w:t xml:space="preserve"> </w:t>
      </w:r>
      <w:r>
        <w:t xml:space="preserve">6.9</w:t>
      </w:r>
      <w:r>
        <w:t xml:space="preserve"> </w:t>
      </w:r>
      <w:r>
        <w:t xml:space="preserve">8.4</w:t>
      </w:r>
      <w:r>
        <w:t xml:space="preserve"> </w:t>
      </w:r>
      <w:r>
        <w:t xml:space="preserve">2.2</w:t>
      </w:r>
      <w:r>
        <w:t xml:space="preserve"> </w:t>
      </w:r>
      <w:r>
        <w:t xml:space="preserve">38.0</w:t>
      </w:r>
      <w:r>
        <w:t xml:space="preserve"> </w:t>
      </w:r>
      <w:r>
        <w:t xml:space="preserve">0.00%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0.00%</w:t>
      </w:r>
      <w:r>
        <w:t xml:space="preserve"> </w:t>
      </w:r>
      <w:r>
        <w:t xml:space="preserve">0.08%</w:t>
      </w:r>
      <w:r>
        <w:t xml:space="preserve"> </w:t>
      </w:r>
      <w:r>
        <w:t xml:space="preserve">LT</w:t>
      </w:r>
      <w:r>
        <w:t xml:space="preserve"> </w:t>
      </w:r>
      <w:r>
        <w:t xml:space="preserve">0.0</w:t>
      </w:r>
      <w:r>
        <w:t xml:space="preserve"> </w:t>
      </w:r>
      <w:r>
        <w:t xml:space="preserve">5.1</w:t>
      </w:r>
      <w:r>
        <w:t xml:space="preserve"> </w:t>
      </w:r>
      <w:r>
        <w:t xml:space="preserve">6.1</w:t>
      </w:r>
      <w:r>
        <w:t xml:space="preserve"> </w:t>
      </w:r>
      <w:r>
        <w:t xml:space="preserve">1.3</w:t>
      </w:r>
      <w:r>
        <w:t xml:space="preserve"> </w:t>
      </w:r>
      <w:r>
        <w:t xml:space="preserve">25.6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0.00%</w:t>
      </w:r>
      <w:r>
        <w:t xml:space="preserve"> </w:t>
      </w:r>
      <w:r>
        <w:t xml:space="preserve">0.04%</w:t>
      </w:r>
      <w:r>
        <w:t xml:space="preserve"> </w:t>
      </w:r>
      <w:r>
        <w:t xml:space="preserve">LU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1.0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MT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0.0</w:t>
      </w:r>
      <w:r>
        <w:t xml:space="preserve"> </w:t>
      </w:r>
      <w:r>
        <w:t xml:space="preserve">42.8</w:t>
      </w:r>
      <w:r>
        <w:t xml:space="preserve"> </w:t>
      </w:r>
      <w:r>
        <w:t xml:space="preserve">53.9</w:t>
      </w:r>
      <w:r>
        <w:t xml:space="preserve"> </w:t>
      </w:r>
      <w:r>
        <w:t xml:space="preserve">46.1</w:t>
      </w:r>
      <w:r>
        <w:t xml:space="preserve"> </w:t>
      </w:r>
      <w:r>
        <w:t xml:space="preserve">345.3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0.03%</w:t>
      </w:r>
      <w:r>
        <w:t xml:space="preserve"> </w:t>
      </w:r>
      <w:r>
        <w:t xml:space="preserve">PL</w:t>
      </w:r>
      <w:r>
        <w:t xml:space="preserve"> </w:t>
      </w:r>
      <w:r>
        <w:t xml:space="preserve">0.0</w:t>
      </w:r>
      <w:r>
        <w:t xml:space="preserve"> </w:t>
      </w:r>
      <w:r>
        <w:t xml:space="preserve">18.5</w:t>
      </w:r>
      <w:r>
        <w:t xml:space="preserve"> </w:t>
      </w:r>
      <w:r>
        <w:t xml:space="preserve">22.7</w:t>
      </w:r>
      <w:r>
        <w:t xml:space="preserve"> </w:t>
      </w:r>
      <w:r>
        <w:t xml:space="preserve">11.3</w:t>
      </w:r>
      <w:r>
        <w:t xml:space="preserve"> </w:t>
      </w:r>
      <w:r>
        <w:t xml:space="preserve">115.9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PT</w:t>
      </w:r>
      <w:r>
        <w:t xml:space="preserve"> </w:t>
      </w:r>
      <w:r>
        <w:t xml:space="preserve">0.0</w:t>
      </w:r>
      <w:r>
        <w:t xml:space="preserve"> </w:t>
      </w:r>
      <w:r>
        <w:t xml:space="preserve">8.0</w:t>
      </w:r>
      <w:r>
        <w:t xml:space="preserve"> </w:t>
      </w:r>
      <w:r>
        <w:t xml:space="preserve">9.7</w:t>
      </w:r>
      <w:r>
        <w:t xml:space="preserve"> </w:t>
      </w:r>
      <w:r>
        <w:t xml:space="preserve">8.3</w:t>
      </w:r>
      <w:r>
        <w:t xml:space="preserve"> </w:t>
      </w:r>
      <w:r>
        <w:t xml:space="preserve">62.5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0.02%</w:t>
      </w:r>
      <w:r>
        <w:t xml:space="preserve"> </w:t>
      </w:r>
      <w:r>
        <w:t xml:space="preserve">RO</w:t>
      </w:r>
      <w:r>
        <w:t xml:space="preserve"> </w:t>
      </w:r>
      <w:r>
        <w:t xml:space="preserve">0.0</w:t>
      </w:r>
      <w:r>
        <w:t xml:space="preserve"> </w:t>
      </w:r>
      <w:r>
        <w:t xml:space="preserve">10.4</w:t>
      </w:r>
      <w:r>
        <w:t xml:space="preserve"> </w:t>
      </w:r>
      <w:r>
        <w:t xml:space="preserve">13.3</w:t>
      </w:r>
      <w:r>
        <w:t xml:space="preserve"> </w:t>
      </w:r>
      <w:r>
        <w:t xml:space="preserve">3.6</w:t>
      </w:r>
      <w:r>
        <w:t xml:space="preserve"> </w:t>
      </w:r>
      <w:r>
        <w:t xml:space="preserve">57.8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SE</w:t>
      </w:r>
      <w:r>
        <w:t xml:space="preserve"> </w:t>
      </w:r>
      <w:r>
        <w:t xml:space="preserve">0.0</w:t>
      </w:r>
      <w:r>
        <w:t xml:space="preserve"> </w:t>
      </w:r>
      <w:r>
        <w:t xml:space="preserve">16.6</w:t>
      </w:r>
      <w:r>
        <w:t xml:space="preserve"> </w:t>
      </w:r>
      <w:r>
        <w:t xml:space="preserve">20.1</w:t>
      </w:r>
      <w:r>
        <w:t xml:space="preserve"> </w:t>
      </w:r>
      <w:r>
        <w:t xml:space="preserve">6.5</w:t>
      </w:r>
      <w:r>
        <w:t xml:space="preserve"> </w:t>
      </w:r>
      <w:r>
        <w:t xml:space="preserve">97.7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SI</w:t>
      </w:r>
      <w:r>
        <w:t xml:space="preserve"> </w:t>
      </w:r>
      <w:r>
        <w:t xml:space="preserve">0.0</w:t>
      </w:r>
      <w:r>
        <w:t xml:space="preserve"> </w:t>
      </w:r>
      <w:r>
        <w:t xml:space="preserve">4.9</w:t>
      </w:r>
      <w:r>
        <w:t xml:space="preserve"> </w:t>
      </w:r>
      <w:r>
        <w:t xml:space="preserve">6.0</w:t>
      </w:r>
      <w:r>
        <w:t xml:space="preserve"> </w:t>
      </w:r>
      <w:r>
        <w:t xml:space="preserve">3.3</w:t>
      </w:r>
      <w:r>
        <w:t xml:space="preserve"> </w:t>
      </w:r>
      <w:r>
        <w:t xml:space="preserve">27.4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0.00%</w:t>
      </w:r>
      <w:r>
        <w:t xml:space="preserve"> </w:t>
      </w:r>
      <w:r>
        <w:t xml:space="preserve">0.03%</w:t>
      </w:r>
      <w:r>
        <w:t xml:space="preserve"> </w:t>
      </w:r>
      <w:r>
        <w:t xml:space="preserve">SK</w:t>
      </w:r>
      <w:r>
        <w:t xml:space="preserve"> </w:t>
      </w:r>
      <w:r>
        <w:t xml:space="preserve">0.0</w:t>
      </w:r>
      <w:r>
        <w:t xml:space="preserve"> </w:t>
      </w:r>
      <w:r>
        <w:t xml:space="preserve">3.1</w:t>
      </w:r>
      <w:r>
        <w:t xml:space="preserve"> </w:t>
      </w:r>
      <w:r>
        <w:t xml:space="preserve">3.8</w:t>
      </w:r>
      <w:r>
        <w:t xml:space="preserve"> </w:t>
      </w:r>
      <w:r>
        <w:t xml:space="preserve">2.2</w:t>
      </w:r>
      <w:r>
        <w:t xml:space="preserve"> </w:t>
      </w:r>
      <w:r>
        <w:t xml:space="preserve">15.6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EU-27</w:t>
      </w:r>
      <w:r>
        <w:t xml:space="preserve"> </w:t>
      </w:r>
      <w:r>
        <w:t xml:space="preserve">0.0</w:t>
      </w:r>
      <w:r>
        <w:t xml:space="preserve"> </w:t>
      </w:r>
      <w:r>
        <w:t xml:space="preserve">365.4</w:t>
      </w:r>
      <w:r>
        <w:t xml:space="preserve"> </w:t>
      </w:r>
      <w:r>
        <w:t xml:space="preserve">451.1</w:t>
      </w:r>
      <w:r>
        <w:t xml:space="preserve"> </w:t>
      </w:r>
      <w:r>
        <w:t xml:space="preserve">282.1</w:t>
      </w:r>
      <w:r>
        <w:t xml:space="preserve"> </w:t>
      </w:r>
      <w:r>
        <w:t xml:space="preserve">2394.1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Administrative costs for public authorities. Administrative cost savings are estimated for public authorities</w:t>
      </w:r>
      <w:r>
        <w:t xml:space="preserve"> </w:t>
      </w:r>
      <w:r>
        <w:t xml:space="preserve">deriving from the mandatory use of eFTI platforms with clear and relevant data requirements (PM3), thanks to</w:t>
      </w:r>
      <w:r>
        <w:t xml:space="preserve"> </w:t>
      </w:r>
      <w:r>
        <w:t xml:space="preserve">which eligibility checks at road-side will become 10% quicker. Considering that intermodal pre- and post-haulage</w:t>
      </w:r>
      <w:r>
        <w:t xml:space="preserve"> </w:t>
      </w:r>
      <w:r>
        <w:t xml:space="preserve">(i.e. road legs of intermodal transport) represents nearly 10% of road transport operations in EU-27, the</w:t>
      </w:r>
      <w:r>
        <w:t xml:space="preserve"> </w:t>
      </w:r>
      <w:r>
        <w:t xml:space="preserve">administrative cost savings for authorities are estimated at EUR 0.2 million per year from 2025 onwards. The</w:t>
      </w:r>
      <w:r>
        <w:t xml:space="preserve"> </w:t>
      </w:r>
      <w:r>
        <w:t xml:space="preserve">savings are the same for all policy options. It should be noted that costs savings are assumed to occur only until</w:t>
      </w:r>
      <w:r>
        <w:t xml:space="preserve"> </w:t>
      </w:r>
      <w:r>
        <w:t xml:space="preserve">2035 as post-2035 eFTI and the digitalisation of transport information is expected to be widely in use in the</w:t>
      </w:r>
      <w:r>
        <w:t xml:space="preserve"> </w:t>
      </w:r>
      <w:r>
        <w:t xml:space="preserve">baseline. Expressed as present value over 2025-2050, the administrative costs savings are estimated at EUR 2.3</w:t>
      </w:r>
      <w:r>
        <w:t xml:space="preserve"> </w:t>
      </w:r>
      <w:r>
        <w:t xml:space="preserve">million relative to the baseline in all policy options.</w:t>
      </w:r>
      <w:r>
        <w:t xml:space="preserve"> </w:t>
      </w:r>
      <w:r>
        <w:t xml:space="preserve">Net costs/costs savings for public administrations. Expressed as present value over 2025-2050, PO-A is expected</w:t>
      </w:r>
      <w:r>
        <w:t xml:space="preserve"> </w:t>
      </w:r>
      <w:r>
        <w:t xml:space="preserve">to lead to total costs savings for public administrations estimated at EUR 0.9 million110, while PO-B and PO-C result</w:t>
      </w:r>
      <w:r>
        <w:t xml:space="preserve"> </w:t>
      </w:r>
      <w:r>
        <w:t xml:space="preserve">in net costs. The highest net costs are projected in PO-C (EUR 34.8 bn), followed by PO-B2a (EUR 7.5 bn), PO-B1</w:t>
      </w:r>
      <w:r>
        <w:t xml:space="preserve"> </w:t>
      </w:r>
      <w:r>
        <w:t xml:space="preserve">(EUR 7.2 bn) and PO-B2b (EUR 5.3 bn). The largest share of the costs originates from economic support to</w:t>
      </w:r>
      <w:r>
        <w:t xml:space="preserve"> </w:t>
      </w:r>
      <w:r>
        <w:t xml:space="preserve">intermodal transport.</w:t>
      </w:r>
      <w:r>
        <w:t xml:space="preserve"> </w:t>
      </w:r>
      <w:r>
        <w:t xml:space="preserve">6.1.3. Impact on the European Commission</w:t>
      </w:r>
      <w:r>
        <w:br/>
      </w:r>
      <w:r>
        <w:t xml:space="preserve">Two measures are expected to lead to adjustment costs for the European Commission, namely PM6 (included in</w:t>
      </w:r>
      <w:r>
        <w:t xml:space="preserve"> </w:t>
      </w:r>
      <w:r>
        <w:t xml:space="preserve">PO-B) and PM17 (included in all policy options). For PM6, the costs are estimated at EUR 0.3 million every five</w:t>
      </w:r>
      <w:r>
        <w:t xml:space="preserve"> </w:t>
      </w:r>
      <w:r>
        <w:t xml:space="preserve">years to prepare the market monitoring report under PO-B (EUR 1.7 million expressed as present value over the</w:t>
      </w:r>
      <w:r>
        <w:t xml:space="preserve"> </w:t>
      </w:r>
      <w:r>
        <w:t xml:space="preserve">period 2025-2050 relative to the baseline). In relation to the preparation of the implementing acts under PM17 in</w:t>
      </w:r>
      <w:r>
        <w:t xml:space="preserve"> </w:t>
      </w:r>
      <w:r>
        <w:t xml:space="preserve">PO-A, PO-B and PO-C, as additional research is needed to establish the relevant criteria for terminal categories,</w:t>
      </w:r>
      <w:r>
        <w:t xml:space="preserve"> </w:t>
      </w:r>
      <w:r>
        <w:t xml:space="preserve">one-off costs of EUR 0.3 million are foreseen for a study. More details on the costs are provided in Annex 4. Total</w:t>
      </w:r>
      <w:r>
        <w:t xml:space="preserve"> </w:t>
      </w:r>
      <w:r>
        <w:t xml:space="preserve">adjustment costs for the European Commission, expressed as present value over 2025-2050 relative to the</w:t>
      </w:r>
      <w:r>
        <w:t xml:space="preserve"> </w:t>
      </w:r>
      <w:r>
        <w:t xml:space="preserve">baseline, are estimated at EUR 2 million in PO-B and EUR 0.3 million in PO-A and PO-C (of which EUR 0.3 million</w:t>
      </w:r>
      <w:r>
        <w:t xml:space="preserve"> </w:t>
      </w:r>
      <w:r>
        <w:t xml:space="preserve">one-off costs in PO-A, PO-B and PO-C). No other costs are projected for the European Commission.</w:t>
      </w:r>
      <w:r>
        <w:t xml:space="preserve"> </w:t>
      </w:r>
      <w:r>
        <w:t xml:space="preserve">6.1.4. Impact on businesses</w:t>
      </w:r>
      <w:r>
        <w:br/>
      </w:r>
      <w:r>
        <w:t xml:space="preserve">The shippers and transport organisations that choose to benefit of this proposal will face adjustment costs and</w:t>
      </w:r>
      <w:r>
        <w:t xml:space="preserve"> </w:t>
      </w:r>
      <w:r>
        <w:t xml:space="preserve">administrative costs but they will also benefit of administrative costs savings compared to the baseline. Detailed</w:t>
      </w:r>
      <w:r>
        <w:t xml:space="preserve"> </w:t>
      </w:r>
      <w:r>
        <w:t xml:space="preserve">explanations on costs and costs savings for businesses, by policy measure, are provided in Annex 4. In addition, the</w:t>
      </w:r>
      <w:r>
        <w:t xml:space="preserve"> </w:t>
      </w:r>
      <w:r>
        <w:t xml:space="preserve">shippers will have a wider choice of transport options and benefit of easier entry to the market, in particular thanks</w:t>
      </w:r>
    </w:p>
    <w:p>
      <w:pPr>
        <w:pStyle w:val="BodyText"/>
      </w:pPr>
      <w:r>
        <w:t xml:space="preserve">110 In PO-A the recurrent adjustment costs due to PM4 are occurring every 5 years, while the administrative costs savings</w:t>
      </w:r>
      <w:r>
        <w:t xml:space="preserve"> </w:t>
      </w:r>
      <w:r>
        <w:t xml:space="preserve">driven by PM3 every year for 2025-2035. Expressed as present value over 2025-2050 the total adjustment costs are lower</w:t>
      </w:r>
      <w:r>
        <w:t xml:space="preserve"> </w:t>
      </w:r>
      <w:r>
        <w:t xml:space="preserve">than the total administrative costs savings, thus resulting in net costs savings. The calculation also takes into account the</w:t>
      </w:r>
      <w:r>
        <w:t xml:space="preserve"> </w:t>
      </w:r>
      <w:r>
        <w:t xml:space="preserve">one-off adjustment costs due to PM4.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to the new terminal transparency obligation. The freight forwarders and logistics operators and connection</w:t>
      </w:r>
      <w:r>
        <w:t xml:space="preserve"> </w:t>
      </w:r>
      <w:r>
        <w:t xml:space="preserve">organisers engaged in organising intermodal transport operations as well as transport operators in rail and</w:t>
      </w:r>
      <w:r>
        <w:t xml:space="preserve"> </w:t>
      </w:r>
      <w:r>
        <w:t xml:space="preserve">waterborne transport and terminal operators are expected to experience an increase in business opportunities, as</w:t>
      </w:r>
      <w:r>
        <w:t xml:space="preserve"> </w:t>
      </w:r>
      <w:r>
        <w:t xml:space="preserve">intermodal volumes increase.</w:t>
      </w:r>
      <w:r>
        <w:t xml:space="preserve"> </w:t>
      </w:r>
      <w:r>
        <w:t xml:space="preserve">Adjustment costs (one-off) for businesses. The total adjustment costs relative to the baseline are estimated to be</w:t>
      </w:r>
      <w:r>
        <w:t xml:space="preserve"> </w:t>
      </w:r>
      <w:r>
        <w:t xml:space="preserve">highest in PO-C (EUR 28.3 million) mostly due to the one-off costs for revising the internal information and data</w:t>
      </w:r>
      <w:r>
        <w:t xml:space="preserve"> </w:t>
      </w:r>
      <w:r>
        <w:t xml:space="preserve">sharing protocols by businesses under PM15 and establishing a common harmonised data set for communication</w:t>
      </w:r>
      <w:r>
        <w:t xml:space="preserve"> </w:t>
      </w:r>
      <w:r>
        <w:t xml:space="preserve">under PM14, followed by PO-A and PO-B (EUR 0.3 million). No data related requirements are envisaged in PO-A</w:t>
      </w:r>
      <w:r>
        <w:t xml:space="preserve"> </w:t>
      </w:r>
      <w:r>
        <w:t xml:space="preserve">and PO-B as these are left to other future EU instruments to ensure wider application.</w:t>
      </w:r>
      <w:r>
        <w:br/>
      </w:r>
      <w:r>
        <w:t xml:space="preserve">One-off adjustment costs will occur for the eFTI platform providers (EUR 0.05 million, in all policy options) and for</w:t>
      </w:r>
      <w:r>
        <w:t xml:space="preserve"> </w:t>
      </w:r>
      <w:r>
        <w:t xml:space="preserve">the terminal operators (EUR 0.21 million, in all policy options), who will be required to provide information on their</w:t>
      </w:r>
      <w:r>
        <w:t xml:space="preserve"> </w:t>
      </w:r>
      <w:r>
        <w:t xml:space="preserve">services and facilities on their homepages (PM16) and assess and show their category (PM17). The recurrent costs</w:t>
      </w:r>
      <w:r>
        <w:t xml:space="preserve"> </w:t>
      </w:r>
      <w:r>
        <w:t xml:space="preserve">for PO-A, PO-B and PO-C linked to transparency requirements and the need for regularly updating data (due to</w:t>
      </w:r>
      <w:r>
        <w:t xml:space="preserve"> </w:t>
      </w:r>
      <w:r>
        <w:t xml:space="preserve">PM16) are reported under administrative costs below.</w:t>
      </w:r>
      <w:r>
        <w:br/>
      </w:r>
      <w:r>
        <w:t xml:space="preserve">Table 10: Impacts on one-off adjustment costs for businesses compared to the baseline, EU-27 (million EUR, in 2021</w:t>
      </w:r>
      <w:r>
        <w:t xml:space="preserve"> </w:t>
      </w:r>
      <w:r>
        <w:t xml:space="preserve">prices)</w:t>
      </w:r>
      <w:r>
        <w:br/>
      </w:r>
      <w:r>
        <w:t xml:space="preserve">Applicable policy measures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PO-B1</w:t>
      </w:r>
      <w:r>
        <w:t xml:space="preserve"> </w:t>
      </w:r>
      <w:r>
        <w:t xml:space="preserve">PO-B2a</w:t>
      </w:r>
      <w:r>
        <w:t xml:space="preserve"> </w:t>
      </w:r>
      <w:r>
        <w:t xml:space="preserve">PO-B2b</w:t>
      </w:r>
      <w:r>
        <w:t xml:space="preserve"> </w:t>
      </w:r>
      <w:r>
        <w:t xml:space="preserve">PO-C</w:t>
      </w:r>
      <w:r>
        <w:t xml:space="preserve"> </w:t>
      </w:r>
      <w:r>
        <w:t xml:space="preserve">PM3</w:t>
      </w:r>
      <w:r>
        <w:br/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5.60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22.41</w:t>
      </w:r>
      <w:r>
        <w:t xml:space="preserve"> </w:t>
      </w:r>
      <w:r>
        <w:t xml:space="preserve">PM16</w:t>
      </w:r>
      <w:r>
        <w:t xml:space="preserve"> </w:t>
      </w:r>
      <w:r>
        <w:t xml:space="preserve">0.18</w:t>
      </w:r>
      <w:r>
        <w:t xml:space="preserve"> </w:t>
      </w:r>
      <w:r>
        <w:t xml:space="preserve">0.18</w:t>
      </w:r>
      <w:r>
        <w:t xml:space="preserve"> </w:t>
      </w:r>
      <w:r>
        <w:t xml:space="preserve">0.18</w:t>
      </w:r>
      <w:r>
        <w:t xml:space="preserve"> </w:t>
      </w:r>
      <w:r>
        <w:t xml:space="preserve">0.18</w:t>
      </w:r>
      <w:r>
        <w:t xml:space="preserve"> </w:t>
      </w:r>
      <w:r>
        <w:t xml:space="preserve">0.18</w:t>
      </w:r>
      <w:r>
        <w:t xml:space="preserve"> </w:t>
      </w:r>
      <w:r>
        <w:t xml:space="preserve">PM17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Total one-off adjustment costs</w:t>
      </w:r>
      <w:r>
        <w:t xml:space="preserve"> </w:t>
      </w:r>
      <w:r>
        <w:t xml:space="preserve">0.26</w:t>
      </w:r>
      <w:r>
        <w:t xml:space="preserve"> </w:t>
      </w:r>
      <w:r>
        <w:t xml:space="preserve">0.26</w:t>
      </w:r>
      <w:r>
        <w:t xml:space="preserve"> </w:t>
      </w:r>
      <w:r>
        <w:t xml:space="preserve">0.26</w:t>
      </w:r>
      <w:r>
        <w:t xml:space="preserve"> </w:t>
      </w:r>
      <w:r>
        <w:t xml:space="preserve">0.26</w:t>
      </w:r>
      <w:r>
        <w:t xml:space="preserve"> </w:t>
      </w:r>
      <w:r>
        <w:t xml:space="preserve">28.28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Administrative costs for businesses. Three measures are expected to lead to administrative costs for</w:t>
      </w:r>
      <w:r>
        <w:t xml:space="preserve"> </w:t>
      </w:r>
      <w:r>
        <w:t xml:space="preserve">businesses, namely PM16 (in all policy options) due to the transparency requirements and the need for</w:t>
      </w:r>
      <w:r>
        <w:t xml:space="preserve"> </w:t>
      </w:r>
      <w:r>
        <w:t xml:space="preserve">regularly updating data, and PM10, PM11 and PM16 (in PO-B) for the application process and the need to</w:t>
      </w:r>
      <w:r>
        <w:t xml:space="preserve"> </w:t>
      </w:r>
      <w:r>
        <w:t xml:space="preserve">compy with the potential ex-post reporting by those operators who choose to benefit from economic</w:t>
      </w:r>
      <w:r>
        <w:t xml:space="preserve"> </w:t>
      </w:r>
      <w:r>
        <w:t xml:space="preserve">support. The administrative costs for the application process and ex-post reporting (PM10 and PM11) are</w:t>
      </w:r>
      <w:r>
        <w:t xml:space="preserve"> </w:t>
      </w:r>
      <w:r>
        <w:t xml:space="preserve">estimated at EUR 0.38 million in PO-B1 and PO-B2a in 2030 and at EUR 0.22 million in PO-B2b. For</w:t>
      </w:r>
      <w:r>
        <w:t xml:space="preserve"> </w:t>
      </w:r>
      <w:r>
        <w:t xml:space="preserve">2050, the are estimated at EUR 0.39 million in PO-B1, EUR 0.42 million in PO-B2a and EUR 0.19 million</w:t>
      </w:r>
      <w:r>
        <w:t xml:space="preserve"> </w:t>
      </w:r>
      <w:r>
        <w:t xml:space="preserve">in PO-B2b (where the scope includes only cross-border intra-EU operations), relative to the baseline (see</w:t>
      </w:r>
      <w:r>
        <w:t xml:space="preserve"> </w:t>
      </w:r>
      <w:r>
        <w:t xml:space="preserve">Table 11). They are however not counted towards the ‘one in, one out’ approach.</w:t>
      </w:r>
      <w:r>
        <w:t xml:space="preserve"> </w:t>
      </w:r>
      <w:r>
        <w:t xml:space="preserve">As explained above, the transparency requirements and the need for regularly updating data under PM16</w:t>
      </w:r>
      <w:r>
        <w:t xml:space="preserve"> </w:t>
      </w:r>
      <w:r>
        <w:t xml:space="preserve">also lead to administrative costs for businesses in PO-A, PO-B and PO-C. It is not possible to assess with</w:t>
      </w:r>
      <w:r>
        <w:t xml:space="preserve"> </w:t>
      </w:r>
      <w:r>
        <w:t xml:space="preserve">precision how often terminals upgrade their services and facilities, but the efforts are expected to be limited,</w:t>
      </w:r>
      <w:r>
        <w:t xml:space="preserve"> </w:t>
      </w:r>
      <w:r>
        <w:t xml:space="preserve">amounting to not more than 1 hour of work every 5 years for gathering the information and updating the</w:t>
      </w:r>
      <w:r>
        <w:t xml:space="preserve"> </w:t>
      </w:r>
      <w:r>
        <w:t xml:space="preserve">homepage. To estimate the costs, the number of intermodal terminals in the EU (980) and the tariffs per</w:t>
      </w:r>
      <w:r>
        <w:t xml:space="preserve"> </w:t>
      </w:r>
      <w:r>
        <w:t xml:space="preserve">hour for ISCO 3 (Technicians and associate professionals) have been used (31.1 EUR/hour). The recurrent</w:t>
      </w:r>
      <w:r>
        <w:t xml:space="preserve"> </w:t>
      </w:r>
      <w:r>
        <w:t xml:space="preserve">administrative costs are thus estimated at EUR 0.03 million (every 5 years). For the purpose of the</w:t>
      </w:r>
      <w:r>
        <w:t xml:space="preserve"> </w:t>
      </w:r>
      <w:r>
        <w:t xml:space="preserve">application of the ‘one in, one out’ approach, the annual average cost per terminal, spreading the 5-years</w:t>
      </w:r>
      <w:r>
        <w:t xml:space="preserve"> </w:t>
      </w:r>
      <w:r>
        <w:t xml:space="preserve">costs annually, is estimated at 6.2 EUR. Considering the 980 intermodal terminals in the EU, the average</w:t>
      </w:r>
      <w:r>
        <w:t xml:space="preserve"> </w:t>
      </w:r>
      <w:r>
        <w:t xml:space="preserve">annual costs are estimated at EUR 6,100.</w:t>
      </w:r>
      <w:r>
        <w:t xml:space="preserve"> </w:t>
      </w:r>
      <w:r>
        <w:t xml:space="preserve">Total administrative costs for businesses are estimated to be highest in PO-B2a relative to the baseline (EUR</w:t>
      </w:r>
      <w:r>
        <w:t xml:space="preserve"> </w:t>
      </w:r>
      <w:r>
        <w:t xml:space="preserve">0.41 million in 2030 and EUR 0.46 million in 2050), followed by PO-B1 (EUR 0.41 million in 2030 and</w:t>
      </w:r>
      <w:r>
        <w:t xml:space="preserve"> </w:t>
      </w:r>
      <w:r>
        <w:t xml:space="preserve">EUR 0.42 million in 2050), PO-B2b (EUR 0.25 million in 2030 and EUR 0.22 million in 2050), and PO-</w:t>
      </w:r>
      <w:r>
        <w:t xml:space="preserve"> </w:t>
      </w:r>
      <w:r>
        <w:t xml:space="preserve">A and PO-C (EUR 0.03 million in 2030 and 2050). Expressed as present value over 2025-2050, they are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estimated at EUR 6.6 million in PO-B2a, EUR 6.4 million in PO-B1, EUR 3.2 million in PO-B2b and EUR</w:t>
      </w:r>
      <w:r>
        <w:t xml:space="preserve"> </w:t>
      </w:r>
      <w:r>
        <w:t xml:space="preserve">0.1 million in PO-A and PO-C.</w:t>
      </w:r>
      <w:r>
        <w:t xml:space="preserve"> </w:t>
      </w:r>
      <w:r>
        <w:t xml:space="preserve">Administrative costs savings for businesses. Businesses will also incur recurrent administrative cost</w:t>
      </w:r>
      <w:r>
        <w:t xml:space="preserve"> </w:t>
      </w:r>
      <w:r>
        <w:t xml:space="preserve">savings due to PM3 (proof of eligibility), PM6 (reporting by the Commission) and PM7-PM9 (support</w:t>
      </w:r>
      <w:r>
        <w:t xml:space="preserve"> </w:t>
      </w:r>
      <w:r>
        <w:t xml:space="preserve">measures). In PM3 (included in all policy options) the proof of eligibility is implemented via the eFTI</w:t>
      </w:r>
      <w:r>
        <w:t xml:space="preserve"> </w:t>
      </w:r>
      <w:r>
        <w:t xml:space="preserve">platforms, and operators engaged in intermodal transport will benefit from not having to manage paper-</w:t>
      </w:r>
      <w:r>
        <w:t xml:space="preserve"> </w:t>
      </w:r>
      <w:r>
        <w:t xml:space="preserve">based transport documents, in particular for road-side checks. In addition, the operators will benefit from</w:t>
      </w:r>
      <w:r>
        <w:t xml:space="preserve"> </w:t>
      </w:r>
      <w:r>
        <w:t xml:space="preserve">updated data requirements that allow to check the eligibility faster at road-side checks. The costs savings</w:t>
      </w:r>
      <w:r>
        <w:t xml:space="preserve"> </w:t>
      </w:r>
      <w:r>
        <w:t xml:space="preserve">due to the use of electronic data and appropriate data requirements are estimated to be on average 5 EUR</w:t>
      </w:r>
      <w:r>
        <w:t xml:space="preserve"> </w:t>
      </w:r>
      <w:r>
        <w:t xml:space="preserve">per shipment111. In order to derive the total administrative costs savings for businesses, the unit cost savings</w:t>
      </w:r>
      <w:r>
        <w:t xml:space="preserve"> </w:t>
      </w:r>
      <w:r>
        <w:t xml:space="preserve">are multiplied by the number of intermodal operations carried out under the different policy options. It must</w:t>
      </w:r>
      <w:r>
        <w:t xml:space="preserve"> </w:t>
      </w:r>
      <w:r>
        <w:t xml:space="preserve">be noted that costs savings are assumed to occur until 2035 as post-2035 eFTI platforms are expected to be</w:t>
      </w:r>
      <w:r>
        <w:t xml:space="preserve"> </w:t>
      </w:r>
      <w:r>
        <w:t xml:space="preserve">widely in use among EU operators; so there will be little case for PM3 to induce costs savings compared to</w:t>
      </w:r>
      <w:r>
        <w:t xml:space="preserve"> </w:t>
      </w:r>
      <w:r>
        <w:t xml:space="preserve">the baseline. The costs savings by policy option in 2030, relative to the baseline, are provided in Table 11.</w:t>
      </w:r>
      <w:r>
        <w:t xml:space="preserve"> </w:t>
      </w:r>
      <w:r>
        <w:t xml:space="preserve">Expressed as present value over 2025-2050, the administrative costs savings due to PM3 are estimated at</w:t>
      </w:r>
      <w:r>
        <w:t xml:space="preserve"> </w:t>
      </w:r>
      <w:r>
        <w:t xml:space="preserve">EUR 3.35 bn in PO-A, EUR 4.08 bn in PO-B1, EUR 4.12 bn in PO-B2a, EUR 3.16 bn in PO-B2b and</w:t>
      </w:r>
      <w:r>
        <w:t xml:space="preserve"> </w:t>
      </w:r>
      <w:r>
        <w:t xml:space="preserve">EUR 5.31 bn in PO-C. For the purpose of the application of the ‘one in, one out’ approach, the average</w:t>
      </w:r>
      <w:r>
        <w:t xml:space="preserve"> </w:t>
      </w:r>
      <w:r>
        <w:t xml:space="preserve">number of eligible operations per year during the 2025-2035 period is estimated at 0.071 bn in PO-A, 0.086</w:t>
      </w:r>
      <w:r>
        <w:t xml:space="preserve"> </w:t>
      </w:r>
      <w:r>
        <w:t xml:space="preserve">bn in PO-B1, 0.087 bn in PO-B2a, 0.067 bn in PO-B2b and 0.112 bn in PO-C. Applying the unit costs</w:t>
      </w:r>
      <w:r>
        <w:t xml:space="preserve"> </w:t>
      </w:r>
      <w:r>
        <w:t xml:space="preserve">savings of 5 EUR per shipment, the administrative costs savings per year for the ‘one in, one out’ are</w:t>
      </w:r>
      <w:r>
        <w:t xml:space="preserve"> </w:t>
      </w:r>
      <w:r>
        <w:t xml:space="preserve">estimated at EUR 0.35 bn in PO-A, EUR 0.43 bn in PO-B1 and PO-B2a, EUR 0.33 bn in PO-B2b and EUR</w:t>
      </w:r>
      <w:r>
        <w:t xml:space="preserve"> </w:t>
      </w:r>
      <w:r>
        <w:t xml:space="preserve">0.56 bn in PO-C.</w:t>
      </w:r>
      <w:r>
        <w:br/>
      </w:r>
      <w:r>
        <w:t xml:space="preserve">PM7-PM9 are expected to lead to administrative costs saving for businesses. Operators who decide to apply</w:t>
      </w:r>
      <w:r>
        <w:t xml:space="preserve"> </w:t>
      </w:r>
      <w:r>
        <w:t xml:space="preserve">for economic support will be subject to administrative costs related to the preparation of the application.</w:t>
      </w:r>
      <w:r>
        <w:t xml:space="preserve"> </w:t>
      </w:r>
      <w:r>
        <w:t xml:space="preserve">These costs are only relevant to new applicants relative to baseline. However, the application process for</w:t>
      </w:r>
      <w:r>
        <w:t xml:space="preserve"> </w:t>
      </w:r>
      <w:r>
        <w:t xml:space="preserve">the support under PM7-PM9 will be considerably simplified relative to the baseline thanks to clear eligibility</w:t>
      </w:r>
      <w:r>
        <w:t xml:space="preserve"> </w:t>
      </w:r>
      <w:r>
        <w:t xml:space="preserve">rules (PM1/PM2) and the use of eFTI platforms (PM3) that will simplify the retrieval and submission of</w:t>
      </w:r>
      <w:r>
        <w:t xml:space="preserve"> </w:t>
      </w:r>
      <w:r>
        <w:t xml:space="preserve">information to authorities for those operators that choose to apply for economic support – it will be possible</w:t>
      </w:r>
      <w:r>
        <w:t xml:space="preserve"> </w:t>
      </w:r>
      <w:r>
        <w:t xml:space="preserve">to download the information about eligibile operations directly from the eFTI platform. Furthermore,</w:t>
      </w:r>
      <w:r>
        <w:t xml:space="preserve"> </w:t>
      </w:r>
      <w:r>
        <w:t xml:space="preserve">ensuring the same eligibility conditions across EU will allow the organisers of international operations to</w:t>
      </w:r>
      <w:r>
        <w:t xml:space="preserve"> </w:t>
      </w:r>
      <w:r>
        <w:t xml:space="preserve">considerably save time and cost from application preparation as an eligible operation will be eligible across</w:t>
      </w:r>
      <w:r>
        <w:t xml:space="preserve"> </w:t>
      </w:r>
      <w:r>
        <w:t xml:space="preserve">EU the same way112. The administrative costs savings for businesses due to PM7-PM9 in 2030 and 2050,</w:t>
      </w:r>
      <w:r>
        <w:t xml:space="preserve"> </w:t>
      </w:r>
      <w:r>
        <w:t xml:space="preserve">relative to the baseline, are shown in Table 11. Expressed as present value over 2025-2050, they are</w:t>
      </w:r>
      <w:r>
        <w:t xml:space="preserve"> </w:t>
      </w:r>
      <w:r>
        <w:t xml:space="preserve">estimated at EUR 220.1 million in PO-A (due to PM8), EUR 196.4 million in PO-B1 (due to PM9), EUR</w:t>
      </w:r>
      <w:r>
        <w:t xml:space="preserve"> </w:t>
      </w:r>
      <w:r>
        <w:t xml:space="preserve">192.6 million in PO-B2a (due to PM9), EUR 260.6 million in PO-B2b (due to PM9) and to EUR 172.2</w:t>
      </w:r>
      <w:r>
        <w:t xml:space="preserve"> </w:t>
      </w:r>
      <w:r>
        <w:t xml:space="preserve">million in PO-C (due to PM7).</w:t>
      </w:r>
      <w:r>
        <w:br/>
      </w:r>
      <w:r>
        <w:t xml:space="preserve">Businesses are also expected to enjoy administrative costs savings under PM6 (included in PO-B1, PO-B2a</w:t>
      </w:r>
      <w:r>
        <w:t xml:space="preserve"> </w:t>
      </w:r>
      <w:r>
        <w:t xml:space="preserve">and PO-B2b) thanks to the Commission centrally publishing the information on upcoming support schemes</w:t>
      </w:r>
      <w:r>
        <w:t xml:space="preserve"> </w:t>
      </w:r>
      <w:r>
        <w:t xml:space="preserve">and thus saving operators time to monitor Member States plans in the application process. These savings</w:t>
      </w:r>
      <w:r>
        <w:t xml:space="preserve"> </w:t>
      </w:r>
      <w:r>
        <w:t xml:space="preserve">come in addition to the costs savings for the preparation of the applications under PM7-PM9, and depend</w:t>
      </w:r>
      <w:r>
        <w:t xml:space="preserve"> </w:t>
      </w:r>
      <w:r>
        <w:t xml:space="preserve">on the number of applications for support in PO-B1, PO-B2a and PO-B2b. Table 11 provides the</w:t>
      </w:r>
      <w:r>
        <w:t xml:space="preserve"> </w:t>
      </w:r>
      <w:r>
        <w:t xml:space="preserve">administrative costs savings in 2030 and 2050 for PO-B1, PO-B2a and PO-B2b relative to the baseline.</w:t>
      </w:r>
      <w:r>
        <w:t xml:space="preserve"> </w:t>
      </w:r>
      <w:r>
        <w:t xml:space="preserve">Expressed as present value over 2025-2050, they are estimated at EUR 23.1 million in PO-B1, EUR 23.9</w:t>
      </w:r>
      <w:r>
        <w:t xml:space="preserve"> </w:t>
      </w:r>
      <w:r>
        <w:t xml:space="preserve">million in PO-B2a and EUR 10.3 million in PO-B2b relative to baseline. Measure PM6, PM7-PM9 are not</w:t>
      </w:r>
      <w:r>
        <w:t xml:space="preserve"> </w:t>
      </w:r>
      <w:r>
        <w:t xml:space="preserve">counted towards the ‘one in, one out’ approach.</w:t>
      </w:r>
    </w:p>
    <w:p>
      <w:pPr>
        <w:pStyle w:val="BodyText"/>
      </w:pPr>
      <w:r>
        <w:t xml:space="preserve">111 SWD (2017) 194 final.</w:t>
      </w:r>
      <w:r>
        <w:t xml:space="preserve"> </w:t>
      </w:r>
      <w:r>
        <w:t xml:space="preserve">112 In the baseline scenario the application preparation is assumed to take 16 hours. All applicants are assumed to save</w:t>
      </w:r>
      <w:r>
        <w:t xml:space="preserve"> </w:t>
      </w:r>
      <w:r>
        <w:t xml:space="preserve">4.2 hours per request. The Eurostat Labour Force Survey data for Non-Wage Labour Costs (i.e. ISCO 3 – Technicians</w:t>
      </w:r>
      <w:r>
        <w:t xml:space="preserve"> </w:t>
      </w:r>
      <w:r>
        <w:t xml:space="preserve">and associate professionals) has been used (31.1 EUR/hour) to quantify the costs.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Total administrative costs savings for businesses are estimated to be highest in PO-C relative to the baseline</w:t>
      </w:r>
      <w:r>
        <w:t xml:space="preserve"> </w:t>
      </w:r>
      <w:r>
        <w:t xml:space="preserve">(EUR 567.9 million in 2030 and EUR 7 million in 2050), followed by PO-B2a (EUR 444.3 million in 2030</w:t>
      </w:r>
      <w:r>
        <w:t xml:space="preserve"> </w:t>
      </w:r>
      <w:r>
        <w:t xml:space="preserve">and EUR 10.2 million in 2050), PO-B1 (EUR 443.8 million in 2030 and EUR 10.7 million in 2050), PO-</w:t>
      </w:r>
      <w:r>
        <w:t xml:space="preserve"> </w:t>
      </w:r>
      <w:r>
        <w:t xml:space="preserve">A (EUR 367.7 million in 2030 and EUR 10.9 million in 2050) and PO-B2b (EUR 347.9 million in 2030</w:t>
      </w:r>
      <w:r>
        <w:t xml:space="preserve"> </w:t>
      </w:r>
      <w:r>
        <w:t xml:space="preserve">and EUR 13.9 million in 2050). Expressed as present value over 2025-2050, they are estimated at EUR</w:t>
      </w:r>
      <w:r>
        <w:t xml:space="preserve"> </w:t>
      </w:r>
      <w:r>
        <w:t xml:space="preserve">3.57 bn in PO-A, EUR 4.30 bn in PO-B1, EUR 4.34 bn in PO-B2a, EUR 3.43 bn in PO-B2b and</w:t>
      </w:r>
      <w:r>
        <w:t xml:space="preserve"> </w:t>
      </w:r>
      <w:r>
        <w:t xml:space="preserve">EUR 5.48 bn in PO-C.</w:t>
      </w:r>
      <w:r>
        <w:t xml:space="preserve"> </w:t>
      </w:r>
      <w:r>
        <w:t xml:space="preserve">Table 11: Impacts on recurrent costs and costs savings for businesses compared to the baseline, EU-27 (million EUR, in</w:t>
      </w:r>
      <w:r>
        <w:t xml:space="preserve"> </w:t>
      </w:r>
      <w:r>
        <w:t xml:space="preserve">2021 prices)</w:t>
      </w:r>
      <w:r>
        <w:br/>
      </w:r>
      <w:r>
        <w:t xml:space="preserve">Applicable policy measures</w:t>
      </w:r>
      <w:r>
        <w:br/>
      </w: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PO-B1</w:t>
      </w:r>
      <w:r>
        <w:t xml:space="preserve"> </w:t>
      </w:r>
      <w:r>
        <w:t xml:space="preserve">PO-B2a</w:t>
      </w:r>
      <w:r>
        <w:t xml:space="preserve"> </w:t>
      </w:r>
      <w:r>
        <w:t xml:space="preserve">PO-B2b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br/>
      </w:r>
      <w:r>
        <w:t xml:space="preserve">PM10</w:t>
      </w:r>
    </w:p>
    <w:p>
      <w:pPr>
        <w:pStyle w:val="BodyText"/>
      </w:pPr>
      <w:r>
        <w:t xml:space="preserve">0.10</w:t>
      </w:r>
      <w:r>
        <w:t xml:space="preserve"> </w:t>
      </w:r>
      <w:r>
        <w:t xml:space="preserve">0.00</w:t>
      </w:r>
      <w:r>
        <w:t xml:space="preserve"> </w:t>
      </w:r>
      <w:r>
        <w:t xml:space="preserve">0.10</w:t>
      </w:r>
      <w:r>
        <w:t xml:space="preserve"> </w:t>
      </w:r>
      <w:r>
        <w:t xml:space="preserve">0.00</w:t>
      </w:r>
      <w:r>
        <w:t xml:space="preserve"> </w:t>
      </w:r>
      <w:r>
        <w:t xml:space="preserve">0.10</w:t>
      </w:r>
      <w:r>
        <w:t xml:space="preserve"> </w:t>
      </w:r>
      <w:r>
        <w:t xml:space="preserve">0.00</w:t>
      </w:r>
    </w:p>
    <w:p>
      <w:pPr>
        <w:pStyle w:val="BodyText"/>
      </w:pPr>
      <w:r>
        <w:t xml:space="preserve">PM11</w:t>
      </w:r>
    </w:p>
    <w:p>
      <w:pPr>
        <w:pStyle w:val="BodyText"/>
      </w:pPr>
      <w:r>
        <w:t xml:space="preserve">0.28</w:t>
      </w:r>
      <w:r>
        <w:t xml:space="preserve"> </w:t>
      </w:r>
      <w:r>
        <w:t xml:space="preserve">0.39</w:t>
      </w:r>
      <w:r>
        <w:t xml:space="preserve"> </w:t>
      </w:r>
      <w:r>
        <w:t xml:space="preserve">0.27</w:t>
      </w:r>
      <w:r>
        <w:t xml:space="preserve"> </w:t>
      </w:r>
      <w:r>
        <w:t xml:space="preserve">0.42</w:t>
      </w:r>
      <w:r>
        <w:t xml:space="preserve"> </w:t>
      </w:r>
      <w:r>
        <w:t xml:space="preserve">0.11</w:t>
      </w:r>
      <w:r>
        <w:t xml:space="preserve"> </w:t>
      </w:r>
      <w:r>
        <w:t xml:space="preserve">0.19</w:t>
      </w:r>
    </w:p>
    <w:p>
      <w:pPr>
        <w:pStyle w:val="BodyText"/>
      </w:pPr>
      <w:r>
        <w:t xml:space="preserve">PM16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PM3</w:t>
      </w:r>
      <w:r>
        <w:br/>
      </w:r>
      <w:r>
        <w:t xml:space="preserve">355.3</w:t>
      </w:r>
      <w:r>
        <w:t xml:space="preserve"> </w:t>
      </w:r>
      <w:r>
        <w:t xml:space="preserve">0.0 431.3</w:t>
      </w:r>
      <w:r>
        <w:t xml:space="preserve"> </w:t>
      </w:r>
      <w:r>
        <w:t xml:space="preserve">0.0 431.7</w:t>
      </w:r>
      <w:r>
        <w:t xml:space="preserve"> </w:t>
      </w:r>
      <w:r>
        <w:t xml:space="preserve">0.0 332.7</w:t>
      </w:r>
      <w:r>
        <w:t xml:space="preserve"> </w:t>
      </w:r>
      <w:r>
        <w:t xml:space="preserve">0.0 557.3</w:t>
      </w:r>
      <w:r>
        <w:t xml:space="preserve"> </w:t>
      </w:r>
      <w:r>
        <w:t xml:space="preserve">0.0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1.1</w:t>
      </w:r>
      <w:r>
        <w:t xml:space="preserve"> </w:t>
      </w:r>
      <w:r>
        <w:t xml:space="preserve">1.6</w:t>
      </w:r>
      <w:r>
        <w:t xml:space="preserve"> </w:t>
      </w:r>
      <w:r>
        <w:t xml:space="preserve">1.1</w:t>
      </w:r>
      <w:r>
        <w:t xml:space="preserve"> </w:t>
      </w:r>
      <w:r>
        <w:t xml:space="preserve">1.7</w:t>
      </w:r>
      <w:r>
        <w:t xml:space="preserve"> </w:t>
      </w:r>
      <w:r>
        <w:t xml:space="preserve">0.5</w:t>
      </w:r>
      <w:r>
        <w:t xml:space="preserve"> </w:t>
      </w:r>
      <w:r>
        <w:t xml:space="preserve">0.8</w:t>
      </w:r>
    </w:p>
    <w:p>
      <w:pPr>
        <w:pStyle w:val="BodyText"/>
      </w:pPr>
      <w:r>
        <w:t xml:space="preserve">PM7</w:t>
      </w:r>
    </w:p>
    <w:p>
      <w:pPr>
        <w:pStyle w:val="BodyText"/>
      </w:pPr>
      <w:r>
        <w:t xml:space="preserve">10.5</w:t>
      </w:r>
      <w:r>
        <w:t xml:space="preserve"> </w:t>
      </w:r>
      <w:r>
        <w:t xml:space="preserve">7.0</w:t>
      </w:r>
      <w:r>
        <w:t xml:space="preserve"> </w:t>
      </w:r>
      <w:r>
        <w:t xml:space="preserve">PM8</w:t>
      </w:r>
      <w:r>
        <w:br/>
      </w:r>
      <w:r>
        <w:t xml:space="preserve">12.4</w:t>
      </w:r>
      <w:r>
        <w:t xml:space="preserve"> </w:t>
      </w:r>
      <w:r>
        <w:t xml:space="preserve">10.9</w:t>
      </w:r>
    </w:p>
    <w:p>
      <w:pPr>
        <w:pStyle w:val="BodyText"/>
      </w:pPr>
      <w:r>
        <w:t xml:space="preserve">PM9</w:t>
      </w:r>
    </w:p>
    <w:p>
      <w:pPr>
        <w:pStyle w:val="BodyText"/>
      </w:pPr>
      <w:r>
        <w:t xml:space="preserve">11.4</w:t>
      </w:r>
      <w:r>
        <w:t xml:space="preserve"> </w:t>
      </w:r>
      <w:r>
        <w:t xml:space="preserve">9.2</w:t>
      </w:r>
      <w:r>
        <w:t xml:space="preserve"> </w:t>
      </w:r>
      <w:r>
        <w:t xml:space="preserve">11.5</w:t>
      </w:r>
      <w:r>
        <w:t xml:space="preserve"> </w:t>
      </w:r>
      <w:r>
        <w:t xml:space="preserve">8.5</w:t>
      </w:r>
      <w:r>
        <w:t xml:space="preserve"> </w:t>
      </w:r>
      <w:r>
        <w:t xml:space="preserve">14.7</w:t>
      </w:r>
      <w:r>
        <w:t xml:space="preserve"> </w:t>
      </w:r>
      <w:r>
        <w:t xml:space="preserve">13.2</w:t>
      </w:r>
    </w:p>
    <w:p>
      <w:pPr>
        <w:pStyle w:val="BodyText"/>
      </w:pPr>
      <w:r>
        <w:t xml:space="preserve">Total costs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0.41</w:t>
      </w:r>
      <w:r>
        <w:t xml:space="preserve"> </w:t>
      </w:r>
      <w:r>
        <w:t xml:space="preserve">0.42</w:t>
      </w:r>
      <w:r>
        <w:t xml:space="preserve"> </w:t>
      </w:r>
      <w:r>
        <w:t xml:space="preserve">0.41</w:t>
      </w:r>
      <w:r>
        <w:t xml:space="preserve"> </w:t>
      </w:r>
      <w:r>
        <w:t xml:space="preserve">0.46</w:t>
      </w:r>
      <w:r>
        <w:t xml:space="preserve"> </w:t>
      </w:r>
      <w:r>
        <w:t xml:space="preserve">0.25</w:t>
      </w:r>
      <w:r>
        <w:t xml:space="preserve"> </w:t>
      </w:r>
      <w:r>
        <w:t xml:space="preserve">0.22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Total costs savings</w:t>
      </w:r>
      <w:r>
        <w:t xml:space="preserve"> </w:t>
      </w:r>
      <w:r>
        <w:t xml:space="preserve">367.7</w:t>
      </w:r>
      <w:r>
        <w:t xml:space="preserve"> </w:t>
      </w:r>
      <w:r>
        <w:t xml:space="preserve">10.9 443.8</w:t>
      </w:r>
      <w:r>
        <w:t xml:space="preserve"> </w:t>
      </w:r>
      <w:r>
        <w:t xml:space="preserve">10.7 444.3</w:t>
      </w:r>
      <w:r>
        <w:t xml:space="preserve"> </w:t>
      </w:r>
      <w:r>
        <w:t xml:space="preserve">10.2 347.9</w:t>
      </w:r>
      <w:r>
        <w:t xml:space="preserve"> </w:t>
      </w:r>
      <w:r>
        <w:t xml:space="preserve">13.9 567.9</w:t>
      </w:r>
      <w:r>
        <w:t xml:space="preserve"> </w:t>
      </w:r>
      <w:r>
        <w:t xml:space="preserve">7.0</w:t>
      </w:r>
      <w:r>
        <w:t xml:space="preserve"> </w:t>
      </w:r>
      <w:r>
        <w:t xml:space="preserve">Net costs savings</w:t>
      </w:r>
      <w:r>
        <w:t xml:space="preserve"> </w:t>
      </w:r>
      <w:r>
        <w:t xml:space="preserve">367.6</w:t>
      </w:r>
      <w:r>
        <w:t xml:space="preserve"> </w:t>
      </w:r>
      <w:r>
        <w:t xml:space="preserve">10.8 443.3</w:t>
      </w:r>
      <w:r>
        <w:t xml:space="preserve"> </w:t>
      </w:r>
      <w:r>
        <w:t xml:space="preserve">10.3 443.9</w:t>
      </w:r>
      <w:r>
        <w:t xml:space="preserve"> </w:t>
      </w:r>
      <w:r>
        <w:t xml:space="preserve">9.7 347.6</w:t>
      </w:r>
      <w:r>
        <w:t xml:space="preserve"> </w:t>
      </w:r>
      <w:r>
        <w:t xml:space="preserve">13.7 567.8</w:t>
      </w:r>
      <w:r>
        <w:t xml:space="preserve"> </w:t>
      </w:r>
      <w:r>
        <w:t xml:space="preserve">7.0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Net costs savings for businesses. All policy options are expected to result in net costs savings for businesses (see</w:t>
      </w:r>
      <w:r>
        <w:t xml:space="preserve"> </w:t>
      </w:r>
      <w:r>
        <w:t xml:space="preserve">Table 11). Expressed as present value over 2025-2050, the net costs savings are estimated to be the highest in PO-</w:t>
      </w:r>
      <w:r>
        <w:t xml:space="preserve"> </w:t>
      </w:r>
      <w:r>
        <w:t xml:space="preserve">C (EUR 5.46 bn) relative to the baseline, followed by PO-B2a (EUR 4.33 bn), PO-B1 (EUR 4.30 bn), PO-A (EUR 3.57</w:t>
      </w:r>
      <w:r>
        <w:t xml:space="preserve"> </w:t>
      </w:r>
      <w:r>
        <w:t xml:space="preserve">bn) and PO-B2b (EUR 3.43 bn).</w:t>
      </w:r>
      <w:r>
        <w:t xml:space="preserve"> </w:t>
      </w:r>
      <w:r>
        <w:t xml:space="preserve">6.1.5. Impact on SMEs</w:t>
      </w:r>
      <w:r>
        <w:t xml:space="preserve"> </w:t>
      </w:r>
      <w:r>
        <w:t xml:space="preserve">Intermodal transport by definition involves many different economic agents. While many operators in rail</w:t>
      </w:r>
      <w:r>
        <w:t xml:space="preserve"> </w:t>
      </w:r>
      <w:r>
        <w:t xml:space="preserve">transport and maritime shipping are medium and some even large companies, operators in road transport, inland</w:t>
      </w:r>
      <w:r>
        <w:t xml:space="preserve"> </w:t>
      </w:r>
      <w:r>
        <w:t xml:space="preserve">waterways and many intermodal organisers are often SMEs. In the road transport sector, in particular, 99% are</w:t>
      </w:r>
      <w:r>
        <w:t xml:space="preserve"> </w:t>
      </w:r>
      <w:r>
        <w:t xml:space="preserve">SMEs (enterprises employing up to 250 people and with a turnover of less than EUR 50 million113,114). Among</w:t>
      </w:r>
      <w:r>
        <w:t xml:space="preserve"> </w:t>
      </w:r>
      <w:r>
        <w:t xml:space="preserve">logistics operators, freight forwarders and terminal operators, the EU has some of the world’s largest operators,</w:t>
      </w:r>
      <w:r>
        <w:t xml:space="preserve"> </w:t>
      </w:r>
      <w:r>
        <w:t xml:space="preserve">but also many SMEs. Finally, there are many SMEs among all companies that need their freight to be transported.</w:t>
      </w:r>
      <w:r>
        <w:t xml:space="preserve"> </w:t>
      </w:r>
      <w:r>
        <w:t xml:space="preserve">Therefore, the initiative is considered relevant for the SMEs and the SME test has been performed (see Annex 13).</w:t>
      </w:r>
      <w:r>
        <w:t xml:space="preserve"> </w:t>
      </w:r>
      <w:r>
        <w:t xml:space="preserve">An increase in intermodal transport will have a positive economic impact on all these SMEs. As regards road</w:t>
      </w:r>
      <w:r>
        <w:t xml:space="preserve"> </w:t>
      </w:r>
      <w:r>
        <w:t xml:space="preserve">hauliers, for those engaged today in long-distance road transport that would be replaced by intermodal transport,</w:t>
      </w:r>
      <w:r>
        <w:t xml:space="preserve"> </w:t>
      </w:r>
      <w:r>
        <w:t xml:space="preserve">a change in type of business is expected. An intermodal transport operation usually involves two different road</w:t>
      </w:r>
      <w:r>
        <w:t xml:space="preserve"> </w:t>
      </w:r>
      <w:r>
        <w:t xml:space="preserve">transport operators carrying out the road legs at each end of the operation. While the total number of kilometres</w:t>
      </w:r>
      <w:r>
        <w:t xml:space="preserve"> </w:t>
      </w:r>
      <w:r>
        <w:t xml:space="preserve">driven will reduce - as is the objective of the CTD - the price per kilometre of short distance road legs is higher than</w:t>
      </w:r>
      <w:r>
        <w:t xml:space="preserve"> </w:t>
      </w:r>
      <w:r>
        <w:t xml:space="preserve">of long-distance operations and thus profitability per kilometre is higher. As road hauliers are price setters and not</w:t>
      </w:r>
      <w:r>
        <w:t xml:space="preserve"> </w:t>
      </w:r>
      <w:r>
        <w:t xml:space="preserve">price takers in intermodal operations, a switch from long-haul operations to intermodal road legs is not expected</w:t>
      </w:r>
      <w:r>
        <w:t xml:space="preserve"> </w:t>
      </w:r>
      <w:r>
        <w:t xml:space="preserve">to impact their turnover. In intermodal road legs, the road carriage price is mostly quoted per time or per</w:t>
      </w:r>
    </w:p>
    <w:p>
      <w:pPr>
        <w:pStyle w:val="BodyText"/>
      </w:pPr>
      <w:r>
        <w:t xml:space="preserve">113SWD(2017) 194 final, https://eur-lex.europa.eu/resource.html?uri=cellar:9d5c61bf-4629-11e7-aea8-</w:t>
      </w:r>
      <w:r>
        <w:t xml:space="preserve"> </w:t>
      </w:r>
      <w:r>
        <w:t xml:space="preserve">01aa75ed71a1.0001.02/DOC_1&amp;format=PDF</w:t>
      </w:r>
      <w:r>
        <w:br/>
      </w:r>
      <w:r>
        <w:t xml:space="preserve">114 https://ec.europa.eu/eurostat/databrowser/view/SBS_SC_1B_SE_R2__custom_3493320/default/table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operation, because a considerable amount of waiting time is involved both at loading and unloading and in</w:t>
      </w:r>
      <w:r>
        <w:t xml:space="preserve"> </w:t>
      </w:r>
      <w:r>
        <w:t xml:space="preserve">terminals for the drivers. In addition, there are less empty truck operations, which otherwise occur due to inability</w:t>
      </w:r>
      <w:r>
        <w:t xml:space="preserve"> </w:t>
      </w:r>
      <w:r>
        <w:t xml:space="preserve">to fill empty trucks on the long-distance return.</w:t>
      </w:r>
      <w:r>
        <w:t xml:space="preserve"> </w:t>
      </w:r>
      <w:r>
        <w:t xml:space="preserve">As explained in section 6.1.4, all policy options are expected to result in net costs savings for businesses, estimated</w:t>
      </w:r>
      <w:r>
        <w:t xml:space="preserve"> </w:t>
      </w:r>
      <w:r>
        <w:t xml:space="preserve">at EUR 5.46 bn in PO-C, followed by PO-B2a with net costs savings estimated at EUR 4.33 bn, PO-B1 with net costs</w:t>
      </w:r>
      <w:r>
        <w:t xml:space="preserve"> </w:t>
      </w:r>
      <w:r>
        <w:t xml:space="preserve">savings of EUR 4.30 bn, PO-A with net costs savings estimated at EUR 3.57 bn, and PO-B2b with net costs savings</w:t>
      </w:r>
      <w:r>
        <w:t xml:space="preserve"> </w:t>
      </w:r>
      <w:r>
        <w:t xml:space="preserve">estimated at EUR 3.43 bn, expressed as present value relative to the baseline. Considering the large share of SMEs</w:t>
      </w:r>
      <w:r>
        <w:t xml:space="preserve"> </w:t>
      </w:r>
      <w:r>
        <w:t xml:space="preserve">estimated to operate in the intermodal transport sector, a significant share of these net costs savings is expected</w:t>
      </w:r>
      <w:r>
        <w:t xml:space="preserve"> </w:t>
      </w:r>
      <w:r>
        <w:t xml:space="preserve">to be attributed to them although the available data did not allow a split of these costs savings between the two</w:t>
      </w:r>
      <w:r>
        <w:t xml:space="preserve"> </w:t>
      </w:r>
      <w:r>
        <w:t xml:space="preserve">groups of operators (i.e. SME and others).</w:t>
      </w:r>
      <w:r>
        <w:br/>
      </w:r>
      <w:r>
        <w:t xml:space="preserve">6.1.6. Digital by default</w:t>
      </w:r>
      <w:r>
        <w:br/>
      </w:r>
      <w:r>
        <w:t xml:space="preserve">All policy options will have a positive impact on the application of the ‘digital by default’ principle, introduced by</w:t>
      </w:r>
      <w:r>
        <w:t xml:space="preserve"> </w:t>
      </w:r>
      <w:r>
        <w:t xml:space="preserve">the common measure on proof of eligibility (PM3) that applies to all policy options. The carriers who wish to</w:t>
      </w:r>
      <w:r>
        <w:t xml:space="preserve"> </w:t>
      </w:r>
      <w:r>
        <w:t xml:space="preserve">benefit from the special regime will be obliged to use a certified eFTI platform for recording their transport data</w:t>
      </w:r>
      <w:r>
        <w:t xml:space="preserve"> </w:t>
      </w:r>
      <w:r>
        <w:t xml:space="preserve">prior to an operation taking place. The eFTI platforms will include a dedicated option for intermodal transport that</w:t>
      </w:r>
      <w:r>
        <w:t xml:space="preserve"> </w:t>
      </w:r>
      <w:r>
        <w:t xml:space="preserve">will pull the data from existing modal transport data sets with the transport organiser only needing to link the</w:t>
      </w:r>
      <w:r>
        <w:t xml:space="preserve"> </w:t>
      </w:r>
      <w:r>
        <w:t xml:space="preserve">different legs. The platform will include a calculator, which on the basis of the information in transport contracts</w:t>
      </w:r>
      <w:r>
        <w:t xml:space="preserve"> </w:t>
      </w:r>
      <w:r>
        <w:t xml:space="preserve">and some additional elements (such as type of the vehicle and fuel used) can calculate the savings in the external</w:t>
      </w:r>
      <w:r>
        <w:t xml:space="preserve"> </w:t>
      </w:r>
      <w:r>
        <w:t xml:space="preserve">costs and will enable both the transport organiser as well as authorities carrying out road-side checks to</w:t>
      </w:r>
      <w:r>
        <w:t xml:space="preserve"> </w:t>
      </w:r>
      <w:r>
        <w:t xml:space="preserve">immediately see if an operation is eligible or not. This will considerably simplify the collection and presentation of</w:t>
      </w:r>
      <w:r>
        <w:t xml:space="preserve"> </w:t>
      </w:r>
      <w:r>
        <w:t xml:space="preserve">the data for the operators, eliminating the need for road hauliers to provide a large number of paper documents</w:t>
      </w:r>
      <w:r>
        <w:t xml:space="preserve"> </w:t>
      </w:r>
      <w:r>
        <w:t xml:space="preserve">covering all intermodal operation legs. It will also simplify and make more robust the control process for the</w:t>
      </w:r>
      <w:r>
        <w:t xml:space="preserve"> </w:t>
      </w:r>
      <w:r>
        <w:t xml:space="preserve">authorities, as eFTI platforms can include a simple but comprehensive confirmation interface for proof of eligibility,</w:t>
      </w:r>
      <w:r>
        <w:t xml:space="preserve"> </w:t>
      </w:r>
      <w:r>
        <w:t xml:space="preserve">including the transport information about each leg and transhipment transaction. Data stored on a certified eFTI</w:t>
      </w:r>
      <w:r>
        <w:t xml:space="preserve"> </w:t>
      </w:r>
      <w:r>
        <w:t xml:space="preserve">platform will be accessible to the authorities in all Member States the operation passes by, and can potentially be</w:t>
      </w:r>
      <w:r>
        <w:t xml:space="preserve"> </w:t>
      </w:r>
      <w:r>
        <w:t xml:space="preserve">used for verification without stopping a vehicle115. Importantly, as explained in sections 6.1.2 and 6.1.4, the use of</w:t>
      </w:r>
      <w:r>
        <w:t xml:space="preserve"> </w:t>
      </w:r>
      <w:r>
        <w:t xml:space="preserve">eFTI platforms will bring along significant administrative cost savings for public authorities, but in particular for</w:t>
      </w:r>
      <w:r>
        <w:t xml:space="preserve"> </w:t>
      </w:r>
      <w:r>
        <w:t xml:space="preserve">businesses. Furthermore, the eFTI platforms can be used by shippers to collate the data on all eligible operations</w:t>
      </w:r>
      <w:r>
        <w:t xml:space="preserve"> </w:t>
      </w:r>
      <w:r>
        <w:t xml:space="preserve">for the purposes of application for economic support. The eFTI platforms can provide an option to download a</w:t>
      </w:r>
      <w:r>
        <w:t xml:space="preserve"> </w:t>
      </w:r>
      <w:r>
        <w:t xml:space="preserve">summary report of all eligible operations in a given timeframe with pre-defined additional information fields</w:t>
      </w:r>
      <w:r>
        <w:t xml:space="preserve"> </w:t>
      </w:r>
      <w:r>
        <w:t xml:space="preserve">required by Member State giving the aid. They can also be used to gather aggregated data on operations chosen to</w:t>
      </w:r>
      <w:r>
        <w:t xml:space="preserve"> </w:t>
      </w:r>
      <w:r>
        <w:t xml:space="preserve">benefit from the CTD on main transport lanes, volumes, distances, types of loading units used, for statistical and</w:t>
      </w:r>
      <w:r>
        <w:t xml:space="preserve"> </w:t>
      </w:r>
      <w:r>
        <w:t xml:space="preserve">analytical purposes.</w:t>
      </w:r>
      <w:r>
        <w:t xml:space="preserve"> </w:t>
      </w:r>
      <w:r>
        <w:t xml:space="preserve">6.1.7. Impact on the functioning of the internal market and on competition</w:t>
      </w:r>
      <w:r>
        <w:t xml:space="preserve"> </w:t>
      </w:r>
      <w:r>
        <w:t xml:space="preserve">Internal market. All policy options are expected to have a positive impact on the functioning of the internal</w:t>
      </w:r>
      <w:r>
        <w:t xml:space="preserve"> </w:t>
      </w:r>
      <w:r>
        <w:t xml:space="preserve">market. The CTD does not regulate market access to intermodal transport as such. Access to different modal parts</w:t>
      </w:r>
      <w:r>
        <w:t xml:space="preserve"> </w:t>
      </w:r>
      <w:r>
        <w:t xml:space="preserve">of intermodal transport is regulated in sectoral legislation. However, the regulatory provisions of the CTD ensure</w:t>
      </w:r>
      <w:r>
        <w:t xml:space="preserve"> </w:t>
      </w:r>
      <w:r>
        <w:t xml:space="preserve">full liberalisation of eligible intermodal transport operations from quotas (Article 2), an extension of definition of</w:t>
      </w:r>
      <w:r>
        <w:t xml:space="preserve"> </w:t>
      </w:r>
      <w:r>
        <w:t xml:space="preserve">own-account transport (Article 9) as well as the right to use non-resident hauliers for international operations in</w:t>
      </w:r>
      <w:r>
        <w:t xml:space="preserve"> </w:t>
      </w:r>
      <w:r>
        <w:t xml:space="preserve">the same way as it is allowed for international road transport (Article 4).</w:t>
      </w:r>
      <w:r>
        <w:br/>
      </w:r>
      <w:r>
        <w:t xml:space="preserve">Furthermore, this initiative contributes to the creation of a more consistent framework to support intermodal. The</w:t>
      </w:r>
      <w:r>
        <w:t xml:space="preserve"> </w:t>
      </w:r>
      <w:r>
        <w:t xml:space="preserve">proposed harmonised approach to eligibility for support (PM1 in PO-B1 and PM2 in other options) and</w:t>
      </w:r>
      <w:r>
        <w:t xml:space="preserve"> </w:t>
      </w:r>
      <w:r>
        <w:t xml:space="preserve">enforcement via eFTI platforms in all options (PM3) will reduce the burden that the current Member State specific</w:t>
      </w:r>
      <w:r>
        <w:t xml:space="preserve"> </w:t>
      </w:r>
      <w:r>
        <w:t xml:space="preserve">State aid schemes impose on transport organisers and shippers. Similarly, the proposed approach to the selection</w:t>
      </w:r>
      <w:r>
        <w:t xml:space="preserve"> </w:t>
      </w:r>
      <w:r>
        <w:t xml:space="preserve">of economic support measures, where relevant in line with State aid rules (PM7-PM12), the common approach to</w:t>
      </w:r>
    </w:p>
    <w:p>
      <w:pPr>
        <w:pStyle w:val="BodyText"/>
      </w:pPr>
      <w:r>
        <w:t xml:space="preserve">115 Digital enforcement initiatives are currently under consideration. In the absence of EU legal framework, for now it</w:t>
      </w:r>
      <w:r>
        <w:t xml:space="preserve"> </w:t>
      </w:r>
      <w:r>
        <w:t xml:space="preserve">depends on national legislation whether remote checks are permitted or not.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weekend/holiday driving bans (PM13) and data and transparency requirements on terminals (PM16-PM17) will</w:t>
      </w:r>
      <w:r>
        <w:t xml:space="preserve"> </w:t>
      </w:r>
      <w:r>
        <w:t xml:space="preserve">improve the market functioning, lower the entry barriers to the use of intermodal transport and reduce the</w:t>
      </w:r>
      <w:r>
        <w:t xml:space="preserve"> </w:t>
      </w:r>
      <w:r>
        <w:t xml:space="preserve">administrative burden. PO-C with mandatory harmonised support (PM7) and strongest intervention, including in</w:t>
      </w:r>
      <w:r>
        <w:t xml:space="preserve"> </w:t>
      </w:r>
      <w:r>
        <w:t xml:space="preserve">addition to terminals’ transparency also full data cooperation (PM14, PM15) has the strongest impact on the</w:t>
      </w:r>
      <w:r>
        <w:t xml:space="preserve"> </w:t>
      </w:r>
      <w:r>
        <w:t xml:space="preserve">functioning of the internal market. PO-A with voluntary non-harmonised support (PM8) performs only slightly</w:t>
      </w:r>
      <w:r>
        <w:t xml:space="preserve"> </w:t>
      </w:r>
      <w:r>
        <w:t xml:space="preserve">better than the baseline, due to better defined eligibility (PM2). The PO-B sub-options differ in terms of their</w:t>
      </w:r>
      <w:r>
        <w:t xml:space="preserve"> </w:t>
      </w:r>
      <w:r>
        <w:t xml:space="preserve">scope. PO-B1 and PO-B2a, which cover all intra-EU intermodal operations (PM2-all-intra-EU) perform better from</w:t>
      </w:r>
      <w:r>
        <w:t xml:space="preserve"> </w:t>
      </w:r>
      <w:r>
        <w:t xml:space="preserve">the internal market perspective, given that a common regime for both domestic and international operations</w:t>
      </w:r>
      <w:r>
        <w:t xml:space="preserve"> </w:t>
      </w:r>
      <w:r>
        <w:t xml:space="preserve">would reduce complexity and administrative burdens to the companies which handle both domestic and</w:t>
      </w:r>
      <w:r>
        <w:t xml:space="preserve"> </w:t>
      </w:r>
      <w:r>
        <w:t xml:space="preserve">international operations (81% of intermodal operations are international). In PO-B2b only cross border operations</w:t>
      </w:r>
      <w:r>
        <w:t xml:space="preserve"> </w:t>
      </w:r>
      <w:r>
        <w:t xml:space="preserve">are included (PM2-cross-border), which can lead to higher fragmentation, where Member States decide to apply</w:t>
      </w:r>
      <w:r>
        <w:t xml:space="preserve"> </w:t>
      </w:r>
      <w:r>
        <w:t xml:space="preserve">different or no support regime for the domestic operations.</w:t>
      </w:r>
      <w:r>
        <w:br/>
      </w:r>
      <w:r>
        <w:t xml:space="preserve">Competition. Article 93 of TFEU states that State aid shall be compatible with the Treaty if it meets the needs of</w:t>
      </w:r>
      <w:r>
        <w:t xml:space="preserve"> </w:t>
      </w:r>
      <w:r>
        <w:t xml:space="preserve">coordination of transport. The concept has been clarified by the Commission in the State aid Railway guidelines116.</w:t>
      </w:r>
      <w:r>
        <w:t xml:space="preserve"> </w:t>
      </w:r>
      <w:r>
        <w:t xml:space="preserve">The disparities between the different modes of transport as regards negative externalities ought to be corrected</w:t>
      </w:r>
      <w:r>
        <w:t xml:space="preserve"> </w:t>
      </w:r>
      <w:r>
        <w:t xml:space="preserve">by public support for those modes of transport which give rise to the lowest external costs117.The measures</w:t>
      </w:r>
      <w:r>
        <w:t xml:space="preserve"> </w:t>
      </w:r>
      <w:r>
        <w:t xml:space="preserve">proposed in this revision can thus be seen as contributing to the needs of coordination of transport in line with</w:t>
      </w:r>
      <w:r>
        <w:t xml:space="preserve"> </w:t>
      </w:r>
      <w:r>
        <w:t xml:space="preserve">Article 93 TFEU as interpreted by the Commission, if the eligibility is based on saving of the externalities as in PO-A,</w:t>
      </w:r>
      <w:r>
        <w:t xml:space="preserve"> </w:t>
      </w:r>
      <w:r>
        <w:t xml:space="preserve">PO-B2a, PO-B2b and PO-C. In case of PO-B1 and eligibility based on GHG savings, the compatibility with State aid</w:t>
      </w:r>
      <w:r>
        <w:t xml:space="preserve"> </w:t>
      </w:r>
      <w:r>
        <w:t xml:space="preserve">rules would have to be separately assessed by the Commission.</w:t>
      </w:r>
      <w:r>
        <w:br/>
      </w:r>
      <w:r>
        <w:t xml:space="preserve">Having an EU-level harmonised definition of eligible operations and a common objective as regards the cost</w:t>
      </w:r>
      <w:r>
        <w:t xml:space="preserve"> </w:t>
      </w:r>
      <w:r>
        <w:t xml:space="preserve">reduction to final users resulting from the Member State’s support, reduces the risk of distortion to competition</w:t>
      </w:r>
      <w:r>
        <w:t xml:space="preserve"> </w:t>
      </w:r>
      <w:r>
        <w:t xml:space="preserve">and improves the functioning of the internal market, as shippers and/or intermodal operators from all Member</w:t>
      </w:r>
      <w:r>
        <w:t xml:space="preserve"> </w:t>
      </w:r>
      <w:r>
        <w:t xml:space="preserve">States would benefit from support based on same principles. PO-B sub-options do not prescribe harmonised rules</w:t>
      </w:r>
      <w:r>
        <w:t xml:space="preserve"> </w:t>
      </w:r>
      <w:r>
        <w:t xml:space="preserve">for the design of the aid measures, which are left to the discretion of Member States, nor do they prescribe</w:t>
      </w:r>
      <w:r>
        <w:t xml:space="preserve"> </w:t>
      </w:r>
      <w:r>
        <w:t xml:space="preserve">harmonised rules for eligible costs, beneficiaries or aid intensities, which are conditions assessed under the State</w:t>
      </w:r>
      <w:r>
        <w:t xml:space="preserve"> </w:t>
      </w:r>
      <w:r>
        <w:t xml:space="preserve">aid rules to ensure the compatibility of the aid with the internal market. To that purpose, the close coordination of</w:t>
      </w:r>
      <w:r>
        <w:t xml:space="preserve"> </w:t>
      </w:r>
      <w:r>
        <w:t xml:space="preserve">the current revision of the CTD and the ongoing revision of the State aid Railway guidelines is necessary and key to</w:t>
      </w:r>
      <w:r>
        <w:t xml:space="preserve"> </w:t>
      </w:r>
      <w:r>
        <w:t xml:space="preserve">ensure the consistency of the Commission’s transport and competition policies118. Thus, competition and market</w:t>
      </w:r>
      <w:r>
        <w:t xml:space="preserve"> </w:t>
      </w:r>
      <w:r>
        <w:t xml:space="preserve">integration aspects as well as the risk of overcompensation are safeguarded by adherence to the State aid rules.</w:t>
      </w:r>
      <w:r>
        <w:br/>
      </w:r>
      <w:r>
        <w:t xml:space="preserve">In case of PO-C, the support would be fully harmonised with no discretion left to Member States. Such support</w:t>
      </w:r>
      <w:r>
        <w:t xml:space="preserve"> </w:t>
      </w:r>
      <w:r>
        <w:t xml:space="preserve">would not create market distortions and not constitute State aid as it would not be imputable to the Member</w:t>
      </w:r>
      <w:r>
        <w:t xml:space="preserve"> </w:t>
      </w:r>
      <w:r>
        <w:t xml:space="preserve">State.</w:t>
      </w:r>
      <w:r>
        <w:br/>
      </w:r>
      <w:r>
        <w:t xml:space="preserve">6.1.8. Regional distribution of impacts</w:t>
      </w:r>
      <w:r>
        <w:t xml:space="preserve"> </w:t>
      </w:r>
      <w:r>
        <w:t xml:space="preserve">High road transport volumes affect central and peripheral regions differently and thus the relative benefit of modal</w:t>
      </w:r>
      <w:r>
        <w:t xml:space="preserve"> </w:t>
      </w:r>
      <w:r>
        <w:t xml:space="preserve">shift is more important in central regions where transit traffic volumes are high. These regions have already</w:t>
      </w:r>
      <w:r>
        <w:t xml:space="preserve"> </w:t>
      </w:r>
      <w:r>
        <w:t xml:space="preserve">relatively high intermodal transport volumes as compared to peripheral volumes as well as national support</w:t>
      </w:r>
    </w:p>
    <w:p>
      <w:pPr>
        <w:pStyle w:val="BodyText"/>
      </w:pPr>
      <w:r>
        <w:t xml:space="preserve">116 Community guidelines on State aid for railway undertakings, Communication from the Commission 2008/C 184/07,</w:t>
      </w:r>
      <w:r>
        <w:t xml:space="preserve"> </w:t>
      </w:r>
      <w:r>
        <w:t xml:space="preserve">GU C 184 del 22.7.2008, p. 13–31.</w:t>
      </w:r>
      <w:r>
        <w:t xml:space="preserve"> </w:t>
      </w:r>
      <w:r>
        <w:t xml:space="preserve">117 A review of the Commission’s case practice in the field of aid for the coordination of transport is available in the</w:t>
      </w:r>
      <w:r>
        <w:t xml:space="preserve"> </w:t>
      </w:r>
      <w:r>
        <w:t xml:space="preserve">Commission’s Fitness check of the 2012 State aid modernisation package, railways guidelines and short-term export</w:t>
      </w:r>
      <w:r>
        <w:t xml:space="preserve"> </w:t>
      </w:r>
      <w:r>
        <w:t xml:space="preserve">credit insurance (SWD(2020) 257 final), annex 6 Section V (p. 33) and annex 8, Section VII, p. 132 ff. </w:t>
      </w:r>
      <w:r>
        <w:t xml:space="preserve"> </w:t>
      </w:r>
      <w:r>
        <w:t xml:space="preserve">118 The new Council Regulation, proposed in the context of the revision of the State aid Railway Guidelines, will enable</w:t>
      </w:r>
      <w:r>
        <w:t xml:space="preserve"> </w:t>
      </w:r>
      <w:r>
        <w:t xml:space="preserve">the Commission to declare certain categories of State aid to greener modes of transport compatible with the internal</w:t>
      </w:r>
      <w:r>
        <w:t xml:space="preserve"> </w:t>
      </w:r>
      <w:r>
        <w:t xml:space="preserve">market. These include certain types of aid in favour of rail, inland waterway and multimodal transport. In particular, aid</w:t>
      </w:r>
      <w:r>
        <w:t xml:space="preserve"> </w:t>
      </w:r>
      <w:r>
        <w:t xml:space="preserve">supporting the coordination of transport, i.e. aid provided not to a transport operator, but to a shipper or transport</w:t>
      </w:r>
      <w:r>
        <w:t xml:space="preserve"> </w:t>
      </w:r>
      <w:r>
        <w:t xml:space="preserve">organiser, has a very limited potential of distorting competition. Following the adoption of the proposed Regulation by</w:t>
      </w:r>
      <w:r>
        <w:t xml:space="preserve"> </w:t>
      </w:r>
      <w:r>
        <w:t xml:space="preserve">the Council, the Commission intends to adopt a Block Exemption Regulation relieving Member States from the obligation</w:t>
      </w:r>
      <w:r>
        <w:t xml:space="preserve"> </w:t>
      </w:r>
      <w:r>
        <w:t xml:space="preserve">of prior notification to the Commission of aid measures falling within these categories.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programs in place to motivate uptake of intermodal transport. However due to high transport volumes in general,</w:t>
      </w:r>
      <w:r>
        <w:t xml:space="preserve"> </w:t>
      </w:r>
      <w:r>
        <w:t xml:space="preserve">the potential for modal shift remains high also in these regions. On the other hand, many peripheral regions today</w:t>
      </w:r>
      <w:r>
        <w:t xml:space="preserve"> </w:t>
      </w:r>
      <w:r>
        <w:t xml:space="preserve">have very low levels of intermodal transport, both because low terminal density as well as no support to</w:t>
      </w:r>
      <w:r>
        <w:t xml:space="preserve"> </w:t>
      </w:r>
      <w:r>
        <w:t xml:space="preserve">intermodal transport. Establishing any support schemes can have a considerable effect, in particular after the</w:t>
      </w:r>
      <w:r>
        <w:t xml:space="preserve"> </w:t>
      </w:r>
      <w:r>
        <w:t xml:space="preserve">terminal capacity increase once the revised TEN-T Regulation takes effect. The highest positive effect is expected in</w:t>
      </w:r>
      <w:r>
        <w:t xml:space="preserve"> </w:t>
      </w:r>
      <w:r>
        <w:t xml:space="preserve">PO-B2a, where the increase in the intermodal volumes relative to the baseline is the highest (see Table 5), followed</w:t>
      </w:r>
      <w:r>
        <w:t xml:space="preserve"> </w:t>
      </w:r>
      <w:r>
        <w:t xml:space="preserve">by PO-B1, PO-B2b, PO-C, and PO-A. PO-B2b, which excludes domestic operations from the scope has lower</w:t>
      </w:r>
      <w:r>
        <w:t xml:space="preserve"> </w:t>
      </w:r>
      <w:r>
        <w:t xml:space="preserve">impacts, given that some Member States may decide not to support these operations. It should be noted that</w:t>
      </w:r>
      <w:r>
        <w:t xml:space="preserve"> </w:t>
      </w:r>
      <w:r>
        <w:t xml:space="preserve">under any option, Member States can go beyond the legal minimum established in the CTD and use different</w:t>
      </w:r>
      <w:r>
        <w:t xml:space="preserve"> </w:t>
      </w:r>
      <w:r>
        <w:t xml:space="preserve">support measures to tackle their regional circumstances, subject to the adherence to the State aid rules, where</w:t>
      </w:r>
      <w:r>
        <w:t xml:space="preserve"> </w:t>
      </w:r>
      <w:r>
        <w:t xml:space="preserve">relevant.</w:t>
      </w:r>
      <w:r>
        <w:t xml:space="preserve"> </w:t>
      </w:r>
      <w:r>
        <w:t xml:space="preserve">6.1.9. Impact on energy consumption</w:t>
      </w:r>
      <w:r>
        <w:t xml:space="preserve"> </w:t>
      </w:r>
      <w:r>
        <w:t xml:space="preserve">All policy options are expected to lead to a decrease in energy consumption in the transport sector relative to the</w:t>
      </w:r>
      <w:r>
        <w:t xml:space="preserve"> </w:t>
      </w:r>
      <w:r>
        <w:t xml:space="preserve">baseline due to the higher uptake of intermodal transport, which is more energy efficient than road-only transport</w:t>
      </w:r>
      <w:r>
        <w:t xml:space="preserve"> </w:t>
      </w:r>
      <w:r>
        <w:t xml:space="preserve">as explained in section 2.1.2. PO-A is expected to bring along only a small increase in intermodal traffic and thus</w:t>
      </w:r>
      <w:r>
        <w:t xml:space="preserve"> </w:t>
      </w:r>
      <w:r>
        <w:t xml:space="preserve">limited energy savings relative to the baseline. Cumulatively over 2025-2050 they are estimated at 86 kilo tonnes</w:t>
      </w:r>
      <w:r>
        <w:t xml:space="preserve"> </w:t>
      </w:r>
      <w:r>
        <w:t xml:space="preserve">of oil equivalent (ktoe). The cumulative energy savings over 2025-2050 are estimated to be the highest in PO-B1</w:t>
      </w:r>
      <w:r>
        <w:t xml:space="preserve"> </w:t>
      </w:r>
      <w:r>
        <w:t xml:space="preserve">(10.9 million tonnes of oil equivalent (Mtoe)), followed by PO-B2a (10.5 Mtoe), PO-B2b (7.3 Mtoe) and PO-C (3.7</w:t>
      </w:r>
      <w:r>
        <w:t xml:space="preserve"> </w:t>
      </w:r>
      <w:r>
        <w:t xml:space="preserve">Mtoe). All policy options contribute towards SDG 11 (Make cities and human settlements inclusive, safe, resilient</w:t>
      </w:r>
      <w:r>
        <w:t xml:space="preserve"> </w:t>
      </w:r>
      <w:r>
        <w:t xml:space="preserve">and sustainable).</w:t>
      </w:r>
      <w:r>
        <w:t xml:space="preserve"> </w:t>
      </w:r>
      <w:r>
        <w:t xml:space="preserve">Table 12: Energy savings compared to the baseline in 2030, 2050, and cumulatively over 2025-2050, EU-27, (in ktoe)</w:t>
      </w:r>
      <w:r>
        <w:t xml:space="preserve"> </w:t>
      </w:r>
      <w:r>
        <w:t xml:space="preserve">PO-A</w:t>
      </w:r>
      <w:r>
        <w:t xml:space="preserve"> </w:t>
      </w:r>
      <w:r>
        <w:t xml:space="preserve">PO-B1</w:t>
      </w:r>
      <w:r>
        <w:t xml:space="preserve"> </w:t>
      </w:r>
      <w:r>
        <w:t xml:space="preserve">PO-B2a</w:t>
      </w:r>
      <w:r>
        <w:t xml:space="preserve"> </w:t>
      </w:r>
      <w:r>
        <w:t xml:space="preserve">PO-B2b</w:t>
      </w:r>
      <w:r>
        <w:t xml:space="preserve"> </w:t>
      </w:r>
      <w:r>
        <w:t xml:space="preserve">PO-C</w:t>
      </w:r>
      <w:r>
        <w:t xml:space="preserve"> </w:t>
      </w:r>
      <w:r>
        <w:t xml:space="preserve">Energy consumption</w:t>
      </w:r>
      <w:r>
        <w:t xml:space="preserve"> </w:t>
      </w:r>
      <w:r>
        <w:t xml:space="preserve">2030</w:t>
      </w:r>
      <w:r>
        <w:t xml:space="preserve"> </w:t>
      </w:r>
      <w:r>
        <w:t xml:space="preserve">3</w:t>
      </w:r>
      <w:r>
        <w:t xml:space="preserve"> </w:t>
      </w:r>
      <w:r>
        <w:t xml:space="preserve">416</w:t>
      </w:r>
      <w:r>
        <w:t xml:space="preserve"> </w:t>
      </w:r>
      <w:r>
        <w:t xml:space="preserve">401</w:t>
      </w:r>
      <w:r>
        <w:t xml:space="preserve"> </w:t>
      </w:r>
      <w:r>
        <w:t xml:space="preserve">242</w:t>
      </w:r>
      <w:r>
        <w:t xml:space="preserve"> </w:t>
      </w:r>
      <w:r>
        <w:t xml:space="preserve">154</w:t>
      </w:r>
      <w:r>
        <w:t xml:space="preserve"> </w:t>
      </w:r>
      <w:r>
        <w:t xml:space="preserve">2050</w:t>
      </w:r>
      <w:r>
        <w:t xml:space="preserve"> </w:t>
      </w:r>
      <w:r>
        <w:t xml:space="preserve">3</w:t>
      </w:r>
      <w:r>
        <w:t xml:space="preserve"> </w:t>
      </w:r>
      <w:r>
        <w:t xml:space="preserve">177</w:t>
      </w:r>
      <w:r>
        <w:t xml:space="preserve"> </w:t>
      </w:r>
      <w:r>
        <w:t xml:space="preserve">174</w:t>
      </w:r>
      <w:r>
        <w:t xml:space="preserve"> </w:t>
      </w:r>
      <w:r>
        <w:t xml:space="preserve">82</w:t>
      </w:r>
      <w:r>
        <w:t xml:space="preserve"> </w:t>
      </w:r>
      <w:r>
        <w:t xml:space="preserve">19</w:t>
      </w:r>
      <w:r>
        <w:t xml:space="preserve"> </w:t>
      </w:r>
      <w:r>
        <w:t xml:space="preserve">2025-2050</w:t>
      </w:r>
      <w:r>
        <w:t xml:space="preserve"> </w:t>
      </w:r>
      <w:r>
        <w:t xml:space="preserve">86</w:t>
      </w:r>
      <w:r>
        <w:t xml:space="preserve"> </w:t>
      </w:r>
      <w:r>
        <w:t xml:space="preserve">10,883</w:t>
      </w:r>
      <w:r>
        <w:t xml:space="preserve"> </w:t>
      </w:r>
      <w:r>
        <w:t xml:space="preserve">10,472</w:t>
      </w:r>
      <w:r>
        <w:t xml:space="preserve"> </w:t>
      </w:r>
      <w:r>
        <w:t xml:space="preserve">7,311</w:t>
      </w:r>
      <w:r>
        <w:t xml:space="preserve"> </w:t>
      </w:r>
      <w:r>
        <w:t xml:space="preserve">3,719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6.2.</w:t>
      </w:r>
      <w:r>
        <w:t xml:space="preserve"> </w:t>
      </w:r>
      <w:r>
        <w:t xml:space="preserve">Social impact</w:t>
      </w:r>
      <w:r>
        <w:t xml:space="preserve"> </w:t>
      </w:r>
      <w:r>
        <w:t xml:space="preserve">This section assesses the impacts of the policy options on road safety and congestion, on employment and</w:t>
      </w:r>
      <w:r>
        <w:t xml:space="preserve"> </w:t>
      </w:r>
      <w:r>
        <w:t xml:space="preserve">fundamental rights.</w:t>
      </w:r>
      <w:r>
        <w:br/>
      </w:r>
      <w:r>
        <w:t xml:space="preserve">6.2.1. Impact on road safety and on congestion</w:t>
      </w:r>
      <w:r>
        <w:t xml:space="preserve"> </w:t>
      </w:r>
      <w:r>
        <w:t xml:space="preserve">Road safety remains one of the priorities of the EU with clear goals for the reduction of road deaths and</w:t>
      </w:r>
      <w:r>
        <w:t xml:space="preserve"> </w:t>
      </w:r>
      <w:r>
        <w:t xml:space="preserve">serious injuries by 2030 and 2050, to which the Road Safety Package recently proposed by the Commission</w:t>
      </w:r>
      <w:r>
        <w:t xml:space="preserve"> </w:t>
      </w:r>
      <w:r>
        <w:t xml:space="preserve">would also contribute. On top of that, all policy options are projected to have postive impacts on road safety,</w:t>
      </w:r>
      <w:r>
        <w:t xml:space="preserve"> </w:t>
      </w:r>
      <w:r>
        <w:t xml:space="preserve">leading to lives saved and injuries avoided due to the traffic shifted away from road-only transport. In PO-</w:t>
      </w:r>
      <w:r>
        <w:t xml:space="preserve"> </w:t>
      </w:r>
      <w:r>
        <w:t xml:space="preserve">A, the shifted traffic is very small and thus the decrease in the external costs of accidents (fatalities and</w:t>
      </w:r>
      <w:r>
        <w:t xml:space="preserve"> </w:t>
      </w:r>
      <w:r>
        <w:t xml:space="preserve">injuries) is limited, i.e. EUR 102 million relative to the baseline, expressed as present value over 2025-2050</w:t>
      </w:r>
      <w:r>
        <w:t xml:space="preserve"> </w:t>
      </w:r>
      <w:r>
        <w:t xml:space="preserve">(see Table 13). The impact is the highest in PO-B2a (EUR 1.7 bn external costs savings), followed by PO-</w:t>
      </w:r>
      <w:r>
        <w:t xml:space="preserve"> </w:t>
      </w:r>
      <w:r>
        <w:t xml:space="preserve">B1 (EUR 1.5 bn), PO-B2a (EUR 1.2 bn) and PO-C (EUR 0.5 bn). Similarly, the effect on congestion119</w:t>
      </w:r>
      <w:r>
        <w:t xml:space="preserve"> </w:t>
      </w:r>
      <w:r>
        <w:t xml:space="preserve">depends on the type of intermodal transport used, the location of terminals and the volumes shifted away</w:t>
      </w:r>
      <w:r>
        <w:t xml:space="preserve"> </w:t>
      </w:r>
      <w:r>
        <w:t xml:space="preserve">from road-only transport under a given option. Intermodal transport non-road legs take place normally</w:t>
      </w:r>
      <w:r>
        <w:t xml:space="preserve"> </w:t>
      </w:r>
      <w:r>
        <w:t xml:space="preserve">between urban nodes, while road legs deliver the goods to and from the shipper and recipient. The situation</w:t>
      </w:r>
      <w:r>
        <w:t xml:space="preserve"> </w:t>
      </w:r>
      <w:r>
        <w:t xml:space="preserve">is somewhat different when the goods are transported to a port (IWW or SSS), that allows to entirely</w:t>
      </w:r>
      <w:r>
        <w:t xml:space="preserve"> </w:t>
      </w:r>
      <w:r>
        <w:t xml:space="preserve">eliminate the road leg on one end of the intermodal transport and thus helping to reduce congestion more.</w:t>
      </w:r>
      <w:r>
        <w:t xml:space="preserve"> </w:t>
      </w:r>
      <w:r>
        <w:t xml:space="preserve">The highest reduction in external costs of congestion is estimated for PO-B2a (EUR 7.6 bn), expressed as</w:t>
      </w:r>
    </w:p>
    <w:p>
      <w:pPr>
        <w:pStyle w:val="BodyText"/>
      </w:pPr>
      <w:r>
        <w:t xml:space="preserve">119 Congestion costs refer to road transport, covering both road-only transport and the road legs of intermodal transport</w:t>
      </w:r>
      <w:r>
        <w:t xml:space="preserve"> </w:t>
      </w:r>
      <w:r>
        <w:t xml:space="preserve">operations.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present value over 2025-2050 relative to the baseline, followed by PO-B1 (EUR 7.2 bn), PO-B2b (EUR 5.5</w:t>
      </w:r>
      <w:r>
        <w:t xml:space="preserve"> </w:t>
      </w:r>
      <w:r>
        <w:t xml:space="preserve">bn), PO-C (EUR 2.8 bn) and PO-A (EUR 0.4 bn)120.</w:t>
      </w:r>
      <w:r>
        <w:br/>
      </w:r>
      <w:r>
        <w:t xml:space="preserve">Table 13: Reduction in external costs of accidents (fatalities and injuries) and congestion in 2030, 2050 and present</w:t>
      </w:r>
      <w:r>
        <w:t xml:space="preserve"> </w:t>
      </w:r>
      <w:r>
        <w:t xml:space="preserve">value over 2025-2050 relative to the baseline, EU-27 (million EUR, in 2021 prices)</w:t>
      </w:r>
    </w:p>
    <w:p>
      <w:pPr>
        <w:pStyle w:val="BodyText"/>
      </w:pPr>
      <w:r>
        <w:t xml:space="preserve">PO-A</w:t>
      </w:r>
      <w:r>
        <w:t xml:space="preserve"> </w:t>
      </w:r>
      <w:r>
        <w:t xml:space="preserve">PO-B1</w:t>
      </w:r>
      <w:r>
        <w:t xml:space="preserve"> </w:t>
      </w:r>
      <w:r>
        <w:t xml:space="preserve">PO-B2a</w:t>
      </w:r>
      <w:r>
        <w:t xml:space="preserve"> </w:t>
      </w:r>
      <w:r>
        <w:t xml:space="preserve">PO-B2b</w:t>
      </w:r>
      <w:r>
        <w:t xml:space="preserve"> </w:t>
      </w:r>
      <w:r>
        <w:t xml:space="preserve">PO-C</w:t>
      </w:r>
      <w:r>
        <w:t xml:space="preserve"> </w:t>
      </w:r>
      <w:r>
        <w:t xml:space="preserve">Accidents</w:t>
      </w:r>
      <w:r>
        <w:t xml:space="preserve"> </w:t>
      </w:r>
      <w:r>
        <w:t xml:space="preserve">2030</w:t>
      </w:r>
      <w:r>
        <w:t xml:space="preserve"> </w:t>
      </w:r>
      <w:r>
        <w:t xml:space="preserve">5</w:t>
      </w:r>
      <w:r>
        <w:t xml:space="preserve"> </w:t>
      </w:r>
      <w:r>
        <w:t xml:space="preserve">73</w:t>
      </w:r>
      <w:r>
        <w:t xml:space="preserve"> </w:t>
      </w:r>
      <w:r>
        <w:t xml:space="preserve">76</w:t>
      </w:r>
      <w:r>
        <w:t xml:space="preserve"> </w:t>
      </w:r>
      <w:r>
        <w:t xml:space="preserve">57</w:t>
      </w:r>
      <w:r>
        <w:t xml:space="preserve"> </w:t>
      </w:r>
      <w:r>
        <w:t xml:space="preserve">25</w:t>
      </w:r>
      <w:r>
        <w:t xml:space="preserve"> </w:t>
      </w:r>
      <w:r>
        <w:t xml:space="preserve">2050</w:t>
      </w:r>
      <w:r>
        <w:t xml:space="preserve"> </w:t>
      </w:r>
      <w:r>
        <w:t xml:space="preserve">3</w:t>
      </w:r>
      <w:r>
        <w:t xml:space="preserve"> </w:t>
      </w:r>
      <w:r>
        <w:t xml:space="preserve">44</w:t>
      </w:r>
      <w:r>
        <w:t xml:space="preserve"> </w:t>
      </w:r>
      <w:r>
        <w:t xml:space="preserve">45</w:t>
      </w:r>
      <w:r>
        <w:t xml:space="preserve"> </w:t>
      </w:r>
      <w:r>
        <w:t xml:space="preserve">33</w:t>
      </w:r>
      <w:r>
        <w:t xml:space="preserve"> </w:t>
      </w:r>
      <w:r>
        <w:t xml:space="preserve">18</w:t>
      </w:r>
      <w:r>
        <w:t xml:space="preserve"> </w:t>
      </w:r>
      <w:r>
        <w:t xml:space="preserve">2025-2050</w:t>
      </w:r>
      <w:r>
        <w:t xml:space="preserve"> </w:t>
      </w:r>
      <w:r>
        <w:t xml:space="preserve">102</w:t>
      </w:r>
      <w:r>
        <w:t xml:space="preserve"> </w:t>
      </w:r>
      <w:r>
        <w:t xml:space="preserve">1,547</w:t>
      </w:r>
      <w:r>
        <w:t xml:space="preserve"> </w:t>
      </w:r>
      <w:r>
        <w:t xml:space="preserve">1,663</w:t>
      </w:r>
      <w:r>
        <w:t xml:space="preserve"> </w:t>
      </w:r>
      <w:r>
        <w:t xml:space="preserve">1,214</w:t>
      </w:r>
      <w:r>
        <w:t xml:space="preserve"> </w:t>
      </w:r>
      <w:r>
        <w:t xml:space="preserve">530</w:t>
      </w:r>
      <w:r>
        <w:t xml:space="preserve"> </w:t>
      </w:r>
      <w:r>
        <w:t xml:space="preserve">Congestion</w:t>
      </w:r>
      <w:r>
        <w:t xml:space="preserve"> </w:t>
      </w:r>
      <w:r>
        <w:t xml:space="preserve">2030</w:t>
      </w:r>
      <w:r>
        <w:t xml:space="preserve"> </w:t>
      </w:r>
      <w:r>
        <w:t xml:space="preserve">19</w:t>
      </w:r>
      <w:r>
        <w:t xml:space="preserve"> </w:t>
      </w:r>
      <w:r>
        <w:t xml:space="preserve">316</w:t>
      </w:r>
      <w:r>
        <w:t xml:space="preserve"> </w:t>
      </w:r>
      <w:r>
        <w:t xml:space="preserve">338</w:t>
      </w:r>
      <w:r>
        <w:t xml:space="preserve"> </w:t>
      </w:r>
      <w:r>
        <w:t xml:space="preserve">242</w:t>
      </w:r>
      <w:r>
        <w:t xml:space="preserve"> </w:t>
      </w:r>
      <w:r>
        <w:t xml:space="preserve">130</w:t>
      </w:r>
      <w:r>
        <w:t xml:space="preserve"> </w:t>
      </w:r>
      <w:r>
        <w:t xml:space="preserve">2050</w:t>
      </w:r>
      <w:r>
        <w:t xml:space="preserve"> </w:t>
      </w:r>
      <w:r>
        <w:t xml:space="preserve">14</w:t>
      </w:r>
      <w:r>
        <w:t xml:space="preserve"> </w:t>
      </w:r>
      <w:r>
        <w:t xml:space="preserve">215</w:t>
      </w:r>
      <w:r>
        <w:t xml:space="preserve"> </w:t>
      </w:r>
      <w:r>
        <w:t xml:space="preserve">226</w:t>
      </w:r>
      <w:r>
        <w:t xml:space="preserve"> </w:t>
      </w:r>
      <w:r>
        <w:t xml:space="preserve">163</w:t>
      </w:r>
      <w:r>
        <w:t xml:space="preserve"> </w:t>
      </w:r>
      <w:r>
        <w:t xml:space="preserve">88</w:t>
      </w:r>
      <w:r>
        <w:t xml:space="preserve"> </w:t>
      </w:r>
      <w:r>
        <w:t xml:space="preserve">2025-2050</w:t>
      </w:r>
      <w:r>
        <w:t xml:space="preserve"> </w:t>
      </w:r>
      <w:r>
        <w:t xml:space="preserve">427</w:t>
      </w:r>
      <w:r>
        <w:t xml:space="preserve"> </w:t>
      </w:r>
      <w:r>
        <w:t xml:space="preserve">7,208</w:t>
      </w:r>
      <w:r>
        <w:t xml:space="preserve"> </w:t>
      </w:r>
      <w:r>
        <w:t xml:space="preserve">7,623</w:t>
      </w:r>
      <w:r>
        <w:t xml:space="preserve"> </w:t>
      </w:r>
      <w:r>
        <w:t xml:space="preserve">5,481</w:t>
      </w:r>
      <w:r>
        <w:t xml:space="preserve"> </w:t>
      </w:r>
      <w:r>
        <w:t xml:space="preserve">2,820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6.2.2. Impact on employment</w:t>
      </w:r>
      <w:r>
        <w:t xml:space="preserve"> </w:t>
      </w:r>
      <w:r>
        <w:t xml:space="preserve">All policy options are expected to lead to a small increase in the economy-wide level of employment relative</w:t>
      </w:r>
      <w:r>
        <w:t xml:space="preserve"> </w:t>
      </w:r>
      <w:r>
        <w:t xml:space="preserve">to the baseline by 2050121. This is because the shift to intermodal transport solutions involves several</w:t>
      </w:r>
      <w:r>
        <w:t xml:space="preserve"> </w:t>
      </w:r>
      <w:r>
        <w:t xml:space="preserve">transport modes, transhipment and terminal services that will generate more employment. In 2030, the</w:t>
      </w:r>
      <w:r>
        <w:t xml:space="preserve"> </w:t>
      </w:r>
      <w:r>
        <w:t xml:space="preserve">largest increase in the number of jobs created is expected in PO-B2a (24 thousand), followed by PO-C (19</w:t>
      </w:r>
      <w:r>
        <w:t xml:space="preserve"> </w:t>
      </w:r>
      <w:r>
        <w:t xml:space="preserve">thousand), PO-B2b (15 thousand), PO-B1 (12 thousand). PO-A shows no significant impact relative to the</w:t>
      </w:r>
      <w:r>
        <w:t xml:space="preserve"> </w:t>
      </w:r>
      <w:r>
        <w:t xml:space="preserve">baseline in 2030. In 2050, similarly to 2030, the largest increase in the number of jobs created is expected</w:t>
      </w:r>
      <w:r>
        <w:t xml:space="preserve"> </w:t>
      </w:r>
      <w:r>
        <w:t xml:space="preserve">in PO-B2a (83 thousand), followed by PO-C (81 thousand), PO-B2b (69 thousand), PO-B1 (28 thousand)</w:t>
      </w:r>
      <w:r>
        <w:t xml:space="preserve"> </w:t>
      </w:r>
      <w:r>
        <w:t xml:space="preserve">and PO-A (1 thousand). The main driver of the larger impact in PO-B2a, PO-B2b and PO-C is measure</w:t>
      </w:r>
      <w:r>
        <w:t xml:space="preserve"> </w:t>
      </w:r>
      <w:r>
        <w:t xml:space="preserve">PM2 on establishing the eligibility of operations that achieve savings of 40% of externalities compared to</w:t>
      </w:r>
      <w:r>
        <w:t xml:space="preserve"> </w:t>
      </w:r>
      <w:r>
        <w:t xml:space="preserve">road-only options, combined with the different combinations of measures introducing economic support to</w:t>
      </w:r>
      <w:r>
        <w:t xml:space="preserve"> </w:t>
      </w:r>
      <w:r>
        <w:t xml:space="preserve">eligible intermodal solutions (i.e. PM7-PM10). The impact of PO-B2b is somewhat lower than that of PO-</w:t>
      </w:r>
      <w:r>
        <w:t xml:space="preserve"> </w:t>
      </w:r>
      <w:r>
        <w:t xml:space="preserve">B2a and PO-C due to the lower scope, covering only cross-border intra-EU operations.</w:t>
      </w:r>
      <w:r>
        <w:br/>
      </w:r>
      <w:r>
        <w:t xml:space="preserve">Table 14: Increase in economy-wide employment compared to the baseline, EU-27 (in thousand persons)</w:t>
      </w:r>
      <w:r>
        <w:t xml:space="preserve"> </w:t>
      </w:r>
      <w:r>
        <w:t xml:space="preserve">PO-A</w:t>
      </w:r>
      <w:r>
        <w:t xml:space="preserve"> </w:t>
      </w:r>
      <w:r>
        <w:t xml:space="preserve">PO-B1</w:t>
      </w:r>
      <w:r>
        <w:t xml:space="preserve"> </w:t>
      </w:r>
      <w:r>
        <w:t xml:space="preserve">PO-B2a</w:t>
      </w:r>
      <w:r>
        <w:t xml:space="preserve"> </w:t>
      </w:r>
      <w:r>
        <w:t xml:space="preserve">PO-B2b</w:t>
      </w:r>
      <w:r>
        <w:t xml:space="preserve"> </w:t>
      </w:r>
      <w:r>
        <w:t xml:space="preserve">PO-C</w:t>
      </w:r>
      <w:r>
        <w:t xml:space="preserve"> </w:t>
      </w:r>
      <w:r>
        <w:t xml:space="preserve">Employment</w:t>
      </w:r>
      <w:r>
        <w:t xml:space="preserve"> </w:t>
      </w:r>
      <w:r>
        <w:t xml:space="preserve">2030</w:t>
      </w:r>
      <w:r>
        <w:t xml:space="preserve"> </w:t>
      </w:r>
      <w:r>
        <w:t xml:space="preserve">0</w:t>
      </w:r>
      <w:r>
        <w:t xml:space="preserve"> </w:t>
      </w:r>
      <w:r>
        <w:t xml:space="preserve">12</w:t>
      </w:r>
      <w:r>
        <w:t xml:space="preserve"> </w:t>
      </w:r>
      <w:r>
        <w:t xml:space="preserve">24</w:t>
      </w:r>
      <w:r>
        <w:t xml:space="preserve"> </w:t>
      </w:r>
      <w:r>
        <w:t xml:space="preserve">15</w:t>
      </w:r>
      <w:r>
        <w:t xml:space="preserve"> </w:t>
      </w:r>
      <w:r>
        <w:t xml:space="preserve">19</w:t>
      </w:r>
      <w:r>
        <w:t xml:space="preserve"> </w:t>
      </w:r>
      <w:r>
        <w:t xml:space="preserve">2050</w:t>
      </w:r>
      <w:r>
        <w:t xml:space="preserve"> </w:t>
      </w:r>
      <w:r>
        <w:t xml:space="preserve">1</w:t>
      </w:r>
      <w:r>
        <w:t xml:space="preserve"> </w:t>
      </w:r>
      <w:r>
        <w:t xml:space="preserve">28</w:t>
      </w:r>
      <w:r>
        <w:t xml:space="preserve"> </w:t>
      </w:r>
      <w:r>
        <w:t xml:space="preserve">83</w:t>
      </w:r>
      <w:r>
        <w:t xml:space="preserve"> </w:t>
      </w:r>
      <w:r>
        <w:t xml:space="preserve">69</w:t>
      </w:r>
      <w:r>
        <w:t xml:space="preserve"> </w:t>
      </w:r>
      <w:r>
        <w:t xml:space="preserve">81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It is also important to consider the impact of the policy options on each transport sector individually.</w:t>
      </w:r>
      <w:r>
        <w:t xml:space="preserve"> </w:t>
      </w:r>
      <w:r>
        <w:t xml:space="preserve">Although the results suggest that the potential job losses in the road transport are offset by increases in</w:t>
      </w:r>
      <w:r>
        <w:t xml:space="preserve"> </w:t>
      </w:r>
      <w:r>
        <w:t xml:space="preserve">employment in the non-road transport sectors, the extent of the losses/gains in each sector is hard to estimate.</w:t>
      </w:r>
      <w:r>
        <w:t xml:space="preserve"> </w:t>
      </w:r>
      <w:r>
        <w:t xml:space="preserve">The skills required for jobs in the different transport modes vary and therefore it is unlikely that there will</w:t>
      </w:r>
      <w:r>
        <w:t xml:space="preserve"> </w:t>
      </w:r>
      <w:r>
        <w:t xml:space="preserve">be a direct job transfer between sectors. However, with re-training, mid-term adjustment should be possible.</w:t>
      </w:r>
      <w:r>
        <w:t xml:space="preserve"> </w:t>
      </w:r>
      <w:r>
        <w:t xml:space="preserve">Given that one intermodal transport operation requires combination of short-haul road with long-haul non-</w:t>
      </w:r>
      <w:r>
        <w:t xml:space="preserve"> </w:t>
      </w:r>
      <w:r>
        <w:t xml:space="preserve">road operations, as well as transhipment and terminal services, it is clear that such a shift away from long-</w:t>
      </w:r>
      <w:r>
        <w:t xml:space="preserve"> </w:t>
      </w:r>
      <w:r>
        <w:t xml:space="preserve">distance road operations will create more “local” higher quality jobs. Therefore, some road transport</w:t>
      </w:r>
      <w:r>
        <w:t xml:space="preserve"> </w:t>
      </w:r>
      <w:r>
        <w:t xml:space="preserve">companies are expected to change the markets they serve, at least in the short-term. On the other hand, the</w:t>
      </w:r>
      <w:r>
        <w:t xml:space="preserve"> </w:t>
      </w:r>
      <w:r>
        <w:t xml:space="preserve">commercial road transport sector faces an increasing demand and a significant shortage of drivers (400,000</w:t>
      </w:r>
      <w:r>
        <w:t xml:space="preserve"> </w:t>
      </w:r>
      <w:r>
        <w:t xml:space="preserve">for freight)122. The shift to intermodal solutions may alleviate to some extent the pressure on the shortage</w:t>
      </w:r>
      <w:r>
        <w:t xml:space="preserve"> </w:t>
      </w:r>
      <w:r>
        <w:t xml:space="preserve">of drivers.</w:t>
      </w:r>
    </w:p>
    <w:p>
      <w:pPr>
        <w:pStyle w:val="BodyText"/>
      </w:pPr>
      <w:r>
        <w:t xml:space="preserve">120 It should be noted that the modelling results of the policy options account for the external costs associated to all freight</w:t>
      </w:r>
      <w:r>
        <w:t xml:space="preserve"> </w:t>
      </w:r>
      <w:r>
        <w:t xml:space="preserve">transport operations and are not limited to intermodal transport.</w:t>
      </w:r>
      <w:r>
        <w:t xml:space="preserve"> </w:t>
      </w:r>
      <w:r>
        <w:t xml:space="preserve">121 This is in line with the results from the 2017 impact assessment, which also pointed to the link between modal shift</w:t>
      </w:r>
      <w:r>
        <w:t xml:space="preserve"> </w:t>
      </w:r>
      <w:r>
        <w:t xml:space="preserve">and the creation of jobs in the intermodal sector.</w:t>
      </w:r>
      <w:r>
        <w:t xml:space="preserve"> </w:t>
      </w:r>
      <w:r>
        <w:t xml:space="preserve">122 IRU driver shortage report 2022.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6.2.3. Impacts on fundamental rights</w:t>
      </w:r>
      <w:r>
        <w:t xml:space="preserve"> </w:t>
      </w:r>
      <w:r>
        <w:t xml:space="preserve">The policy options were assessed to determine if they have an impact on the fundamental rights and/or equal</w:t>
      </w:r>
      <w:r>
        <w:t xml:space="preserve"> </w:t>
      </w:r>
      <w:r>
        <w:t xml:space="preserve">treatment of EU citizens. The starting point for the assessment of the fundamental rights is the Charter of</w:t>
      </w:r>
      <w:r>
        <w:t xml:space="preserve"> </w:t>
      </w:r>
      <w:r>
        <w:t xml:space="preserve">Fundamental Rights of the European Union123. All four POs were assessed having regard to the relevant EU</w:t>
      </w:r>
      <w:r>
        <w:t xml:space="preserve"> </w:t>
      </w:r>
      <w:r>
        <w:t xml:space="preserve">instrument and it was concluded that they maintain full respect for human and fundamental rights, and none will</w:t>
      </w:r>
      <w:r>
        <w:t xml:space="preserve"> </w:t>
      </w:r>
      <w:r>
        <w:t xml:space="preserve">have any negative impact thereon.</w:t>
      </w:r>
      <w:r>
        <w:t xml:space="preserve"> </w:t>
      </w:r>
      <w:r>
        <w:t xml:space="preserve">6.3.</w:t>
      </w:r>
      <w:r>
        <w:t xml:space="preserve"> </w:t>
      </w:r>
      <w:r>
        <w:t xml:space="preserve">Environmental impacts</w:t>
      </w:r>
      <w:r>
        <w:br/>
      </w:r>
      <w:r>
        <w:t xml:space="preserve">Reduction of external costs of transport through modal shift. The reduction of negative environmental</w:t>
      </w:r>
      <w:r>
        <w:t xml:space="preserve"> </w:t>
      </w:r>
      <w:r>
        <w:t xml:space="preserve">impacts is part of the general objective of the CTD and the saved external costs constitute part of the benefits</w:t>
      </w:r>
      <w:r>
        <w:t xml:space="preserve"> </w:t>
      </w:r>
      <w:r>
        <w:t xml:space="preserve">of this revision. All POs are expected to have a positive impact on environment (see Table 15). The scale</w:t>
      </w:r>
      <w:r>
        <w:t xml:space="preserve"> </w:t>
      </w:r>
      <w:r>
        <w:t xml:space="preserve">of environmental impacts depends on the volume of road-only transport replaced with intermodal non-road</w:t>
      </w:r>
      <w:r>
        <w:t xml:space="preserve"> </w:t>
      </w:r>
      <w:r>
        <w:t xml:space="preserve">legs. The bigger this modal shift, the bigger the positive environmental impact. The policy options result in</w:t>
      </w:r>
      <w:r>
        <w:t xml:space="preserve"> </w:t>
      </w:r>
      <w:r>
        <w:t xml:space="preserve">a replacement of 0.2 to 26 bn tkm road freight transport with non-road transport in 2030 and of 0.5 to 39.7</w:t>
      </w:r>
      <w:r>
        <w:t xml:space="preserve"> </w:t>
      </w:r>
      <w:r>
        <w:t xml:space="preserve">bn tkm in 2050. The environmental impact depends however not only on the total volume replaced, but also</w:t>
      </w:r>
      <w:r>
        <w:t xml:space="preserve"> </w:t>
      </w:r>
      <w:r>
        <w:t xml:space="preserve">on the mode that replaces the road part. This is the case of PO-B1 where most operations are shifted to rail,</w:t>
      </w:r>
      <w:r>
        <w:t xml:space="preserve"> </w:t>
      </w:r>
      <w:r>
        <w:t xml:space="preserve">relative to PO-B2a where more operations are shifted to waterborne transport. On the other hand, as the</w:t>
      </w:r>
      <w:r>
        <w:t xml:space="preserve"> </w:t>
      </w:r>
      <w:r>
        <w:t xml:space="preserve">overall shift towards intermodal transport operations is slightly higher in PO-B2a relative to PO-B1, the</w:t>
      </w:r>
      <w:r>
        <w:t xml:space="preserve"> </w:t>
      </w:r>
      <w:r>
        <w:t xml:space="preserve">external costs savings are higher in PO-B2a relative to PO-B1.</w:t>
      </w:r>
      <w:r>
        <w:br/>
      </w:r>
      <w:r>
        <w:t xml:space="preserve">The highest reduction in environmental external costs is projected in PO-B2a (EUR 4.60 bn for CO2</w:t>
      </w:r>
      <w:r>
        <w:t xml:space="preserve"> </w:t>
      </w:r>
      <w:r>
        <w:t xml:space="preserve">emissions, EUR 0.47 bn for air pollution emissions and EUR 0.91 bn for noise), expressed as present value</w:t>
      </w:r>
      <w:r>
        <w:t xml:space="preserve"> </w:t>
      </w:r>
      <w:r>
        <w:t xml:space="preserve">over 2025-2050 relative to the baseline, followed by PO-B1 (EUR 4.40 bn for CO2 emissions, EUR 0.45</w:t>
      </w:r>
      <w:r>
        <w:t xml:space="preserve"> </w:t>
      </w:r>
      <w:r>
        <w:t xml:space="preserve">bn for air pollution emissions and EUR 0.85 bn for noise), PO-B2b (EUR 2.93 bn for CO2 emissions, EUR</w:t>
      </w:r>
      <w:r>
        <w:t xml:space="preserve"> </w:t>
      </w:r>
      <w:r>
        <w:t xml:space="preserve">0.34 bn for air pollution emissions and EUR 0.69 bn for noise) and PO-C (EUR 2.67 bn for CO2 emissions,</w:t>
      </w:r>
      <w:r>
        <w:t xml:space="preserve"> </w:t>
      </w:r>
      <w:r>
        <w:t xml:space="preserve">EUR 0.16 bn for air pollution emissions and EUR 0.46 bn for noise). PO-A shows significantly lower</w:t>
      </w:r>
      <w:r>
        <w:t xml:space="preserve"> </w:t>
      </w:r>
      <w:r>
        <w:t xml:space="preserve">reductions in external costs. With regard to air pollution, PO-B and PO-C would lead to a marginal increase</w:t>
      </w:r>
      <w:r>
        <w:t xml:space="preserve"> </w:t>
      </w:r>
      <w:r>
        <w:t xml:space="preserve">in external costs relative to the baseline in 2050. This however is not linked to the energy/fuel use but can</w:t>
      </w:r>
      <w:r>
        <w:t xml:space="preserve"> </w:t>
      </w:r>
      <w:r>
        <w:t xml:space="preserve">be explained by increased particulate matter emissions from rail transport due to higher wear and tear124 as</w:t>
      </w:r>
      <w:r>
        <w:t xml:space="preserve"> </w:t>
      </w:r>
      <w:r>
        <w:t xml:space="preserve">a consequence of increased rail activity, which outweighs the decrease in particulate matter emissions from</w:t>
      </w:r>
      <w:r>
        <w:t xml:space="preserve"> </w:t>
      </w:r>
      <w:r>
        <w:t xml:space="preserve">road transport125. Expressed as present value over 2025-2050, all policy options result however in a</w:t>
      </w:r>
      <w:r>
        <w:t xml:space="preserve"> </w:t>
      </w:r>
      <w:r>
        <w:t xml:space="preserve">reduction of external costs of air pollution emissions. The assessment also takes into account the projected</w:t>
      </w:r>
      <w:r>
        <w:t xml:space="preserve"> </w:t>
      </w:r>
      <w:r>
        <w:t xml:space="preserve">shifts between non-road modes; these however are not significant.</w:t>
      </w:r>
      <w:r>
        <w:t xml:space="preserve"> </w:t>
      </w:r>
      <w:r>
        <w:t xml:space="preserve">Table 15: Changes in environmental external costs in 2030, 2050 and present value over 2025-2050 compared to the</w:t>
      </w:r>
      <w:r>
        <w:t xml:space="preserve"> </w:t>
      </w:r>
      <w:r>
        <w:t xml:space="preserve">baseline, EU-27 (million EUR, in 2021 prices)</w:t>
      </w:r>
      <w:r>
        <w:t xml:space="preserve"> </w:t>
      </w:r>
      <w:r>
        <w:t xml:space="preserve">PO-A</w:t>
      </w:r>
      <w:r>
        <w:t xml:space="preserve"> </w:t>
      </w:r>
      <w:r>
        <w:t xml:space="preserve">PO-B1</w:t>
      </w:r>
      <w:r>
        <w:t xml:space="preserve"> </w:t>
      </w:r>
      <w:r>
        <w:t xml:space="preserve">PO-B2a</w:t>
      </w:r>
      <w:r>
        <w:t xml:space="preserve"> </w:t>
      </w:r>
      <w:r>
        <w:t xml:space="preserve">PO-B2b</w:t>
      </w:r>
      <w:r>
        <w:t xml:space="preserve"> </w:t>
      </w:r>
      <w:r>
        <w:t xml:space="preserve">PO-C</w:t>
      </w:r>
      <w:r>
        <w:t xml:space="preserve"> </w:t>
      </w:r>
      <w:r>
        <w:t xml:space="preserve">Climate change (GHG)</w:t>
      </w:r>
      <w:r>
        <w:t xml:space="preserve"> </w:t>
      </w:r>
      <w:r>
        <w:t xml:space="preserve">2030</w:t>
      </w:r>
      <w:r>
        <w:t xml:space="preserve"> </w:t>
      </w:r>
      <w:r>
        <w:t xml:space="preserve">-6</w:t>
      </w:r>
      <w:r>
        <w:t xml:space="preserve"> </w:t>
      </w:r>
      <w:r>
        <w:t xml:space="preserve">-162</w:t>
      </w:r>
      <w:r>
        <w:t xml:space="preserve"> </w:t>
      </w:r>
      <w:r>
        <w:t xml:space="preserve">-171</w:t>
      </w:r>
      <w:r>
        <w:t xml:space="preserve"> </w:t>
      </w:r>
      <w:r>
        <w:t xml:space="preserve">-118</w:t>
      </w:r>
      <w:r>
        <w:t xml:space="preserve"> </w:t>
      </w:r>
      <w:r>
        <w:t xml:space="preserve">-98</w:t>
      </w:r>
      <w:r>
        <w:t xml:space="preserve"> </w:t>
      </w:r>
      <w:r>
        <w:t xml:space="preserve">2050</w:t>
      </w:r>
      <w:r>
        <w:t xml:space="preserve"> </w:t>
      </w:r>
      <w:r>
        <w:t xml:space="preserve">-14</w:t>
      </w:r>
      <w:r>
        <w:t xml:space="preserve"> </w:t>
      </w:r>
      <w:r>
        <w:t xml:space="preserve">-40</w:t>
      </w:r>
      <w:r>
        <w:t xml:space="preserve"> </w:t>
      </w:r>
      <w:r>
        <w:t xml:space="preserve">-51</w:t>
      </w:r>
      <w:r>
        <w:t xml:space="preserve"> </w:t>
      </w:r>
      <w:r>
        <w:t xml:space="preserve">-16</w:t>
      </w:r>
      <w:r>
        <w:t xml:space="preserve"> </w:t>
      </w:r>
      <w:r>
        <w:t xml:space="preserve">-11</w:t>
      </w:r>
      <w:r>
        <w:t xml:space="preserve"> </w:t>
      </w:r>
      <w:r>
        <w:t xml:space="preserve">2025-2050</w:t>
      </w:r>
      <w:r>
        <w:t xml:space="preserve"> </w:t>
      </w:r>
      <w:r>
        <w:t xml:space="preserve">-147</w:t>
      </w:r>
      <w:r>
        <w:t xml:space="preserve"> </w:t>
      </w:r>
      <w:r>
        <w:t xml:space="preserve">-4,395</w:t>
      </w:r>
      <w:r>
        <w:t xml:space="preserve"> </w:t>
      </w:r>
      <w:r>
        <w:t xml:space="preserve">-4,603</w:t>
      </w:r>
      <w:r>
        <w:t xml:space="preserve"> </w:t>
      </w:r>
      <w:r>
        <w:t xml:space="preserve">-2,930</w:t>
      </w:r>
      <w:r>
        <w:t xml:space="preserve"> </w:t>
      </w:r>
      <w:r>
        <w:t xml:space="preserve">-2,665</w:t>
      </w:r>
      <w:r>
        <w:t xml:space="preserve"> </w:t>
      </w:r>
      <w:r>
        <w:t xml:space="preserve">Air pollution</w:t>
      </w:r>
      <w:r>
        <w:t xml:space="preserve"> </w:t>
      </w:r>
      <w:r>
        <w:t xml:space="preserve">2030</w:t>
      </w:r>
      <w:r>
        <w:t xml:space="preserve"> </w:t>
      </w:r>
      <w:r>
        <w:t xml:space="preserve">-8</w:t>
      </w:r>
      <w:r>
        <w:t xml:space="preserve"> </w:t>
      </w:r>
      <w:r>
        <w:t xml:space="preserve">-53</w:t>
      </w:r>
      <w:r>
        <w:t xml:space="preserve"> </w:t>
      </w:r>
      <w:r>
        <w:t xml:space="preserve">-60</w:t>
      </w:r>
      <w:r>
        <w:t xml:space="preserve"> </w:t>
      </w:r>
      <w:r>
        <w:t xml:space="preserve">-41</w:t>
      </w:r>
      <w:r>
        <w:t xml:space="preserve"> </w:t>
      </w:r>
      <w:r>
        <w:t xml:space="preserve">-31</w:t>
      </w:r>
      <w:r>
        <w:t xml:space="preserve"> </w:t>
      </w:r>
      <w:r>
        <w:t xml:space="preserve">2050</w:t>
      </w:r>
      <w:r>
        <w:t xml:space="preserve"> </w:t>
      </w:r>
      <w:r>
        <w:t xml:space="preserve">-3</w:t>
      </w:r>
      <w:r>
        <w:t xml:space="preserve"> </w:t>
      </w:r>
      <w:r>
        <w:t xml:space="preserve">18</w:t>
      </w:r>
      <w:r>
        <w:t xml:space="preserve"> </w:t>
      </w:r>
      <w:r>
        <w:t xml:space="preserve">21</w:t>
      </w:r>
      <w:r>
        <w:t xml:space="preserve"> </w:t>
      </w:r>
      <w:r>
        <w:t xml:space="preserve">23</w:t>
      </w:r>
      <w:r>
        <w:t xml:space="preserve"> </w:t>
      </w:r>
      <w:r>
        <w:t xml:space="preserve">17</w:t>
      </w:r>
      <w:r>
        <w:t xml:space="preserve"> </w:t>
      </w:r>
      <w:r>
        <w:t xml:space="preserve">2025-2050</w:t>
      </w:r>
      <w:r>
        <w:t xml:space="preserve"> </w:t>
      </w:r>
      <w:r>
        <w:t xml:space="preserve">-53</w:t>
      </w:r>
      <w:r>
        <w:t xml:space="preserve"> </w:t>
      </w:r>
      <w:r>
        <w:t xml:space="preserve">-448</w:t>
      </w:r>
      <w:r>
        <w:t xml:space="preserve"> </w:t>
      </w:r>
      <w:r>
        <w:t xml:space="preserve">-470</w:t>
      </w:r>
      <w:r>
        <w:t xml:space="preserve"> </w:t>
      </w:r>
      <w:r>
        <w:t xml:space="preserve">-337</w:t>
      </w:r>
      <w:r>
        <w:t xml:space="preserve"> </w:t>
      </w:r>
      <w:r>
        <w:t xml:space="preserve">-164</w:t>
      </w:r>
      <w:r>
        <w:t xml:space="preserve"> </w:t>
      </w:r>
      <w:r>
        <w:t xml:space="preserve">Noise</w:t>
      </w:r>
      <w:r>
        <w:t xml:space="preserve"> </w:t>
      </w:r>
      <w:r>
        <w:t xml:space="preserve">2030</w:t>
      </w:r>
      <w:r>
        <w:t xml:space="preserve"> </w:t>
      </w:r>
      <w:r>
        <w:t xml:space="preserve">-0.2</w:t>
      </w:r>
      <w:r>
        <w:t xml:space="preserve"> </w:t>
      </w:r>
      <w:r>
        <w:t xml:space="preserve">-37</w:t>
      </w:r>
      <w:r>
        <w:t xml:space="preserve"> </w:t>
      </w:r>
      <w:r>
        <w:t xml:space="preserve">-39</w:t>
      </w:r>
      <w:r>
        <w:t xml:space="preserve"> </w:t>
      </w:r>
      <w:r>
        <w:t xml:space="preserve">-36</w:t>
      </w:r>
      <w:r>
        <w:t xml:space="preserve"> </w:t>
      </w:r>
      <w:r>
        <w:t xml:space="preserve">-17</w:t>
      </w:r>
      <w:r>
        <w:t xml:space="preserve"> </w:t>
      </w:r>
      <w:r>
        <w:t xml:space="preserve">2050</w:t>
      </w:r>
      <w:r>
        <w:t xml:space="preserve"> </w:t>
      </w:r>
      <w:r>
        <w:t xml:space="preserve">-0.4</w:t>
      </w:r>
      <w:r>
        <w:t xml:space="preserve"> </w:t>
      </w:r>
      <w:r>
        <w:t xml:space="preserve">-24</w:t>
      </w:r>
      <w:r>
        <w:t xml:space="preserve"> </w:t>
      </w:r>
      <w:r>
        <w:t xml:space="preserve">-27</w:t>
      </w:r>
      <w:r>
        <w:t xml:space="preserve"> </w:t>
      </w:r>
      <w:r>
        <w:t xml:space="preserve">-22</w:t>
      </w:r>
      <w:r>
        <w:t xml:space="preserve"> </w:t>
      </w:r>
      <w:r>
        <w:t xml:space="preserve">-17</w:t>
      </w:r>
    </w:p>
    <w:p>
      <w:pPr>
        <w:pStyle w:val="BodyText"/>
      </w:pPr>
      <w:r>
        <w:t xml:space="preserve">123 OJ C 326 of 26.10.2012 p.2.</w:t>
      </w:r>
      <w:r>
        <w:t xml:space="preserve"> </w:t>
      </w:r>
      <w:r>
        <w:t xml:space="preserve">124 Emissions from wear and tear for rail are currently not part of EMEP/EEA Guidebook, which does not consider non-</w:t>
      </w:r>
      <w:r>
        <w:t xml:space="preserve"> </w:t>
      </w:r>
      <w:r>
        <w:t xml:space="preserve">exhaust emissions of rail transport as a separate category. However, they are included here for sake of completeness.</w:t>
      </w:r>
      <w:r>
        <w:t xml:space="preserve"> </w:t>
      </w:r>
      <w:r>
        <w:t xml:space="preserve">125 It should be noted that in the baseline scenario the particulate matter emissions are projected to reduce by 90% in 2050</w:t>
      </w:r>
      <w:r>
        <w:t xml:space="preserve"> </w:t>
      </w:r>
      <w:r>
        <w:t xml:space="preserve">relative to 2015, driven by the uptake of zero-emission vehicles. For this reason, in 2050 the increase in particulate matter</w:t>
      </w:r>
      <w:r>
        <w:t xml:space="preserve"> </w:t>
      </w:r>
      <w:r>
        <w:t xml:space="preserve">emissions from rail transport due to higher wear and tear outweighs the reduction in particulate matter from road transport,</w:t>
      </w:r>
      <w:r>
        <w:t xml:space="preserve"> </w:t>
      </w:r>
      <w:r>
        <w:t xml:space="preserve">leading to higher particulate matter emissions relative to the baseline.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PO-A</w:t>
      </w:r>
      <w:r>
        <w:t xml:space="preserve"> </w:t>
      </w:r>
      <w:r>
        <w:t xml:space="preserve">PO-B1</w:t>
      </w:r>
      <w:r>
        <w:t xml:space="preserve"> </w:t>
      </w:r>
      <w:r>
        <w:t xml:space="preserve">PO-B2a</w:t>
      </w:r>
      <w:r>
        <w:t xml:space="preserve"> </w:t>
      </w:r>
      <w:r>
        <w:t xml:space="preserve">PO-B2b</w:t>
      </w:r>
      <w:r>
        <w:t xml:space="preserve"> </w:t>
      </w:r>
      <w:r>
        <w:t xml:space="preserve">PO-C</w:t>
      </w:r>
      <w:r>
        <w:t xml:space="preserve"> </w:t>
      </w:r>
      <w:r>
        <w:t xml:space="preserve">2025-2050</w:t>
      </w:r>
      <w:r>
        <w:t xml:space="preserve"> </w:t>
      </w:r>
      <w:r>
        <w:t xml:space="preserve">-7</w:t>
      </w:r>
      <w:r>
        <w:t xml:space="preserve"> </w:t>
      </w:r>
      <w:r>
        <w:t xml:space="preserve">-846</w:t>
      </w:r>
      <w:r>
        <w:t xml:space="preserve"> </w:t>
      </w:r>
      <w:r>
        <w:t xml:space="preserve">-905</w:t>
      </w:r>
      <w:r>
        <w:t xml:space="preserve"> </w:t>
      </w:r>
      <w:r>
        <w:t xml:space="preserve">-694</w:t>
      </w:r>
      <w:r>
        <w:t xml:space="preserve"> </w:t>
      </w:r>
      <w:r>
        <w:t xml:space="preserve">-455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All policy options are consistent with the environmental objectives of the European Green Deal and the European</w:t>
      </w:r>
      <w:r>
        <w:t xml:space="preserve"> </w:t>
      </w:r>
      <w:r>
        <w:t xml:space="preserve">Climate Law126. All policy options contribute towards SDG 13 (Take urgent action to combat climate change and its</w:t>
      </w:r>
      <w:r>
        <w:t xml:space="preserve"> </w:t>
      </w:r>
      <w:r>
        <w:t xml:space="preserve">impacts). No significant harm is expected on the environment in any of the policy options.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assessment of effectiveness looks at the extent to which the general and specific objectives (SO) of the</w:t>
      </w:r>
      <w:r>
        <w:t xml:space="preserve"> </w:t>
      </w:r>
      <w:r>
        <w:t xml:space="preserve">intervention are met. Table 16 provides the assessment criteria for this. A detailed assessment of effectiveness is</w:t>
      </w:r>
      <w:r>
        <w:t xml:space="preserve"> </w:t>
      </w:r>
      <w:r>
        <w:t xml:space="preserve">presented in Annex 12.</w:t>
      </w:r>
      <w:r>
        <w:t xml:space="preserve"> </w:t>
      </w:r>
      <w:r>
        <w:t xml:space="preserve">Table 16: Link between objectives and assessment criteria</w:t>
      </w:r>
      <w:r>
        <w:t xml:space="preserve"> </w:t>
      </w:r>
      <w:r>
        <w:t xml:space="preserve">Objectives</w:t>
      </w:r>
      <w:r>
        <w:t xml:space="preserve"> </w:t>
      </w:r>
      <w:r>
        <w:t xml:space="preserve">Assessment criteria</w:t>
      </w:r>
      <w:r>
        <w:t xml:space="preserve"> </w:t>
      </w:r>
      <w:r>
        <w:t xml:space="preserve">General objective</w:t>
      </w:r>
    </w:p>
    <w:p>
      <w:pPr>
        <w:pStyle w:val="BodyText"/>
      </w:pPr>
      <w:r>
        <w:t xml:space="preserve">Facilitate an increase in the share of rail, SSS and</w:t>
      </w:r>
      <w:r>
        <w:t xml:space="preserve"> </w:t>
      </w:r>
      <w:r>
        <w:t xml:space="preserve">IWW in total intra-EU freight transport, to reduce</w:t>
      </w:r>
      <w:r>
        <w:t xml:space="preserve"> </w:t>
      </w:r>
      <w:r>
        <w:t xml:space="preserve">negative externalities and energy consumption of</w:t>
      </w:r>
      <w:r>
        <w:t xml:space="preserve"> </w:t>
      </w:r>
      <w:r>
        <w:t xml:space="preserve">transport as well as mitigate the fragmentation of</w:t>
      </w:r>
      <w:r>
        <w:t xml:space="preserve"> </w:t>
      </w:r>
      <w:r>
        <w:t xml:space="preserve">the internal market</w:t>
      </w:r>
      <w:r>
        <w:t xml:space="preserve"> </w:t>
      </w:r>
      <w:r>
        <w:t xml:space="preserve">• Impact on the volume of intermodal transport in the EU</w:t>
      </w:r>
      <w:r>
        <w:t xml:space="preserve"> </w:t>
      </w:r>
      <w:r>
        <w:t xml:space="preserve">• Reduction in external costs of transport (including CO2</w:t>
      </w:r>
      <w:r>
        <w:t xml:space="preserve"> </w:t>
      </w:r>
      <w:r>
        <w:t xml:space="preserve">emissions, air pollutant emissions, noise, fatalities and</w:t>
      </w:r>
      <w:r>
        <w:t xml:space="preserve"> </w:t>
      </w:r>
      <w:r>
        <w:t xml:space="preserve">injuries, and road congestion)</w:t>
      </w:r>
      <w:r>
        <w:t xml:space="preserve"> </w:t>
      </w:r>
      <w:r>
        <w:t xml:space="preserve">Specific objectives</w:t>
      </w:r>
    </w:p>
    <w:p>
      <w:pPr>
        <w:pStyle w:val="BodyText"/>
      </w:pPr>
      <w:r>
        <w:t xml:space="preserve">SO1: Provide support to a wider range of</w:t>
      </w:r>
      <w:r>
        <w:t xml:space="preserve"> </w:t>
      </w:r>
      <w:r>
        <w:t xml:space="preserve">operations under effective and common eligibility</w:t>
      </w:r>
      <w:r>
        <w:t xml:space="preserve"> </w:t>
      </w:r>
      <w:r>
        <w:t xml:space="preserve">conditions</w:t>
      </w:r>
      <w:r>
        <w:t xml:space="preserve"> </w:t>
      </w:r>
      <w:r>
        <w:t xml:space="preserve">• Impact on the share of intermodal operations eligible for</w:t>
      </w:r>
      <w:r>
        <w:t xml:space="preserve"> </w:t>
      </w:r>
      <w:r>
        <w:t xml:space="preserve">support</w:t>
      </w:r>
      <w:r>
        <w:t xml:space="preserve"> </w:t>
      </w:r>
      <w:r>
        <w:t xml:space="preserve">• Suitability and clarity of proof of eligibility conditions</w:t>
      </w:r>
      <w:r>
        <w:t xml:space="preserve"> </w:t>
      </w:r>
      <w:r>
        <w:t xml:space="preserve">SO2: Ensure better support by improving</w:t>
      </w:r>
      <w:r>
        <w:t xml:space="preserve"> </w:t>
      </w:r>
      <w:r>
        <w:t xml:space="preserve">reporting on intermodal transport market</w:t>
      </w:r>
      <w:r>
        <w:br/>
      </w:r>
      <w:r>
        <w:t xml:space="preserve">• Impact on the availability of information and analysis of</w:t>
      </w:r>
      <w:r>
        <w:t xml:space="preserve"> </w:t>
      </w:r>
      <w:r>
        <w:t xml:space="preserve">intermodal market</w:t>
      </w:r>
      <w:r>
        <w:br/>
      </w:r>
      <w:r>
        <w:t xml:space="preserve">SO3: Increase competitiveness of intermodal</w:t>
      </w:r>
      <w:r>
        <w:t xml:space="preserve"> </w:t>
      </w:r>
      <w:r>
        <w:t xml:space="preserve">transport to contribute to reducing negative</w:t>
      </w:r>
      <w:r>
        <w:t xml:space="preserve"> </w:t>
      </w:r>
      <w:r>
        <w:t xml:space="preserve">externalities</w:t>
      </w:r>
      <w:r>
        <w:t xml:space="preserve"> </w:t>
      </w:r>
      <w:r>
        <w:t xml:space="preserve">• Distance at which intermodal transport is price-</w:t>
      </w:r>
      <w:r>
        <w:t xml:space="preserve"> </w:t>
      </w:r>
      <w:r>
        <w:t xml:space="preserve">competitive with road-only transport</w:t>
      </w:r>
      <w:r>
        <w:t xml:space="preserve"> </w:t>
      </w:r>
      <w:r>
        <w:t xml:space="preserve">• Support is appropriate and effective</w:t>
      </w:r>
      <w:r>
        <w:t xml:space="preserve"> </w:t>
      </w:r>
      <w:r>
        <w:t xml:space="preserve">SO4: Improve transparency and cooperation and</w:t>
      </w:r>
      <w:r>
        <w:t xml:space="preserve"> </w:t>
      </w:r>
      <w:r>
        <w:t xml:space="preserve">simplify entry to the market</w:t>
      </w:r>
      <w:r>
        <w:t xml:space="preserve"> </w:t>
      </w:r>
      <w:r>
        <w:t xml:space="preserve">• Ease of data exchange between parties in intermodal</w:t>
      </w:r>
      <w:r>
        <w:t xml:space="preserve"> </w:t>
      </w:r>
      <w:r>
        <w:t xml:space="preserve">transport chain</w:t>
      </w:r>
      <w:r>
        <w:br/>
      </w:r>
      <w:r>
        <w:t xml:space="preserve">• Ease of access to terminal information</w:t>
      </w:r>
      <w:r>
        <w:t xml:space="preserve"> </w:t>
      </w:r>
      <w:r>
        <w:t xml:space="preserve">Each of the options addresses the problems, their drivers and the general and specific objectives. Concerning SO1,</w:t>
      </w:r>
      <w:r>
        <w:t xml:space="preserve"> </w:t>
      </w:r>
      <w:r>
        <w:t xml:space="preserve">all five options provide support to wider range of operations than the today’s CTD and achieve an almost identical</w:t>
      </w:r>
      <w:r>
        <w:t xml:space="preserve"> </w:t>
      </w:r>
      <w:r>
        <w:t xml:space="preserve">increase in the share of operations eligible as well as suitable, common and clear eligibility conditions. However,</w:t>
      </w:r>
      <w:r>
        <w:t xml:space="preserve"> </w:t>
      </w:r>
      <w:r>
        <w:t xml:space="preserve">PO-B1, where eligibility is based on GHG only ignores the benefits of non-road modes in terms of other</w:t>
      </w:r>
      <w:r>
        <w:t xml:space="preserve"> </w:t>
      </w:r>
      <w:r>
        <w:t xml:space="preserve">externalities beyond the GHG emissions, resulting in some SSS operations and all IWW operations as of 2035 not</w:t>
      </w:r>
      <w:r>
        <w:t xml:space="preserve"> </w:t>
      </w:r>
      <w:r>
        <w:t xml:space="preserve">being eligible. This is compensated by higher eligibility for rail but these additional rail operations that are eligible in</w:t>
      </w:r>
      <w:r>
        <w:t xml:space="preserve"> </w:t>
      </w:r>
      <w:r>
        <w:t xml:space="preserve">PO-B1 (compared to PO-A, PO-B2a, PO-B2b and PO-C) can have very short rail legs (27% of total operation).</w:t>
      </w:r>
      <w:r>
        <w:t xml:space="preserve"> </w:t>
      </w:r>
      <w:r>
        <w:t xml:space="preserve">Support to such operations is not desirable. Therefore, although producing similar net benefits as PO-B2a (see next</w:t>
      </w:r>
      <w:r>
        <w:t xml:space="preserve"> </w:t>
      </w:r>
      <w:r>
        <w:t xml:space="preserve">section), PO-B1 is considered less effective, since in medium to long term, it results in over-reliance on rail-road</w:t>
      </w:r>
      <w:r>
        <w:t xml:space="preserve"> </w:t>
      </w:r>
      <w:r>
        <w:t xml:space="preserve">intermodal operations, even with long road legs. PO-A, PO-B2a, PO-B2b and PO-C ensure that all modal</w:t>
      </w:r>
      <w:r>
        <w:t xml:space="preserve"> </w:t>
      </w:r>
      <w:r>
        <w:t xml:space="preserve">combinations are eligible throughout the period and that the non-road leg is always longer than the combined</w:t>
      </w:r>
      <w:r>
        <w:t xml:space="preserve"> </w:t>
      </w:r>
      <w:r>
        <w:t xml:space="preserve">road legs in an operation.</w:t>
      </w:r>
    </w:p>
    <w:p>
      <w:pPr>
        <w:pStyle w:val="BodyText"/>
      </w:pPr>
      <w:r>
        <w:t xml:space="preserve">126 Regulation (EU) 2021/1119.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Concerning SO2, PO-A is somewhat more effective than the baseline as some additional Member States may start</w:t>
      </w:r>
      <w:r>
        <w:t xml:space="preserve"> </w:t>
      </w:r>
      <w:r>
        <w:t xml:space="preserve">carrying out regular analysis and strategic planning for intermodal transport. PO-C aims to ensure that Member</w:t>
      </w:r>
      <w:r>
        <w:t xml:space="preserve"> </w:t>
      </w:r>
      <w:r>
        <w:t xml:space="preserve">States were aware of the market development and the impacts of their support schemes, but in absence of EU</w:t>
      </w:r>
      <w:r>
        <w:t xml:space="preserve"> </w:t>
      </w:r>
      <w:r>
        <w:t xml:space="preserve">level statistics, data availability difficulties persist, and EU level consolidation of the results would be challenging.</w:t>
      </w:r>
      <w:r>
        <w:t xml:space="preserve"> </w:t>
      </w:r>
      <w:r>
        <w:t xml:space="preserve">PO-B retains centralised analysis (by the Commission) and foresees that the Commission will conduct a dedicated</w:t>
      </w:r>
      <w:r>
        <w:t xml:space="preserve"> </w:t>
      </w:r>
      <w:r>
        <w:t xml:space="preserve">study every 5 years to prepare a regular report, making also use of information retrieved from eFTI platforms. PO-B</w:t>
      </w:r>
      <w:r>
        <w:t xml:space="preserve"> </w:t>
      </w:r>
      <w:r>
        <w:t xml:space="preserve">sub-options also improve access to information on upcoming support schemes, making it much more effective</w:t>
      </w:r>
      <w:r>
        <w:t xml:space="preserve"> </w:t>
      </w:r>
      <w:r>
        <w:t xml:space="preserve">relative to the baseline.</w:t>
      </w:r>
      <w:r>
        <w:br/>
      </w:r>
      <w:r>
        <w:t xml:space="preserve">SO3, PO-A is only somewhat more effective than the baseline in making intermodal operations more competitive,</w:t>
      </w:r>
      <w:r>
        <w:t xml:space="preserve"> </w:t>
      </w:r>
      <w:r>
        <w:t xml:space="preserve">as support remains voluntary. PO-C does not reflect well the heterogeneous market situation and problems on the</w:t>
      </w:r>
      <w:r>
        <w:t xml:space="preserve"> </w:t>
      </w:r>
      <w:r>
        <w:t xml:space="preserve">ground, where a harmonised solution may not deliver the best possible outcome in all Member States. PO-B’s sub-</w:t>
      </w:r>
      <w:r>
        <w:t xml:space="preserve"> </w:t>
      </w:r>
      <w:r>
        <w:t xml:space="preserve">options deliver comparable outcomes on price competitiveness to shippers; the effect is elevated thanks to</w:t>
      </w:r>
      <w:r>
        <w:t xml:space="preserve"> </w:t>
      </w:r>
      <w:r>
        <w:t xml:space="preserve">additional start-up support that ensures better availability of connections/non-road services. Among the three, PO-</w:t>
      </w:r>
      <w:r>
        <w:t xml:space="preserve"> </w:t>
      </w:r>
      <w:r>
        <w:t xml:space="preserve">B2a is most effective, given its broader scope (if compared to PO-B2b) and the externalities-based eligibility (if</w:t>
      </w:r>
      <w:r>
        <w:t xml:space="preserve"> </w:t>
      </w:r>
      <w:r>
        <w:t xml:space="preserve">compared to PO-B1). If measured by the amount of externalities saved, most effective in terms of SO3 is PO-B2a,</w:t>
      </w:r>
      <w:r>
        <w:t xml:space="preserve"> </w:t>
      </w:r>
      <w:r>
        <w:t xml:space="preserve">followed by PO-B1, PO-B2b, PO-C and PO-A.</w:t>
      </w:r>
      <w:r>
        <w:t xml:space="preserve"> </w:t>
      </w:r>
      <w:r>
        <w:t xml:space="preserve">Concerning SO4, no measures are foreseen for data rules in PO-A and PO-B on the assumption that horizontal</w:t>
      </w:r>
      <w:r>
        <w:t xml:space="preserve"> </w:t>
      </w:r>
      <w:r>
        <w:t xml:space="preserve">legislation for all freight transport operations would be more effective than regulating data only for eligible</w:t>
      </w:r>
      <w:r>
        <w:t xml:space="preserve"> </w:t>
      </w:r>
      <w:r>
        <w:t xml:space="preserve">intermodal operations. The impact on PO-C on data rules is positive, but low. As regards access to terminal</w:t>
      </w:r>
      <w:r>
        <w:t xml:space="preserve"> </w:t>
      </w:r>
      <w:r>
        <w:t xml:space="preserve">information, all options ensure availability of terminal information and possibility for further transparency</w:t>
      </w:r>
      <w:r>
        <w:t xml:space="preserve"> </w:t>
      </w:r>
      <w:r>
        <w:t xml:space="preserve">measures through implementing acts.</w:t>
      </w:r>
      <w:r>
        <w:br/>
      </w:r>
      <w:r>
        <w:t xml:space="preserve">With regard to the general objective of increasing the share of rail, SSS and IWW, PO-A is slightly more effective</w:t>
      </w:r>
      <w:r>
        <w:t xml:space="preserve"> </w:t>
      </w:r>
      <w:r>
        <w:t xml:space="preserve">than the baseline, and only delivers very limited additional volumes, while PO-B2a and PO-B1 are much more</w:t>
      </w:r>
      <w:r>
        <w:t xml:space="preserve"> </w:t>
      </w:r>
      <w:r>
        <w:t xml:space="preserve">effective than PO-B2b and PO-C (see Figure 12). Higher replacement volume of road-only transport with</w:t>
      </w:r>
      <w:r>
        <w:t xml:space="preserve"> </w:t>
      </w:r>
      <w:r>
        <w:t xml:space="preserve">intermodal transport results in higher positive impacts from reducing the negative externalities of transport. The</w:t>
      </w:r>
      <w:r>
        <w:t xml:space="preserve"> </w:t>
      </w:r>
      <w:r>
        <w:t xml:space="preserve">difference between PO-B1 and PO-B2a in terms of additional intermodal volumes is limited (1,388 bn tkm in PO-B1</w:t>
      </w:r>
      <w:r>
        <w:t xml:space="preserve"> </w:t>
      </w:r>
      <w:r>
        <w:t xml:space="preserve">and 1,391 bn tkm in PO-B2a, cumulative for 2025-2050 relative to the baseline), but they differ in terms of which</w:t>
      </w:r>
      <w:r>
        <w:t xml:space="preserve"> </w:t>
      </w:r>
      <w:r>
        <w:t xml:space="preserve">modal combinations deliver the uptake.</w:t>
      </w:r>
      <w:r>
        <w:br/>
      </w:r>
      <w:r>
        <w:t xml:space="preserve">Figure 12: Effect of new support measures on additional uptake of intermodal transport, bn tkm, 2025-2050</w:t>
      </w:r>
    </w:p>
    <w:p>
      <w:pPr>
        <w:pStyle w:val="BodyText"/>
      </w:pPr>
      <w:r>
        <w:t xml:space="preserve">Source: Ricardo et al. support study (2023)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</w:t>
      </w:r>
      <w:r>
        <w:t xml:space="preserve"> </w:t>
      </w:r>
      <w:r>
        <w:t xml:space="preserve">Efficiency concerns</w:t>
      </w:r>
      <w:r>
        <w:t xml:space="preserve"> </w:t>
      </w:r>
      <w:r>
        <w:t xml:space="preserve">“the extent to which objectives can be achieved for a given level of resource/at least cost”</w:t>
      </w:r>
      <w:r>
        <w:t xml:space="preserve">. The</w:t>
      </w:r>
      <w:r>
        <w:t xml:space="preserve"> </w:t>
      </w:r>
      <w:r>
        <w:t xml:space="preserve">costs and benefits are summarised in Table 17.</w:t>
      </w:r>
      <w:r>
        <w:t xml:space="preserve"> </w:t>
      </w:r>
      <w:r>
        <w:t xml:space="preserve">Table 17: Summary of costs and benefits per policy option (including one-off and recurrent costs) - present value for</w:t>
      </w:r>
      <w:r>
        <w:t xml:space="preserve"> </w:t>
      </w:r>
      <w:r>
        <w:t xml:space="preserve">2025-2050 compared to the baseline (in million EUR)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PO-B1</w:t>
      </w:r>
      <w:r>
        <w:t xml:space="preserve"> </w:t>
      </w:r>
      <w:r>
        <w:t xml:space="preserve">PO-B2a</w:t>
      </w:r>
      <w:r>
        <w:t xml:space="preserve"> </w:t>
      </w:r>
      <w:r>
        <w:t xml:space="preserve">PO-B2b</w:t>
      </w:r>
      <w:r>
        <w:t xml:space="preserve"> </w:t>
      </w:r>
      <w:r>
        <w:t xml:space="preserve">PO-C</w:t>
      </w:r>
      <w:r>
        <w:t xml:space="preserve"> </w:t>
      </w:r>
      <w:r>
        <w:t xml:space="preserve">National authorities</w:t>
      </w:r>
    </w:p>
    <w:p>
      <w:pPr>
        <w:pStyle w:val="BodyText"/>
      </w:pPr>
      <w:r>
        <w:t xml:space="preserve">Adjustment costs</w:t>
      </w:r>
      <w:r>
        <w:br/>
      </w:r>
      <w:r>
        <w:t xml:space="preserve">2.1</w:t>
      </w:r>
      <w:r>
        <w:t xml:space="preserve"> </w:t>
      </w:r>
      <w:r>
        <w:t xml:space="preserve">1.4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7.8</w:t>
      </w:r>
      <w:r>
        <w:t xml:space="preserve"> </w:t>
      </w:r>
      <w:r>
        <w:t xml:space="preserve">Economic cost of support</w:t>
      </w:r>
      <w:r>
        <w:t xml:space="preserve"> </w:t>
      </w:r>
      <w:r>
        <w:t xml:space="preserve">24,941.6</w:t>
      </w:r>
      <w:r>
        <w:t xml:space="preserve"> </w:t>
      </w:r>
      <w:r>
        <w:t xml:space="preserve">0.0</w:t>
      </w:r>
      <w:r>
        <w:t xml:space="preserve"> </w:t>
      </w:r>
      <w:r>
        <w:t xml:space="preserve">7,223.3</w:t>
      </w:r>
      <w:r>
        <w:t xml:space="preserve"> </w:t>
      </w:r>
      <w:r>
        <w:t xml:space="preserve">7,476.3</w:t>
      </w:r>
      <w:r>
        <w:t xml:space="preserve"> </w:t>
      </w:r>
      <w:r>
        <w:t xml:space="preserve">5,294.3</w:t>
      </w:r>
      <w:r>
        <w:t xml:space="preserve"> </w:t>
      </w:r>
      <w:r>
        <w:t xml:space="preserve">34,825.2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2.3</w:t>
      </w:r>
      <w:r>
        <w:t xml:space="preserve"> </w:t>
      </w:r>
      <w:r>
        <w:t xml:space="preserve">2.3</w:t>
      </w:r>
      <w:r>
        <w:t xml:space="preserve"> </w:t>
      </w:r>
      <w:r>
        <w:t xml:space="preserve">2.3</w:t>
      </w:r>
      <w:r>
        <w:t xml:space="preserve"> </w:t>
      </w:r>
      <w:r>
        <w:t xml:space="preserve">2.3</w:t>
      </w:r>
      <w:r>
        <w:t xml:space="preserve"> </w:t>
      </w:r>
      <w:r>
        <w:t xml:space="preserve">2.3</w:t>
      </w:r>
      <w:r>
        <w:t xml:space="preserve"> </w:t>
      </w:r>
      <w:r>
        <w:t xml:space="preserve">European Commission</w:t>
      </w:r>
    </w:p>
    <w:p>
      <w:pPr>
        <w:pStyle w:val="BodyText"/>
      </w:pPr>
      <w:r>
        <w:t xml:space="preserve">Adjustment costs</w:t>
      </w:r>
      <w:r>
        <w:br/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0.3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Adjustment costs</w:t>
      </w:r>
      <w:r>
        <w:t xml:space="preserve"> </w:t>
      </w:r>
      <w:r>
        <w:t xml:space="preserve">0.0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28.3</w:t>
      </w:r>
      <w:r>
        <w:t xml:space="preserve"> </w:t>
      </w:r>
      <w:r>
        <w:t xml:space="preserve">Administrative costs</w:t>
      </w:r>
      <w:r>
        <w:br/>
      </w:r>
      <w:r>
        <w:t xml:space="preserve">312.0</w:t>
      </w:r>
      <w:r>
        <w:t xml:space="preserve"> </w:t>
      </w:r>
      <w:r>
        <w:t xml:space="preserve">0.1</w:t>
      </w:r>
      <w:r>
        <w:t xml:space="preserve"> </w:t>
      </w:r>
      <w:r>
        <w:t xml:space="preserve">6.4</w:t>
      </w:r>
      <w:r>
        <w:t xml:space="preserve"> </w:t>
      </w:r>
      <w:r>
        <w:t xml:space="preserve">6.6</w:t>
      </w:r>
      <w:r>
        <w:t xml:space="preserve"> </w:t>
      </w:r>
      <w:r>
        <w:t xml:space="preserve">3.2</w:t>
      </w:r>
      <w:r>
        <w:t xml:space="preserve"> </w:t>
      </w:r>
      <w:r>
        <w:t xml:space="preserve">0.1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3,573.7</w:t>
      </w:r>
      <w:r>
        <w:t xml:space="preserve"> </w:t>
      </w:r>
      <w:r>
        <w:t xml:space="preserve">4,303.1</w:t>
      </w:r>
      <w:r>
        <w:t xml:space="preserve"> </w:t>
      </w:r>
      <w:r>
        <w:t xml:space="preserve">4,336.0</w:t>
      </w:r>
      <w:r>
        <w:t xml:space="preserve"> </w:t>
      </w:r>
      <w:r>
        <w:t xml:space="preserve">3,429.1</w:t>
      </w:r>
      <w:r>
        <w:t xml:space="preserve"> </w:t>
      </w:r>
      <w:r>
        <w:t xml:space="preserve">5,479.5</w:t>
      </w:r>
      <w:r>
        <w:t xml:space="preserve"> </w:t>
      </w:r>
      <w:r>
        <w:t xml:space="preserve">Benefits (reduction in external costs relative to the baseline)</w:t>
      </w:r>
    </w:p>
    <w:p>
      <w:pPr>
        <w:pStyle w:val="BodyText"/>
      </w:pPr>
      <w:r>
        <w:t xml:space="preserve">External costs of GHG emissions</w:t>
      </w:r>
      <w:r>
        <w:t xml:space="preserve"> </w:t>
      </w:r>
      <w:r>
        <w:t xml:space="preserve">608,508</w:t>
      </w:r>
      <w:r>
        <w:t xml:space="preserve"> </w:t>
      </w:r>
      <w:r>
        <w:t xml:space="preserve">146.7</w:t>
      </w:r>
      <w:r>
        <w:t xml:space="preserve"> </w:t>
      </w:r>
      <w:r>
        <w:t xml:space="preserve">4,394.6</w:t>
      </w:r>
      <w:r>
        <w:t xml:space="preserve"> </w:t>
      </w:r>
      <w:r>
        <w:t xml:space="preserve">4,603.0</w:t>
      </w:r>
      <w:r>
        <w:t xml:space="preserve"> </w:t>
      </w:r>
      <w:r>
        <w:t xml:space="preserve">2,929.7</w:t>
      </w:r>
      <w:r>
        <w:t xml:space="preserve"> </w:t>
      </w:r>
      <w:r>
        <w:t xml:space="preserve">2,665.5</w:t>
      </w:r>
      <w:r>
        <w:t xml:space="preserve"> </w:t>
      </w:r>
      <w:r>
        <w:t xml:space="preserve">External costs of air pollution emissions</w:t>
      </w:r>
      <w:r>
        <w:t xml:space="preserve"> </w:t>
      </w:r>
      <w:r>
        <w:t xml:space="preserve">218,819</w:t>
      </w:r>
      <w:r>
        <w:t xml:space="preserve"> </w:t>
      </w:r>
      <w:r>
        <w:t xml:space="preserve">53.3</w:t>
      </w:r>
      <w:r>
        <w:t xml:space="preserve"> </w:t>
      </w:r>
      <w:r>
        <w:t xml:space="preserve">448.1</w:t>
      </w:r>
      <w:r>
        <w:t xml:space="preserve"> </w:t>
      </w:r>
      <w:r>
        <w:t xml:space="preserve">470.3</w:t>
      </w:r>
      <w:r>
        <w:t xml:space="preserve"> </w:t>
      </w:r>
      <w:r>
        <w:t xml:space="preserve">337.3</w:t>
      </w:r>
      <w:r>
        <w:t xml:space="preserve"> </w:t>
      </w:r>
      <w:r>
        <w:t xml:space="preserve">163.8</w:t>
      </w:r>
      <w:r>
        <w:t xml:space="preserve"> </w:t>
      </w:r>
      <w:r>
        <w:t xml:space="preserve">External costs of noise</w:t>
      </w:r>
      <w:r>
        <w:t xml:space="preserve"> </w:t>
      </w:r>
      <w:r>
        <w:t xml:space="preserve">39,568</w:t>
      </w:r>
      <w:r>
        <w:t xml:space="preserve"> </w:t>
      </w:r>
      <w:r>
        <w:t xml:space="preserve">6.6</w:t>
      </w:r>
      <w:r>
        <w:t xml:space="preserve"> </w:t>
      </w:r>
      <w:r>
        <w:t xml:space="preserve">846.0</w:t>
      </w:r>
      <w:r>
        <w:t xml:space="preserve"> </w:t>
      </w:r>
      <w:r>
        <w:t xml:space="preserve">904.7</w:t>
      </w:r>
      <w:r>
        <w:t xml:space="preserve"> </w:t>
      </w:r>
      <w:r>
        <w:t xml:space="preserve">694.4</w:t>
      </w:r>
      <w:r>
        <w:t xml:space="preserve"> </w:t>
      </w:r>
      <w:r>
        <w:t xml:space="preserve">455.3</w:t>
      </w:r>
      <w:r>
        <w:t xml:space="preserve"> </w:t>
      </w:r>
      <w:r>
        <w:t xml:space="preserve">External costs of accidents</w:t>
      </w:r>
      <w:r>
        <w:t xml:space="preserve"> </w:t>
      </w:r>
      <w:r>
        <w:t xml:space="preserve">98,081</w:t>
      </w:r>
      <w:r>
        <w:t xml:space="preserve"> </w:t>
      </w:r>
      <w:r>
        <w:t xml:space="preserve">101.8</w:t>
      </w:r>
      <w:r>
        <w:t xml:space="preserve"> </w:t>
      </w:r>
      <w:r>
        <w:t xml:space="preserve">1,546.7</w:t>
      </w:r>
      <w:r>
        <w:t xml:space="preserve"> </w:t>
      </w:r>
      <w:r>
        <w:t xml:space="preserve">1,663.4</w:t>
      </w:r>
      <w:r>
        <w:t xml:space="preserve"> </w:t>
      </w:r>
      <w:r>
        <w:t xml:space="preserve">1,214.0</w:t>
      </w:r>
      <w:r>
        <w:t xml:space="preserve"> </w:t>
      </w:r>
      <w:r>
        <w:t xml:space="preserve">530.1</w:t>
      </w:r>
      <w:r>
        <w:t xml:space="preserve"> </w:t>
      </w:r>
      <w:r>
        <w:t xml:space="preserve">External costs of congestion</w:t>
      </w:r>
      <w:r>
        <w:t xml:space="preserve"> </w:t>
      </w:r>
      <w:r>
        <w:t xml:space="preserve">752,002</w:t>
      </w:r>
      <w:r>
        <w:t xml:space="preserve"> </w:t>
      </w:r>
      <w:r>
        <w:t xml:space="preserve">427.4</w:t>
      </w:r>
      <w:r>
        <w:t xml:space="preserve"> </w:t>
      </w:r>
      <w:r>
        <w:t xml:space="preserve">7,207.5</w:t>
      </w:r>
      <w:r>
        <w:t xml:space="preserve"> </w:t>
      </w:r>
      <w:r>
        <w:t xml:space="preserve">7,622.8</w:t>
      </w:r>
      <w:r>
        <w:t xml:space="preserve"> </w:t>
      </w:r>
      <w:r>
        <w:t xml:space="preserve">5,481.1</w:t>
      </w:r>
      <w:r>
        <w:t xml:space="preserve"> </w:t>
      </w:r>
      <w:r>
        <w:t xml:space="preserve">2,820.5</w:t>
      </w:r>
      <w:r>
        <w:t xml:space="preserve"> </w:t>
      </w:r>
      <w:r>
        <w:t xml:space="preserve">Total costs</w:t>
      </w:r>
    </w:p>
    <w:p>
      <w:pPr>
        <w:pStyle w:val="BodyText"/>
      </w:pPr>
      <w:r>
        <w:t xml:space="preserve">2.1</w:t>
      </w:r>
      <w:r>
        <w:t xml:space="preserve"> </w:t>
      </w:r>
      <w:r>
        <w:t xml:space="preserve">7,232.0</w:t>
      </w:r>
      <w:r>
        <w:t xml:space="preserve"> </w:t>
      </w:r>
      <w:r>
        <w:t xml:space="preserve">7,485.2</w:t>
      </w:r>
      <w:r>
        <w:t xml:space="preserve"> </w:t>
      </w:r>
      <w:r>
        <w:t xml:space="preserve">5,299.8</w:t>
      </w:r>
      <w:r>
        <w:t xml:space="preserve"> </w:t>
      </w:r>
      <w:r>
        <w:t xml:space="preserve">34,861.7</w:t>
      </w:r>
      <w:r>
        <w:t xml:space="preserve"> </w:t>
      </w:r>
      <w:r>
        <w:t xml:space="preserve">Total benefits</w:t>
      </w:r>
    </w:p>
    <w:p>
      <w:pPr>
        <w:pStyle w:val="BodyText"/>
      </w:pPr>
      <w:r>
        <w:t xml:space="preserve">4,311.6</w:t>
      </w:r>
      <w:r>
        <w:t xml:space="preserve"> </w:t>
      </w:r>
      <w:r>
        <w:t xml:space="preserve">18,748.3</w:t>
      </w:r>
      <w:r>
        <w:t xml:space="preserve"> </w:t>
      </w:r>
      <w:r>
        <w:t xml:space="preserve">19,602.5</w:t>
      </w:r>
      <w:r>
        <w:t xml:space="preserve"> </w:t>
      </w:r>
      <w:r>
        <w:t xml:space="preserve">14,087.9</w:t>
      </w:r>
      <w:r>
        <w:t xml:space="preserve"> </w:t>
      </w:r>
      <w:r>
        <w:t xml:space="preserve">12,117.1</w:t>
      </w:r>
      <w:r>
        <w:t xml:space="preserve"> </w:t>
      </w:r>
      <w:r>
        <w:t xml:space="preserve">Net benefits/costs</w:t>
      </w:r>
    </w:p>
    <w:p>
      <w:pPr>
        <w:pStyle w:val="BodyText"/>
      </w:pPr>
      <w:r>
        <w:t xml:space="preserve">4,309.5</w:t>
      </w:r>
      <w:r>
        <w:t xml:space="preserve"> </w:t>
      </w:r>
      <w:r>
        <w:t xml:space="preserve">11,516.3</w:t>
      </w:r>
      <w:r>
        <w:t xml:space="preserve"> </w:t>
      </w:r>
      <w:r>
        <w:t xml:space="preserve">12,117.3</w:t>
      </w:r>
      <w:r>
        <w:t xml:space="preserve"> </w:t>
      </w:r>
      <w:r>
        <w:t xml:space="preserve">8,788.1</w:t>
      </w:r>
      <w:r>
        <w:t xml:space="preserve"> </w:t>
      </w:r>
      <w:r>
        <w:t xml:space="preserve">-22,744.6</w:t>
      </w:r>
      <w:r>
        <w:t xml:space="preserve"> </w:t>
      </w:r>
      <w:r>
        <w:t xml:space="preserve">Benefits to cost ratio</w:t>
      </w:r>
    </w:p>
    <w:p>
      <w:pPr>
        <w:pStyle w:val="BodyText"/>
      </w:pPr>
      <w:r>
        <w:t xml:space="preserve">2065</w:t>
      </w:r>
      <w:r>
        <w:t xml:space="preserve"> </w:t>
      </w:r>
      <w:r>
        <w:t xml:space="preserve">2.59</w:t>
      </w:r>
      <w:r>
        <w:t xml:space="preserve"> </w:t>
      </w:r>
      <w:r>
        <w:t xml:space="preserve">2.62</w:t>
      </w:r>
      <w:r>
        <w:t xml:space="preserve"> </w:t>
      </w:r>
      <w:r>
        <w:t xml:space="preserve">2.66</w:t>
      </w:r>
      <w:r>
        <w:t xml:space="preserve"> </w:t>
      </w:r>
      <w:r>
        <w:t xml:space="preserve">0.35</w:t>
      </w:r>
      <w:r>
        <w:t xml:space="preserve"> </w:t>
      </w:r>
      <w:r>
        <w:t xml:space="preserve">Source: Ricardo et al. support study (2023); Note: for ‘net benefits/costs’ a positive sign stands for net benefits and a</w:t>
      </w:r>
      <w:r>
        <w:t xml:space="preserve"> </w:t>
      </w:r>
      <w:r>
        <w:t xml:space="preserve">negative sign for net costs.</w:t>
      </w:r>
      <w:r>
        <w:br/>
      </w:r>
      <w:r>
        <w:t xml:space="preserve">By far the biggest cost element of the policy options is the support by Member States authorities, which</w:t>
      </w:r>
      <w:r>
        <w:t xml:space="preserve"> </w:t>
      </w:r>
      <w:r>
        <w:t xml:space="preserve">depends on eligibility conditions and foreseen support measures in a given option. Limited adjustment costs</w:t>
      </w:r>
      <w:r>
        <w:t xml:space="preserve"> </w:t>
      </w:r>
      <w:r>
        <w:t xml:space="preserve">are expected for the eFTI providers and terminal operators for implementing the data and transparency rules</w:t>
      </w:r>
      <w:r>
        <w:t xml:space="preserve"> </w:t>
      </w:r>
      <w:r>
        <w:t xml:space="preserve">and for Member States for regular analysis and strategic planning for intermodal transport.</w:t>
      </w:r>
      <w:r>
        <w:br/>
      </w:r>
      <w:r>
        <w:t xml:space="preserve">PO-A shows the lowest additional costs (EUR 2.1 million), but also delivers the lowest benefits</w:t>
      </w:r>
      <w:r>
        <w:t xml:space="preserve"> </w:t>
      </w:r>
      <w:r>
        <w:t xml:space="preserve">(EUR 4.3 bn), expressed as present value over 2025-2050 relative to the baseline. The benefits are mainly</w:t>
      </w:r>
      <w:r>
        <w:t xml:space="preserve"> </w:t>
      </w:r>
      <w:r>
        <w:t xml:space="preserve">due to the administrative costs savings from using the eFTI platforms on existing operations as well as due</w:t>
      </w:r>
      <w:r>
        <w:t xml:space="preserve"> </w:t>
      </w:r>
      <w:r>
        <w:t xml:space="preserve">to the external cost savings thanks to the extension of the scope. However, the impact on modal shift is very</w:t>
      </w:r>
      <w:r>
        <w:t xml:space="preserve"> </w:t>
      </w:r>
      <w:r>
        <w:t xml:space="preserve">small, as is the resulting small reduction of externalities. PO-C, on the other hand, shows the highest costs</w:t>
      </w:r>
      <w:r>
        <w:t xml:space="preserve"> </w:t>
      </w:r>
      <w:r>
        <w:t xml:space="preserve">(EUR 34.9 bn), due to very high operational support (no upper distance limit for economic support) that is</w:t>
      </w:r>
      <w:r>
        <w:t xml:space="preserve"> </w:t>
      </w:r>
      <w:r>
        <w:t xml:space="preserve">not offset by total benefits (EUR 12.1 bn). PO-B1 and PO-B2a have comparable cost and benefit levels.</w:t>
      </w:r>
      <w:r>
        <w:t xml:space="preserve"> </w:t>
      </w:r>
      <w:r>
        <w:t xml:space="preserve">PO-B1 is estimated to result in total costs of EUR 7.2 bn and total benefits of EUR 18.8 bn, while PO-B2a</w:t>
      </w:r>
      <w:r>
        <w:t xml:space="preserve"> </w:t>
      </w:r>
      <w:r>
        <w:t xml:space="preserve">is projected to result in total costs of EUR 7.5 bn and total benefits of EUR 19.6 bn. PO-B2b shows both</w:t>
      </w:r>
      <w:r>
        <w:t xml:space="preserve"> </w:t>
      </w:r>
      <w:r>
        <w:t xml:space="preserve">lower total costs (EUR 5.3 bn) and lower total benefits (EUR 14.1 bn) than PO-B1 and PO-B2a, because it</w:t>
      </w:r>
      <w:r>
        <w:t xml:space="preserve"> </w:t>
      </w:r>
      <w:r>
        <w:t xml:space="preserve">covers only cross-border intra-EU operations. While this limits the economic cost of support for Member</w:t>
      </w:r>
      <w:r>
        <w:t xml:space="preserve"> </w:t>
      </w:r>
      <w:r>
        <w:t xml:space="preserve">States, it also limits the benefits in terms of external costs saved.</w:t>
      </w:r>
      <w:r>
        <w:br/>
      </w:r>
      <w:r>
        <w:t xml:space="preserve">The highest net benefits relative to the baseline are estimated for PO-B2a (EUR 12.1 bn), followed by PO-</w:t>
      </w:r>
      <w:r>
        <w:t xml:space="preserve"> </w:t>
      </w:r>
      <w:r>
        <w:t xml:space="preserve">B1 (EUR 11.5 bn), PO-B2b (EUR 8.8 bn) and PO-A (EUR 4.3 bn). PO-C results in net costs estimated at</w:t>
      </w:r>
      <w:r>
        <w:t xml:space="preserve"> </w:t>
      </w:r>
      <w:r>
        <w:t xml:space="preserve">EUR 22.7 bn. PO-A shows the highest benefits to cost ratio (2065), followed by PO-B2b (2.66), PO-B2a</w:t>
      </w:r>
      <w:r>
        <w:t xml:space="preserve"> </w:t>
      </w:r>
      <w:r>
        <w:t xml:space="preserve">(2.62), PO-B1 (2.59) and PO-C, with higher costs than benefits (0.35).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7.3.</w:t>
      </w:r>
      <w:r>
        <w:t xml:space="preserve"> </w:t>
      </w:r>
      <w:r>
        <w:t xml:space="preserve">Coherence</w:t>
      </w:r>
      <w:r>
        <w:br/>
      </w:r>
      <w:r>
        <w:t xml:space="preserve">Internal coherence assesses how various elements of the revised CTD function together to achieve the objectives.</w:t>
      </w:r>
      <w:r>
        <w:t xml:space="preserve"> </w:t>
      </w:r>
      <w:r>
        <w:t xml:space="preserve">Although all five POs address the identified problems, the level and intensity vary. PO-A is designed to leave the</w:t>
      </w:r>
      <w:r>
        <w:t xml:space="preserve"> </w:t>
      </w:r>
      <w:r>
        <w:t xml:space="preserve">maximum flexibility to Member States as the problems are heterogeneous depending on their starting point</w:t>
      </w:r>
      <w:r>
        <w:t xml:space="preserve"> </w:t>
      </w:r>
      <w:r>
        <w:t xml:space="preserve">(baseline) of already existing support frameworks. As a result, PO-A has the lowest intensity of EU-level</w:t>
      </w:r>
      <w:r>
        <w:t xml:space="preserve"> </w:t>
      </w:r>
      <w:r>
        <w:t xml:space="preserve">intervention as regards strategic planning and support and no data requirements. The minimal EU-level</w:t>
      </w:r>
      <w:r>
        <w:t xml:space="preserve"> </w:t>
      </w:r>
      <w:r>
        <w:t xml:space="preserve">intervention means that intermodal policy will remain almost entirely in the hands of Member States and thus the</w:t>
      </w:r>
      <w:r>
        <w:t xml:space="preserve"> </w:t>
      </w:r>
      <w:r>
        <w:t xml:space="preserve">coherence with the general policy objective to facilitate at EU level the uptake of intermodal transport is low. PO-C</w:t>
      </w:r>
      <w:r>
        <w:t xml:space="preserve"> </w:t>
      </w:r>
      <w:r>
        <w:t xml:space="preserve">brings along the overall highest EU-level intervention and full harmonisation both as regards strategic planning as</w:t>
      </w:r>
      <w:r>
        <w:t xml:space="preserve"> </w:t>
      </w:r>
      <w:r>
        <w:t xml:space="preserve">well as support and detailed and specific data requirements. The high-level intervention ensures a homogenous</w:t>
      </w:r>
      <w:r>
        <w:t xml:space="preserve"> </w:t>
      </w:r>
      <w:r>
        <w:t xml:space="preserve">approach to EU market and facilitates the functioning of the internal market. However, it fails to count for the</w:t>
      </w:r>
      <w:r>
        <w:t xml:space="preserve"> </w:t>
      </w:r>
      <w:r>
        <w:t xml:space="preserve">differences in regions, markets and segments. PO-B follows a medium level flexible intervention whereby it sets</w:t>
      </w:r>
      <w:r>
        <w:t xml:space="preserve"> </w:t>
      </w:r>
      <w:r>
        <w:t xml:space="preserve">minimum goal based common requirements applicable across the EU with central overview of developments,</w:t>
      </w:r>
      <w:r>
        <w:t xml:space="preserve"> </w:t>
      </w:r>
      <w:r>
        <w:t xml:space="preserve">taking into account the heterogeneous market situations. Thus, PO-B shows higher internal coherence than PO-C.</w:t>
      </w:r>
      <w:r>
        <w:t xml:space="preserve"> </w:t>
      </w:r>
      <w:r>
        <w:t xml:space="preserve">The only difference between the PO-B sub options PO-B1, PO-B2a and PO-B2b is eligibility. PO-B2b is slightly more</w:t>
      </w:r>
      <w:r>
        <w:t xml:space="preserve"> </w:t>
      </w:r>
      <w:r>
        <w:t xml:space="preserve">coherent given that its eligibility (based on all external costs and covering all intra-EU operations) combined with</w:t>
      </w:r>
      <w:r>
        <w:t xml:space="preserve"> </w:t>
      </w:r>
      <w:r>
        <w:t xml:space="preserve">the support measures supports best the general objective.</w:t>
      </w:r>
      <w:r>
        <w:br/>
      </w:r>
      <w:r>
        <w:t xml:space="preserve">External coherence concentrates on the compliance of the initiative with national policies, other EU instruments</w:t>
      </w:r>
      <w:r>
        <w:t xml:space="preserve"> </w:t>
      </w:r>
      <w:r>
        <w:t xml:space="preserve">and relevant EU policies, as well as international obligations. The CTD in general and consequently all identified</w:t>
      </w:r>
      <w:r>
        <w:t xml:space="preserve"> </w:t>
      </w:r>
      <w:r>
        <w:t xml:space="preserve">policy options have strong links to several other existing and planned EU instruments as discussed in section 1.3</w:t>
      </w:r>
      <w:r>
        <w:t xml:space="preserve"> </w:t>
      </w:r>
      <w:r>
        <w:t xml:space="preserve">(Synergies with other EU policy instruments). The support provided under the CTD is meant to be complementary</w:t>
      </w:r>
      <w:r>
        <w:t xml:space="preserve"> </w:t>
      </w:r>
      <w:r>
        <w:t xml:space="preserve">to other national and EU regulatory instruments, both horizontal and per transport mode and to work hand in</w:t>
      </w:r>
      <w:r>
        <w:t xml:space="preserve"> </w:t>
      </w:r>
      <w:r>
        <w:t xml:space="preserve">hand with State aid rules. While other instruments provide a legal framework for different transport modes to</w:t>
      </w:r>
      <w:r>
        <w:t xml:space="preserve"> </w:t>
      </w:r>
      <w:r>
        <w:t xml:space="preserve">operate in (modal regulation such as the envisaged initiative on measures to better manage and coordinate</w:t>
      </w:r>
      <w:r>
        <w:t xml:space="preserve"> </w:t>
      </w:r>
      <w:r>
        <w:t xml:space="preserve">international rail traffic, Weights and Dimensions Directive), set requirements for physical and digital infrastructure</w:t>
      </w:r>
      <w:r>
        <w:t xml:space="preserve"> </w:t>
      </w:r>
      <w:r>
        <w:t xml:space="preserve">(TEN-T Regulation, eFTI Regulation) or promote reduction of externalities (Eurovignette Directive, the upcoming</w:t>
      </w:r>
      <w:r>
        <w:t xml:space="preserve"> </w:t>
      </w:r>
      <w:r>
        <w:t xml:space="preserve">CEEU Regulation), the role of CTD is to compensate for the remaining inefficiencies and market failures that hold</w:t>
      </w:r>
      <w:r>
        <w:t xml:space="preserve"> </w:t>
      </w:r>
      <w:r>
        <w:t xml:space="preserve">back the operators from choosing more sustainable freight transport solutions. PO-A and PO-B1, where eligibility is</w:t>
      </w:r>
      <w:r>
        <w:t xml:space="preserve"> </w:t>
      </w:r>
      <w:r>
        <w:t xml:space="preserve">based on GHG alone, are not however coherent with current State aid practice and rail legislation where a wider</w:t>
      </w:r>
      <w:r>
        <w:t xml:space="preserve"> </w:t>
      </w:r>
      <w:r>
        <w:t xml:space="preserve">scope of externalities savings is required. Therefore, support measures under these options would either require</w:t>
      </w:r>
      <w:r>
        <w:t xml:space="preserve"> </w:t>
      </w:r>
      <w:r>
        <w:t xml:space="preserve">changes in current practices or dedicated State aid assessment. When the external costs are fully internalised,</w:t>
      </w:r>
      <w:r>
        <w:t xml:space="preserve"> </w:t>
      </w:r>
      <w:r>
        <w:t xml:space="preserve">CTD’s support may not be necessary or even desirable anymore. In this respect, all policy options are coherent</w:t>
      </w:r>
      <w:r>
        <w:t xml:space="preserve"> </w:t>
      </w:r>
      <w:r>
        <w:t xml:space="preserve">with other EU laws.</w:t>
      </w:r>
      <w:r>
        <w:t xml:space="preserve"> </w:t>
      </w:r>
      <w:r>
        <w:t xml:space="preserve">7.4.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Negative externalities are trans-boundary problems produced by international transport, which cannot be solved</w:t>
      </w:r>
      <w:r>
        <w:t xml:space="preserve"> </w:t>
      </w:r>
      <w:r>
        <w:t xml:space="preserve">by national or local action alone. Even domestic road operations create the negative externalities that are global in</w:t>
      </w:r>
      <w:r>
        <w:t xml:space="preserve"> </w:t>
      </w:r>
      <w:r>
        <w:t xml:space="preserve">nature such as GHG emissions and congestion127. The objective of the revision cannot be sufficiently achieved at</w:t>
      </w:r>
      <w:r>
        <w:t xml:space="preserve"> </w:t>
      </w:r>
      <w:r>
        <w:t xml:space="preserve">Member State level also because intermodal operations are mostly cross-border (81%). Comparing the policy</w:t>
      </w:r>
      <w:r>
        <w:t xml:space="preserve"> </w:t>
      </w:r>
      <w:r>
        <w:t xml:space="preserve">options, PO-A leaves the highest level of flexibility on intervention to Member States. However, the impacts of this</w:t>
      </w:r>
      <w:r>
        <w:t xml:space="preserve"> </w:t>
      </w:r>
      <w:r>
        <w:t xml:space="preserve">option are very close to the baseline, thus it is not effective in meeting the objectives of this initiative. PO-C, at</w:t>
      </w:r>
      <w:r>
        <w:t xml:space="preserve"> </w:t>
      </w:r>
      <w:r>
        <w:t xml:space="preserve">another extreme, leaves least choice to national and local levels with full EU-level harmonisation, without allowing</w:t>
      </w:r>
      <w:r>
        <w:t xml:space="preserve"> </w:t>
      </w:r>
      <w:r>
        <w:t xml:space="preserve">for any subsidiarity in terms of tailoring the approach and budget planning. PO-B ensures a balance between EU</w:t>
      </w:r>
      <w:r>
        <w:t xml:space="preserve"> </w:t>
      </w:r>
      <w:r>
        <w:t xml:space="preserve">level policy goals and subsidiarity, by allowing flexibility to address Member State specific or regional problems,</w:t>
      </w:r>
      <w:r>
        <w:t xml:space="preserve"> </w:t>
      </w:r>
      <w:r>
        <w:t xml:space="preserve">while ensuring a common level of ambition on achievable benefits.</w:t>
      </w:r>
    </w:p>
    <w:p>
      <w:pPr>
        <w:pStyle w:val="BodyText"/>
      </w:pPr>
      <w:r>
        <w:t xml:space="preserve">127 Congestion is often considered to be local in nature, directly affects all road users, including those engaged in international</w:t>
      </w:r>
      <w:r>
        <w:t xml:space="preserve"> </w:t>
      </w:r>
      <w:r>
        <w:t xml:space="preserve">freight transport. It also tends to propagate and produce spill-over effects affecting more than one Member State in cross-border</w:t>
      </w:r>
      <w:r>
        <w:t xml:space="preserve"> </w:t>
      </w:r>
      <w:r>
        <w:t xml:space="preserve">areas.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Two further elements of policy options require attention from the subsidiarity perspective. First, all policy options,</w:t>
      </w:r>
      <w:r>
        <w:t xml:space="preserve"> </w:t>
      </w:r>
      <w:r>
        <w:t xml:space="preserve">except PO-B2b propose to include in the scope of the revised CTD all intra-EU intermodal operations, rather than</w:t>
      </w:r>
      <w:r>
        <w:t xml:space="preserve"> </w:t>
      </w:r>
      <w:r>
        <w:t xml:space="preserve">only cross-border operations as in the current CTD. However, the division into domestic and international is not</w:t>
      </w:r>
      <w:r>
        <w:t xml:space="preserve"> </w:t>
      </w:r>
      <w:r>
        <w:t xml:space="preserve">effective in achieving the policy objective of reducing transport externalities and also problematic from the internal</w:t>
      </w:r>
      <w:r>
        <w:t xml:space="preserve"> </w:t>
      </w:r>
      <w:r>
        <w:t xml:space="preserve">market perspective. It is difficult to explain why the same operation would be supported if done in cross-border</w:t>
      </w:r>
      <w:r>
        <w:t xml:space="preserve"> </w:t>
      </w:r>
      <w:r>
        <w:t xml:space="preserve">context and not supported if done in national context. Including all operations in the scope ensures equal</w:t>
      </w:r>
      <w:r>
        <w:t xml:space="preserve"> </w:t>
      </w:r>
      <w:r>
        <w:t xml:space="preserve">regulatory and economic treatment of all intermodal transport operations, be it domestic or cross-border, leading</w:t>
      </w:r>
      <w:r>
        <w:t xml:space="preserve"> </w:t>
      </w:r>
      <w:r>
        <w:t xml:space="preserve">also to higher environmental benefits. Expanding the framework also improves the effectiveness of the initiative in</w:t>
      </w:r>
      <w:r>
        <w:t xml:space="preserve"> </w:t>
      </w:r>
      <w:r>
        <w:t xml:space="preserve">terms of the uptake of non-road freight transport and its contribution to reducing the external costs and energy</w:t>
      </w:r>
      <w:r>
        <w:t xml:space="preserve"> </w:t>
      </w:r>
      <w:r>
        <w:t xml:space="preserve">needs, while limiting the scope only to international operations would cut the number of operations that overall</w:t>
      </w:r>
      <w:r>
        <w:t xml:space="preserve"> </w:t>
      </w:r>
      <w:r>
        <w:t xml:space="preserve">could help in achieving the EU Green Deal and SSMS milestones. From the internal market perspective, it needs to</w:t>
      </w:r>
      <w:r>
        <w:t xml:space="preserve"> </w:t>
      </w:r>
      <w:r>
        <w:t xml:space="preserve">be added that national support provided today is heterogeneous and 18 out 20 of respondents128 to the</w:t>
      </w:r>
      <w:r>
        <w:t xml:space="preserve"> </w:t>
      </w:r>
      <w:r>
        <w:t xml:space="preserve">stakeholders’ survey considered different measures in different Member States as a problem. PO-B2b, which</w:t>
      </w:r>
      <w:r>
        <w:t xml:space="preserve"> </w:t>
      </w:r>
      <w:r>
        <w:t xml:space="preserve">excludes domestic operations from the scope of the CTD, would at least partly keep the same situation, which</w:t>
      </w:r>
      <w:r>
        <w:t xml:space="preserve"> </w:t>
      </w:r>
      <w:r>
        <w:t xml:space="preserve">increases the complexity for operators and creates frictions in the internal market. For national authorities it could</w:t>
      </w:r>
      <w:r>
        <w:t xml:space="preserve"> </w:t>
      </w:r>
      <w:r>
        <w:t xml:space="preserve">be challenging to justify the existence of different support regimes for cross-border and for domestic operations or</w:t>
      </w:r>
      <w:r>
        <w:t xml:space="preserve"> </w:t>
      </w:r>
      <w:r>
        <w:t xml:space="preserve">to refuse to domestic operations the support they grant to cross-border operations. For this reason, the gain of</w:t>
      </w:r>
      <w:r>
        <w:t xml:space="preserve"> </w:t>
      </w:r>
      <w:r>
        <w:t xml:space="preserve">subsidiarity under BO-B2b, where domestic operations are excluded from the scope of the CTD, is limited.</w:t>
      </w:r>
      <w:r>
        <w:br/>
      </w:r>
      <w:r>
        <w:t xml:space="preserve">Bringing all operations into the scope of the CTD would not allow to completely eliminate this fragmentation (given</w:t>
      </w:r>
      <w:r>
        <w:t xml:space="preserve"> </w:t>
      </w:r>
      <w:r>
        <w:t xml:space="preserve">that Member States can always go further than the minimum requirements in the CTD, subject to compliance with</w:t>
      </w:r>
      <w:r>
        <w:t xml:space="preserve"> </w:t>
      </w:r>
      <w:r>
        <w:t xml:space="preserve">State aid rules) but can significantly reduce it. Having a common minimum support regime will also avoid the risk</w:t>
      </w:r>
      <w:r>
        <w:t xml:space="preserve"> </w:t>
      </w:r>
      <w:r>
        <w:t xml:space="preserve">of under-compensation of domestic operations129. The inclusion of domestic intermodal operations in the scope of</w:t>
      </w:r>
      <w:r>
        <w:t xml:space="preserve"> </w:t>
      </w:r>
      <w:r>
        <w:t xml:space="preserve">the Directive was also strongly supported by the stakeholders. The majority of survey respondents (22 out of 27)</w:t>
      </w:r>
      <w:r>
        <w:t xml:space="preserve"> </w:t>
      </w:r>
      <w:r>
        <w:t xml:space="preserve">and interviewees (17 out of 22) supported the extension of the scope of the CTD to cover all intermodal transport</w:t>
      </w:r>
      <w:r>
        <w:t xml:space="preserve"> </w:t>
      </w:r>
      <w:r>
        <w:t xml:space="preserve">that saves certain negative externalities.</w:t>
      </w:r>
      <w:r>
        <w:br/>
      </w:r>
      <w:r>
        <w:t xml:space="preserve">Second, PM 13 proposes to exempt road-legs of eligible operations from weekend and holiday driving bans,</w:t>
      </w:r>
      <w:r>
        <w:t xml:space="preserve"> </w:t>
      </w:r>
      <w:r>
        <w:t xml:space="preserve">including for domestic transport. Driving bans on roads during weekends and holidays, which today exist at least in</w:t>
      </w:r>
      <w:r>
        <w:t xml:space="preserve"> </w:t>
      </w:r>
      <w:r>
        <w:t xml:space="preserve">13 Member States, aim to reduce congestion, and improve safety on roads during those periods, where the roads</w:t>
      </w:r>
      <w:r>
        <w:t xml:space="preserve"> </w:t>
      </w:r>
      <w:r>
        <w:t xml:space="preserve">are used more for private travel. However, if applied to intermodal transport road legs, both in case of cross-</w:t>
      </w:r>
      <w:r>
        <w:t xml:space="preserve"> </w:t>
      </w:r>
      <w:r>
        <w:t xml:space="preserve">border or domestic intermodal operations, they create considerable problems for logistics chain, given that road</w:t>
      </w:r>
      <w:r>
        <w:t xml:space="preserve"> </w:t>
      </w:r>
      <w:r>
        <w:t xml:space="preserve">legs cannot be carried out directly before or after the non-road leg. This results in terminal yard congestion, large</w:t>
      </w:r>
      <w:r>
        <w:t xml:space="preserve"> </w:t>
      </w:r>
      <w:r>
        <w:t xml:space="preserve">traffic jams just before and after the driving ban times around terminals and inability to efficiently fill the rail, IWW</w:t>
      </w:r>
      <w:r>
        <w:t xml:space="preserve"> </w:t>
      </w:r>
      <w:r>
        <w:t xml:space="preserve">or SSS vehicle/vessel during such driving bans. EU level intervention to national rules in this regard is justified,</w:t>
      </w:r>
      <w:r>
        <w:t xml:space="preserve"> </w:t>
      </w:r>
      <w:r>
        <w:t xml:space="preserve">given that impacts of national bans reach across the borders, impacting the functioning of the internal market and</w:t>
      </w:r>
      <w:r>
        <w:t xml:space="preserve"> </w:t>
      </w:r>
      <w:r>
        <w:t xml:space="preserve">affecting the capacity usage on the TEN-T network. Removing driving bans for road vehicles carrying intermodal</w:t>
      </w:r>
      <w:r>
        <w:t xml:space="preserve"> </w:t>
      </w:r>
      <w:r>
        <w:t xml:space="preserve">units and being part of an intermodal solution (which constitute only 10% of road freight traffic) would allow to</w:t>
      </w:r>
      <w:r>
        <w:t xml:space="preserve"> </w:t>
      </w:r>
      <w:r>
        <w:t xml:space="preserve">exploit unused capacity during the period of driving ban for running more services130. This would allow better use</w:t>
      </w:r>
      <w:r>
        <w:t xml:space="preserve"> </w:t>
      </w:r>
      <w:r>
        <w:t xml:space="preserve">of rail and terminal infrastructure capacity. Recognising this fact, most Member States having bans, already apply</w:t>
      </w:r>
      <w:r>
        <w:t xml:space="preserve"> </w:t>
      </w:r>
      <w:r>
        <w:t xml:space="preserve">exemptions for intermodal transport road-legs131. However, these exemptions are very heterogeneous, not</w:t>
      </w:r>
      <w:r>
        <w:t xml:space="preserve"> </w:t>
      </w:r>
      <w:r>
        <w:t xml:space="preserve">following the definition established in the CTD and some are discriminatory. It should be noted that bans have a</w:t>
      </w:r>
      <w:r>
        <w:t xml:space="preserve"> </w:t>
      </w:r>
      <w:r>
        <w:t xml:space="preserve">similar effect to logistics chain and the use of infrastructure, be they applied to the road legs of cross-border or</w:t>
      </w:r>
      <w:r>
        <w:t xml:space="preserve"> </w:t>
      </w:r>
      <w:r>
        <w:t xml:space="preserve">domestic intermodal operations. Furthermore, as mentioned above, national authorities could find it difficult to</w:t>
      </w:r>
      <w:r>
        <w:t xml:space="preserve"> </w:t>
      </w:r>
      <w:r>
        <w:t xml:space="preserve">justify bans to domestic operations, while cross-border operations can run. Therefore, excluding domestic</w:t>
      </w:r>
      <w:r>
        <w:t xml:space="preserve"> </w:t>
      </w:r>
      <w:r>
        <w:t xml:space="preserve">operations from PM13 due to subsidiarity concerns, would add complexity and administrative burdens, while in</w:t>
      </w:r>
    </w:p>
    <w:p>
      <w:pPr>
        <w:pStyle w:val="BodyText"/>
      </w:pPr>
      <w:r>
        <w:t xml:space="preserve">128 13 out of 14 industry stakeholders and 5/6 authorities.</w:t>
      </w:r>
      <w:r>
        <w:t xml:space="preserve"> </w:t>
      </w:r>
      <w:r>
        <w:t xml:space="preserve">129 Today, several Member States do not provide any support.</w:t>
      </w:r>
      <w:r>
        <w:t xml:space="preserve"> </w:t>
      </w:r>
      <w:r>
        <w:t xml:space="preserve">130 For example, an intermodal rail service running five times per week can benefit from the driving ban exemption to</w:t>
      </w:r>
      <w:r>
        <w:t xml:space="preserve"> </w:t>
      </w:r>
      <w:r>
        <w:t xml:space="preserve">add an additional run during the weekend.</w:t>
      </w:r>
      <w:r>
        <w:t xml:space="preserve"> </w:t>
      </w:r>
      <w:r>
        <w:t xml:space="preserve">131 Five Member States do not have any exemptions for intermodal road legs from driving bans.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practice making little difference in the volume of traffic on the roads132.Therefore, sub-options of PO-B and option</w:t>
      </w:r>
      <w:r>
        <w:t xml:space="preserve"> </w:t>
      </w:r>
      <w:r>
        <w:t xml:space="preserve">PO-C, which include PM 13, would ensure uniform and equal application of what is already practice in several</w:t>
      </w:r>
      <w:r>
        <w:t xml:space="preserve"> </w:t>
      </w:r>
      <w:r>
        <w:t xml:space="preserve">Member States. The impact of PM13 over 2025-2050 is estimated at 0.4% increase in the intermodal</w:t>
      </w:r>
      <w:r>
        <w:t xml:space="preserve"> </w:t>
      </w:r>
      <w:r>
        <w:t xml:space="preserve">transport activity relative to the baseline.</w:t>
      </w:r>
      <w:r>
        <w:br/>
      </w:r>
      <w:r>
        <w:t xml:space="preserve">As regards proportionality, this proposal calls on Member States to implement economic and administrative</w:t>
      </w:r>
      <w:r>
        <w:t xml:space="preserve"> </w:t>
      </w:r>
      <w:r>
        <w:t xml:space="preserve">support measures,bwhere relevant, in compliance with State aid rules) to certain types of transport operations.</w:t>
      </w:r>
      <w:r>
        <w:t xml:space="preserve"> </w:t>
      </w:r>
      <w:r>
        <w:t xml:space="preserve">However, it is assessed that this support is proportional to achieve the policy objective. While none of the policy</w:t>
      </w:r>
      <w:r>
        <w:t xml:space="preserve"> </w:t>
      </w:r>
      <w:r>
        <w:t xml:space="preserve">options entirely eliminates the competitiveness gap between intermodal and road-only transport, PO-B1 and PO-</w:t>
      </w:r>
      <w:r>
        <w:t xml:space="preserve"> </w:t>
      </w:r>
      <w:r>
        <w:t xml:space="preserve">B2a ensure sufficient modal shift at reasonable cost (each 49 cents of support under PO-B2a generates 1 EUR</w:t>
      </w:r>
      <w:r>
        <w:t xml:space="preserve"> </w:t>
      </w:r>
      <w:r>
        <w:t xml:space="preserve">worth of reduction in external costs). PO-B2a has a similar benefit-cost ratio than PO-B2b, however it should be</w:t>
      </w:r>
      <w:r>
        <w:t xml:space="preserve"> </w:t>
      </w:r>
      <w:r>
        <w:t xml:space="preserve">noted that it is missing out on opportunities, leaving domestic operations with equivalent environmental benefits</w:t>
      </w:r>
      <w:r>
        <w:t xml:space="preserve"> </w:t>
      </w:r>
      <w:r>
        <w:t xml:space="preserve">without a support and thus resulting in 38% lower outcome on the benefits side.</w:t>
      </w:r>
      <w:r>
        <w:br/>
      </w:r>
      <w:r>
        <w:t xml:space="preserve">Legally, while some stakeholders were voicing preference for a Regulation, the choice of the instrument (revision</w:t>
      </w:r>
      <w:r>
        <w:t xml:space="preserve"> </w:t>
      </w:r>
      <w:r>
        <w:t xml:space="preserve">of the Directive) is adequate as it allows satisfactory achievement of the objectives while also ensuring adherence</w:t>
      </w:r>
      <w:r>
        <w:t xml:space="preserve"> </w:t>
      </w:r>
      <w:r>
        <w:t xml:space="preserve">to the subsidiarity principle.</w:t>
      </w:r>
      <w:r>
        <w:t xml:space="preserve"> </w:t>
      </w:r>
      <w:r>
        <w:t xml:space="preserve">Table 18 provides a summary of the comparison of the options against the baseline scenario in terms of</w:t>
      </w:r>
      <w:r>
        <w:t xml:space="preserve"> </w:t>
      </w:r>
      <w:r>
        <w:t xml:space="preserve">effectiveness, efficiency, coherence, subsidiarity and proportionality. The following ranking symbols have been</w:t>
      </w:r>
      <w:r>
        <w:t xml:space="preserve"> </w:t>
      </w:r>
      <w:r>
        <w:t xml:space="preserve">used: from</w:t>
      </w:r>
      <w:r>
        <w:t xml:space="preserve"> </w:t>
      </w:r>
      <w:r>
        <w:t xml:space="preserve">‘+’</w:t>
      </w:r>
      <w:r>
        <w:t xml:space="preserve"> </w:t>
      </w:r>
      <w:r>
        <w:t xml:space="preserve">(somewhat more effective/efficient/coherent/proportionate than the baseline) to</w:t>
      </w:r>
      <w:r>
        <w:t xml:space="preserve"> </w:t>
      </w:r>
      <w:r>
        <w:t xml:space="preserve">‘++++’</w:t>
      </w:r>
      <w:r>
        <w:t xml:space="preserve"> </w:t>
      </w:r>
      <w:r>
        <w:t xml:space="preserve">(much</w:t>
      </w:r>
      <w:r>
        <w:t xml:space="preserve"> </w:t>
      </w:r>
      <w:r>
        <w:t xml:space="preserve">more effective/efficient/coherent/proportionate than the baseline); from</w:t>
      </w:r>
      <w:r>
        <w:t xml:space="preserve"> </w:t>
      </w:r>
      <w:r>
        <w:t xml:space="preserve">‘-’</w:t>
      </w:r>
      <w:r>
        <w:t xml:space="preserve"> </w:t>
      </w:r>
      <w:r>
        <w:t xml:space="preserve">(somewhat less effective/</w:t>
      </w:r>
      <w:r>
        <w:t xml:space="preserve"> </w:t>
      </w:r>
      <w:r>
        <w:t xml:space="preserve">efficient/coherent/proportionate than the baseline) to</w:t>
      </w:r>
      <w:r>
        <w:t xml:space="preserve"> </w:t>
      </w:r>
      <w:r>
        <w:t xml:space="preserve">‘—-’</w:t>
      </w:r>
      <w:r>
        <w:t xml:space="preserve"> </w:t>
      </w:r>
      <w:r>
        <w:t xml:space="preserve">(much less effective/efficient/coherent/ proportionate</w:t>
      </w:r>
      <w:r>
        <w:t xml:space="preserve"> </w:t>
      </w:r>
      <w:r>
        <w:t xml:space="preserve">than the baseline).</w:t>
      </w:r>
      <w:r>
        <w:t xml:space="preserve"> </w:t>
      </w:r>
      <w:r>
        <w:t xml:space="preserve">Table 18: Comparison of options in terms of effectiveness, efficiency, coherence, subsidiarity and proportionality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Criteria</w:t>
      </w:r>
      <w:r>
        <w:t xml:space="preserve"> </w:t>
      </w:r>
      <w:r>
        <w:t xml:space="preserve">PO-A</w:t>
      </w:r>
      <w:r>
        <w:t xml:space="preserve"> </w:t>
      </w:r>
      <w:r>
        <w:t xml:space="preserve">PO-B1</w:t>
      </w:r>
      <w:r>
        <w:t xml:space="preserve"> </w:t>
      </w:r>
      <w:r>
        <w:t xml:space="preserve">PO-B2a</w:t>
      </w:r>
      <w:r>
        <w:t xml:space="preserve"> </w:t>
      </w:r>
      <w:r>
        <w:t xml:space="preserve">PO-B2b</w:t>
      </w:r>
      <w:r>
        <w:t xml:space="preserve"> </w:t>
      </w:r>
      <w:r>
        <w:t xml:space="preserve">PO-C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</w:t>
      </w:r>
      <w:r>
        <w:t xml:space="preserve"> </w:t>
      </w:r>
      <w:r>
        <w:t xml:space="preserve">++++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–</w:t>
      </w:r>
      <w:r>
        <w:t xml:space="preserve"> </w:t>
      </w:r>
      <w:r>
        <w:t xml:space="preserve">Coherence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Subsidiarity</w:t>
      </w:r>
      <w:r>
        <w:t xml:space="preserve"> </w:t>
      </w:r>
      <w:r>
        <w:t xml:space="preserve">0</w:t>
      </w:r>
      <w:r>
        <w:t xml:space="preserve"> </w:t>
      </w:r>
      <w:r>
        <w:t xml:space="preserve">+/-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Identification of the preferred policy option</w:t>
      </w:r>
      <w:r>
        <w:t xml:space="preserve"> </w:t>
      </w:r>
      <w:r>
        <w:t xml:space="preserve">Each of the options addresses the problems identified, their drivers and the specific objectives, however some</w:t>
      </w:r>
      <w:r>
        <w:t xml:space="preserve"> </w:t>
      </w:r>
      <w:r>
        <w:t xml:space="preserve">options are more effective in achieving the specific and general objectives. All PO-B sub-options and PO-C are</w:t>
      </w:r>
      <w:r>
        <w:t xml:space="preserve"> </w:t>
      </w:r>
      <w:r>
        <w:t xml:space="preserve">considerably more effective than PO-A. PO-A is only somewhat more effective than the baseline in delivering the</w:t>
      </w:r>
      <w:r>
        <w:t xml:space="preserve"> </w:t>
      </w:r>
      <w:r>
        <w:t xml:space="preserve">SO3 and SO4 and has weak effectiveness on SO1 and SO2 as well as on the general objective. PO-B1, PO-B2b and</w:t>
      </w:r>
      <w:r>
        <w:t xml:space="preserve"> </w:t>
      </w:r>
      <w:r>
        <w:t xml:space="preserve">PO-C are less effective than PO-B2a, as the latter is more effective in delivering on SO1 by having better balance of</w:t>
      </w:r>
      <w:r>
        <w:t xml:space="preserve"> </w:t>
      </w:r>
      <w:r>
        <w:t xml:space="preserve">different modal combinations (compared to PO-B1) and SO2 (compared to PO-B2b and PO-C).</w:t>
      </w:r>
      <w:r>
        <w:br/>
      </w:r>
      <w:r>
        <w:t xml:space="preserve">With respect to efficiency, PO-A and all PO-B sub-options result in net benefits relative to the baseline while PO-C</w:t>
      </w:r>
      <w:r>
        <w:t xml:space="preserve"> </w:t>
      </w:r>
      <w:r>
        <w:t xml:space="preserve">results in net costs. While PO-A has by far the highest benefit-cost ratio, it brings along very little modal shift and its</w:t>
      </w:r>
      <w:r>
        <w:t xml:space="preserve"> </w:t>
      </w:r>
      <w:r>
        <w:t xml:space="preserve">benefits are almost entirely limited to administrative cost savings for existing intermodal operations. PO-B1 and</w:t>
      </w:r>
      <w:r>
        <w:t xml:space="preserve"> </w:t>
      </w:r>
      <w:r>
        <w:t xml:space="preserve">PO-B2a produce comparable total modal shift and have a similar benefit-cost ratio, but PO-B1 does not allow equal</w:t>
      </w:r>
      <w:r>
        <w:t xml:space="preserve"> </w:t>
      </w:r>
      <w:r>
        <w:t xml:space="preserve">access to support for all modal combinations and would result in support to RR operations even if major part of</w:t>
      </w:r>
    </w:p>
    <w:p>
      <w:pPr>
        <w:pStyle w:val="BodyText"/>
      </w:pPr>
      <w:r>
        <w:t xml:space="preserve">132 No data is available to assess what is the volume of national operations in five Member States which today do not</w:t>
      </w:r>
      <w:r>
        <w:t xml:space="preserve"> </w:t>
      </w:r>
      <w:r>
        <w:t xml:space="preserve">exempt the road legs of the intermodal transport from the weekend and holiday driving bans. But applying EU averages,</w:t>
      </w:r>
      <w:r>
        <w:t xml:space="preserve"> </w:t>
      </w:r>
      <w:r>
        <w:t xml:space="preserve">the share of road legs affected could be around 2% (assuming that 10% of road transport is related to road legs of</w:t>
      </w:r>
      <w:r>
        <w:t xml:space="preserve"> </w:t>
      </w:r>
      <w:r>
        <w:t xml:space="preserve">intermodal operations and about 20% of those are national operations).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operation takes place on road. PO-B2b has a similar benefit-cost ratio to PO-B1 and PO-B2a but its impact on total</w:t>
      </w:r>
      <w:r>
        <w:t xml:space="preserve"> </w:t>
      </w:r>
      <w:r>
        <w:t xml:space="preserve">modal shift and reduction in external costs is more limited because it only covers cross-border intra-EU operations.</w:t>
      </w:r>
      <w:r>
        <w:t xml:space="preserve"> </w:t>
      </w:r>
      <w:r>
        <w:t xml:space="preserve">In comparison to PO-B1 and PO-B2a it has also less potential in reducing the frictions in the internal market, given</w:t>
      </w:r>
      <w:r>
        <w:t xml:space="preserve"> </w:t>
      </w:r>
      <w:r>
        <w:t xml:space="preserve">that domestic operations are not covered.</w:t>
      </w:r>
      <w:r>
        <w:t xml:space="preserve"> </w:t>
      </w:r>
      <w:r>
        <w:t xml:space="preserve">Concerning coherence, all policy options are coherent between their various elements and with relevant EU</w:t>
      </w:r>
      <w:r>
        <w:t xml:space="preserve"> </w:t>
      </w:r>
      <w:r>
        <w:t xml:space="preserve">legislation. However, PO-A could be considered under-ambitious as regards the objectives set in the European</w:t>
      </w:r>
      <w:r>
        <w:t xml:space="preserve"> </w:t>
      </w:r>
      <w:r>
        <w:t xml:space="preserve">Green Deal and SSMS, given that it does not deliver sufficient modal shift. PO-B sub-options and PO-C are broadly</w:t>
      </w:r>
      <w:r>
        <w:t xml:space="preserve"> </w:t>
      </w:r>
      <w:r>
        <w:t xml:space="preserve">comparable in their coherence in this regard. PO-B1, where eligibility is based on GHG alone, is not coherent with</w:t>
      </w:r>
      <w:r>
        <w:t xml:space="preserve"> </w:t>
      </w:r>
      <w:r>
        <w:t xml:space="preserve">current State aid practice which calculate eligible costs based on saved externalities. PO-B2b is slightly less</w:t>
      </w:r>
      <w:r>
        <w:t xml:space="preserve"> </w:t>
      </w:r>
      <w:r>
        <w:t xml:space="preserve">coherent than PO-B2a given that it has narrower eligibility scope. In terms of subsidiarity, PO-A ensures high</w:t>
      </w:r>
      <w:r>
        <w:t xml:space="preserve"> </w:t>
      </w:r>
      <w:r>
        <w:t xml:space="preserve">consistency with the subsidiarity principle by leaving the decision on support entirely to Member States, while PO-</w:t>
      </w:r>
      <w:r>
        <w:t xml:space="preserve"> </w:t>
      </w:r>
      <w:r>
        <w:t xml:space="preserve">C ranks low as it enforces harmonised support and budget expenditure. PO-B1 and PO-B2a ensure a balanced</w:t>
      </w:r>
      <w:r>
        <w:t xml:space="preserve"> </w:t>
      </w:r>
      <w:r>
        <w:t xml:space="preserve">outcome by providing for a common framework to support equal treatment of all intermodal operations and</w:t>
      </w:r>
      <w:r>
        <w:t xml:space="preserve"> </w:t>
      </w:r>
      <w:r>
        <w:t xml:space="preserve">reduces fragmentation of the internal market, while granting flexibility to Member States to design their support</w:t>
      </w:r>
      <w:r>
        <w:t xml:space="preserve"> </w:t>
      </w:r>
      <w:r>
        <w:t xml:space="preserve">measures effectively according to the local situation. PO-B2b. leaving domestic operations out of scope, has a slight</w:t>
      </w:r>
      <w:r>
        <w:t xml:space="preserve"> </w:t>
      </w:r>
      <w:r>
        <w:t xml:space="preserve">advantage with regards to the subsidiarity principle, which is however mitigated by a compromise between</w:t>
      </w:r>
      <w:r>
        <w:t xml:space="preserve"> </w:t>
      </w:r>
      <w:r>
        <w:t xml:space="preserve">subsidiarity and effectiveness and by questions of practical consequences as explained section 7.4. Finally, as</w:t>
      </w:r>
      <w:r>
        <w:t xml:space="preserve"> </w:t>
      </w:r>
      <w:r>
        <w:t xml:space="preserve">regards proportionality, PO-B will strike the best balance by achieving the objectives in a coherent and effective</w:t>
      </w:r>
      <w:r>
        <w:t xml:space="preserve"> </w:t>
      </w:r>
      <w:r>
        <w:t xml:space="preserve">way, while leaving the necessary scope for national decision. This is particularly the case for PO-B2a which has the</w:t>
      </w:r>
      <w:r>
        <w:t xml:space="preserve"> </w:t>
      </w:r>
      <w:r>
        <w:t xml:space="preserve">highest net benefits. The proportionality of PO-B2b is somewhat lower, given that its intervention level can be</w:t>
      </w:r>
      <w:r>
        <w:t xml:space="preserve"> </w:t>
      </w:r>
      <w:r>
        <w:t xml:space="preserve">suboptimal, leaving some domestic operations, with equivalent environmental benefits, without support.</w:t>
      </w:r>
      <w:r>
        <w:br/>
      </w:r>
      <w:r>
        <w:t xml:space="preserve">Thus, the preferred policy option is PO-B2a. It delivers on the objective by ensuring the highest modal shift and</w:t>
      </w:r>
      <w:r>
        <w:t xml:space="preserve"> </w:t>
      </w:r>
      <w:r>
        <w:t xml:space="preserve">external cost savings with a good benefit-cost ratio, while also ensuring coherence, proportionality and</w:t>
      </w:r>
      <w:r>
        <w:t xml:space="preserve"> </w:t>
      </w:r>
      <w:r>
        <w:t xml:space="preserve">subsidiarity. The envisaged substantial public support is necessary to compensate competitiveness gap of the</w:t>
      </w:r>
      <w:r>
        <w:t xml:space="preserve"> </w:t>
      </w:r>
      <w:r>
        <w:t xml:space="preserve">intermodal transport until the parallel instruments tackling externalities of transport, both at EU and national level,</w:t>
      </w:r>
      <w:r>
        <w:t xml:space="preserve"> </w:t>
      </w:r>
      <w:r>
        <w:t xml:space="preserve">kick in. PO-B2a is also the most effective, efficient and coherent policy response to tackle specific externalities that</w:t>
      </w:r>
      <w:r>
        <w:t xml:space="preserve"> </w:t>
      </w:r>
      <w:r>
        <w:t xml:space="preserve">are prominent in road transport, namely congestion, accidents and pollution and which are hard to abate with</w:t>
      </w:r>
      <w:r>
        <w:t xml:space="preserve"> </w:t>
      </w:r>
      <w:r>
        <w:t xml:space="preserve">mode based measures. Given that the support measures are meant to be regularly assessed and adjusted in light</w:t>
      </w:r>
      <w:r>
        <w:t xml:space="preserve"> </w:t>
      </w:r>
      <w:r>
        <w:t xml:space="preserve">of regulatory and market developments, PO-B2a represents a balanced approach to achieving a level playing field</w:t>
      </w:r>
      <w:r>
        <w:t xml:space="preserve"> </w:t>
      </w:r>
      <w:r>
        <w:t xml:space="preserve">between transport modes, allowing to frontload to the extent possible the savings in transport externalities. The</w:t>
      </w:r>
      <w:r>
        <w:t xml:space="preserve"> </w:t>
      </w:r>
      <w:r>
        <w:t xml:space="preserve">measures in the preferred option are broadly supported by stakeholders, in particular to have a more robust</w:t>
      </w:r>
      <w:r>
        <w:t xml:space="preserve"> </w:t>
      </w:r>
      <w:r>
        <w:t xml:space="preserve">eligibility criteria, allowing to treat all modal combinations equally. For the savings’ threshold, stakeholders</w:t>
      </w:r>
      <w:r>
        <w:t xml:space="preserve"> </w:t>
      </w:r>
      <w:r>
        <w:t xml:space="preserve">supported inclusion of a wider set of externalities, rather than only GHG; there was however no consensus on the</w:t>
      </w:r>
      <w:r>
        <w:t xml:space="preserve"> </w:t>
      </w:r>
      <w:r>
        <w:t xml:space="preserve">level of the threshold. Stakeholders also supported the inclusion of domestic operations within the scope,</w:t>
      </w:r>
      <w:r>
        <w:t xml:space="preserve"> </w:t>
      </w:r>
      <w:r>
        <w:t xml:space="preserve">maintaining existing regulatory measures (ban of quotas and allowing to use of non-resident hauliers for road legs</w:t>
      </w:r>
      <w:r>
        <w:t xml:space="preserve"> </w:t>
      </w:r>
      <w:r>
        <w:t xml:space="preserve">for cross-border operations) and agreed that implementing some support measures should be mandatory for</w:t>
      </w:r>
      <w:r>
        <w:t xml:space="preserve"> </w:t>
      </w:r>
      <w:r>
        <w:t xml:space="preserve">Member States. There was also strong support for better information availability on terminals.</w:t>
      </w:r>
      <w:r>
        <w:t xml:space="preserve"> </w:t>
      </w:r>
      <w:r>
        <w:t xml:space="preserve">PO-B2a complies with the principle of “do no significant harm” and delivers overall positive environmental impact</w:t>
      </w:r>
      <w:r>
        <w:t xml:space="preserve"> </w:t>
      </w:r>
      <w:r>
        <w:t xml:space="preserve">in compliance with the “digital by default” principle.</w:t>
      </w:r>
      <w:r>
        <w:br/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amendment to the CTD was part of the REFIT initiatives in 2017. However, the current revision is</w:t>
      </w:r>
      <w:r>
        <w:t xml:space="preserve"> </w:t>
      </w:r>
      <w:r>
        <w:t xml:space="preserve">considered a new initiative under the Commission Work Programme 2023 under the heading A European</w:t>
      </w:r>
      <w:r>
        <w:t xml:space="preserve"> </w:t>
      </w:r>
      <w:r>
        <w:t xml:space="preserve">Green Deal133, as it takes a new and different approach to eligibility and support. The new eligibility</w:t>
      </w:r>
      <w:r>
        <w:t xml:space="preserve"> </w:t>
      </w:r>
      <w:r>
        <w:t xml:space="preserve">conditions, combined with an eligibility “calculator” on an eFTI platform and with increased and targeted</w:t>
      </w:r>
      <w:r>
        <w:t xml:space="preserve"> </w:t>
      </w:r>
      <w:r>
        <w:t xml:space="preserve">support is expected to considerably increase the efficiency of the CTD. The revision ensures considerable</w:t>
      </w:r>
      <w:r>
        <w:t xml:space="preserve"> </w:t>
      </w:r>
      <w:r>
        <w:t xml:space="preserve">simplification of procedures also to existing operations thanks to the use of eFTI platforms (PM3) that allow</w:t>
      </w:r>
    </w:p>
    <w:p>
      <w:pPr>
        <w:pStyle w:val="BodyText"/>
      </w:pPr>
      <w:r>
        <w:t xml:space="preserve">133 COM(2022) 548 final.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to simplify the proof of eligibility for industry as well as control of eligibility for public authorities. The use</w:t>
      </w:r>
      <w:r>
        <w:t xml:space="preserve"> </w:t>
      </w:r>
      <w:r>
        <w:t xml:space="preserve">of eFTI will also simplify the preparation of applications for support for the industry and allow to gather</w:t>
      </w:r>
      <w:r>
        <w:t xml:space="preserve"> </w:t>
      </w:r>
      <w:r>
        <w:t xml:space="preserve">information about intermodal operations benefitting from this Directive.</w:t>
      </w:r>
      <w:r>
        <w:br/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The preferred option (PO-B2a) is expected to deliver significant recurrent administrative cost savings for businesses</w:t>
      </w:r>
      <w:r>
        <w:t xml:space="preserve"> </w:t>
      </w:r>
      <w:r>
        <w:t xml:space="preserve">operating in the intermodal sector. As explained in section 6.1.4, thanks to the proof of eligibility that is</w:t>
      </w:r>
      <w:r>
        <w:t xml:space="preserve"> </w:t>
      </w:r>
      <w:r>
        <w:t xml:space="preserve">implemented via the eFTI platforms (PM3), operators engaged in intermodal transport will benefit from not having</w:t>
      </w:r>
      <w:r>
        <w:t xml:space="preserve"> </w:t>
      </w:r>
      <w:r>
        <w:t xml:space="preserve">to manage paper-based transport documents, in particular for road-side checks. The recurrent costs savings for</w:t>
      </w:r>
      <w:r>
        <w:t xml:space="preserve"> </w:t>
      </w:r>
      <w:r>
        <w:t xml:space="preserve">businesses due to the use of electronic data are estimated at EUR 0.43 bn per year134. At the same time, under the</w:t>
      </w:r>
      <w:r>
        <w:t xml:space="preserve"> </w:t>
      </w:r>
      <w:r>
        <w:t xml:space="preserve">new transparency rules (PM16), terminals will incur administrative costs for updating the information required to</w:t>
      </w:r>
      <w:r>
        <w:t xml:space="preserve"> </w:t>
      </w:r>
      <w:r>
        <w:t xml:space="preserve">be published on their website. The recurrent annual average cost per terminal during 2025-2035 is estimated at</w:t>
      </w:r>
      <w:r>
        <w:t xml:space="preserve"> </w:t>
      </w:r>
      <w:r>
        <w:t xml:space="preserve">EUR 6.2. Considering the 980 intermodal terminals in the EU, the average annual costs are estimated at EUR 6,100.</w:t>
      </w:r>
      <w:r>
        <w:t xml:space="preserve"> </w:t>
      </w:r>
      <w:r>
        <w:t xml:space="preserve">The administrative costs savings largely outweigh the costs and thus the net recurrent administrative cost savings</w:t>
      </w:r>
      <w:r>
        <w:t xml:space="preserve"> </w:t>
      </w:r>
      <w:r>
        <w:t xml:space="preserve">for businesses under the ‘one in, one out’ approach are estimated at EUR 0.43 bn annually.</w:t>
      </w:r>
      <w:r>
        <w:br/>
      </w:r>
      <w:r>
        <w:t xml:space="preserve">In addition, as explained in section 6.1.4, the preferred policy option is expected to result in one-off adjustment</w:t>
      </w:r>
      <w:r>
        <w:t xml:space="preserve"> </w:t>
      </w:r>
      <w:r>
        <w:t xml:space="preserve">costs for businesses estimated at EUR 0.3 million.</w:t>
      </w:r>
      <w:r>
        <w:br/>
      </w:r>
      <w:r>
        <w:t xml:space="preserve">8.4.</w:t>
      </w:r>
      <w:r>
        <w:t xml:space="preserve"> </w:t>
      </w:r>
      <w:r>
        <w:t xml:space="preserve">Sensitivity analysis for the preferred policy option</w:t>
      </w:r>
      <w:r>
        <w:t xml:space="preserve"> </w:t>
      </w:r>
      <w:r>
        <w:t xml:space="preserve">Sensitivity analysis has been performed for the preferred policy option (PO-B2a), assuming different eligibility</w:t>
      </w:r>
      <w:r>
        <w:t xml:space="preserve"> </w:t>
      </w:r>
      <w:r>
        <w:t xml:space="preserve">thresholds for the external costs savings when using an intermodal operation instead of road-only. More</w:t>
      </w:r>
      <w:r>
        <w:t xml:space="preserve"> </w:t>
      </w:r>
      <w:r>
        <w:t xml:space="preserve">specifically, two alternative eligibility thresholds have been assessed: 30% external costs savings (PO-B2a - Case 1)</w:t>
      </w:r>
      <w:r>
        <w:t xml:space="preserve"> </w:t>
      </w:r>
      <w:r>
        <w:t xml:space="preserve">and 50% external costs savings (PO-B2a - Case 2). They are compared to PO-B2a (Central case), which includes an</w:t>
      </w:r>
      <w:r>
        <w:t xml:space="preserve"> </w:t>
      </w:r>
      <w:r>
        <w:t xml:space="preserve">eligibility threshold of 40% external costs savings. All other measures included in PO-B2a (Case 1) and PO-B2a (Case</w:t>
      </w:r>
      <w:r>
        <w:t xml:space="preserve"> </w:t>
      </w:r>
      <w:r>
        <w:t xml:space="preserve">2) are the same as in PO-B2a (Central case).</w:t>
      </w:r>
      <w:r>
        <w:t xml:space="preserve"> </w:t>
      </w:r>
      <w:r>
        <w:t xml:space="preserve">As shown in section 3.1.1 of Annex 4 (Table 35), the breakeven distances increase with the eligibility threshold. This</w:t>
      </w:r>
      <w:r>
        <w:t xml:space="preserve"> </w:t>
      </w:r>
      <w:r>
        <w:t xml:space="preserve">means that a lower number of intermodal operations get support, the higher the eligibility threshold. Thus, as</w:t>
      </w:r>
      <w:r>
        <w:t xml:space="preserve"> </w:t>
      </w:r>
      <w:r>
        <w:t xml:space="preserve">illustrated in Table 19, PO-B2a (Case 1) results in higher increase in total intermodal transport volumes relative to</w:t>
      </w:r>
      <w:r>
        <w:t xml:space="preserve"> </w:t>
      </w:r>
      <w:r>
        <w:t xml:space="preserve">PO-B2a (Central case) and PO-B2a (Case 2) in lower increase in total intermodal transport volumes relative to PO-</w:t>
      </w:r>
      <w:r>
        <w:t xml:space="preserve"> </w:t>
      </w:r>
      <w:r>
        <w:t xml:space="preserve">B2a (Central case). Cumulatively over 2025-2050, the total additional intermodal volumes for PO-B2a (Case 1) are</w:t>
      </w:r>
      <w:r>
        <w:t xml:space="preserve"> </w:t>
      </w:r>
      <w:r>
        <w:t xml:space="preserve">estimated at 1,430 bn tkm, for PO-B2a (Central case) at 1,391 bn tkm and for PO-B2a (Case 2) at 1,244 bn tkm,</w:t>
      </w:r>
      <w:r>
        <w:t xml:space="preserve"> </w:t>
      </w:r>
      <w:r>
        <w:t xml:space="preserve">relative to the baseline.</w:t>
      </w:r>
      <w:r>
        <w:br/>
      </w:r>
      <w:r>
        <w:t xml:space="preserve">Table 19: Modal shift (traffic volume of new non-road legs) and total intermodal transport (incl. road legs) that would</w:t>
      </w:r>
      <w:r>
        <w:t xml:space="preserve"> </w:t>
      </w:r>
      <w:r>
        <w:t xml:space="preserve">be induced by PO-B2a (Case 1), PO-B2a (Central case) and PO-B2a (Case 2) and growth compared to the baseline in</w:t>
      </w:r>
      <w:r>
        <w:t xml:space="preserve"> </w:t>
      </w:r>
      <w:r>
        <w:t xml:space="preserve">2030 and 2050 (bn tkm)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Rail</w:t>
      </w:r>
      <w:r>
        <w:t xml:space="preserve"> </w:t>
      </w:r>
      <w:r>
        <w:t xml:space="preserve">IWW</w:t>
      </w:r>
      <w:r>
        <w:t xml:space="preserve"> </w:t>
      </w:r>
      <w:r>
        <w:t xml:space="preserve">SSS</w:t>
      </w:r>
      <w:r>
        <w:t xml:space="preserve"> </w:t>
      </w:r>
      <w:r>
        <w:t xml:space="preserve">Rail</w:t>
      </w:r>
      <w:r>
        <w:t xml:space="preserve"> </w:t>
      </w:r>
      <w:r>
        <w:t xml:space="preserve">IWW</w:t>
      </w:r>
      <w:r>
        <w:t xml:space="preserve"> </w:t>
      </w:r>
      <w:r>
        <w:t xml:space="preserve">SSS</w:t>
      </w:r>
      <w:r>
        <w:t xml:space="preserve"> </w:t>
      </w:r>
      <w:r>
        <w:t xml:space="preserve">Total</w:t>
      </w:r>
      <w:r>
        <w:br/>
      </w:r>
      <w:r>
        <w:t xml:space="preserve">%</w:t>
      </w:r>
      <w:r>
        <w:t xml:space="preserve"> </w:t>
      </w:r>
      <w:r>
        <w:t xml:space="preserve">growth</w:t>
      </w:r>
      <w:r>
        <w:br/>
      </w:r>
      <w:r>
        <w:t xml:space="preserve">Total</w:t>
      </w:r>
      <w:r>
        <w:br/>
      </w:r>
      <w:r>
        <w:t xml:space="preserve">%</w:t>
      </w:r>
      <w:r>
        <w:t xml:space="preserve"> </w:t>
      </w:r>
      <w:r>
        <w:t xml:space="preserve">growth</w:t>
      </w:r>
      <w:r>
        <w:t xml:space="preserve"> </w:t>
      </w:r>
      <w:r>
        <w:t xml:space="preserve">intermodal</w:t>
      </w:r>
      <w:r>
        <w:t xml:space="preserve"> </w:t>
      </w:r>
      <w:r>
        <w:t xml:space="preserve">intermodal</w:t>
      </w:r>
      <w:r>
        <w:t xml:space="preserve"> </w:t>
      </w:r>
      <w:r>
        <w:t xml:space="preserve">PO-B2a – Case 1 (30%</w:t>
      </w:r>
      <w:r>
        <w:t xml:space="preserve"> </w:t>
      </w:r>
      <w:r>
        <w:t xml:space="preserve">reduction in external costs)</w:t>
      </w:r>
      <w:r>
        <w:t xml:space="preserve"> </w:t>
      </w:r>
      <w:r>
        <w:t xml:space="preserve">17.1</w:t>
      </w:r>
      <w:r>
        <w:t xml:space="preserve"> </w:t>
      </w:r>
      <w:r>
        <w:t xml:space="preserve">0.6</w:t>
      </w:r>
      <w:r>
        <w:t xml:space="preserve"> </w:t>
      </w:r>
      <w:r>
        <w:t xml:space="preserve">11.6</w:t>
      </w:r>
      <w:r>
        <w:t xml:space="preserve"> </w:t>
      </w:r>
      <w:r>
        <w:t xml:space="preserve">38.7</w:t>
      </w:r>
      <w:r>
        <w:t xml:space="preserve"> </w:t>
      </w:r>
      <w:r>
        <w:t xml:space="preserve">0.8</w:t>
      </w:r>
      <w:r>
        <w:t xml:space="preserve"> </w:t>
      </w:r>
      <w:r>
        <w:t xml:space="preserve">14.7</w:t>
      </w:r>
      <w:r>
        <w:t xml:space="preserve"> </w:t>
      </w:r>
      <w:r>
        <w:t xml:space="preserve">38.2</w:t>
      </w:r>
      <w:r>
        <w:t xml:space="preserve"> </w:t>
      </w:r>
      <w:r>
        <w:t xml:space="preserve">5.4%</w:t>
      </w:r>
      <w:r>
        <w:t xml:space="preserve"> </w:t>
      </w:r>
      <w:r>
        <w:t xml:space="preserve">69.1</w:t>
      </w:r>
      <w:r>
        <w:t xml:space="preserve"> </w:t>
      </w:r>
      <w:r>
        <w:t xml:space="preserve">6.8%</w:t>
      </w:r>
      <w:r>
        <w:t xml:space="preserve"> </w:t>
      </w:r>
      <w:r>
        <w:t xml:space="preserve">PO-B2a – Central case (40%</w:t>
      </w:r>
      <w:r>
        <w:t xml:space="preserve"> </w:t>
      </w:r>
      <w:r>
        <w:t xml:space="preserve">reduction in external costs)</w:t>
      </w:r>
      <w:r>
        <w:t xml:space="preserve"> </w:t>
      </w:r>
      <w:r>
        <w:t xml:space="preserve">16.6</w:t>
      </w:r>
      <w:r>
        <w:t xml:space="preserve"> </w:t>
      </w:r>
      <w:r>
        <w:t xml:space="preserve">0.6</w:t>
      </w:r>
      <w:r>
        <w:t xml:space="preserve"> </w:t>
      </w:r>
      <w:r>
        <w:t xml:space="preserve">11.5</w:t>
      </w:r>
      <w:r>
        <w:t xml:space="preserve"> </w:t>
      </w:r>
      <w:r>
        <w:t xml:space="preserve">36.8</w:t>
      </w:r>
      <w:r>
        <w:t xml:space="preserve"> </w:t>
      </w:r>
      <w:r>
        <w:t xml:space="preserve">0.8</w:t>
      </w:r>
      <w:r>
        <w:t xml:space="preserve"> </w:t>
      </w:r>
      <w:r>
        <w:t xml:space="preserve">14.7</w:t>
      </w:r>
      <w:r>
        <w:t xml:space="preserve"> </w:t>
      </w:r>
      <w:r>
        <w:t xml:space="preserve">37.7</w:t>
      </w:r>
      <w:r>
        <w:t xml:space="preserve"> </w:t>
      </w:r>
      <w:r>
        <w:t xml:space="preserve">5.3%</w:t>
      </w:r>
      <w:r>
        <w:t xml:space="preserve"> </w:t>
      </w:r>
      <w:r>
        <w:t xml:space="preserve">67.5</w:t>
      </w:r>
      <w:r>
        <w:t xml:space="preserve"> </w:t>
      </w:r>
      <w:r>
        <w:t xml:space="preserve">6.6%</w:t>
      </w:r>
      <w:r>
        <w:t xml:space="preserve"> </w:t>
      </w:r>
      <w:r>
        <w:t xml:space="preserve">PO-B2a – Case 2 (50%</w:t>
      </w:r>
      <w:r>
        <w:t xml:space="preserve"> </w:t>
      </w:r>
      <w:r>
        <w:t xml:space="preserve">reduction in external costs)</w:t>
      </w:r>
      <w:r>
        <w:t xml:space="preserve"> </w:t>
      </w:r>
      <w:r>
        <w:t xml:space="preserve">14.7</w:t>
      </w:r>
      <w:r>
        <w:t xml:space="preserve"> </w:t>
      </w:r>
      <w:r>
        <w:t xml:space="preserve">0.5</w:t>
      </w:r>
      <w:r>
        <w:t xml:space="preserve"> </w:t>
      </w:r>
      <w:r>
        <w:t xml:space="preserve">11.5</w:t>
      </w:r>
      <w:r>
        <w:t xml:space="preserve"> </w:t>
      </w:r>
      <w:r>
        <w:t xml:space="preserve">30.2</w:t>
      </w:r>
      <w:r>
        <w:t xml:space="preserve"> </w:t>
      </w:r>
      <w:r>
        <w:t xml:space="preserve">0.7</w:t>
      </w:r>
      <w:r>
        <w:t xml:space="preserve"> </w:t>
      </w:r>
      <w:r>
        <w:t xml:space="preserve">14.6</w:t>
      </w:r>
      <w:r>
        <w:t xml:space="preserve"> </w:t>
      </w:r>
      <w:r>
        <w:t xml:space="preserve">35.0</w:t>
      </w:r>
      <w:r>
        <w:t xml:space="preserve"> </w:t>
      </w:r>
      <w:r>
        <w:t xml:space="preserve">4.9%</w:t>
      </w:r>
      <w:r>
        <w:t xml:space="preserve"> </w:t>
      </w:r>
      <w:r>
        <w:t xml:space="preserve">61.1</w:t>
      </w:r>
      <w:r>
        <w:t xml:space="preserve"> </w:t>
      </w:r>
      <w:r>
        <w:t xml:space="preserve">6.0%</w:t>
      </w:r>
      <w:r>
        <w:t xml:space="preserve"> </w:t>
      </w:r>
      <w:r>
        <w:t xml:space="preserve">Source: Ricardo et al. support study (2023)</w:t>
      </w:r>
    </w:p>
    <w:p>
      <w:pPr>
        <w:pStyle w:val="BodyText"/>
      </w:pPr>
      <w:r>
        <w:t xml:space="preserve">134 To calculate the costs savings for the application of the ‘one in, one out’ approach, the cost saving per shipment is</w:t>
      </w:r>
      <w:r>
        <w:t xml:space="preserve"> </w:t>
      </w:r>
      <w:r>
        <w:t xml:space="preserve">estimated at 5 EUR while the number of shipments at 0.087 billion.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The higher shift to intermodal transport in PO-B2a (Case 1) relative to PO-B2a (Central case) leads to</w:t>
      </w:r>
      <w:r>
        <w:t xml:space="preserve"> </w:t>
      </w:r>
      <w:r>
        <w:t xml:space="preserve">higher total costs relative to the baseline due to larger economic cost of support, but also to higher benefits</w:t>
      </w:r>
      <w:r>
        <w:t xml:space="preserve"> </w:t>
      </w:r>
      <w:r>
        <w:t xml:space="preserve">due to the external costs savings. The opposite is true for PO-B2a (Case 2), which results in lower total costs</w:t>
      </w:r>
      <w:r>
        <w:t xml:space="preserve"> </w:t>
      </w:r>
      <w:r>
        <w:t xml:space="preserve">and benefits compared to the baseline relative to PO-B2a (Central case). The total costs, total benefits, and</w:t>
      </w:r>
      <w:r>
        <w:t xml:space="preserve"> </w:t>
      </w:r>
      <w:r>
        <w:t xml:space="preserve">net benefits for PO-B2a (Case 1), PO-B2a (Central case) and PO-B2a (Case 2) are shown in Table 20. In</w:t>
      </w:r>
      <w:r>
        <w:t xml:space="preserve"> </w:t>
      </w:r>
      <w:r>
        <w:t xml:space="preserve">terms of benefits to costs ratio, the three cases are similar to each other and also to PO-B1 and PO-B2b (as</w:t>
      </w:r>
      <w:r>
        <w:t xml:space="preserve"> </w:t>
      </w:r>
      <w:r>
        <w:t xml:space="preserve">illustrated in section 7.2), showing that the ranking of the options in terms of efficiency would not change</w:t>
      </w:r>
      <w:r>
        <w:t xml:space="preserve"> </w:t>
      </w:r>
      <w:r>
        <w:t xml:space="preserve">with lower or higher eligibility thresholds.</w:t>
      </w:r>
      <w:r>
        <w:br/>
      </w:r>
      <w:r>
        <w:t xml:space="preserve">Table 20: Summary of costs and benefits for PO-B2a (Case 1), PO-B2a (Central case) and PO-B2a (Case 2) - present</w:t>
      </w:r>
      <w:r>
        <w:t xml:space="preserve"> </w:t>
      </w:r>
      <w:r>
        <w:t xml:space="preserve">value for 2025-2050 compared to the baseline (in million EUR)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PO-B2a (Case 1)</w:t>
      </w:r>
      <w:r>
        <w:t xml:space="preserve"> </w:t>
      </w:r>
      <w:r>
        <w:t xml:space="preserve">PO-B2a (Central case)</w:t>
      </w:r>
      <w:r>
        <w:t xml:space="preserve"> </w:t>
      </w:r>
      <w:r>
        <w:t xml:space="preserve">PO-B2a (Case 2)</w:t>
      </w:r>
      <w:r>
        <w:t xml:space="preserve"> </w:t>
      </w:r>
      <w:r>
        <w:t xml:space="preserve">Total costs</w:t>
      </w:r>
      <w:r>
        <w:t xml:space="preserve"> </w:t>
      </w:r>
      <w:r>
        <w:t xml:space="preserve">7,662.8</w:t>
      </w:r>
      <w:r>
        <w:t xml:space="preserve"> </w:t>
      </w:r>
      <w:r>
        <w:t xml:space="preserve">7,485.2</w:t>
      </w:r>
      <w:r>
        <w:t xml:space="preserve"> </w:t>
      </w:r>
      <w:r>
        <w:t xml:space="preserve">6,870.7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19,786.5</w:t>
      </w:r>
      <w:r>
        <w:t xml:space="preserve"> </w:t>
      </w:r>
      <w:r>
        <w:t xml:space="preserve">19,602.5</w:t>
      </w:r>
      <w:r>
        <w:t xml:space="preserve"> </w:t>
      </w:r>
      <w:r>
        <w:t xml:space="preserve">18,038.1</w:t>
      </w:r>
      <w:r>
        <w:t xml:space="preserve"> </w:t>
      </w:r>
      <w:r>
        <w:t xml:space="preserve">Net benefits</w:t>
      </w:r>
      <w:r>
        <w:t xml:space="preserve"> </w:t>
      </w:r>
      <w:r>
        <w:t xml:space="preserve">12,123.6</w:t>
      </w:r>
      <w:r>
        <w:t xml:space="preserve"> </w:t>
      </w:r>
      <w:r>
        <w:t xml:space="preserve">12,117.3</w:t>
      </w:r>
      <w:r>
        <w:t xml:space="preserve"> </w:t>
      </w:r>
      <w:r>
        <w:t xml:space="preserve">11,167.4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2.58</w:t>
      </w:r>
      <w:r>
        <w:t xml:space="preserve"> </w:t>
      </w:r>
      <w:r>
        <w:t xml:space="preserve">2.62</w:t>
      </w:r>
      <w:r>
        <w:t xml:space="preserve"> </w:t>
      </w:r>
      <w:r>
        <w:t xml:space="preserve">2.63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Commission will monitor the implementation and effectiveness of this initiative through several actions and a</w:t>
      </w:r>
      <w:r>
        <w:t xml:space="preserve"> </w:t>
      </w:r>
      <w:r>
        <w:t xml:space="preserve">set of core indicators that will measure progress towards achieving the operational objectives. In particular, the</w:t>
      </w:r>
      <w:r>
        <w:t xml:space="preserve"> </w:t>
      </w:r>
      <w:r>
        <w:t xml:space="preserve">Commission will carry out regular analyses of the intermodal transport market as per PM6 as well as gather</w:t>
      </w:r>
      <w:r>
        <w:t xml:space="preserve"> </w:t>
      </w:r>
      <w:r>
        <w:t xml:space="preserve">information about Member States support schemes.</w:t>
      </w:r>
      <w:r>
        <w:br/>
      </w:r>
      <w:r>
        <w:t xml:space="preserve">Table 21 presents performance areas, corresponding operational objectives and possible indicators for an effective</w:t>
      </w:r>
      <w:r>
        <w:t xml:space="preserve"> </w:t>
      </w:r>
      <w:r>
        <w:t xml:space="preserve">monitoring framework.</w:t>
      </w:r>
      <w:r>
        <w:t xml:space="preserve"> </w:t>
      </w:r>
      <w:r>
        <w:t xml:space="preserve">Table 21: Performance areas, corresponding operational objectives and possible indicators for an effective monitoring</w:t>
      </w:r>
      <w:r>
        <w:t xml:space="preserve"> </w:t>
      </w:r>
      <w:r>
        <w:t xml:space="preserve">framework</w:t>
      </w:r>
      <w:r>
        <w:t xml:space="preserve"> </w:t>
      </w:r>
      <w:r>
        <w:t xml:space="preserve">Performance area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Possible indicators</w:t>
      </w:r>
    </w:p>
    <w:p>
      <w:pPr>
        <w:pStyle w:val="BodyText"/>
      </w:pPr>
      <w:r>
        <w:t xml:space="preserve">Level of intermodal support</w:t>
      </w:r>
      <w:r>
        <w:t xml:space="preserve"> </w:t>
      </w:r>
      <w:r>
        <w:t xml:space="preserve">and costs of access</w:t>
      </w:r>
      <w:r>
        <w:br/>
      </w:r>
      <w:r>
        <w:t xml:space="preserve">• Extend the level of support to a</w:t>
      </w:r>
      <w:r>
        <w:t xml:space="preserve"> </w:t>
      </w:r>
      <w:r>
        <w:t xml:space="preserve">wider range of intermodal</w:t>
      </w:r>
      <w:r>
        <w:t xml:space="preserve"> </w:t>
      </w:r>
      <w:r>
        <w:t xml:space="preserve">transport operators</w:t>
      </w:r>
      <w:r>
        <w:t xml:space="preserve"> </w:t>
      </w:r>
      <w:r>
        <w:t xml:space="preserve">• Reduce administrative costs</w:t>
      </w:r>
      <w:r>
        <w:t xml:space="preserve"> </w:t>
      </w:r>
      <w:r>
        <w:t xml:space="preserve">for accessing intermodal</w:t>
      </w:r>
      <w:r>
        <w:t xml:space="preserve"> </w:t>
      </w:r>
      <w:r>
        <w:t xml:space="preserve">transport support</w:t>
      </w:r>
      <w:r>
        <w:br/>
      </w:r>
      <w:r>
        <w:t xml:space="preserve">• Number of Member States adopting support</w:t>
      </w:r>
      <w:r>
        <w:t xml:space="preserve"> </w:t>
      </w:r>
      <w:r>
        <w:t xml:space="preserve">measures (by type of measure -financial,</w:t>
      </w:r>
      <w:r>
        <w:t xml:space="preserve"> </w:t>
      </w:r>
      <w:r>
        <w:t xml:space="preserve">operational, start-up, technological)</w:t>
      </w:r>
      <w:r>
        <w:t xml:space="preserve"> </w:t>
      </w:r>
      <w:r>
        <w:t xml:space="preserve">• Type and level of support provided in each</w:t>
      </w:r>
      <w:r>
        <w:t xml:space="preserve"> </w:t>
      </w:r>
      <w:r>
        <w:t xml:space="preserve">Member State</w:t>
      </w:r>
      <w:r>
        <w:t xml:space="preserve"> </w:t>
      </w:r>
      <w:r>
        <w:t xml:space="preserve">• Number of (transport) operators that have</w:t>
      </w:r>
      <w:r>
        <w:t xml:space="preserve"> </w:t>
      </w:r>
      <w:r>
        <w:t xml:space="preserve">applied/benefited from support measures (by</w:t>
      </w:r>
      <w:r>
        <w:t xml:space="preserve"> </w:t>
      </w:r>
      <w:r>
        <w:t xml:space="preserve">type of measure)</w:t>
      </w:r>
      <w:r>
        <w:br/>
      </w:r>
      <w:r>
        <w:t xml:space="preserve">• Total level of support (in EUR) provided by</w:t>
      </w:r>
      <w:r>
        <w:t xml:space="preserve"> </w:t>
      </w:r>
      <w:r>
        <w:t xml:space="preserve">Member States (in terms of budget</w:t>
      </w:r>
      <w:r>
        <w:t xml:space="preserve"> </w:t>
      </w:r>
      <w:r>
        <w:t xml:space="preserve">available/actual support)</w:t>
      </w:r>
      <w:r>
        <w:t xml:space="preserve"> </w:t>
      </w:r>
      <w:r>
        <w:t xml:space="preserve">• Administrative costs for access to intermodal</w:t>
      </w:r>
      <w:r>
        <w:t xml:space="preserve"> </w:t>
      </w:r>
      <w:r>
        <w:t xml:space="preserve">support</w:t>
      </w:r>
      <w:r>
        <w:br/>
      </w:r>
      <w:r>
        <w:t xml:space="preserve">Impact on intermodal</w:t>
      </w:r>
      <w:r>
        <w:t xml:space="preserve"> </w:t>
      </w:r>
      <w:r>
        <w:t xml:space="preserve">transport</w:t>
      </w:r>
      <w:r>
        <w:br/>
      </w:r>
      <w:r>
        <w:t xml:space="preserve">• Increase volume/share of</w:t>
      </w:r>
      <w:r>
        <w:t xml:space="preserve"> </w:t>
      </w:r>
      <w:r>
        <w:t xml:space="preserve">intermodal freight transport</w:t>
      </w:r>
    </w:p>
    <w:p>
      <w:pPr>
        <w:pStyle w:val="BodyText"/>
      </w:pPr>
      <w:r>
        <w:t xml:space="preserve">• Share of intermodal transport in total freight</w:t>
      </w:r>
      <w:r>
        <w:t xml:space="preserve"> </w:t>
      </w:r>
      <w:r>
        <w:t xml:space="preserve">transport, compared to the baseline</w:t>
      </w:r>
      <w:r>
        <w:t xml:space="preserve"> </w:t>
      </w:r>
      <w:r>
        <w:t xml:space="preserve">• Share of individual transport modes in freight</w:t>
      </w:r>
      <w:r>
        <w:t xml:space="preserve"> </w:t>
      </w:r>
      <w:r>
        <w:t xml:space="preserve">transport, compared to the baseline</w:t>
      </w:r>
      <w:r>
        <w:t xml:space="preserve"> </w:t>
      </w:r>
      <w:r>
        <w:t xml:space="preserve">• Main barriers that hinder the uptake of</w:t>
      </w:r>
      <w:r>
        <w:t xml:space="preserve"> </w:t>
      </w:r>
      <w:r>
        <w:t xml:space="preserve">intermodal transport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Performance area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Possible indicators</w:t>
      </w:r>
      <w:r>
        <w:t xml:space="preserve"> </w:t>
      </w:r>
      <w:r>
        <w:t xml:space="preserve">Relative cost</w:t>
      </w:r>
      <w:r>
        <w:t xml:space="preserve"> </w:t>
      </w:r>
      <w:r>
        <w:t xml:space="preserve">competitiveness of</w:t>
      </w:r>
      <w:r>
        <w:t xml:space="preserve"> </w:t>
      </w:r>
      <w:r>
        <w:t xml:space="preserve">intermodal transport</w:t>
      </w:r>
      <w:r>
        <w:br/>
      </w:r>
      <w:r>
        <w:t xml:space="preserve">• Reduce relative costs of</w:t>
      </w:r>
      <w:r>
        <w:t xml:space="preserve"> </w:t>
      </w:r>
      <w:r>
        <w:t xml:space="preserve">intermodal transport in relation</w:t>
      </w:r>
      <w:r>
        <w:t xml:space="preserve"> </w:t>
      </w:r>
      <w:r>
        <w:t xml:space="preserve">to road-only freight transport</w:t>
      </w:r>
      <w:r>
        <w:t xml:space="preserve"> </w:t>
      </w:r>
      <w:r>
        <w:t xml:space="preserve">• Average break-even distance per mode</w:t>
      </w:r>
      <w:r>
        <w:t xml:space="preserve"> </w:t>
      </w:r>
      <w:r>
        <w:t xml:space="preserve">combination (and change from the current</w:t>
      </w:r>
      <w:r>
        <w:t xml:space="preserve"> </w:t>
      </w:r>
      <w:r>
        <w:t xml:space="preserve">situation)</w:t>
      </w:r>
      <w:r>
        <w:t xml:space="preserve"> </w:t>
      </w:r>
      <w:r>
        <w:t xml:space="preserve">Availability of information</w:t>
      </w:r>
      <w:r>
        <w:t xml:space="preserve"> </w:t>
      </w:r>
      <w:r>
        <w:t xml:space="preserve">on intermodal transport</w:t>
      </w:r>
      <w:r>
        <w:t xml:space="preserve"> </w:t>
      </w:r>
      <w:r>
        <w:t xml:space="preserve">facilities</w:t>
      </w:r>
      <w:r>
        <w:br/>
      </w:r>
      <w:r>
        <w:t xml:space="preserve">• Ensure access to relative</w:t>
      </w:r>
      <w:r>
        <w:t xml:space="preserve"> </w:t>
      </w:r>
      <w:r>
        <w:t xml:space="preserve">information concerning</w:t>
      </w:r>
      <w:r>
        <w:t xml:space="preserve"> </w:t>
      </w:r>
      <w:r>
        <w:t xml:space="preserve">intermodal transport</w:t>
      </w:r>
      <w:r>
        <w:t xml:space="preserve"> </w:t>
      </w:r>
      <w:r>
        <w:t xml:space="preserve">services/facilities</w:t>
      </w:r>
      <w:r>
        <w:t xml:space="preserve"> </w:t>
      </w:r>
      <w:r>
        <w:t xml:space="preserve">• Availability, ease of access and completeness</w:t>
      </w:r>
      <w:r>
        <w:t xml:space="preserve"> </w:t>
      </w:r>
      <w:r>
        <w:t xml:space="preserve">of information concerning intermodal</w:t>
      </w:r>
      <w:r>
        <w:t xml:space="preserve"> </w:t>
      </w:r>
      <w:r>
        <w:t xml:space="preserve">transport services (qualitative)</w:t>
      </w:r>
      <w:r>
        <w:t xml:space="preserve"> </w:t>
      </w:r>
      <w:r>
        <w:t xml:space="preserve">Access to information on</w:t>
      </w:r>
      <w:r>
        <w:t xml:space="preserve"> </w:t>
      </w:r>
      <w:r>
        <w:t xml:space="preserve">intermodal transport</w:t>
      </w:r>
      <w:r>
        <w:t xml:space="preserve"> </w:t>
      </w:r>
      <w:r>
        <w:t xml:space="preserve">• Improve access to information</w:t>
      </w:r>
      <w:r>
        <w:t xml:space="preserve"> </w:t>
      </w:r>
      <w:r>
        <w:t xml:space="preserve">on intermodal transport</w:t>
      </w:r>
      <w:r>
        <w:t xml:space="preserve"> </w:t>
      </w:r>
      <w:r>
        <w:t xml:space="preserve">activity/market</w:t>
      </w:r>
      <w:r>
        <w:t xml:space="preserve"> </w:t>
      </w:r>
      <w:r>
        <w:t xml:space="preserve">• Commission reporting on intermodal</w:t>
      </w:r>
      <w:r>
        <w:t xml:space="preserve"> </w:t>
      </w:r>
      <w:r>
        <w:t xml:space="preserve">transport activity</w:t>
      </w:r>
      <w:r>
        <w:br/>
      </w:r>
      <w:r>
        <w:t xml:space="preserve">• Availability of information on intermodal</w:t>
      </w:r>
      <w:r>
        <w:t xml:space="preserve"> </w:t>
      </w:r>
      <w:r>
        <w:t xml:space="preserve">transport activity (qualitative)</w:t>
      </w:r>
    </w:p>
    <w:p>
      <w:pPr>
        <w:pStyle w:val="BodyText"/>
      </w:pPr>
      <w:r>
        <w:t xml:space="preserve">A dedicated study is planned under PM6 to support monitoring activities, in particular as regards the</w:t>
      </w:r>
      <w:r>
        <w:t xml:space="preserve"> </w:t>
      </w:r>
      <w:r>
        <w:t xml:space="preserve">mapping of intermodal market developments and main remaining barriers. eFTI platforms can be used to</w:t>
      </w:r>
      <w:r>
        <w:t xml:space="preserve"> </w:t>
      </w:r>
      <w:r>
        <w:t xml:space="preserve">gather aggregated data on eligible operations and their specifics such as main transport lanes, volumes,</w:t>
      </w:r>
      <w:r>
        <w:t xml:space="preserve"> </w:t>
      </w:r>
      <w:r>
        <w:t xml:space="preserve">distances, types of loading units used, support provided and externalities saved etc. In cooperation with</w:t>
      </w:r>
      <w:r>
        <w:t xml:space="preserve"> </w:t>
      </w:r>
      <w:r>
        <w:t xml:space="preserve">Eurostat, all or part of this information can be made public more often than the reports foreseen in PM6.</w:t>
      </w:r>
      <w:r>
        <w:t xml:space="preserve"> </w:t>
      </w:r>
      <w:r>
        <w:t xml:space="preserve">Furthermore, the notifications of upcoming support measures to the Commission for central publication</w:t>
      </w:r>
      <w:r>
        <w:t xml:space="preserve"> </w:t>
      </w:r>
      <w:r>
        <w:t xml:space="preserve">allows the Commission also to gather up-to-date information about Member States support schemes. The</w:t>
      </w:r>
      <w:r>
        <w:t xml:space="preserve"> </w:t>
      </w:r>
      <w:r>
        <w:t xml:space="preserve">mentioned dedicated study will also have to gather information about terminal information and quality.</w:t>
      </w:r>
      <w:r>
        <w:br/>
      </w:r>
      <w:r>
        <w:t xml:space="preserve">The initiative will be successful if, through the provision of the support measures, it brings about an increase</w:t>
      </w:r>
      <w:r>
        <w:t xml:space="preserve"> </w:t>
      </w:r>
      <w:r>
        <w:t xml:space="preserve">in the number of intermodal freight transport operations and leads to a higher share of non-road modes in</w:t>
      </w:r>
      <w:r>
        <w:t xml:space="preserve"> </w:t>
      </w:r>
      <w:r>
        <w:t xml:space="preserve">the total freight transport mix.</w:t>
      </w:r>
      <w:r>
        <w:br/>
      </w:r>
      <w:r>
        <w:t xml:space="preserve">Ultimately, a successful scenario is one in which all Member States adopt support measures within the scope of</w:t>
      </w:r>
      <w:r>
        <w:t xml:space="preserve"> </w:t>
      </w:r>
      <w:r>
        <w:t xml:space="preserve">the CTD, that are, where relevant, facilitated by State aid rules tailored to support intermodal operations. These</w:t>
      </w:r>
      <w:r>
        <w:t xml:space="preserve"> </w:t>
      </w:r>
      <w:r>
        <w:t xml:space="preserve">support measures are used by operators and lead to improved access to intermodal transport services/facilities,</w:t>
      </w:r>
      <w:r>
        <w:t xml:space="preserve"> </w:t>
      </w:r>
      <w:r>
        <w:t xml:space="preserve">reduce relative costs and enhance the competitiveness of intermodal transport operations, and eventually</w:t>
      </w:r>
      <w:r>
        <w:t xml:space="preserve"> </w:t>
      </w:r>
      <w:r>
        <w:t xml:space="preserve">increase the share of intermodal transport operations in the total freight. It will also provide enhanced information</w:t>
      </w:r>
      <w:r>
        <w:t xml:space="preserve"> </w:t>
      </w:r>
      <w:r>
        <w:t xml:space="preserve">on available intermodal transport services to address information barriers in the decision process. Furthermore, it</w:t>
      </w:r>
      <w:r>
        <w:t xml:space="preserve"> </w:t>
      </w:r>
      <w:r>
        <w:t xml:space="preserve">will ensure sufficient information on the intermodal transport market (at both EU and national level), to help</w:t>
      </w:r>
      <w:r>
        <w:t xml:space="preserve"> </w:t>
      </w:r>
      <w:r>
        <w:t xml:space="preserve">Member States target support measures to make them more effective and efficient.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ANNEX 1: PROCEDURAL INFORMATION</w:t>
      </w:r>
    </w:p>
    <w:p>
      <w:pPr>
        <w:pStyle w:val="Compact"/>
        <w:numPr>
          <w:ilvl w:val="0"/>
          <w:numId w:val="1001"/>
        </w:numPr>
      </w:pPr>
      <w:r>
        <w:t xml:space="preserve">LEAD DG, DECIDE PLANNING/CWP REFERENCES</w:t>
      </w:r>
      <w:r>
        <w:t xml:space="preserve"> </w:t>
      </w:r>
      <w:r>
        <w:t xml:space="preserve">The lead DG is DG MOVE, Unit D1: Maritime transport and logistics</w:t>
      </w:r>
      <w:r>
        <w:t xml:space="preserve"> </w:t>
      </w:r>
      <w:r>
        <w:t xml:space="preserve">DECIDE reference number: PLAN/2020/8707</w:t>
      </w:r>
      <w:r>
        <w:t xml:space="preserve"> </w:t>
      </w:r>
      <w:r>
        <w:t xml:space="preserve">Item 8.c in Annex I to Commission Work Programme 2023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ORGANISATION AND TIMING</w:t>
      </w:r>
      <w:r>
        <w:t xml:space="preserve"> </w:t>
      </w:r>
      <w:r>
        <w:t xml:space="preserve">The impact assessment follows the ex-post (REFIT) evaluation in 2016135, the proposal for revision of the</w:t>
      </w:r>
      <w:r>
        <w:t xml:space="preserve"> </w:t>
      </w:r>
      <w:r>
        <w:t xml:space="preserve">CTD in 2017 that was subsequently withdrawn in 2020, and the European Green Deal and SSMS that</w:t>
      </w:r>
      <w:r>
        <w:t xml:space="preserve"> </w:t>
      </w:r>
      <w:r>
        <w:t xml:space="preserve">envisaged the introduction of a more ambitious proposal. The impact assessment started in 2021, with the</w:t>
      </w:r>
      <w:r>
        <w:t xml:space="preserve"> </w:t>
      </w:r>
      <w:r>
        <w:t xml:space="preserve">inception impact assessment published on 19 August 2021136.</w:t>
      </w:r>
      <w:r>
        <w:br/>
      </w:r>
      <w:r>
        <w:t xml:space="preserve">The impact assessment on a possible review of the CTD was coordinated by an Inter-Service Steering Group</w:t>
      </w:r>
      <w:r>
        <w:t xml:space="preserve"> </w:t>
      </w:r>
      <w:r>
        <w:t xml:space="preserve">(ISSG). The Commission Services participating in the ISSG were: Secretariat-General, Legal Service, DG</w:t>
      </w:r>
      <w:r>
        <w:t xml:space="preserve"> </w:t>
      </w:r>
      <w:r>
        <w:t xml:space="preserve">Climate Action, DG Competition, DG for Employment, Social Affairs and Inclusion, DG Industry,</w:t>
      </w:r>
      <w:r>
        <w:t xml:space="preserve"> </w:t>
      </w:r>
      <w:r>
        <w:t xml:space="preserve">Entrepreneurship and SMEs, DG for Energy, DG for Research and Innovation, Eurostat, Joint Research</w:t>
      </w:r>
      <w:r>
        <w:t xml:space="preserve"> </w:t>
      </w:r>
      <w:r>
        <w:t xml:space="preserve">Centre. The Inter-Service Steering Group met 6 times: on 30 June 2021, 29 September 2021, 10 March</w:t>
      </w:r>
      <w:r>
        <w:t xml:space="preserve"> </w:t>
      </w:r>
      <w:r>
        <w:t xml:space="preserve">2022, 30. June 2022, 27 October 2022 and 29 March 2023. It was consulted throughout the different steps</w:t>
      </w:r>
      <w:r>
        <w:t xml:space="preserve"> </w:t>
      </w:r>
      <w:r>
        <w:t xml:space="preserve">of the impact assessment process: notably on all stakeholder consultation materials and deliverables from</w:t>
      </w:r>
      <w:r>
        <w:t xml:space="preserve"> </w:t>
      </w:r>
      <w:r>
        <w:t xml:space="preserve">the external contractor and on the draft Staff Working Document.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CONSULTATION OF THE RSB</w:t>
      </w:r>
      <w:r>
        <w:t xml:space="preserve"> </w:t>
      </w:r>
      <w:r>
        <w:t xml:space="preserve">The draft report was submitted to the RSB on 12 April 2023 and was discussed by the Board on 10 May</w:t>
      </w:r>
    </w:p>
    <w:p>
      <w:pPr>
        <w:pStyle w:val="Compact"/>
        <w:numPr>
          <w:ilvl w:val="0"/>
          <w:numId w:val="1001"/>
        </w:numPr>
      </w:pPr>
      <w:r>
        <w:t xml:space="preserve">RSB issued a negative opinion on 12 May 2023. Recommendations from the Board were addressed in</w:t>
      </w:r>
      <w:r>
        <w:t xml:space="preserve"> </w:t>
      </w:r>
      <w:r>
        <w:t xml:space="preserve">a revised version of the Impact Assessment report, submitted to the board on 12 June, as detailed in the</w:t>
      </w:r>
      <w:r>
        <w:t xml:space="preserve"> </w:t>
      </w:r>
      <w:r>
        <w:t xml:space="preserve">table below.</w:t>
      </w:r>
      <w:r>
        <w:t xml:space="preserve"> </w:t>
      </w:r>
      <w:r>
        <w:t xml:space="preserve">Table 22-1: Modifications of the IA report in response to the first RSB opinion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Modifications to the IA report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The report should clearly set out the overarching</w:t>
      </w:r>
      <w:r>
        <w:t xml:space="preserve"> </w:t>
      </w:r>
      <w:r>
        <w:t xml:space="preserve">rationale for promoting combined transport. It</w:t>
      </w:r>
      <w:r>
        <w:t xml:space="preserve"> </w:t>
      </w:r>
      <w:r>
        <w:t xml:space="preserve">should better explain why combined transport is</w:t>
      </w:r>
      <w:r>
        <w:t xml:space="preserve"> </w:t>
      </w:r>
      <w:r>
        <w:t xml:space="preserve">important, which market failure it aims to correct</w:t>
      </w:r>
      <w:r>
        <w:t xml:space="preserve"> </w:t>
      </w:r>
      <w:r>
        <w:t xml:space="preserve">and how it helps to deliver on key EU policies.</w:t>
      </w:r>
      <w:r>
        <w:t xml:space="preserve"> </w:t>
      </w:r>
      <w:r>
        <w:t xml:space="preserve">While the overall purpose of this initiative seems</w:t>
      </w:r>
      <w:r>
        <w:t xml:space="preserve"> </w:t>
      </w:r>
      <w:r>
        <w:t xml:space="preserve">to be to reduce various negative externalities from</w:t>
      </w:r>
      <w:r>
        <w:t xml:space="preserve"> </w:t>
      </w:r>
      <w:r>
        <w:t xml:space="preserve">freight transport, this should be made more</w:t>
      </w:r>
      <w:r>
        <w:t xml:space="preserve"> </w:t>
      </w:r>
      <w:r>
        <w:t xml:space="preserve">explicit upfront or clarified if this is not the case.</w:t>
      </w:r>
      <w:r>
        <w:t xml:space="preserve"> </w:t>
      </w:r>
      <w:r>
        <w:t xml:space="preserve">The report should describe more clearly which</w:t>
      </w:r>
      <w:r>
        <w:t xml:space="preserve"> </w:t>
      </w:r>
      <w:r>
        <w:t xml:space="preserve">policy instruments aim to tackle transport</w:t>
      </w:r>
      <w:r>
        <w:t xml:space="preserve"> </w:t>
      </w:r>
      <w:r>
        <w:t xml:space="preserve">externalities and explain why these alone are not</w:t>
      </w:r>
      <w:r>
        <w:t xml:space="preserve"> </w:t>
      </w:r>
      <w:r>
        <w:t xml:space="preserve">sufficient. It should explain better the role of</w:t>
      </w:r>
      <w:r>
        <w:t xml:space="preserve"> </w:t>
      </w:r>
      <w:r>
        <w:t xml:space="preserve">combined transport in this and how its expected</w:t>
      </w:r>
      <w:r>
        <w:t xml:space="preserve"> </w:t>
      </w:r>
      <w:r>
        <w:t xml:space="preserve">The revised IA explains from the outset in section 1.1</w:t>
      </w:r>
      <w:r>
        <w:t xml:space="preserve"> </w:t>
      </w:r>
      <w:r>
        <w:t xml:space="preserve">Political context and 1.3 Synergies with other EU policy</w:t>
      </w:r>
      <w:r>
        <w:t xml:space="preserve"> </w:t>
      </w:r>
      <w:r>
        <w:t xml:space="preserve">instruments that higher uptake of intermodal transport</w:t>
      </w:r>
      <w:r>
        <w:t xml:space="preserve"> </w:t>
      </w:r>
      <w:r>
        <w:t xml:space="preserve">allows, to the extent it leads to the higher use of non-</w:t>
      </w:r>
      <w:r>
        <w:t xml:space="preserve"> </w:t>
      </w:r>
      <w:r>
        <w:t xml:space="preserve">road modes, reducing the external costs induced by</w:t>
      </w:r>
      <w:r>
        <w:t xml:space="preserve"> </w:t>
      </w:r>
      <w:r>
        <w:t xml:space="preserve">freight transport at the system level.</w:t>
      </w:r>
      <w:r>
        <w:br/>
      </w:r>
      <w:r>
        <w:t xml:space="preserve">In section 1.3 it clarifies that the CTD complements</w:t>
      </w:r>
      <w:r>
        <w:t xml:space="preserve"> </w:t>
      </w:r>
      <w:r>
        <w:t xml:space="preserve">other transport policies, which (a) reduce external costs</w:t>
      </w:r>
      <w:r>
        <w:t xml:space="preserve"> </w:t>
      </w:r>
      <w:r>
        <w:t xml:space="preserve">by targeting the environmental performance of</w:t>
      </w:r>
      <w:r>
        <w:t xml:space="preserve"> </w:t>
      </w:r>
      <w:r>
        <w:t xml:space="preserve">individual modes and (b) internalise external costs by</w:t>
      </w:r>
      <w:r>
        <w:t xml:space="preserve"> </w:t>
      </w:r>
      <w:r>
        <w:t xml:space="preserve">gradually applying polluter pays and user pays</w:t>
      </w:r>
      <w:r>
        <w:t xml:space="preserve"> </w:t>
      </w:r>
      <w:r>
        <w:t xml:space="preserve">principles. Progress is on its way but takes time to</w:t>
      </w:r>
      <w:r>
        <w:t xml:space="preserve"> </w:t>
      </w:r>
      <w:r>
        <w:t xml:space="preserve">materialise. For now, shifting freight away from road</w:t>
      </w:r>
    </w:p>
    <w:p>
      <w:pPr>
        <w:pStyle w:val="FirstParagraph"/>
      </w:pPr>
      <w:r>
        <w:t xml:space="preserve">135 SWD(2016) 140 final.</w:t>
      </w:r>
      <w:r>
        <w:t xml:space="preserve"> </w:t>
      </w:r>
      <w:r>
        <w:t xml:space="preserve">136 https://ec.europa.eu/info/law/better-regulation/have-your-say/initiatives/13010-Sustainable-transport-revision-of-</w:t>
      </w:r>
      <w:r>
        <w:t xml:space="preserve"> </w:t>
      </w:r>
      <w:r>
        <w:t xml:space="preserve">Combined-Transport-Directive_en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Modifications to the IA report</w:t>
      </w:r>
      <w:r>
        <w:br/>
      </w:r>
      <w:r>
        <w:t xml:space="preserve">effects interact with those from the broader</w:t>
      </w:r>
      <w:r>
        <w:t xml:space="preserve"> </w:t>
      </w:r>
      <w:r>
        <w:t xml:space="preserve">instruments addressing transport externalities</w:t>
      </w:r>
      <w:r>
        <w:t xml:space="preserve"> </w:t>
      </w:r>
      <w:r>
        <w:t xml:space="preserve">(e.g. ETS transport, CO2 standards, energy</w:t>
      </w:r>
      <w:r>
        <w:t xml:space="preserve"> </w:t>
      </w:r>
      <w:r>
        <w:t xml:space="preserve">taxation, road charging, etc.).</w:t>
      </w:r>
      <w:r>
        <w:t xml:space="preserve"> </w:t>
      </w:r>
      <w:r>
        <w:t xml:space="preserve">would provide significant environmental benefits. In this</w:t>
      </w:r>
      <w:r>
        <w:t xml:space="preserve"> </w:t>
      </w:r>
      <w:r>
        <w:t xml:space="preserve">context, the main market failure the CTD addresses is</w:t>
      </w:r>
      <w:r>
        <w:t xml:space="preserve"> </w:t>
      </w:r>
      <w:r>
        <w:t xml:space="preserve">that today intermodal transport on short and medium</w:t>
      </w:r>
      <w:r>
        <w:t xml:space="preserve"> </w:t>
      </w:r>
      <w:r>
        <w:t xml:space="preserve">distances is still non-competitive with road-only</w:t>
      </w:r>
      <w:r>
        <w:t xml:space="preserve"> </w:t>
      </w:r>
      <w:r>
        <w:t xml:space="preserve">transport. The IA report clarifies that part of this</w:t>
      </w:r>
      <w:r>
        <w:t xml:space="preserve"> </w:t>
      </w:r>
      <w:r>
        <w:t xml:space="preserve">problem is related to inefficiencies of the performance</w:t>
      </w:r>
      <w:r>
        <w:t xml:space="preserve"> </w:t>
      </w:r>
      <w:r>
        <w:t xml:space="preserve">of non-road modes is addressed by other policies.</w:t>
      </w:r>
      <w:r>
        <w:t xml:space="preserve"> </w:t>
      </w:r>
      <w:r>
        <w:t xml:space="preserve">However, another part of the problem is uneven</w:t>
      </w:r>
      <w:r>
        <w:t xml:space="preserve"> </w:t>
      </w:r>
      <w:r>
        <w:t xml:space="preserve">internalisation of external costs. The latter is tackled by</w:t>
      </w:r>
      <w:r>
        <w:t xml:space="preserve"> </w:t>
      </w:r>
      <w:r>
        <w:t xml:space="preserve">the CTD, which aims to support certain intermodal</w:t>
      </w:r>
      <w:r>
        <w:t xml:space="preserve"> </w:t>
      </w:r>
      <w:r>
        <w:t xml:space="preserve">operations by compensating for a cost-competitiveness</w:t>
      </w:r>
      <w:r>
        <w:t xml:space="preserve"> </w:t>
      </w:r>
      <w:r>
        <w:t xml:space="preserve">gap which still exists.</w:t>
      </w:r>
      <w:r>
        <w:br/>
      </w:r>
      <w:r>
        <w:t xml:space="preserve">It should identify the remaining gap that might be</w:t>
      </w:r>
      <w:r>
        <w:t xml:space="preserve"> </w:t>
      </w:r>
      <w:r>
        <w:t xml:space="preserve">tackled best through combined transport (and</w:t>
      </w:r>
      <w:r>
        <w:t xml:space="preserve"> </w:t>
      </w:r>
      <w:r>
        <w:t xml:space="preserve">fiscal incentives) while reflecting parallel measures</w:t>
      </w:r>
      <w:r>
        <w:t xml:space="preserve"> </w:t>
      </w:r>
      <w:r>
        <w:t xml:space="preserve">aiming to increase terminal availability and</w:t>
      </w:r>
      <w:r>
        <w:t xml:space="preserve"> </w:t>
      </w:r>
      <w:r>
        <w:t xml:space="preserve">performance.</w:t>
      </w:r>
      <w:r>
        <w:t xml:space="preserve"> </w:t>
      </w:r>
      <w:r>
        <w:t xml:space="preserve">The report should consequently consider</w:t>
      </w:r>
      <w:r>
        <w:t xml:space="preserve"> </w:t>
      </w:r>
      <w:r>
        <w:t xml:space="preserve">corresponding objectives and make the reduction</w:t>
      </w:r>
      <w:r>
        <w:t xml:space="preserve"> </w:t>
      </w:r>
      <w:r>
        <w:t xml:space="preserve">of externalities and ensuring a level playing field</w:t>
      </w:r>
      <w:r>
        <w:t xml:space="preserve"> </w:t>
      </w:r>
      <w:r>
        <w:t xml:space="preserve">across transport modes the guiding principle</w:t>
      </w:r>
      <w:r>
        <w:t xml:space="preserve"> </w:t>
      </w:r>
      <w:r>
        <w:t xml:space="preserve">throughout the report.</w:t>
      </w:r>
      <w:r>
        <w:t xml:space="preserve"> </w:t>
      </w:r>
      <w:r>
        <w:t xml:space="preserve">It should consider the magnitude and importance</w:t>
      </w:r>
      <w:r>
        <w:t xml:space="preserve"> </w:t>
      </w:r>
      <w:r>
        <w:t xml:space="preserve">of reducing externalities and possible prioritising</w:t>
      </w:r>
      <w:r>
        <w:t xml:space="preserve"> </w:t>
      </w:r>
      <w:r>
        <w:t xml:space="preserve">between them, as some external costs seem</w:t>
      </w:r>
      <w:r>
        <w:t xml:space="preserve"> </w:t>
      </w:r>
      <w:r>
        <w:t xml:space="preserve">higher than others. The reduction of specific</w:t>
      </w:r>
      <w:r>
        <w:t xml:space="preserve"> </w:t>
      </w:r>
      <w:r>
        <w:t xml:space="preserve">externalities could find its way into the</w:t>
      </w:r>
      <w:r>
        <w:t xml:space="preserve"> </w:t>
      </w:r>
      <w:r>
        <w:t xml:space="preserve">intervention logic via the specific objectives.</w:t>
      </w:r>
      <w:r>
        <w:t xml:space="preserve"> </w:t>
      </w:r>
      <w:r>
        <w:t xml:space="preserve">In the revised report, the general objective in section</w:t>
      </w:r>
      <w:r>
        <w:t xml:space="preserve"> </w:t>
      </w:r>
      <w:r>
        <w:t xml:space="preserve">4.1 is adjusted as follows:</w:t>
      </w:r>
      <w:r>
        <w:t xml:space="preserve"> </w:t>
      </w:r>
      <w:r>
        <w:t xml:space="preserve">Facilitate an increase in the share of rail, SSS and IWW</w:t>
      </w:r>
      <w:r>
        <w:t xml:space="preserve"> </w:t>
      </w:r>
      <w:r>
        <w:t xml:space="preserve">transport in total intra-EU freight transport, to reduce</w:t>
      </w:r>
      <w:r>
        <w:t xml:space="preserve"> </w:t>
      </w:r>
      <w:r>
        <w:t xml:space="preserve">negative externalities and energy consumption of</w:t>
      </w:r>
      <w:r>
        <w:t xml:space="preserve"> </w:t>
      </w:r>
      <w:r>
        <w:t xml:space="preserve">transport as well as mitigate the fragmentation of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In section 4.2 the following is added to SO3:</w:t>
      </w:r>
      <w:r>
        <w:br/>
      </w:r>
      <w:r>
        <w:t xml:space="preserve">Increase the competitiveness of intermodal transport to</w:t>
      </w:r>
      <w:r>
        <w:t xml:space="preserve"> </w:t>
      </w:r>
      <w:r>
        <w:t xml:space="preserve">contribute to reducing negative externalities.</w:t>
      </w:r>
      <w:r>
        <w:t xml:space="preserve"> </w:t>
      </w:r>
      <w:r>
        <w:t xml:space="preserve">The externalities have made the starting point of the</w:t>
      </w:r>
      <w:r>
        <w:t xml:space="preserve"> </w:t>
      </w:r>
      <w:r>
        <w:t xml:space="preserve">problem definition in section 2.1 and the problem has</w:t>
      </w:r>
      <w:r>
        <w:t xml:space="preserve"> </w:t>
      </w:r>
      <w:r>
        <w:t xml:space="preserve">been adjusted as follows:</w:t>
      </w:r>
      <w:r>
        <w:t xml:space="preserve"> </w:t>
      </w:r>
      <w:r>
        <w:t xml:space="preserve">Current uptake of intermodal transport is insufficient for</w:t>
      </w:r>
      <w:r>
        <w:t xml:space="preserve"> </w:t>
      </w:r>
      <w:r>
        <w:t xml:space="preserve">effectively contributing to the reduction of external costs</w:t>
      </w:r>
      <w:r>
        <w:t xml:space="preserve"> </w:t>
      </w:r>
      <w:r>
        <w:t xml:space="preserve">and energy consumption of transport.</w:t>
      </w:r>
      <w:r>
        <w:t xml:space="preserve"> </w:t>
      </w:r>
      <w:r>
        <w:t xml:space="preserve">The section on impact assessment and cost benefit</w:t>
      </w:r>
      <w:r>
        <w:t xml:space="preserve"> </w:t>
      </w:r>
      <w:r>
        <w:t xml:space="preserve">analysis are already built around the calculation of</w:t>
      </w:r>
      <w:r>
        <w:t xml:space="preserve"> </w:t>
      </w:r>
      <w:r>
        <w:t xml:space="preserve">saved external costs.</w:t>
      </w:r>
      <w:r>
        <w:br/>
      </w:r>
      <w:r>
        <w:t xml:space="preserve">While reducing all externalities is important, the revised</w:t>
      </w:r>
      <w:r>
        <w:t xml:space="preserve"> </w:t>
      </w:r>
      <w:r>
        <w:t xml:space="preserve">IA report clarifies that, while GHG and other emissions</w:t>
      </w:r>
      <w:r>
        <w:t xml:space="preserve"> </w:t>
      </w:r>
      <w:r>
        <w:t xml:space="preserve">can be effectively tackled by sectoral legislation, the</w:t>
      </w:r>
      <w:r>
        <w:t xml:space="preserve"> </w:t>
      </w:r>
      <w:r>
        <w:t xml:space="preserve">issues with road accidents and congestion, could be</w:t>
      </w:r>
      <w:r>
        <w:t xml:space="preserve"> </w:t>
      </w:r>
      <w:r>
        <w:t xml:space="preserve">more effectively addressed by the higher uptake of non-</w:t>
      </w:r>
      <w:r>
        <w:t xml:space="preserve"> </w:t>
      </w:r>
      <w:r>
        <w:t xml:space="preserve">road modes.</w:t>
      </w:r>
      <w:r>
        <w:br/>
      </w:r>
      <w:r>
        <w:t xml:space="preserve">(2) The report should better explain the subsidiarity</w:t>
      </w:r>
      <w:r>
        <w:t xml:space="preserve"> </w:t>
      </w:r>
      <w:r>
        <w:t xml:space="preserve">dimension of the initiative. It should better justify</w:t>
      </w:r>
      <w:r>
        <w:t xml:space="preserve"> </w:t>
      </w:r>
      <w:r>
        <w:t xml:space="preserve">why domestic intermodal operations need to be</w:t>
      </w:r>
      <w:r>
        <w:t xml:space="preserve"> </w:t>
      </w:r>
      <w:r>
        <w:t xml:space="preserve">included in the scope of the Directive and why</w:t>
      </w:r>
      <w:r>
        <w:t xml:space="preserve"> </w:t>
      </w:r>
      <w:r>
        <w:t xml:space="preserve">such decision is not presented as a policy choice.</w:t>
      </w:r>
      <w:r>
        <w:t xml:space="preserve"> </w:t>
      </w:r>
      <w:r>
        <w:t xml:space="preserve">Additional arguments, including the scale of cross-</w:t>
      </w:r>
      <w:r>
        <w:t xml:space="preserve"> </w:t>
      </w:r>
      <w:r>
        <w:t xml:space="preserve">border operations, equal footing of all similar operation</w:t>
      </w:r>
      <w:r>
        <w:t xml:space="preserve"> </w:t>
      </w:r>
      <w:r>
        <w:t xml:space="preserve">and internal market aspects, accompanied by</w:t>
      </w:r>
      <w:r>
        <w:t xml:space="preserve"> </w:t>
      </w:r>
      <w:r>
        <w:t xml:space="preserve">stakeholder views, are included in section 7.4 in the</w:t>
      </w:r>
      <w:r>
        <w:t xml:space="preserve"> </w:t>
      </w:r>
      <w:r>
        <w:t xml:space="preserve">subsidiarity and proportionality section of the</w:t>
      </w:r>
      <w:r>
        <w:t xml:space="preserve"> </w:t>
      </w:r>
      <w:r>
        <w:t xml:space="preserve">comparison of options to better explain the subsidiarity</w:t>
      </w:r>
      <w:r>
        <w:t xml:space="preserve"> </w:t>
      </w:r>
      <w:r>
        <w:t xml:space="preserve">dimension of the initiative.</w:t>
      </w:r>
      <w:r>
        <w:br/>
      </w:r>
      <w:r>
        <w:t xml:space="preserve">In addition, a new option PO-B2b, a sub-option of</w:t>
      </w:r>
      <w:r>
        <w:t xml:space="preserve"> </w:t>
      </w:r>
      <w:r>
        <w:t xml:space="preserve">option PO-B, which includes in the scope only cross-</w:t>
      </w:r>
      <w:r>
        <w:t xml:space="preserve"> </w:t>
      </w:r>
      <w:r>
        <w:t xml:space="preserve">border operations, has been included, allowing to</w:t>
      </w:r>
      <w:r>
        <w:t xml:space="preserve"> </w:t>
      </w:r>
      <w:r>
        <w:t xml:space="preserve">compare the impacts of policy option with and without</w:t>
      </w:r>
      <w:r>
        <w:t xml:space="preserve"> </w:t>
      </w:r>
      <w:r>
        <w:t xml:space="preserve">domestic operations.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Modifications to the IA report</w:t>
      </w:r>
      <w:r>
        <w:br/>
      </w:r>
      <w:r>
        <w:t xml:space="preserve">Regarding the measure to remove bans imposed</w:t>
      </w:r>
      <w:r>
        <w:t xml:space="preserve"> </w:t>
      </w:r>
      <w:r>
        <w:t xml:space="preserve">by Member States on driving at night-time,</w:t>
      </w:r>
      <w:r>
        <w:t xml:space="preserve"> </w:t>
      </w:r>
      <w:r>
        <w:t xml:space="preserve">holidays and weekends for the road legs of eligible</w:t>
      </w:r>
      <w:r>
        <w:t xml:space="preserve"> </w:t>
      </w:r>
      <w:r>
        <w:t xml:space="preserve">combined transport, the report should</w:t>
      </w:r>
      <w:r>
        <w:t xml:space="preserve"> </w:t>
      </w:r>
      <w:r>
        <w:t xml:space="preserve">demonstrate whether and how such measure</w:t>
      </w:r>
      <w:r>
        <w:t xml:space="preserve"> </w:t>
      </w:r>
      <w:r>
        <w:t xml:space="preserve">would respect the subsidiarity and proportionality</w:t>
      </w:r>
      <w:r>
        <w:t xml:space="preserve"> </w:t>
      </w:r>
      <w:r>
        <w:t xml:space="preserve">principles. It should also discuss why Member</w:t>
      </w:r>
      <w:r>
        <w:t xml:space="preserve"> </w:t>
      </w:r>
      <w:r>
        <w:t xml:space="preserve">States should not be allowed to continue to</w:t>
      </w:r>
      <w:r>
        <w:t xml:space="preserve"> </w:t>
      </w:r>
      <w:r>
        <w:t xml:space="preserve">impose such bans (including for purely domestic</w:t>
      </w:r>
      <w:r>
        <w:t xml:space="preserve"> </w:t>
      </w:r>
      <w:r>
        <w:t xml:space="preserve">transport), if justified by public interest reasons.</w:t>
      </w:r>
      <w:r>
        <w:t xml:space="preserve"> </w:t>
      </w:r>
      <w:r>
        <w:t xml:space="preserve">Regarding the exemptions to night-time, holidays and</w:t>
      </w:r>
      <w:r>
        <w:t xml:space="preserve"> </w:t>
      </w:r>
      <w:r>
        <w:t xml:space="preserve">weekends driving bans (PM13), the analysis in section</w:t>
      </w:r>
      <w:r>
        <w:t xml:space="preserve"> </w:t>
      </w:r>
      <w:r>
        <w:t xml:space="preserve">7.4 has been strengthened to highlight the cross-border</w:t>
      </w:r>
      <w:r>
        <w:t xml:space="preserve"> </w:t>
      </w:r>
      <w:r>
        <w:t xml:space="preserve">spill-over effects of national driving bans and their</w:t>
      </w:r>
      <w:r>
        <w:t xml:space="preserve"> </w:t>
      </w:r>
      <w:r>
        <w:t xml:space="preserve">negative impact on the use of rail infrastructure and</w:t>
      </w:r>
      <w:r>
        <w:t xml:space="preserve"> </w:t>
      </w:r>
      <w:r>
        <w:t xml:space="preserve">terminal capacity. It also includes internal market</w:t>
      </w:r>
      <w:r>
        <w:t xml:space="preserve"> </w:t>
      </w:r>
      <w:r>
        <w:t xml:space="preserve">aspects and a reference to stakeholder views.</w:t>
      </w:r>
      <w:r>
        <w:t xml:space="preserve"> </w:t>
      </w:r>
      <w:r>
        <w:t xml:space="preserve">(3) The construction of broad policy options appears</w:t>
      </w:r>
      <w:r>
        <w:t xml:space="preserve"> </w:t>
      </w:r>
      <w:r>
        <w:t xml:space="preserve">arbitrary.</w:t>
      </w:r>
      <w:r>
        <w:br/>
      </w:r>
      <w:r>
        <w:t xml:space="preserve">The features of options should be presented</w:t>
      </w:r>
      <w:r>
        <w:t xml:space="preserve"> </w:t>
      </w:r>
      <w:r>
        <w:t xml:space="preserve">clearer (e.g. in terms of voluntary or mandatory</w:t>
      </w:r>
      <w:r>
        <w:t xml:space="preserve"> </w:t>
      </w:r>
      <w:r>
        <w:t xml:space="preserve">State aid and the possibility to add further</w:t>
      </w:r>
      <w:r>
        <w:t xml:space="preserve"> </w:t>
      </w:r>
      <w:r>
        <w:t xml:space="preserve">subsidies than prescribed).</w:t>
      </w:r>
      <w:r>
        <w:t xml:space="preserve"> </w:t>
      </w:r>
      <w:r>
        <w:t xml:space="preserve">The options should be more clearly linked to the</w:t>
      </w:r>
      <w:r>
        <w:t xml:space="preserve"> </w:t>
      </w:r>
      <w:r>
        <w:t xml:space="preserve">specific objectives and the underlying problem</w:t>
      </w:r>
      <w:r>
        <w:t xml:space="preserve"> </w:t>
      </w:r>
      <w:r>
        <w:t xml:space="preserve">drivers as clarified above.</w:t>
      </w:r>
      <w:r>
        <w:t xml:space="preserve"> </w:t>
      </w:r>
      <w:r>
        <w:t xml:space="preserve">Given the broad scope of transport externalities to</w:t>
      </w:r>
      <w:r>
        <w:t xml:space="preserve"> </w:t>
      </w:r>
      <w:r>
        <w:t xml:space="preserve">be tackled, the report should explain why it</w:t>
      </w:r>
      <w:r>
        <w:t xml:space="preserve"> </w:t>
      </w:r>
      <w:r>
        <w:t xml:space="preserve">considers options that address only one</w:t>
      </w:r>
      <w:r>
        <w:t xml:space="preserve"> </w:t>
      </w:r>
      <w:r>
        <w:t xml:space="preserve">externality.</w:t>
      </w:r>
      <w:r>
        <w:t xml:space="preserve"> </w:t>
      </w:r>
      <w:r>
        <w:t xml:space="preserve">The description of policy measures in section 5 (Policy</w:t>
      </w:r>
      <w:r>
        <w:t xml:space="preserve"> </w:t>
      </w:r>
      <w:r>
        <w:t xml:space="preserve">options) and Annex 6 (Retained measures) of the revised</w:t>
      </w:r>
      <w:r>
        <w:t xml:space="preserve"> </w:t>
      </w:r>
      <w:r>
        <w:t xml:space="preserve">IA report has been rechecked and amended.</w:t>
      </w:r>
      <w:r>
        <w:t xml:space="preserve"> </w:t>
      </w:r>
      <w:r>
        <w:t xml:space="preserve">Section 5.2.2 (The description of options) explains the</w:t>
      </w:r>
      <w:r>
        <w:t xml:space="preserve"> </w:t>
      </w:r>
      <w:r>
        <w:t xml:space="preserve">underlying principles of assigning the policy measures to</w:t>
      </w:r>
      <w:r>
        <w:t xml:space="preserve"> </w:t>
      </w:r>
      <w:r>
        <w:t xml:space="preserve">different options, such as stakeholder views, intensity of</w:t>
      </w:r>
      <w:r>
        <w:t xml:space="preserve"> </w:t>
      </w:r>
      <w:r>
        <w:t xml:space="preserve">intervention and ensuring that all problem drivers and</w:t>
      </w:r>
      <w:r>
        <w:t xml:space="preserve"> </w:t>
      </w:r>
      <w:r>
        <w:t xml:space="preserve">specific objectives are covered.</w:t>
      </w:r>
      <w:r>
        <w:t xml:space="preserve"> </w:t>
      </w:r>
      <w:r>
        <w:t xml:space="preserve">In section 5.2.1 (Retained policy measures) it is explained</w:t>
      </w:r>
      <w:r>
        <w:t xml:space="preserve"> </w:t>
      </w:r>
      <w:r>
        <w:t xml:space="preserve">that an option (PO-B1) defining eligibility based on GHG</w:t>
      </w:r>
      <w:r>
        <w:t xml:space="preserve"> </w:t>
      </w:r>
      <w:r>
        <w:t xml:space="preserve">savings only has been retained in response to the</w:t>
      </w:r>
      <w:r>
        <w:t xml:space="preserve"> </w:t>
      </w:r>
      <w:r>
        <w:t xml:space="preserve">stakeholders’ request.</w:t>
      </w:r>
      <w:r>
        <w:t xml:space="preserve"> </w:t>
      </w:r>
      <w:r>
        <w:t xml:space="preserve">It should clarify whether alternative eligibility</w:t>
      </w:r>
      <w:r>
        <w:t xml:space="preserve"> </w:t>
      </w:r>
      <w:r>
        <w:t xml:space="preserve">saving rates were considered, and if so, why these</w:t>
      </w:r>
      <w:r>
        <w:t xml:space="preserve"> </w:t>
      </w:r>
      <w:r>
        <w:t xml:space="preserve">were not included as variants for the relevant</w:t>
      </w:r>
      <w:r>
        <w:t xml:space="preserve"> </w:t>
      </w:r>
      <w:r>
        <w:t xml:space="preserve">support measures. More generally, the report</w:t>
      </w:r>
      <w:r>
        <w:t xml:space="preserve"> </w:t>
      </w:r>
      <w:r>
        <w:t xml:space="preserve">should consider the implications of other</w:t>
      </w:r>
      <w:r>
        <w:t xml:space="preserve"> </w:t>
      </w:r>
      <w:r>
        <w:t xml:space="preserve">combinations of policy measures.</w:t>
      </w:r>
      <w:r>
        <w:t xml:space="preserve"> </w:t>
      </w:r>
      <w:r>
        <w:t xml:space="preserve">In section 5.2.1 (Retained policy measures) it is</w:t>
      </w:r>
      <w:r>
        <w:t xml:space="preserve"> </w:t>
      </w:r>
      <w:r>
        <w:t xml:space="preserve">explained that for both types of the eligibility criteria,</w:t>
      </w:r>
      <w:r>
        <w:t xml:space="preserve"> </w:t>
      </w:r>
      <w:r>
        <w:t xml:space="preserve">based on GHG alone (PM1) and based on a wider set of</w:t>
      </w:r>
      <w:r>
        <w:t xml:space="preserve"> </w:t>
      </w:r>
      <w:r>
        <w:t xml:space="preserve">externalities (PM2), further analysis was carried out to</w:t>
      </w:r>
      <w:r>
        <w:t xml:space="preserve"> </w:t>
      </w:r>
      <w:r>
        <w:t xml:space="preserve">establish the percentage threshold of external cost savings</w:t>
      </w:r>
      <w:r>
        <w:t xml:space="preserve"> </w:t>
      </w:r>
      <w:r>
        <w:t xml:space="preserve">retained in the options. As explained in section 3.1.1 of</w:t>
      </w:r>
      <w:r>
        <w:t xml:space="preserve"> </w:t>
      </w:r>
      <w:r>
        <w:t xml:space="preserve">Annex 4, various thresholds (from 20% to 75%) were tested.</w:t>
      </w:r>
      <w:r>
        <w:t xml:space="preserve"> </w:t>
      </w:r>
      <w:r>
        <w:t xml:space="preserve">In addition, a sensitivity analysis is included in section 8.4,</w:t>
      </w:r>
      <w:r>
        <w:t xml:space="preserve"> </w:t>
      </w:r>
      <w:r>
        <w:t xml:space="preserve">applying one higher and one lower eligibility threshold for</w:t>
      </w:r>
      <w:r>
        <w:t xml:space="preserve"> </w:t>
      </w:r>
      <w:r>
        <w:t xml:space="preserve">the preferred policy option.</w:t>
      </w:r>
    </w:p>
    <w:p>
      <w:pPr>
        <w:pStyle w:val="BodyText"/>
      </w:pPr>
      <w:r>
        <w:t xml:space="preserve">Some further adjustments have been made in the POs:</w:t>
      </w:r>
      <w:r>
        <w:t xml:space="preserve"> </w:t>
      </w:r>
      <w:r>
        <w:t xml:space="preserve">•</w:t>
      </w:r>
      <w:r>
        <w:t xml:space="preserve"> </w:t>
      </w:r>
      <w:r>
        <w:t xml:space="preserve">PO-A: PM1 (GHG based eligibility) has been</w:t>
      </w:r>
      <w:r>
        <w:t xml:space="preserve"> </w:t>
      </w:r>
      <w:r>
        <w:t xml:space="preserve">replaced with PM2 (externalities-based</w:t>
      </w:r>
      <w:r>
        <w:t xml:space="preserve"> </w:t>
      </w:r>
      <w:r>
        <w:t xml:space="preserve">eligibility), to allow for its fairer comparison</w:t>
      </w:r>
      <w:r>
        <w:t xml:space="preserve"> </w:t>
      </w:r>
      <w:r>
        <w:t xml:space="preserve">with PO-B. PM14 (defined dataset) has been</w:t>
      </w:r>
      <w:r>
        <w:t xml:space="preserve"> </w:t>
      </w:r>
      <w:r>
        <w:t xml:space="preserve">excluded while PM16 and PM17 (terminal</w:t>
      </w:r>
      <w:r>
        <w:t xml:space="preserve"> </w:t>
      </w:r>
      <w:r>
        <w:t xml:space="preserve">transparency and label) have been included, to</w:t>
      </w:r>
      <w:r>
        <w:t xml:space="preserve"> </w:t>
      </w:r>
      <w:r>
        <w:t xml:space="preserve">be better in line with the low intervention level</w:t>
      </w:r>
      <w:r>
        <w:t xml:space="preserve"> </w:t>
      </w:r>
      <w:r>
        <w:t xml:space="preserve">of this option.</w:t>
      </w:r>
      <w:r>
        <w:t xml:space="preserve"> </w:t>
      </w:r>
      <w:r>
        <w:t xml:space="preserve">•</w:t>
      </w:r>
      <w:r>
        <w:t xml:space="preserve"> </w:t>
      </w:r>
      <w:r>
        <w:t xml:space="preserve">PO-B: includes a new variant PO-B2b, which</w:t>
      </w:r>
      <w:r>
        <w:t xml:space="preserve"> </w:t>
      </w:r>
      <w:r>
        <w:t xml:space="preserve">covers only cross-border (rather than all)</w:t>
      </w:r>
      <w:r>
        <w:t xml:space="preserve"> </w:t>
      </w:r>
      <w:r>
        <w:t xml:space="preserve">intermodal operations, to better assess</w:t>
      </w:r>
      <w:r>
        <w:t xml:space="preserve"> </w:t>
      </w:r>
      <w:r>
        <w:t xml:space="preserve">subsidiarity aspects.</w:t>
      </w:r>
      <w:r>
        <w:t xml:space="preserve"> </w:t>
      </w:r>
      <w:r>
        <w:t xml:space="preserve">•</w:t>
      </w:r>
      <w:r>
        <w:t xml:space="preserve"> </w:t>
      </w:r>
      <w:r>
        <w:t xml:space="preserve">PO-C: includes PM14, which is more in line</w:t>
      </w:r>
      <w:r>
        <w:t xml:space="preserve"> </w:t>
      </w:r>
      <w:r>
        <w:t xml:space="preserve">with the high intervention intensity of this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Modifications to the IA report</w:t>
      </w:r>
      <w:r>
        <w:br/>
      </w:r>
      <w:r>
        <w:t xml:space="preserve">The report should further explain the modelling</w:t>
      </w:r>
      <w:r>
        <w:t xml:space="preserve"> </w:t>
      </w:r>
      <w:r>
        <w:t xml:space="preserve">approach. It should better justify the assumption</w:t>
      </w:r>
      <w:r>
        <w:t xml:space="preserve"> </w:t>
      </w:r>
      <w:r>
        <w:t xml:space="preserve">that the 10% reduction of door-to-door transport</w:t>
      </w:r>
      <w:r>
        <w:t xml:space="preserve"> </w:t>
      </w:r>
      <w:r>
        <w:t xml:space="preserve">costs would lead to higher uptake of intermodal</w:t>
      </w:r>
      <w:r>
        <w:t xml:space="preserve"> </w:t>
      </w:r>
      <w:r>
        <w:t xml:space="preserve">transport.</w:t>
      </w:r>
      <w:r>
        <w:t xml:space="preserve"> </w:t>
      </w:r>
      <w:r>
        <w:t xml:space="preserve">It should provide evidence of the effectiveness of</w:t>
      </w:r>
      <w:r>
        <w:t xml:space="preserve"> </w:t>
      </w:r>
      <w:r>
        <w:t xml:space="preserve">financial support measures on the uptake of</w:t>
      </w:r>
      <w:r>
        <w:t xml:space="preserve"> </w:t>
      </w:r>
      <w:r>
        <w:t xml:space="preserve">intermodal transport and modal shift.</w:t>
      </w:r>
      <w:r>
        <w:t xml:space="preserve"> </w:t>
      </w:r>
      <w:r>
        <w:t xml:space="preserve">It should better explain the analysis to establish</w:t>
      </w:r>
      <w:r>
        <w:t xml:space="preserve"> </w:t>
      </w:r>
      <w:r>
        <w:t xml:space="preserve">what levels of financial support is required to have</w:t>
      </w:r>
      <w:r>
        <w:t xml:space="preserve"> </w:t>
      </w:r>
      <w:r>
        <w:t xml:space="preserve">an impact on volumes and modal shift and what</w:t>
      </w:r>
      <w:r>
        <w:t xml:space="preserve"> </w:t>
      </w:r>
      <w:r>
        <w:t xml:space="preserve">that increased support would mean in terms of</w:t>
      </w:r>
      <w:r>
        <w:t xml:space="preserve"> </w:t>
      </w:r>
      <w:r>
        <w:t xml:space="preserve">budgetary implications for Member States.</w:t>
      </w:r>
      <w:r>
        <w:t xml:space="preserve"> </w:t>
      </w:r>
      <w:r>
        <w:t xml:space="preserve">The revised IA report explains better the underlying</w:t>
      </w:r>
      <w:r>
        <w:t xml:space="preserve"> </w:t>
      </w:r>
      <w:r>
        <w:t xml:space="preserve">reasoning of the assumption that the 10% cost reduction</w:t>
      </w:r>
      <w:r>
        <w:t xml:space="preserve"> </w:t>
      </w:r>
      <w:r>
        <w:t xml:space="preserve">would allow to attract more shippers and transport</w:t>
      </w:r>
      <w:r>
        <w:t xml:space="preserve"> </w:t>
      </w:r>
      <w:r>
        <w:t xml:space="preserve">organisers to use intermodal transport. More detailed</w:t>
      </w:r>
      <w:r>
        <w:t xml:space="preserve"> </w:t>
      </w:r>
      <w:r>
        <w:t xml:space="preserve">explanations have been provided in section 6.1.1 (Impact</w:t>
      </w:r>
      <w:r>
        <w:t xml:space="preserve"> </w:t>
      </w:r>
      <w:r>
        <w:t xml:space="preserve">on competitiveness of intermodal transport, modal shift</w:t>
      </w:r>
      <w:r>
        <w:t xml:space="preserve"> </w:t>
      </w:r>
      <w:r>
        <w:t xml:space="preserve">and GDP), including a reference to section 3.3.1 of Annex</w:t>
      </w:r>
      <w:r>
        <w:t xml:space="preserve"> </w:t>
      </w:r>
      <w:r>
        <w:t xml:space="preserve">4, which explains the approach in depth.</w:t>
      </w:r>
      <w:r>
        <w:br/>
      </w:r>
      <w:r>
        <w:t xml:space="preserve">Annex 14 of the revised IA includes examples of the</w:t>
      </w:r>
      <w:r>
        <w:t xml:space="preserve"> </w:t>
      </w:r>
      <w:r>
        <w:t xml:space="preserve">impact of existing Member State support schemes to the</w:t>
      </w:r>
      <w:r>
        <w:t xml:space="preserve"> </w:t>
      </w:r>
      <w:r>
        <w:t xml:space="preserve">uptake of different modal combinations of intermodal</w:t>
      </w:r>
      <w:r>
        <w:t xml:space="preserve"> </w:t>
      </w:r>
      <w:r>
        <w:t xml:space="preserve">transport, main findings of which are included in section</w:t>
      </w:r>
      <w:r>
        <w:t xml:space="preserve"> </w:t>
      </w:r>
      <w:r>
        <w:t xml:space="preserve">6.1.1 (Impact on competitiveness of intermodal transport,</w:t>
      </w:r>
      <w:r>
        <w:t xml:space="preserve"> </w:t>
      </w:r>
      <w:r>
        <w:t xml:space="preserve">modal shift and GDP).</w:t>
      </w:r>
      <w:r>
        <w:t xml:space="preserve"> </w:t>
      </w:r>
      <w:r>
        <w:t xml:space="preserve">Section 6.1.2 (Impacts on national public administration)</w:t>
      </w:r>
      <w:r>
        <w:t xml:space="preserve"> </w:t>
      </w:r>
      <w:r>
        <w:t xml:space="preserve">includes the estimated cost of support by policy option</w:t>
      </w:r>
      <w:r>
        <w:t xml:space="preserve"> </w:t>
      </w:r>
      <w:r>
        <w:t xml:space="preserve">and Member State (also expressed as percent of GDP). In</w:t>
      </w:r>
      <w:r>
        <w:t xml:space="preserve"> </w:t>
      </w:r>
      <w:r>
        <w:t xml:space="preserve">addition, the estimated costs of support by policy measure</w:t>
      </w:r>
      <w:r>
        <w:t xml:space="preserve"> </w:t>
      </w:r>
      <w:r>
        <w:t xml:space="preserve">and Member State have been added to Annex 4.</w:t>
      </w:r>
      <w:r>
        <w:br/>
      </w:r>
      <w:r>
        <w:t xml:space="preserve">(4) The report should present a more balanced</w:t>
      </w:r>
      <w:r>
        <w:t xml:space="preserve"> </w:t>
      </w:r>
      <w:r>
        <w:t xml:space="preserve">comparison of options and better justify the</w:t>
      </w:r>
      <w:r>
        <w:t xml:space="preserve"> </w:t>
      </w:r>
      <w:r>
        <w:t xml:space="preserve">choice of the preferred one.</w:t>
      </w:r>
      <w:r>
        <w:t xml:space="preserve"> </w:t>
      </w:r>
      <w:r>
        <w:t xml:space="preserve">Section 7 on the comparison of options has been</w:t>
      </w:r>
      <w:r>
        <w:t xml:space="preserve"> </w:t>
      </w:r>
      <w:r>
        <w:t xml:space="preserve">revised, including corrections to the scoring, and</w:t>
      </w:r>
      <w:r>
        <w:t xml:space="preserve"> </w:t>
      </w:r>
      <w:r>
        <w:t xml:space="preserve">separation of subsidiarity and proportionality scores.</w:t>
      </w:r>
      <w:r>
        <w:t xml:space="preserve"> </w:t>
      </w:r>
      <w:r>
        <w:t xml:space="preserve">The narrative justifying the choice of the preferred</w:t>
      </w:r>
      <w:r>
        <w:t xml:space="preserve"> </w:t>
      </w:r>
      <w:r>
        <w:t xml:space="preserve">option, has been improved, considering also the</w:t>
      </w:r>
      <w:r>
        <w:t xml:space="preserve"> </w:t>
      </w:r>
      <w:r>
        <w:t xml:space="preserve">additional analysis conducted in the revised IA report, to</w:t>
      </w:r>
      <w:r>
        <w:t xml:space="preserve"> </w:t>
      </w:r>
      <w:r>
        <w:t xml:space="preserve">follow up the other Board recommendations.</w:t>
      </w:r>
      <w:r>
        <w:t xml:space="preserve"> </w:t>
      </w:r>
      <w:r>
        <w:t xml:space="preserve">It should clearly demonstrate that the envisaged</w:t>
      </w:r>
      <w:r>
        <w:t xml:space="preserve"> </w:t>
      </w:r>
      <w:r>
        <w:t xml:space="preserve">financial support/fiscal incentives are a more</w:t>
      </w:r>
      <w:r>
        <w:t xml:space="preserve"> </w:t>
      </w:r>
      <w:r>
        <w:t xml:space="preserve">effective and efficient policy response than what</w:t>
      </w:r>
      <w:r>
        <w:t xml:space="preserve"> </w:t>
      </w:r>
      <w:r>
        <w:t xml:space="preserve">could be achieved via the broader instruments</w:t>
      </w:r>
      <w:r>
        <w:t xml:space="preserve"> </w:t>
      </w:r>
      <w:r>
        <w:t xml:space="preserve">tackling externalities of transport.</w:t>
      </w:r>
      <w:r>
        <w:t xml:space="preserve"> </w:t>
      </w:r>
      <w:r>
        <w:t xml:space="preserve">It should discuss the risk of overcompensating</w:t>
      </w:r>
      <w:r>
        <w:t xml:space="preserve"> </w:t>
      </w:r>
      <w:r>
        <w:t xml:space="preserve">intermodal transport because of the combination</w:t>
      </w:r>
      <w:r>
        <w:t xml:space="preserve"> </w:t>
      </w:r>
      <w:r>
        <w:t xml:space="preserve">of various measure such as those contributing to</w:t>
      </w:r>
      <w:r>
        <w:t xml:space="preserve"> </w:t>
      </w:r>
      <w:r>
        <w:t xml:space="preserve">the internalisation of external cost of road</w:t>
      </w:r>
      <w:r>
        <w:t xml:space="preserve"> </w:t>
      </w:r>
      <w:r>
        <w:t xml:space="preserve">transport expected to be achieved by 2050.</w:t>
      </w:r>
      <w:r>
        <w:t xml:space="preserve"> </w:t>
      </w:r>
      <w:r>
        <w:t xml:space="preserve">The revised IA report has explained in section 1.3</w:t>
      </w:r>
      <w:r>
        <w:t xml:space="preserve"> </w:t>
      </w:r>
      <w:r>
        <w:t xml:space="preserve">Synergies with other EU policy instruments that</w:t>
      </w:r>
      <w:r>
        <w:t xml:space="preserve"> </w:t>
      </w:r>
      <w:r>
        <w:t xml:space="preserve">economic support measures are necessary policy</w:t>
      </w:r>
      <w:r>
        <w:t xml:space="preserve"> </w:t>
      </w:r>
      <w:r>
        <w:t xml:space="preserve">response as far as other broader instruments that</w:t>
      </w:r>
      <w:r>
        <w:t xml:space="preserve"> </w:t>
      </w:r>
      <w:r>
        <w:t xml:space="preserve">reduce and internalise external costs will be phased in</w:t>
      </w:r>
      <w:r>
        <w:t xml:space="preserve"> </w:t>
      </w:r>
      <w:r>
        <w:t xml:space="preserve">and start having impact. As the competitiveness gap</w:t>
      </w:r>
      <w:r>
        <w:t xml:space="preserve"> </w:t>
      </w:r>
      <w:r>
        <w:t xml:space="preserve">narrows, the relevance and eligibility criteria in the CTD</w:t>
      </w:r>
      <w:r>
        <w:t xml:space="preserve"> </w:t>
      </w:r>
      <w:r>
        <w:t xml:space="preserve">as well as the design of State aid measures will need to</w:t>
      </w:r>
      <w:r>
        <w:t xml:space="preserve"> </w:t>
      </w:r>
      <w:r>
        <w:t xml:space="preserve">be reassessed and adjusted, as provided for in PM5 and</w:t>
      </w:r>
      <w:r>
        <w:t xml:space="preserve"> </w:t>
      </w:r>
      <w:r>
        <w:t xml:space="preserve">PM6 (market analysis, notifications and review).</w:t>
      </w:r>
      <w:r>
        <w:t xml:space="preserve"> </w:t>
      </w:r>
      <w:r>
        <w:t xml:space="preserve">Such evaluation and corresponding adjustments will</w:t>
      </w:r>
      <w:r>
        <w:t xml:space="preserve"> </w:t>
      </w:r>
      <w:r>
        <w:t xml:space="preserve">mitigate the risk of overcompensation. In section 6.1.7</w:t>
      </w:r>
      <w:r>
        <w:t xml:space="preserve"> </w:t>
      </w:r>
      <w:r>
        <w:t xml:space="preserve">Impact on the functioning of the internal market and on</w:t>
      </w:r>
      <w:r>
        <w:t xml:space="preserve"> </w:t>
      </w:r>
      <w:r>
        <w:t xml:space="preserve">competition it is recalled that all support schemes need</w:t>
      </w:r>
      <w:r>
        <w:t xml:space="preserve"> </w:t>
      </w:r>
      <w:r>
        <w:t xml:space="preserve">to comply, where relevant, with the State aid rules,</w:t>
      </w:r>
      <w:r>
        <w:t xml:space="preserve"> </w:t>
      </w:r>
      <w:r>
        <w:t xml:space="preserve">which are designed to prevent overcompensation.</w:t>
      </w:r>
    </w:p>
    <w:p>
      <w:pPr>
        <w:pStyle w:val="BodyText"/>
      </w:pPr>
      <w:r>
        <w:t xml:space="preserve">RSB issued a postive opinion with reservations on 29 June 2023. The second set of recommendations from</w:t>
      </w:r>
      <w:r>
        <w:t xml:space="preserve"> </w:t>
      </w:r>
      <w:r>
        <w:t xml:space="preserve">the Board were included in the revised version of the Impact Assessment report as detailed in the table</w:t>
      </w:r>
      <w:r>
        <w:t xml:space="preserve"> </w:t>
      </w:r>
      <w:r>
        <w:t xml:space="preserve">below.</w:t>
      </w:r>
      <w:r>
        <w:t xml:space="preserve"> </w:t>
      </w:r>
      <w:r>
        <w:t xml:space="preserve">Table 23-2: Modifications of the IA report in response to the second RSB opinion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Modifications to the IA report</w:t>
      </w:r>
      <w:r>
        <w:br/>
      </w:r>
      <w:r>
        <w:t xml:space="preserve">(1) The report should set out more clearly and</w:t>
      </w:r>
      <w:r>
        <w:t xml:space="preserve"> </w:t>
      </w:r>
      <w:r>
        <w:t xml:space="preserve">consistently what the main motivation behind this</w:t>
      </w:r>
      <w:r>
        <w:t xml:space="preserve"> </w:t>
      </w:r>
      <w:r>
        <w:t xml:space="preserve">initiative is. It should further clarify whether the</w:t>
      </w:r>
      <w:r>
        <w:t xml:space="preserve"> </w:t>
      </w:r>
      <w:r>
        <w:t xml:space="preserve">dominant objective is to tackle the remaining</w:t>
      </w:r>
      <w:r>
        <w:t xml:space="preserve"> </w:t>
      </w:r>
      <w:r>
        <w:t xml:space="preserve">The revised IA underscores in sections 1.3 Political</w:t>
      </w:r>
      <w:r>
        <w:t xml:space="preserve"> </w:t>
      </w:r>
      <w:r>
        <w:t xml:space="preserve">context and 1.3 Synergies with other EU policy</w:t>
      </w:r>
      <w:r>
        <w:t xml:space="preserve"> </w:t>
      </w:r>
      <w:r>
        <w:t xml:space="preserve">instruments that the objective of the initiative is higher</w:t>
      </w:r>
      <w:r>
        <w:t xml:space="preserve"> </w:t>
      </w:r>
      <w:r>
        <w:t xml:space="preserve">uptake of intermodal transport with a view to reduce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Modifications to the IA report</w:t>
      </w:r>
      <w:r>
        <w:br/>
      </w:r>
      <w:r>
        <w:t xml:space="preserve">negative transport externalities or to increase the</w:t>
      </w:r>
      <w:r>
        <w:t xml:space="preserve"> </w:t>
      </w:r>
      <w:r>
        <w:t xml:space="preserve">competitiveness of intermodal transport more</w:t>
      </w:r>
      <w:r>
        <w:t xml:space="preserve"> </w:t>
      </w:r>
      <w:r>
        <w:t xml:space="preserve">generally. While the revised report takes better</w:t>
      </w:r>
      <w:r>
        <w:t xml:space="preserve"> </w:t>
      </w:r>
      <w:r>
        <w:t xml:space="preserve">account of the policy context for broad parallel</w:t>
      </w:r>
      <w:r>
        <w:t xml:space="preserve"> </w:t>
      </w:r>
      <w:r>
        <w:t xml:space="preserve">initiatives such as ETS transport, CO2 and air</w:t>
      </w:r>
      <w:r>
        <w:t xml:space="preserve"> </w:t>
      </w:r>
      <w:r>
        <w:t xml:space="preserve">pollution standards, energy taxation, road safety</w:t>
      </w:r>
      <w:r>
        <w:t xml:space="preserve"> </w:t>
      </w:r>
      <w:r>
        <w:t xml:space="preserve">and charging, Eurovignette etc, it remains unclear</w:t>
      </w:r>
      <w:r>
        <w:t xml:space="preserve"> </w:t>
      </w:r>
      <w:r>
        <w:t xml:space="preserve">as to how these measures interact and work</w:t>
      </w:r>
      <w:r>
        <w:t xml:space="preserve"> </w:t>
      </w:r>
      <w:r>
        <w:t xml:space="preserve">together in tackling negative road transport</w:t>
      </w:r>
      <w:r>
        <w:t xml:space="preserve"> </w:t>
      </w:r>
      <w:r>
        <w:t xml:space="preserve">externalities and what gap remains. Under the</w:t>
      </w:r>
      <w:r>
        <w:t xml:space="preserve"> </w:t>
      </w:r>
      <w:r>
        <w:t xml:space="preserve">dynamic baseline the report should be clearer on</w:t>
      </w:r>
      <w:r>
        <w:t xml:space="preserve"> </w:t>
      </w:r>
      <w:r>
        <w:t xml:space="preserve">how the expected contribution of the other</w:t>
      </w:r>
      <w:r>
        <w:t xml:space="preserve"> </w:t>
      </w:r>
      <w:r>
        <w:t xml:space="preserve">instruments and initiatives would affect the</w:t>
      </w:r>
      <w:r>
        <w:t xml:space="preserve"> </w:t>
      </w:r>
      <w:r>
        <w:t xml:space="preserve">current disadvantages of intermodal transport in</w:t>
      </w:r>
      <w:r>
        <w:t xml:space="preserve"> </w:t>
      </w:r>
      <w:r>
        <w:t xml:space="preserve">terms of uneven internalisation of external costs.</w:t>
      </w:r>
      <w:r>
        <w:t xml:space="preserve"> </w:t>
      </w:r>
      <w:r>
        <w:t xml:space="preserve">In doing so, the report should clearly indicate which</w:t>
      </w:r>
      <w:r>
        <w:t xml:space="preserve"> </w:t>
      </w:r>
      <w:r>
        <w:t xml:space="preserve">type of external cost (e.g. congestion, accidents, air</w:t>
      </w:r>
      <w:r>
        <w:t xml:space="preserve"> </w:t>
      </w:r>
      <w:r>
        <w:t xml:space="preserve">pollution, GHG emissions) is the most problematic</w:t>
      </w:r>
      <w:r>
        <w:t xml:space="preserve"> </w:t>
      </w:r>
      <w:r>
        <w:t xml:space="preserve">one under the evolving gap to be tackled and</w:t>
      </w:r>
      <w:r>
        <w:t xml:space="preserve"> </w:t>
      </w:r>
      <w:r>
        <w:t xml:space="preserve">whether any prioritisation of externalities is</w:t>
      </w:r>
      <w:r>
        <w:t xml:space="preserve"> </w:t>
      </w:r>
      <w:r>
        <w:t xml:space="preserve">needed. It should explain more convincingly why</w:t>
      </w:r>
      <w:r>
        <w:t xml:space="preserve"> </w:t>
      </w:r>
      <w:r>
        <w:t xml:space="preserve">this gap is apparently only (or best) to be tackled</w:t>
      </w:r>
      <w:r>
        <w:t xml:space="preserve"> </w:t>
      </w:r>
      <w:r>
        <w:t xml:space="preserve">via a revision of the CTD and why adaptations of</w:t>
      </w:r>
      <w:r>
        <w:t xml:space="preserve"> </w:t>
      </w:r>
      <w:r>
        <w:t xml:space="preserve">the other instruments were not considered as</w:t>
      </w:r>
      <w:r>
        <w:t xml:space="preserve"> </w:t>
      </w:r>
      <w:r>
        <w:t xml:space="preserve">alternative measures.</w:t>
      </w:r>
      <w:r>
        <w:t xml:space="preserve"> </w:t>
      </w:r>
      <w:r>
        <w:t xml:space="preserve">the external costs induced by freight transport at the</w:t>
      </w:r>
      <w:r>
        <w:t xml:space="preserve"> </w:t>
      </w:r>
      <w:r>
        <w:t xml:space="preserve">system level.</w:t>
      </w:r>
      <w:r>
        <w:br/>
      </w:r>
      <w:r>
        <w:t xml:space="preserve">It clarifies that unlike the other initiatives for</w:t>
      </w:r>
      <w:r>
        <w:t xml:space="preserve"> </w:t>
      </w:r>
      <w:r>
        <w:t xml:space="preserve">internalisation of external transport costs, whose</w:t>
      </w:r>
      <w:r>
        <w:t xml:space="preserve"> </w:t>
      </w:r>
      <w:r>
        <w:t xml:space="preserve">starting point is mode-specific internalisation (such as</w:t>
      </w:r>
      <w:r>
        <w:t xml:space="preserve"> </w:t>
      </w:r>
      <w:r>
        <w:t xml:space="preserve">ETS transport, CO2 and air pollution standards, energy</w:t>
      </w:r>
      <w:r>
        <w:t xml:space="preserve"> </w:t>
      </w:r>
      <w:r>
        <w:t xml:space="preserve">taxation, road safety and charging which are included in</w:t>
      </w:r>
      <w:r>
        <w:t xml:space="preserve"> </w:t>
      </w:r>
      <w:r>
        <w:t xml:space="preserve">the Baseline scenario), the CTD focuses on the level</w:t>
      </w:r>
      <w:r>
        <w:t xml:space="preserve"> </w:t>
      </w:r>
      <w:r>
        <w:t xml:space="preserve">playing field between modes and aims to act directly on</w:t>
      </w:r>
      <w:r>
        <w:t xml:space="preserve"> </w:t>
      </w:r>
      <w:r>
        <w:t xml:space="preserve">the competitiveness gap, based on regular market</w:t>
      </w:r>
      <w:r>
        <w:t xml:space="preserve"> </w:t>
      </w:r>
      <w:r>
        <w:t xml:space="preserve">analyses. Therefore, its review is the most appropriate</w:t>
      </w:r>
      <w:r>
        <w:t xml:space="preserve"> </w:t>
      </w:r>
      <w:r>
        <w:t xml:space="preserve">tool to address the uneven competitive positions of the</w:t>
      </w:r>
      <w:r>
        <w:t xml:space="preserve"> </w:t>
      </w:r>
      <w:r>
        <w:t xml:space="preserve">different freight transport modes.</w:t>
      </w:r>
      <w:r>
        <w:t xml:space="preserve"> </w:t>
      </w:r>
      <w:r>
        <w:t xml:space="preserve">The baseline section has been revised to better reflect</w:t>
      </w:r>
      <w:r>
        <w:t xml:space="preserve"> </w:t>
      </w:r>
      <w:r>
        <w:t xml:space="preserve">the initiatives that are covered in its scope. It also</w:t>
      </w:r>
      <w:r>
        <w:t xml:space="preserve"> </w:t>
      </w:r>
      <w:r>
        <w:t xml:space="preserve">highlights that the synergies between these initiatives</w:t>
      </w:r>
      <w:r>
        <w:t xml:space="preserve"> </w:t>
      </w:r>
      <w:r>
        <w:t xml:space="preserve">are reflected in the baseline. An estimation of the</w:t>
      </w:r>
      <w:r>
        <w:t xml:space="preserve"> </w:t>
      </w:r>
      <w:r>
        <w:t xml:space="preserve">external costs of congestion and accidents has been also</w:t>
      </w:r>
      <w:r>
        <w:t xml:space="preserve"> </w:t>
      </w:r>
      <w:r>
        <w:t xml:space="preserve">added in the baseline section.</w:t>
      </w:r>
    </w:p>
    <w:p>
      <w:pPr>
        <w:pStyle w:val="Compact"/>
        <w:numPr>
          <w:ilvl w:val="0"/>
          <w:numId w:val="1003"/>
        </w:numPr>
      </w:pPr>
      <w:r>
        <w:t xml:space="preserve">While the revised report presents a new option</w:t>
      </w:r>
      <w:r>
        <w:t xml:space="preserve"> </w:t>
      </w:r>
      <w:r>
        <w:t xml:space="preserve">that does not bring domestic transport under the</w:t>
      </w:r>
      <w:r>
        <w:t xml:space="preserve"> </w:t>
      </w:r>
      <w:r>
        <w:t xml:space="preserve">scope of the CTD and thus provides greater policy</w:t>
      </w:r>
      <w:r>
        <w:t xml:space="preserve"> </w:t>
      </w:r>
      <w:r>
        <w:t xml:space="preserve">choice in terms of complying with the subsidiarity</w:t>
      </w:r>
      <w:r>
        <w:t xml:space="preserve"> </w:t>
      </w:r>
      <w:r>
        <w:t xml:space="preserve">principle, it still needs to better argue and</w:t>
      </w:r>
      <w:r>
        <w:t xml:space="preserve"> </w:t>
      </w:r>
      <w:r>
        <w:t xml:space="preserve">substantiate why Member States would be not be</w:t>
      </w:r>
      <w:r>
        <w:t xml:space="preserve"> </w:t>
      </w:r>
      <w:r>
        <w:t xml:space="preserve">able to take appropriate measures on domestic</w:t>
      </w:r>
      <w:r>
        <w:t xml:space="preserve"> </w:t>
      </w:r>
      <w:r>
        <w:t xml:space="preserve">transport issues and why incentives based</w:t>
      </w:r>
      <w:r>
        <w:t xml:space="preserve"> </w:t>
      </w:r>
      <w:r>
        <w:t xml:space="preserve">arguments such as better utilisation of transport</w:t>
      </w:r>
      <w:r>
        <w:t xml:space="preserve"> </w:t>
      </w:r>
      <w:r>
        <w:t xml:space="preserve">infrastructure should override justified public</w:t>
      </w:r>
      <w:r>
        <w:t xml:space="preserve"> </w:t>
      </w:r>
      <w:r>
        <w:t xml:space="preserve">interest considerations they may have (e.g. certain</w:t>
      </w:r>
      <w:r>
        <w:t xml:space="preserve"> </w:t>
      </w:r>
      <w:r>
        <w:t xml:space="preserve">fixed driving bans). In this context the report</w:t>
      </w:r>
      <w:r>
        <w:t xml:space="preserve"> </w:t>
      </w:r>
      <w:r>
        <w:t xml:space="preserve">should</w:t>
      </w:r>
      <w:r>
        <w:t xml:space="preserve"> </w:t>
      </w:r>
      <w:r>
        <w:t xml:space="preserve">clarify</w:t>
      </w:r>
      <w:r>
        <w:t xml:space="preserve"> </w:t>
      </w:r>
      <w:r>
        <w:t xml:space="preserve">whether</w:t>
      </w:r>
      <w:r>
        <w:t xml:space="preserve"> </w:t>
      </w:r>
      <w:r>
        <w:t xml:space="preserve">exempting</w:t>
      </w:r>
      <w:r>
        <w:t xml:space="preserve"> </w:t>
      </w:r>
      <w:r>
        <w:t xml:space="preserve">certain</w:t>
      </w:r>
      <w:r>
        <w:t xml:space="preserve"> </w:t>
      </w:r>
      <w:r>
        <w:t xml:space="preserve">operations from fixed driving bans would also</w:t>
      </w:r>
      <w:r>
        <w:t xml:space="preserve"> </w:t>
      </w:r>
      <w:r>
        <w:t xml:space="preserve">apply to purely domestic combined transport. It</w:t>
      </w:r>
      <w:r>
        <w:t xml:space="preserve"> </w:t>
      </w:r>
      <w:r>
        <w:t xml:space="preserve">should justify why no options were considered that</w:t>
      </w:r>
      <w:r>
        <w:t xml:space="preserve"> </w:t>
      </w:r>
      <w:r>
        <w:t xml:space="preserve">would allow Member States to continue to impose</w:t>
      </w:r>
      <w:r>
        <w:t xml:space="preserve"> </w:t>
      </w:r>
      <w:r>
        <w:t xml:space="preserve">justified public interest measures regarding</w:t>
      </w:r>
      <w:r>
        <w:t xml:space="preserve"> </w:t>
      </w:r>
      <w:r>
        <w:t xml:space="preserve">transport.</w:t>
      </w:r>
      <w:r>
        <w:t xml:space="preserve"> </w:t>
      </w:r>
      <w:r>
        <w:t xml:space="preserve">The IA explains in section 7.4 that leaving domestic</w:t>
      </w:r>
      <w:r>
        <w:t xml:space="preserve"> </w:t>
      </w:r>
      <w:r>
        <w:t xml:space="preserve">operations out of the scope for subsidiarity</w:t>
      </w:r>
      <w:r>
        <w:t xml:space="preserve"> </w:t>
      </w:r>
      <w:r>
        <w:t xml:space="preserve">considerations could result in lower support to certain</w:t>
      </w:r>
      <w:r>
        <w:t xml:space="preserve"> </w:t>
      </w:r>
      <w:r>
        <w:t xml:space="preserve">operations that contribute equally to environmental</w:t>
      </w:r>
      <w:r>
        <w:t xml:space="preserve"> </w:t>
      </w:r>
      <w:r>
        <w:t xml:space="preserve">benefits. On the one hand, this would not be in line</w:t>
      </w:r>
      <w:r>
        <w:t xml:space="preserve"> </w:t>
      </w:r>
      <w:r>
        <w:t xml:space="preserve">with the policy objectives. On the other hand, for</w:t>
      </w:r>
      <w:r>
        <w:t xml:space="preserve"> </w:t>
      </w:r>
      <w:r>
        <w:t xml:space="preserve">Member States authorities it could be challenging to</w:t>
      </w:r>
      <w:r>
        <w:t xml:space="preserve"> </w:t>
      </w:r>
      <w:r>
        <w:t xml:space="preserve">justify the existence of different support regimes for</w:t>
      </w:r>
      <w:r>
        <w:t xml:space="preserve"> </w:t>
      </w:r>
      <w:r>
        <w:t xml:space="preserve">cross-border and for domestic operations, or to refuse</w:t>
      </w:r>
      <w:r>
        <w:t xml:space="preserve"> </w:t>
      </w:r>
      <w:r>
        <w:t xml:space="preserve">to domestic operations the support they grant to cross-</w:t>
      </w:r>
      <w:r>
        <w:t xml:space="preserve"> </w:t>
      </w:r>
      <w:r>
        <w:t xml:space="preserve">border operations.</w:t>
      </w:r>
      <w:r>
        <w:br/>
      </w:r>
      <w:r>
        <w:t xml:space="preserve">PM13 applies to all operations within the scope of the</w:t>
      </w:r>
      <w:r>
        <w:t xml:space="preserve"> </w:t>
      </w:r>
      <w:r>
        <w:t xml:space="preserve">directive, which means that under the preferred policy</w:t>
      </w:r>
      <w:r>
        <w:t xml:space="preserve"> </w:t>
      </w:r>
      <w:r>
        <w:t xml:space="preserve">option PO-B2a the driving bans should be lifted for the</w:t>
      </w:r>
      <w:r>
        <w:t xml:space="preserve"> </w:t>
      </w:r>
      <w:r>
        <w:t xml:space="preserve">road legs of all intermodal operations. Such bans have</w:t>
      </w:r>
      <w:r>
        <w:t xml:space="preserve"> </w:t>
      </w:r>
      <w:r>
        <w:t xml:space="preserve">a similar effect to logistics chain and the use of</w:t>
      </w:r>
      <w:r>
        <w:t xml:space="preserve"> </w:t>
      </w:r>
      <w:r>
        <w:t xml:space="preserve">infrastructure, be they applied to the road legs of</w:t>
      </w:r>
      <w:r>
        <w:t xml:space="preserve"> </w:t>
      </w:r>
      <w:r>
        <w:t xml:space="preserve">cross-border or domestic intermodal operations.</w:t>
      </w:r>
      <w:r>
        <w:t xml:space="preserve"> </w:t>
      </w:r>
      <w:r>
        <w:t xml:space="preserve">Furthermore, national authorities could again find it</w:t>
      </w:r>
      <w:r>
        <w:t xml:space="preserve"> </w:t>
      </w:r>
      <w:r>
        <w:t xml:space="preserve">difficult to justify bans to national operations, while</w:t>
      </w:r>
      <w:r>
        <w:t xml:space="preserve"> </w:t>
      </w:r>
      <w:r>
        <w:t xml:space="preserve">international operations can run. Therefore, excluding</w:t>
      </w:r>
      <w:r>
        <w:t xml:space="preserve"> </w:t>
      </w:r>
      <w:r>
        <w:t xml:space="preserve">national operations from PM13 due to subsidiarity</w:t>
      </w:r>
      <w:r>
        <w:t xml:space="preserve"> </w:t>
      </w:r>
      <w:r>
        <w:t xml:space="preserve">concerns, would add complexity and administrative</w:t>
      </w:r>
      <w:r>
        <w:t xml:space="preserve"> </w:t>
      </w:r>
      <w:r>
        <w:t xml:space="preserve">burdens, while in practice the impact on road volume</w:t>
      </w:r>
      <w:r>
        <w:t xml:space="preserve"> </w:t>
      </w:r>
      <w:r>
        <w:t xml:space="preserve">can be very limited (the share of road operations</w:t>
      </w:r>
      <w:r>
        <w:t xml:space="preserve"> </w:t>
      </w:r>
      <w:r>
        <w:t xml:space="preserve">possibly impacted is around 2%).</w:t>
      </w:r>
    </w:p>
    <w:p>
      <w:pPr>
        <w:pStyle w:val="Compact"/>
        <w:numPr>
          <w:ilvl w:val="0"/>
          <w:numId w:val="1003"/>
        </w:numPr>
      </w:pPr>
      <w:r>
        <w:t xml:space="preserve">The report should present a more balanced</w:t>
      </w:r>
      <w:r>
        <w:t xml:space="preserve"> </w:t>
      </w:r>
      <w:r>
        <w:t xml:space="preserve">comparison</w:t>
      </w:r>
      <w:r>
        <w:t xml:space="preserve"> </w:t>
      </w:r>
      <w:r>
        <w:t xml:space="preserve">of</w:t>
      </w:r>
      <w:r>
        <w:t xml:space="preserve"> </w:t>
      </w:r>
      <w:r>
        <w:t xml:space="preserve">options.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ensure</w:t>
      </w:r>
      <w:r>
        <w:t xml:space="preserve"> </w:t>
      </w:r>
      <w:r>
        <w:t xml:space="preserve">consistency between the impact analysis and the</w:t>
      </w:r>
      <w:r>
        <w:t xml:space="preserve"> </w:t>
      </w:r>
      <w:r>
        <w:t xml:space="preserve">scoring of the comparison summary table. For</w:t>
      </w:r>
      <w:r>
        <w:t xml:space="preserve"> </w:t>
      </w:r>
      <w:r>
        <w:t xml:space="preserve">Additional clarifications have been added in sections</w:t>
      </w:r>
      <w:r>
        <w:t xml:space="preserve"> </w:t>
      </w:r>
      <w:r>
        <w:t xml:space="preserve">7.1, 7.4 and 8.1.</w:t>
      </w:r>
    </w:p>
    <w:p>
      <w:pPr>
        <w:pStyle w:val="FirstParagraph"/>
      </w:pPr>
      <w:r>
        <w:t xml:space="preserve">61</w:t>
      </w:r>
      <w:r>
        <w:t xml:space="preserve"> </w:t>
      </w:r>
      <w:r>
        <w:t xml:space="preserve">Detailed RSB comments</w:t>
      </w:r>
      <w:r>
        <w:t xml:space="preserve"> </w:t>
      </w:r>
      <w:r>
        <w:t xml:space="preserve">Modifications to the IA report</w:t>
      </w:r>
      <w:r>
        <w:br/>
      </w:r>
      <w:r>
        <w:t xml:space="preserve">instance, it is not clear why options PO-B1 and PO-</w:t>
      </w:r>
      <w:r>
        <w:t xml:space="preserve"> </w:t>
      </w:r>
      <w:r>
        <w:t xml:space="preserve">B2a receive a different score in terms of</w:t>
      </w:r>
      <w:r>
        <w:t xml:space="preserve"> </w:t>
      </w:r>
      <w:r>
        <w:t xml:space="preserve">effectiveness despite having quite comparable net</w:t>
      </w:r>
      <w:r>
        <w:t xml:space="preserve"> </w:t>
      </w:r>
      <w:r>
        <w:t xml:space="preserve">benefits. Similarly, it is difficult to understand why</w:t>
      </w:r>
      <w:r>
        <w:t xml:space="preserve"> </w:t>
      </w:r>
      <w:r>
        <w:t xml:space="preserve">PO-B2a performs significantly better than PO-B2b</w:t>
      </w:r>
      <w:r>
        <w:t xml:space="preserve"> </w:t>
      </w:r>
      <w:r>
        <w:t xml:space="preserve">in terms of proportionality, despite the latter</w:t>
      </w:r>
      <w:r>
        <w:t xml:space="preserve"> </w:t>
      </w:r>
      <w:r>
        <w:t xml:space="preserve">having a better Benefit-Cost-Ratio. It is also not</w:t>
      </w:r>
      <w:r>
        <w:t xml:space="preserve"> </w:t>
      </w:r>
      <w:r>
        <w:t xml:space="preserve">clear why PO-B2b performs only slightly better</w:t>
      </w:r>
      <w:r>
        <w:t xml:space="preserve"> </w:t>
      </w:r>
      <w:r>
        <w:t xml:space="preserve">than options PO-B1 and PO-B2a in terms of</w:t>
      </w:r>
      <w:r>
        <w:t xml:space="preserve"> </w:t>
      </w:r>
      <w:r>
        <w:t xml:space="preserve">subsidiarity, given that it excludes domestic</w:t>
      </w:r>
      <w:r>
        <w:t xml:space="preserve"> </w:t>
      </w:r>
      <w:r>
        <w:t xml:space="preserve">transport from the scope.</w:t>
      </w:r>
      <w:r>
        <w:t xml:space="preserve"> </w:t>
      </w:r>
      <w:r>
        <w:t xml:space="preserve">In particular, the IA clarifies that while PO-B1 produces</w:t>
      </w:r>
      <w:r>
        <w:t xml:space="preserve"> </w:t>
      </w:r>
      <w:r>
        <w:t xml:space="preserve">similar net benefits as PO-B2a, it is considered less</w:t>
      </w:r>
      <w:r>
        <w:t xml:space="preserve"> </w:t>
      </w:r>
      <w:r>
        <w:t xml:space="preserve">effective, since in medium to long term, it results in</w:t>
      </w:r>
      <w:r>
        <w:t xml:space="preserve"> </w:t>
      </w:r>
      <w:r>
        <w:t xml:space="preserve">over-reliance on rail-road intermodal operations, even</w:t>
      </w:r>
      <w:r>
        <w:t xml:space="preserve"> </w:t>
      </w:r>
      <w:r>
        <w:t xml:space="preserve">with rather long road legs.</w:t>
      </w:r>
      <w:r>
        <w:br/>
      </w:r>
      <w:r>
        <w:t xml:space="preserve">PO-B2a performs better than PO-B2b in terms of</w:t>
      </w:r>
      <w:r>
        <w:t xml:space="preserve"> </w:t>
      </w:r>
      <w:r>
        <w:t xml:space="preserve">proportionality, despite having a similar benefit-cost</w:t>
      </w:r>
      <w:r>
        <w:t xml:space="preserve"> </w:t>
      </w:r>
      <w:r>
        <w:t xml:space="preserve">ratio than PO-B2b, because it is missing out on</w:t>
      </w:r>
      <w:r>
        <w:t xml:space="preserve"> </w:t>
      </w:r>
      <w:r>
        <w:t xml:space="preserve">opportunities, leaving domestic operations with</w:t>
      </w:r>
      <w:r>
        <w:t xml:space="preserve"> </w:t>
      </w:r>
      <w:r>
        <w:t xml:space="preserve">equivalent environmental benefits without a support</w:t>
      </w:r>
      <w:r>
        <w:t xml:space="preserve"> </w:t>
      </w:r>
      <w:r>
        <w:t xml:space="preserve">and thus resulting in 38% lower outcome on the</w:t>
      </w:r>
      <w:r>
        <w:t xml:space="preserve"> </w:t>
      </w:r>
      <w:r>
        <w:t xml:space="preserve">benefits side.</w:t>
      </w:r>
      <w:r>
        <w:br/>
      </w:r>
      <w:r>
        <w:t xml:space="preserve">PO-B2b, that leaves domestic operations out of scope,</w:t>
      </w:r>
      <w:r>
        <w:t xml:space="preserve"> </w:t>
      </w:r>
      <w:r>
        <w:t xml:space="preserve">has only a slight advantage with regards to the</w:t>
      </w:r>
      <w:r>
        <w:t xml:space="preserve"> </w:t>
      </w:r>
      <w:r>
        <w:t xml:space="preserve">subsidiarity principle, because it compromises between</w:t>
      </w:r>
      <w:r>
        <w:t xml:space="preserve"> </w:t>
      </w:r>
      <w:r>
        <w:t xml:space="preserve">subsidiarity and effectiveness while having questions</w:t>
      </w:r>
      <w:r>
        <w:t xml:space="preserve"> </w:t>
      </w:r>
      <w:r>
        <w:t xml:space="preserve">about practical applicability as explained under point (2)</w:t>
      </w:r>
      <w:r>
        <w:t xml:space="preserve"> </w:t>
      </w:r>
      <w:r>
        <w:t xml:space="preserve">above.</w:t>
      </w:r>
      <w:r>
        <w:t xml:space="preserve"> </w:t>
      </w:r>
      <w:r>
        <w:t xml:space="preserve">(4) In view of above, the report should better justify</w:t>
      </w:r>
      <w:r>
        <w:t xml:space="preserve"> </w:t>
      </w:r>
      <w:r>
        <w:t xml:space="preserve">the choice of the preferred option, including in</w:t>
      </w:r>
      <w:r>
        <w:t xml:space="preserve"> </w:t>
      </w:r>
      <w:r>
        <w:t xml:space="preserve">terms of compliance with the proportionality and</w:t>
      </w:r>
      <w:r>
        <w:t xml:space="preserve"> </w:t>
      </w:r>
      <w:r>
        <w:t xml:space="preserve">subsidiarity principles. It should also better</w:t>
      </w:r>
      <w:r>
        <w:t xml:space="preserve"> </w:t>
      </w:r>
      <w:r>
        <w:t xml:space="preserve">demonstrate that the envisaged substantial</w:t>
      </w:r>
      <w:r>
        <w:t xml:space="preserve"> </w:t>
      </w:r>
      <w:r>
        <w:t xml:space="preserve">financial public support is a more effective,</w:t>
      </w:r>
      <w:r>
        <w:t xml:space="preserve"> </w:t>
      </w:r>
      <w:r>
        <w:t xml:space="preserve">efficient and coherent policy response than what</w:t>
      </w:r>
      <w:r>
        <w:t xml:space="preserve"> </w:t>
      </w:r>
      <w:r>
        <w:t xml:space="preserve">could be achieved via parallel instruments tackling</w:t>
      </w:r>
      <w:r>
        <w:t xml:space="preserve"> </w:t>
      </w:r>
      <w:r>
        <w:t xml:space="preserve">externalities of transport.</w:t>
      </w:r>
      <w:r>
        <w:br/>
      </w:r>
      <w:r>
        <w:t xml:space="preserve">Respective clarifications have been added to section 8.1.</w:t>
      </w:r>
    </w:p>
    <w:p>
      <w:pPr>
        <w:pStyle w:val="Compact"/>
        <w:numPr>
          <w:ilvl w:val="0"/>
          <w:numId w:val="1004"/>
        </w:numPr>
      </w:pPr>
      <w:r>
        <w:t xml:space="preserve">EVIDENCE, SOURCES AND QUALITY</w:t>
      </w:r>
      <w:r>
        <w:t xml:space="preserve"> </w:t>
      </w:r>
      <w:r>
        <w:t xml:space="preserve">The impact assessment is based on several sources, using both quantitative and qualitative data. This</w:t>
      </w:r>
      <w:r>
        <w:t xml:space="preserve"> </w:t>
      </w:r>
      <w:r>
        <w:t xml:space="preserve">includes:</w:t>
      </w:r>
      <w:r>
        <w:t xml:space="preserve"> </w:t>
      </w:r>
      <w:r>
        <w:t xml:space="preserve">• REFIT evaluation of the CTD (2016)</w:t>
      </w:r>
      <w:r>
        <w:t xml:space="preserve"> </w:t>
      </w:r>
      <w:r>
        <w:t xml:space="preserve">• Stakeholder consultation activities (see Annex 2)</w:t>
      </w:r>
      <w:r>
        <w:t xml:space="preserve"> </w:t>
      </w:r>
      <w:r>
        <w:t xml:space="preserve">• External support study carried out by an independent consortium (lead by Ricardo)</w:t>
      </w:r>
      <w:r>
        <w:br/>
      </w:r>
      <w:r>
        <w:t xml:space="preserve">• Commission experience in monitoring and implementing the CTD</w:t>
      </w:r>
    </w:p>
    <w:p>
      <w:pPr>
        <w:pStyle w:val="FirstParagraph"/>
      </w:pPr>
      <w:r>
        <w:t xml:space="preserve">62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This annex provides a summary of the outcomes of the consultation activities for the review of the CTD,</w:t>
      </w:r>
      <w:r>
        <w:t xml:space="preserve"> </w:t>
      </w:r>
      <w:r>
        <w:t xml:space="preserve">including in the context of the external support study. It notes the range of stakeholders consulted,</w:t>
      </w:r>
      <w:r>
        <w:t xml:space="preserve"> </w:t>
      </w:r>
      <w:r>
        <w:t xml:space="preserve">describes the main consultation activities, and provides a succinct analysis of their views and the main</w:t>
      </w:r>
      <w:r>
        <w:t xml:space="preserve"> </w:t>
      </w:r>
      <w:r>
        <w:t xml:space="preserve">issues they raised. The full analysis of the consultation results is presented in the stakeholder consultation</w:t>
      </w:r>
      <w:r>
        <w:t xml:space="preserve"> </w:t>
      </w:r>
      <w:r>
        <w:t xml:space="preserve">report annexed to the support study.</w:t>
      </w:r>
      <w:r>
        <w:t xml:space="preserve"> </w:t>
      </w:r>
      <w:r>
        <w:t xml:space="preserve">The objectives of the consultation activities were the following:</w:t>
      </w:r>
      <w:r>
        <w:t xml:space="preserve"> </w:t>
      </w:r>
      <w:r>
        <w:t xml:space="preserve">– to collect information and opinions of stakeholders on the key problems and associated drivers,</w:t>
      </w:r>
      <w:r>
        <w:t xml:space="preserve"> </w:t>
      </w:r>
      <w:r>
        <w:t xml:space="preserve">the definition of relevant policy objectives linked to those problems, and the identification,</w:t>
      </w:r>
      <w:r>
        <w:t xml:space="preserve"> </w:t>
      </w:r>
      <w:r>
        <w:t xml:space="preserve">definition and screening of policy measures that could be considered in this Impact Assessment</w:t>
      </w:r>
      <w:r>
        <w:t xml:space="preserve"> </w:t>
      </w:r>
      <w:r>
        <w:t xml:space="preserve">– to gather information and opinions on the likely impacts of policy measures and options.</w:t>
      </w:r>
      <w:r>
        <w:t xml:space="preserve"> </w:t>
      </w:r>
      <w:r>
        <w:t xml:space="preserve">1. OVERVIEW OF CONSULTATION ACTIVITIES</w:t>
      </w:r>
      <w:r>
        <w:t xml:space="preserve"> </w:t>
      </w:r>
      <w:r>
        <w:t xml:space="preserve">Consultation activities have taken place in 2021 and 2022, from the publication of the Inception Impact</w:t>
      </w:r>
      <w:r>
        <w:t xml:space="preserve"> </w:t>
      </w:r>
      <w:r>
        <w:t xml:space="preserve">Assessment (IIA) in August 2021, to the targeted consultation that closed in August 2022.</w:t>
      </w:r>
      <w:r>
        <w:t xml:space="preserve"> </w:t>
      </w:r>
      <w:r>
        <w:t xml:space="preserve">As part of the initial feedback mechanism, interested parties had the possibility to provide feedback on the</w:t>
      </w:r>
      <w:r>
        <w:t xml:space="preserve"> </w:t>
      </w:r>
      <w:r>
        <w:t xml:space="preserve">Inception Impact Assessment from 19 August to 16 September 2021. A total of 62 individual responses</w:t>
      </w:r>
      <w:r>
        <w:t xml:space="preserve"> </w:t>
      </w:r>
      <w:r>
        <w:t xml:space="preserve">were received.</w:t>
      </w:r>
      <w:r>
        <w:br/>
      </w:r>
      <w:r>
        <w:t xml:space="preserve">Subsequently, an open public consultation was accessible on the website “Have your Say” from 7 March to</w:t>
      </w:r>
      <w:r>
        <w:t xml:space="preserve"> </w:t>
      </w:r>
      <w:r>
        <w:t xml:space="preserve">30 May 2022. In total, 101 responses were received from different stakeholders. Some stakeholders also</w:t>
      </w:r>
      <w:r>
        <w:t xml:space="preserve"> </w:t>
      </w:r>
      <w:r>
        <w:t xml:space="preserve">provided position papers together with their responses to the OPC. The views of the respondents are</w:t>
      </w:r>
      <w:r>
        <w:t xml:space="preserve"> </w:t>
      </w:r>
      <w:r>
        <w:t xml:space="preserve">presented hereafter objectively, without any inference as to what any majority or minority of citizens may</w:t>
      </w:r>
      <w:r>
        <w:t xml:space="preserve"> </w:t>
      </w:r>
      <w:r>
        <w:t xml:space="preserve">think of each topic.</w:t>
      </w:r>
      <w:r>
        <w:t xml:space="preserve"> </w:t>
      </w:r>
      <w:r>
        <w:t xml:space="preserve">Finally, the following targeted consultation activities were carried out:</w:t>
      </w:r>
      <w:r>
        <w:t xml:space="preserve"> </w:t>
      </w:r>
      <w:r>
        <w:t xml:space="preserve">– A targeted online survey aimed to validate the problem definition and the objectives of the policy</w:t>
      </w:r>
      <w:r>
        <w:t xml:space="preserve"> </w:t>
      </w:r>
      <w:r>
        <w:t xml:space="preserve">options, obtain input to define further the policy measures/options, and provide data needed to</w:t>
      </w:r>
      <w:r>
        <w:t xml:space="preserve"> </w:t>
      </w:r>
      <w:r>
        <w:t xml:space="preserve">support the assessment of impacts of measures and expected costs. The survey ran from 16 May</w:t>
      </w:r>
      <w:r>
        <w:t xml:space="preserve"> </w:t>
      </w:r>
      <w:r>
        <w:t xml:space="preserve">to 24 June and received 59 responses.</w:t>
      </w:r>
      <w:r>
        <w:br/>
      </w:r>
      <w:r>
        <w:t xml:space="preserve">– Targeted stakeholder interviews were conducted with 29 stakeholders between May and August</w:t>
      </w:r>
      <w:r>
        <w:t xml:space="preserve"> </w:t>
      </w:r>
      <w:r>
        <w:t xml:space="preserve">2022 (including three exploratory interviews were conducted in February 2022).</w:t>
      </w:r>
      <w:r>
        <w:br/>
      </w:r>
      <w:r>
        <w:t xml:space="preserve">– One stakeholder expert meeting with industry was held on 25 October 2022. There were 60</w:t>
      </w:r>
      <w:r>
        <w:t xml:space="preserve"> </w:t>
      </w:r>
      <w:r>
        <w:t xml:space="preserve">participants representing 55 organisations.</w:t>
      </w:r>
    </w:p>
    <w:p>
      <w:pPr>
        <w:pStyle w:val="Compact"/>
        <w:numPr>
          <w:ilvl w:val="0"/>
          <w:numId w:val="1005"/>
        </w:numPr>
      </w:pPr>
      <w:r>
        <w:t xml:space="preserve">STAKEHOLDER GROUPS CONSULTED</w:t>
      </w:r>
      <w:r>
        <w:t xml:space="preserve"> </w:t>
      </w:r>
      <w:r>
        <w:t xml:space="preserve">The table below provides a short overview of the main types of stakeholders identified and targeted as part</w:t>
      </w:r>
      <w:r>
        <w:t xml:space="preserve"> </w:t>
      </w:r>
      <w:r>
        <w:t xml:space="preserve">of the different consultation activities.</w:t>
      </w:r>
    </w:p>
    <w:p>
      <w:pPr>
        <w:pStyle w:val="FirstParagraph"/>
      </w:pPr>
      <w:r>
        <w:t xml:space="preserve">63</w:t>
      </w:r>
      <w:r>
        <w:t xml:space="preserve"> </w:t>
      </w:r>
      <w:r>
        <w:t xml:space="preserve">Table 24: Key stakeholder roles and mapping against activities</w:t>
      </w:r>
      <w:r>
        <w:t xml:space="preserve"> </w:t>
      </w:r>
      <w:r>
        <w:t xml:space="preserve">High-level stakeholder</w:t>
      </w:r>
      <w:r>
        <w:t xml:space="preserve"> </w:t>
      </w:r>
      <w:r>
        <w:t xml:space="preserve">group</w:t>
      </w:r>
      <w:r>
        <w:t xml:space="preserve"> </w:t>
      </w:r>
      <w:r>
        <w:t xml:space="preserve">Description</w:t>
      </w:r>
      <w:r>
        <w:t xml:space="preserve"> </w:t>
      </w:r>
      <w:r>
        <w:t xml:space="preserve">Stakeholder</w:t>
      </w:r>
      <w:r>
        <w:t xml:space="preserve"> </w:t>
      </w:r>
      <w:r>
        <w:t xml:space="preserve">engagement</w:t>
      </w:r>
      <w:r>
        <w:t xml:space="preserve"> </w:t>
      </w:r>
      <w:r>
        <w:t xml:space="preserve">activity</w:t>
      </w:r>
      <w:r>
        <w:t xml:space="preserve"> </w:t>
      </w:r>
      <w:r>
        <w:t xml:space="preserve">Shippers and their</w:t>
      </w:r>
      <w:r>
        <w:t xml:space="preserve"> </w:t>
      </w:r>
      <w:r>
        <w:t xml:space="preserve">associations</w:t>
      </w:r>
      <w:r>
        <w:br/>
      </w:r>
      <w:r>
        <w:t xml:space="preserve">Shippers are firms that need to ship goods as part of their</w:t>
      </w:r>
      <w:r>
        <w:t xml:space="preserve"> </w:t>
      </w:r>
      <w:r>
        <w:t xml:space="preserve">business. Shippers can be producers, buyers or</w:t>
      </w:r>
      <w:r>
        <w:t xml:space="preserve"> </w:t>
      </w:r>
      <w:r>
        <w:t xml:space="preserve">intermediaries. These shipments may be addressed to</w:t>
      </w:r>
      <w:r>
        <w:t xml:space="preserve"> </w:t>
      </w:r>
      <w:r>
        <w:t xml:space="preserve">other offices, factories, warehouses, clients, end</w:t>
      </w:r>
      <w:r>
        <w:t xml:space="preserve"> </w:t>
      </w:r>
      <w:r>
        <w:t xml:space="preserve">consumers, or are part of export operations. Shippers may</w:t>
      </w:r>
      <w:r>
        <w:t xml:space="preserve"> </w:t>
      </w:r>
      <w:r>
        <w:t xml:space="preserve">arrange own multimodal/intermodal operations and deploy</w:t>
      </w:r>
      <w:r>
        <w:t xml:space="preserve"> </w:t>
      </w:r>
      <w:r>
        <w:t xml:space="preserve">their own fleet for the movement of cargo, fully or partially,</w:t>
      </w:r>
      <w:r>
        <w:t xml:space="preserve"> </w:t>
      </w:r>
      <w:r>
        <w:t xml:space="preserve">or may acquire the services partly or fully through</w:t>
      </w:r>
      <w:r>
        <w:t xml:space="preserve"> </w:t>
      </w:r>
      <w:r>
        <w:t xml:space="preserve">organisers of multimodal transport operations.</w:t>
      </w:r>
      <w:r>
        <w:t xml:space="preserve"> </w:t>
      </w:r>
      <w:r>
        <w:t xml:space="preserve">They attempt to minimise the cost of the logistics chain</w:t>
      </w:r>
      <w:r>
        <w:t xml:space="preserve"> </w:t>
      </w:r>
      <w:r>
        <w:t xml:space="preserve">(cost of arranging and cost of transport) and, thus, make</w:t>
      </w:r>
      <w:r>
        <w:t xml:space="preserve"> </w:t>
      </w:r>
      <w:r>
        <w:t xml:space="preserve">decisions on the management of the supply chain such as</w:t>
      </w:r>
      <w:r>
        <w:t xml:space="preserve"> </w:t>
      </w:r>
      <w:r>
        <w:t xml:space="preserve">those related to modes and carriers to employ, inventory</w:t>
      </w:r>
      <w:r>
        <w:t xml:space="preserve"> </w:t>
      </w:r>
      <w:r>
        <w:t xml:space="preserve">management and facility location.</w:t>
      </w:r>
      <w:r>
        <w:t xml:space="preserve"> </w:t>
      </w:r>
      <w:r>
        <w:t xml:space="preserve">Exploratory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Targeted</w:t>
      </w:r>
      <w:r>
        <w:t xml:space="preserve"> </w:t>
      </w:r>
      <w:r>
        <w:t xml:space="preserve">surveys</w:t>
      </w:r>
    </w:p>
    <w:p>
      <w:pPr>
        <w:pStyle w:val="BodyText"/>
      </w:pPr>
      <w:r>
        <w:t xml:space="preserve">Targeted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expert meeting</w:t>
      </w:r>
    </w:p>
    <w:p>
      <w:pPr>
        <w:pStyle w:val="BodyText"/>
      </w:pPr>
      <w:r>
        <w:t xml:space="preserve">OPC</w:t>
      </w:r>
      <w:r>
        <w:t xml:space="preserve"> </w:t>
      </w:r>
      <w:r>
        <w:t xml:space="preserve">Freight (chain) organisers</w:t>
      </w:r>
      <w:r>
        <w:t xml:space="preserve"> </w:t>
      </w:r>
      <w:r>
        <w:t xml:space="preserve">and their associations</w:t>
      </w:r>
      <w:r>
        <w:t xml:space="preserve"> </w:t>
      </w:r>
      <w:r>
        <w:t xml:space="preserve">(e.g. logistics operators,</w:t>
      </w:r>
      <w:r>
        <w:t xml:space="preserve"> </w:t>
      </w:r>
      <w:r>
        <w:t xml:space="preserve">freight forwarders)</w:t>
      </w:r>
      <w:r>
        <w:br/>
      </w:r>
      <w:r>
        <w:t xml:space="preserve">Freight organisers are organisations responsible for the</w:t>
      </w:r>
      <w:r>
        <w:t xml:space="preserve"> </w:t>
      </w:r>
      <w:r>
        <w:t xml:space="preserve">assembling and organisation of shipments of goods for</w:t>
      </w:r>
      <w:r>
        <w:t xml:space="preserve"> </w:t>
      </w:r>
      <w:r>
        <w:t xml:space="preserve">firms or other organisations. They hold responsibility for</w:t>
      </w:r>
      <w:r>
        <w:t xml:space="preserve"> </w:t>
      </w:r>
      <w:r>
        <w:t xml:space="preserve">the timely and qualitative delivery of this cargo up to its</w:t>
      </w:r>
      <w:r>
        <w:t xml:space="preserve"> </w:t>
      </w:r>
      <w:r>
        <w:t xml:space="preserve">destination. Freight organisers are involved in different</w:t>
      </w:r>
      <w:r>
        <w:t xml:space="preserve"> </w:t>
      </w:r>
      <w:r>
        <w:t xml:space="preserve">stages of the supply chain management. They contract</w:t>
      </w:r>
      <w:r>
        <w:t xml:space="preserve"> </w:t>
      </w:r>
      <w:r>
        <w:t xml:space="preserve">the services of transport operators and engage in</w:t>
      </w:r>
      <w:r>
        <w:t xml:space="preserve"> </w:t>
      </w:r>
      <w:r>
        <w:t xml:space="preserve">interaction and negotiations with multiple carriers that may</w:t>
      </w:r>
      <w:r>
        <w:t xml:space="preserve"> </w:t>
      </w:r>
      <w:r>
        <w:t xml:space="preserve">cover different stages of the operation.</w:t>
      </w:r>
      <w:r>
        <w:t xml:space="preserve"> </w:t>
      </w:r>
      <w:r>
        <w:t xml:space="preserve">The decisions made by the freight organisers have the</w:t>
      </w:r>
      <w:r>
        <w:t xml:space="preserve"> </w:t>
      </w:r>
      <w:r>
        <w:t xml:space="preserve">potential of reducing the shippers’ costs due to the optimal</w:t>
      </w:r>
      <w:r>
        <w:t xml:space="preserve"> </w:t>
      </w:r>
      <w:r>
        <w:t xml:space="preserve">choice of transport route and mode choices. These</w:t>
      </w:r>
      <w:r>
        <w:t xml:space="preserve"> </w:t>
      </w:r>
      <w:r>
        <w:t xml:space="preserve">choices also have an impact on environmental and social</w:t>
      </w:r>
      <w:r>
        <w:t xml:space="preserve"> </w:t>
      </w:r>
      <w:r>
        <w:t xml:space="preserve">aspects.</w:t>
      </w:r>
      <w:r>
        <w:t xml:space="preserve"> </w:t>
      </w:r>
      <w:r>
        <w:t xml:space="preserve">Freight organisers can also provide CT organiser services</w:t>
      </w:r>
      <w:r>
        <w:t xml:space="preserve"> </w:t>
      </w:r>
      <w:r>
        <w:t xml:space="preserve">as well as all or part of the transport carrier services.</w:t>
      </w:r>
      <w:r>
        <w:br/>
      </w:r>
      <w:r>
        <w:t xml:space="preserve">Exploratory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Targeted</w:t>
      </w:r>
      <w:r>
        <w:t xml:space="preserve"> </w:t>
      </w:r>
      <w:r>
        <w:t xml:space="preserve">surveys</w:t>
      </w:r>
    </w:p>
    <w:p>
      <w:pPr>
        <w:pStyle w:val="BodyText"/>
      </w:pPr>
      <w:r>
        <w:t xml:space="preserve">Targeted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expert meeting</w:t>
      </w:r>
    </w:p>
    <w:p>
      <w:pPr>
        <w:pStyle w:val="BodyText"/>
      </w:pPr>
      <w:r>
        <w:t xml:space="preserve">OPC</w:t>
      </w:r>
      <w:r>
        <w:t xml:space="preserve"> </w:t>
      </w:r>
      <w:r>
        <w:t xml:space="preserve">Independent connection</w:t>
      </w:r>
      <w:r>
        <w:t xml:space="preserve"> </w:t>
      </w:r>
      <w:r>
        <w:t xml:space="preserve">organisers (organisers of</w:t>
      </w:r>
      <w:r>
        <w:t xml:space="preserve"> </w:t>
      </w:r>
      <w:r>
        <w:t xml:space="preserve">non-road leg services)</w:t>
      </w:r>
      <w:r>
        <w:t xml:space="preserve"> </w:t>
      </w:r>
      <w:r>
        <w:t xml:space="preserve">Connection organisers are organisations that organise a</w:t>
      </w:r>
      <w:r>
        <w:t xml:space="preserve"> </w:t>
      </w:r>
      <w:r>
        <w:t xml:space="preserve">rail, IWW or SSS service by subcontracting the carriers</w:t>
      </w:r>
      <w:r>
        <w:t xml:space="preserve"> </w:t>
      </w:r>
      <w:r>
        <w:t xml:space="preserve">and selling “slots” on vehicle or vessel to shippers or</w:t>
      </w:r>
      <w:r>
        <w:t xml:space="preserve"> </w:t>
      </w:r>
      <w:r>
        <w:t xml:space="preserve">freight organisers. They take the commercial risk of filling</w:t>
      </w:r>
      <w:r>
        <w:t xml:space="preserve"> </w:t>
      </w:r>
      <w:r>
        <w:t xml:space="preserve">train/ship/barge.</w:t>
      </w:r>
      <w:r>
        <w:br/>
      </w:r>
      <w:r>
        <w:t xml:space="preserve">Connection organisers can be legally independent but be</w:t>
      </w:r>
      <w:r>
        <w:t xml:space="preserve"> </w:t>
      </w:r>
      <w:r>
        <w:t xml:space="preserve">affiliated to transport operators or freight organiser.</w:t>
      </w:r>
      <w:r>
        <w:t xml:space="preserve"> </w:t>
      </w:r>
      <w:r>
        <w:t xml:space="preserve">Freight organisers, transport operators or consortiums of</w:t>
      </w:r>
      <w:r>
        <w:t xml:space="preserve"> </w:t>
      </w:r>
      <w:r>
        <w:t xml:space="preserve">shippers can act as connection operators.</w:t>
      </w:r>
      <w:r>
        <w:br/>
      </w:r>
      <w:r>
        <w:t xml:space="preserve">Exploratory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Targeted</w:t>
      </w:r>
      <w:r>
        <w:t xml:space="preserve"> </w:t>
      </w:r>
      <w:r>
        <w:t xml:space="preserve">surveys</w:t>
      </w:r>
    </w:p>
    <w:p>
      <w:pPr>
        <w:pStyle w:val="BodyText"/>
      </w:pPr>
      <w:r>
        <w:t xml:space="preserve">Targeted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expert meeting</w:t>
      </w:r>
    </w:p>
    <w:p>
      <w:pPr>
        <w:pStyle w:val="BodyText"/>
      </w:pPr>
      <w:r>
        <w:t xml:space="preserve">OPC</w:t>
      </w:r>
      <w:r>
        <w:t xml:space="preserve"> </w:t>
      </w:r>
      <w:r>
        <w:t xml:space="preserve">Transport operators</w:t>
      </w:r>
      <w:r>
        <w:t xml:space="preserve"> </w:t>
      </w:r>
      <w:r>
        <w:t xml:space="preserve">(carriers) and their</w:t>
      </w:r>
      <w:r>
        <w:t xml:space="preserve"> </w:t>
      </w:r>
      <w:r>
        <w:t xml:space="preserve">associations</w:t>
      </w:r>
    </w:p>
    <w:p>
      <w:pPr>
        <w:pStyle w:val="BodyText"/>
      </w:pPr>
      <w:r>
        <w:t xml:space="preserve">(e.g. maritime shipping</w:t>
      </w:r>
      <w:r>
        <w:t xml:space="preserve"> </w:t>
      </w:r>
      <w:r>
        <w:t xml:space="preserve">lines, inland waterways</w:t>
      </w:r>
      <w:r>
        <w:t xml:space="preserve"> </w:t>
      </w:r>
      <w:r>
        <w:t xml:space="preserve">operators, railway</w:t>
      </w:r>
      <w:r>
        <w:t xml:space="preserve"> </w:t>
      </w:r>
      <w:r>
        <w:t xml:space="preserve">undertakings, road</w:t>
      </w:r>
      <w:r>
        <w:t xml:space="preserve"> </w:t>
      </w:r>
      <w:r>
        <w:t xml:space="preserve">hauliers)</w:t>
      </w:r>
      <w:r>
        <w:t xml:space="preserve"> </w:t>
      </w:r>
      <w:r>
        <w:t xml:space="preserve">Transport operators are organisations operating the</w:t>
      </w:r>
      <w:r>
        <w:t xml:space="preserve"> </w:t>
      </w:r>
      <w:r>
        <w:t xml:space="preserve">vehicles and vessels involved in the movement of cargo.</w:t>
      </w:r>
      <w:r>
        <w:br/>
      </w:r>
      <w:r>
        <w:t xml:space="preserve">Transport operators make decisions and investment that</w:t>
      </w:r>
      <w:r>
        <w:t xml:space="preserve"> </w:t>
      </w:r>
      <w:r>
        <w:t xml:space="preserve">could improve or hinder the compatibility and</w:t>
      </w:r>
      <w:r>
        <w:t xml:space="preserve"> </w:t>
      </w:r>
      <w:r>
        <w:t xml:space="preserve">interoperability with other modes, the feasibility and</w:t>
      </w:r>
      <w:r>
        <w:t xml:space="preserve"> </w:t>
      </w:r>
      <w:r>
        <w:t xml:space="preserve">optimality of combining modes. They are also responsible</w:t>
      </w:r>
      <w:r>
        <w:t xml:space="preserve"> </w:t>
      </w:r>
      <w:r>
        <w:t xml:space="preserve">for aspects of sustainability and efficiency in the operation,</w:t>
      </w:r>
      <w:r>
        <w:t xml:space="preserve"> </w:t>
      </w:r>
      <w:r>
        <w:t xml:space="preserve">such as energy efficiency measures, fleet sizing,</w:t>
      </w:r>
      <w:r>
        <w:t xml:space="preserve"> </w:t>
      </w:r>
      <w:r>
        <w:t xml:space="preserve">technology upgrade, vehicle routing and scheduling,</w:t>
      </w:r>
      <w:r>
        <w:t xml:space="preserve"> </w:t>
      </w:r>
      <w:r>
        <w:t xml:space="preserve">network configuration, among others.</w:t>
      </w:r>
      <w:r>
        <w:t xml:space="preserve"> </w:t>
      </w:r>
      <w:r>
        <w:t xml:space="preserve">In multimodal and intermodal chains, transport operators</w:t>
      </w:r>
      <w:r>
        <w:t xml:space="preserve"> </w:t>
      </w:r>
      <w:r>
        <w:t xml:space="preserve">can subcontract other transport operators to carry out all</w:t>
      </w:r>
      <w:r>
        <w:t xml:space="preserve"> </w:t>
      </w:r>
      <w:r>
        <w:t xml:space="preserve">or part of the transport operation.</w:t>
      </w:r>
      <w:r>
        <w:br/>
      </w:r>
      <w:r>
        <w:t xml:space="preserve">Targeted</w:t>
      </w:r>
      <w:r>
        <w:t xml:space="preserve"> </w:t>
      </w:r>
      <w:r>
        <w:t xml:space="preserve">surveys</w:t>
      </w:r>
    </w:p>
    <w:p>
      <w:pPr>
        <w:pStyle w:val="BodyText"/>
      </w:pPr>
      <w:r>
        <w:t xml:space="preserve">Targeted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expert meeting</w:t>
      </w:r>
    </w:p>
    <w:p>
      <w:pPr>
        <w:pStyle w:val="BodyText"/>
      </w:pPr>
      <w:r>
        <w:t xml:space="preserve">OPC</w:t>
      </w:r>
      <w:r>
        <w:t xml:space="preserve"> </w:t>
      </w:r>
      <w:r>
        <w:t xml:space="preserve">Terminal operators and</w:t>
      </w:r>
      <w:r>
        <w:t xml:space="preserve"> </w:t>
      </w:r>
      <w:r>
        <w:t xml:space="preserve">infrastructure managers</w:t>
      </w:r>
      <w:r>
        <w:t xml:space="preserve"> </w:t>
      </w:r>
      <w:r>
        <w:t xml:space="preserve">and their associations</w:t>
      </w:r>
      <w:r>
        <w:t xml:space="preserve"> </w:t>
      </w:r>
      <w:r>
        <w:t xml:space="preserve">Terminal operators make decisions that could leverage</w:t>
      </w:r>
      <w:r>
        <w:t xml:space="preserve"> </w:t>
      </w:r>
      <w:r>
        <w:t xml:space="preserve">the synergies with other nodes and modes in the</w:t>
      </w:r>
      <w:r>
        <w:t xml:space="preserve"> </w:t>
      </w:r>
      <w:r>
        <w:t xml:space="preserve">hinterland network. They interact and coordinate actions</w:t>
      </w:r>
      <w:r>
        <w:t xml:space="preserve"> </w:t>
      </w:r>
      <w:r>
        <w:t xml:space="preserve">Targeted</w:t>
      </w:r>
      <w:r>
        <w:t xml:space="preserve"> </w:t>
      </w:r>
      <w:r>
        <w:t xml:space="preserve">surveys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High-level stakeholder</w:t>
      </w:r>
      <w:r>
        <w:t xml:space="preserve"> </w:t>
      </w:r>
      <w:r>
        <w:t xml:space="preserve">group</w:t>
      </w:r>
      <w:r>
        <w:t xml:space="preserve"> </w:t>
      </w:r>
      <w:r>
        <w:t xml:space="preserve">Description</w:t>
      </w:r>
      <w:r>
        <w:t xml:space="preserve"> </w:t>
      </w:r>
      <w:r>
        <w:t xml:space="preserve">Stakeholder</w:t>
      </w:r>
      <w:r>
        <w:t xml:space="preserve"> </w:t>
      </w:r>
      <w:r>
        <w:t xml:space="preserve">engagement</w:t>
      </w:r>
      <w:r>
        <w:t xml:space="preserve"> </w:t>
      </w:r>
      <w:r>
        <w:t xml:space="preserve">activity</w:t>
      </w:r>
      <w:r>
        <w:t xml:space="preserve"> </w:t>
      </w:r>
      <w:r>
        <w:t xml:space="preserve">with both freight organisers and transport operators and</w:t>
      </w:r>
      <w:r>
        <w:t xml:space="preserve"> </w:t>
      </w:r>
      <w:r>
        <w:t xml:space="preserve">have a high responsibility on the integration of different</w:t>
      </w:r>
      <w:r>
        <w:t xml:space="preserve"> </w:t>
      </w:r>
      <w:r>
        <w:t xml:space="preserve">transport interfaces.</w:t>
      </w:r>
      <w:r>
        <w:t xml:space="preserve"> </w:t>
      </w:r>
      <w:r>
        <w:t xml:space="preserve">They make decisions that could impact transport choices,</w:t>
      </w:r>
      <w:r>
        <w:t xml:space="preserve"> </w:t>
      </w:r>
      <w:r>
        <w:t xml:space="preserve">such as fees and charges for the use of their facilities and</w:t>
      </w:r>
      <w:r>
        <w:t xml:space="preserve"> </w:t>
      </w:r>
      <w:r>
        <w:t xml:space="preserve">are partially responsible (together with national and</w:t>
      </w:r>
      <w:r>
        <w:t xml:space="preserve"> </w:t>
      </w:r>
      <w:r>
        <w:t xml:space="preserve">regional authorities) for the deployment of investment to</w:t>
      </w:r>
      <w:r>
        <w:t xml:space="preserve"> </w:t>
      </w:r>
      <w:r>
        <w:t xml:space="preserve">improve infrastructure, acquire transhipment equipment or</w:t>
      </w:r>
      <w:r>
        <w:t xml:space="preserve"> </w:t>
      </w:r>
      <w:r>
        <w:t xml:space="preserve">adapt facilities for the combination road/vessel or</w:t>
      </w:r>
      <w:r>
        <w:t xml:space="preserve"> </w:t>
      </w:r>
      <w:r>
        <w:t xml:space="preserve">rail/vessel.</w:t>
      </w:r>
      <w:r>
        <w:t xml:space="preserve"> </w:t>
      </w:r>
      <w:r>
        <w:t xml:space="preserve">Targeted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Stakeholder</w:t>
      </w:r>
      <w:r>
        <w:t xml:space="preserve"> </w:t>
      </w:r>
      <w:r>
        <w:t xml:space="preserve">expert meeting</w:t>
      </w:r>
    </w:p>
    <w:p>
      <w:pPr>
        <w:pStyle w:val="BodyText"/>
      </w:pPr>
      <w:r>
        <w:t xml:space="preserve">OPC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(national and regional)</w:t>
      </w:r>
      <w:r>
        <w:t xml:space="preserve"> </w:t>
      </w:r>
      <w:r>
        <w:t xml:space="preserve">National authorities are responsible for transposing,</w:t>
      </w:r>
      <w:r>
        <w:t xml:space="preserve"> </w:t>
      </w:r>
      <w:r>
        <w:t xml:space="preserve">implementing and enforcing the CTD, adopting support</w:t>
      </w:r>
      <w:r>
        <w:t xml:space="preserve"> </w:t>
      </w:r>
      <w:r>
        <w:t xml:space="preserve">measures and reporting on the progress.</w:t>
      </w:r>
      <w:r>
        <w:br/>
      </w:r>
      <w:r>
        <w:t xml:space="preserve">Local authorities (regional governments and urban</w:t>
      </w:r>
      <w:r>
        <w:t xml:space="preserve"> </w:t>
      </w:r>
      <w:r>
        <w:t xml:space="preserve">authorities in charge of Sustainable Urban Logistics</w:t>
      </w:r>
      <w:r>
        <w:t xml:space="preserve"> </w:t>
      </w:r>
      <w:r>
        <w:t xml:space="preserve">Plans) may also be involved in the adoption of specific</w:t>
      </w:r>
      <w:r>
        <w:t xml:space="preserve"> </w:t>
      </w:r>
      <w:r>
        <w:t xml:space="preserve">measures and will be directly or indirectly affected by the</w:t>
      </w:r>
      <w:r>
        <w:t xml:space="preserve"> </w:t>
      </w:r>
      <w:r>
        <w:t xml:space="preserve">implementation of the relevant provisions.</w:t>
      </w:r>
      <w:r>
        <w:t xml:space="preserve"> </w:t>
      </w:r>
      <w:r>
        <w:t xml:space="preserve">Targeted</w:t>
      </w:r>
      <w:r>
        <w:t xml:space="preserve"> </w:t>
      </w:r>
      <w:r>
        <w:t xml:space="preserve">surveys</w:t>
      </w:r>
    </w:p>
    <w:p>
      <w:pPr>
        <w:pStyle w:val="BodyText"/>
      </w:pPr>
      <w:r>
        <w:t xml:space="preserve">Targeted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OPC</w:t>
      </w:r>
    </w:p>
    <w:p>
      <w:pPr>
        <w:pStyle w:val="BodyText"/>
      </w:pPr>
      <w:r>
        <w:t xml:space="preserve">Other stakeholders (civil</w:t>
      </w:r>
      <w:r>
        <w:t xml:space="preserve"> </w:t>
      </w:r>
      <w:r>
        <w:t xml:space="preserve">society)</w:t>
      </w:r>
    </w:p>
    <w:p>
      <w:pPr>
        <w:pStyle w:val="BodyText"/>
      </w:pPr>
      <w:r>
        <w:t xml:space="preserve">Other interested stakeholder groups include consumer</w:t>
      </w:r>
      <w:r>
        <w:t xml:space="preserve"> </w:t>
      </w:r>
      <w:r>
        <w:t xml:space="preserve">organisations, non-governmental organisations (NGOs)</w:t>
      </w:r>
      <w:r>
        <w:t xml:space="preserve"> </w:t>
      </w:r>
      <w:r>
        <w:t xml:space="preserve">and academic experts/ research and knowledge partners</w:t>
      </w:r>
      <w:r>
        <w:t xml:space="preserve"> </w:t>
      </w:r>
      <w:r>
        <w:t xml:space="preserve">(public and private organisations). They provide additional</w:t>
      </w:r>
      <w:r>
        <w:t xml:space="preserve"> </w:t>
      </w:r>
      <w:r>
        <w:t xml:space="preserve">sectoral viewpoints and help us understand the details of</w:t>
      </w:r>
      <w:r>
        <w:t xml:space="preserve"> </w:t>
      </w:r>
      <w:r>
        <w:t xml:space="preserve">the measures and policy options, including in terms of</w:t>
      </w:r>
      <w:r>
        <w:t xml:space="preserve"> </w:t>
      </w:r>
      <w:r>
        <w:t xml:space="preserve">achieving environmental policy objectives, and what</w:t>
      </w:r>
      <w:r>
        <w:t xml:space="preserve"> </w:t>
      </w:r>
      <w:r>
        <w:t xml:space="preserve">impacts could affect the industry, the consumers and the</w:t>
      </w:r>
      <w:r>
        <w:t xml:space="preserve"> </w:t>
      </w:r>
      <w:r>
        <w:t xml:space="preserve">environment.</w:t>
      </w:r>
      <w:r>
        <w:t xml:space="preserve"> </w:t>
      </w:r>
      <w:r>
        <w:t xml:space="preserve">One German trade union (Eisenbahn- und</w:t>
      </w:r>
      <w:r>
        <w:t xml:space="preserve"> </w:t>
      </w:r>
      <w:r>
        <w:t xml:space="preserve">Verkehrsgewerkschaft EVG, the railway and transport</w:t>
      </w:r>
      <w:r>
        <w:t xml:space="preserve"> </w:t>
      </w:r>
      <w:r>
        <w:t xml:space="preserve">union) responded to the OPC, as did three organisations</w:t>
      </w:r>
      <w:r>
        <w:t xml:space="preserve"> </w:t>
      </w:r>
      <w:r>
        <w:t xml:space="preserve">that classified themselves as NGOs (which were pro-rail</w:t>
      </w:r>
      <w:r>
        <w:t xml:space="preserve"> </w:t>
      </w:r>
      <w:r>
        <w:t xml:space="preserve">organisations from Germany and Poland and an</w:t>
      </w:r>
      <w:r>
        <w:t xml:space="preserve"> </w:t>
      </w:r>
      <w:r>
        <w:t xml:space="preserve">organisation representing Swedish transport companies).</w:t>
      </w:r>
      <w:r>
        <w:t xml:space="preserve"> </w:t>
      </w:r>
      <w:r>
        <w:t xml:space="preserve">For the OPC analysis, these were grouped under ‘Other’,</w:t>
      </w:r>
      <w:r>
        <w:t xml:space="preserve"> </w:t>
      </w:r>
      <w:r>
        <w:t xml:space="preserve">along with those organisations that had classified</w:t>
      </w:r>
      <w:r>
        <w:t xml:space="preserve"> </w:t>
      </w:r>
      <w:r>
        <w:t xml:space="preserve">themselves as ‘Other’ (i.e. from other stakeholder group</w:t>
      </w:r>
      <w:r>
        <w:t xml:space="preserve"> </w:t>
      </w:r>
      <w:r>
        <w:t xml:space="preserve">type that those explicitly listed). The ‘Other’ group</w:t>
      </w:r>
      <w:r>
        <w:t xml:space="preserve"> </w:t>
      </w:r>
      <w:r>
        <w:t xml:space="preserve">comprised one Austrian labour organisation, two inland</w:t>
      </w:r>
      <w:r>
        <w:t xml:space="preserve"> </w:t>
      </w:r>
      <w:r>
        <w:t xml:space="preserve">waterway lobby groups and a network. In general, the</w:t>
      </w:r>
      <w:r>
        <w:t xml:space="preserve"> </w:t>
      </w:r>
      <w:r>
        <w:t xml:space="preserve">responses from stakeholders included in category ‘Other’</w:t>
      </w:r>
      <w:r>
        <w:t xml:space="preserve"> </w:t>
      </w:r>
      <w:r>
        <w:t xml:space="preserve">did not differ from the responses of the industry</w:t>
      </w:r>
      <w:r>
        <w:t xml:space="preserve"> </w:t>
      </w:r>
      <w:r>
        <w:t xml:space="preserve">stakeholders but were complementary to these.</w:t>
      </w:r>
      <w:r>
        <w:t xml:space="preserve"> </w:t>
      </w:r>
      <w:r>
        <w:t xml:space="preserve">Targeted</w:t>
      </w:r>
      <w:r>
        <w:t xml:space="preserve"> </w:t>
      </w:r>
      <w:r>
        <w:t xml:space="preserve">surveys</w:t>
      </w:r>
    </w:p>
    <w:p>
      <w:pPr>
        <w:pStyle w:val="BodyText"/>
      </w:pPr>
      <w:r>
        <w:t xml:space="preserve">Targeted</w:t>
      </w:r>
      <w:r>
        <w:t xml:space="preserve"> </w:t>
      </w:r>
      <w:r>
        <w:t xml:space="preserve">interviews</w:t>
      </w:r>
    </w:p>
    <w:p>
      <w:pPr>
        <w:pStyle w:val="BodyText"/>
      </w:pPr>
      <w:r>
        <w:t xml:space="preserve">OPC</w:t>
      </w:r>
    </w:p>
    <w:p>
      <w:pPr>
        <w:pStyle w:val="Compact"/>
        <w:numPr>
          <w:ilvl w:val="0"/>
          <w:numId w:val="1006"/>
        </w:numPr>
      </w:pPr>
      <w:r>
        <w:t xml:space="preserve">CONSULTATION ACTIVITIES – THE METHODOLOGY AND TOOLS USED</w:t>
      </w:r>
      <w:r>
        <w:t xml:space="preserve"> </w:t>
      </w:r>
      <w:r>
        <w:t xml:space="preserve">The stakeholder consultation methodology relied on a combination of a range of methodologies and</w:t>
      </w:r>
      <w:r>
        <w:t xml:space="preserve"> </w:t>
      </w:r>
      <w:r>
        <w:t xml:space="preserve">tools, which are described in more detail in this section.</w:t>
      </w:r>
      <w:r>
        <w:br/>
      </w:r>
      <w:r>
        <w:t xml:space="preserve">The participation to all the consultation activities is presented in the table below. The industry stakeholders</w:t>
      </w:r>
      <w:r>
        <w:t xml:space="preserve"> </w:t>
      </w:r>
      <w:r>
        <w:t xml:space="preserve">included stakeholders from different roles explained above. However, many are engaged in different</w:t>
      </w:r>
      <w:r>
        <w:t xml:space="preserve"> </w:t>
      </w:r>
      <w:r>
        <w:t xml:space="preserve">roles/activities at the same time and thus they were given an opportunity to identify their main role, or</w:t>
      </w:r>
      <w:r>
        <w:t xml:space="preserve"> </w:t>
      </w:r>
      <w:r>
        <w:t xml:space="preserve">several roles. Similarly, several involved industry associations represent operators from various roles. For</w:t>
      </w:r>
      <w:r>
        <w:t xml:space="preserve"> </w:t>
      </w:r>
      <w:r>
        <w:t xml:space="preserve">this reason, the industry stakeholders have not been separated into different roles.</w:t>
      </w:r>
    </w:p>
    <w:p>
      <w:pPr>
        <w:pStyle w:val="FirstParagraph"/>
      </w:pPr>
      <w:r>
        <w:t xml:space="preserve">65</w:t>
      </w:r>
      <w:r>
        <w:t xml:space="preserve"> </w:t>
      </w:r>
      <w:r>
        <w:t xml:space="preserve">Table 25: Participation in different consultation activities</w:t>
      </w:r>
      <w:r>
        <w:br/>
      </w:r>
      <w:r>
        <w:t xml:space="preserve">Inception Impact Assessment</w:t>
      </w:r>
      <w:r>
        <w:br/>
      </w:r>
      <w:r>
        <w:t xml:space="preserve">The consultation on the IIA focused on the objectives and preliminary problem drivers and policy measures</w:t>
      </w:r>
      <w:r>
        <w:t xml:space="preserve"> </w:t>
      </w:r>
      <w:r>
        <w:t xml:space="preserve">for this revision as set out and described in the IIA. The majority of the received replies were general in</w:t>
      </w:r>
      <w:r>
        <w:t xml:space="preserve"> </w:t>
      </w:r>
      <w:r>
        <w:t xml:space="preserve">nature.</w:t>
      </w:r>
      <w:r>
        <w:br/>
      </w:r>
      <w:r>
        <w:t xml:space="preserve">Open Public Consultation</w:t>
      </w:r>
      <w:r>
        <w:br/>
      </w:r>
      <w:r>
        <w:t xml:space="preserve">The OPC focused on the problem definition and the objectives of the revision, containing 22 detailed</w:t>
      </w:r>
      <w:r>
        <w:t xml:space="preserve"> </w:t>
      </w:r>
      <w:r>
        <w:t xml:space="preserve">questions on the subjects. The OPC questions were prepared based on the results of OPC carried out</w:t>
      </w:r>
      <w:r>
        <w:t xml:space="preserve"> </w:t>
      </w:r>
      <w:r>
        <w:t xml:space="preserve">for the impact assessment in 2017.</w:t>
      </w:r>
      <w:r>
        <w:br/>
      </w:r>
      <w:r>
        <w:t xml:space="preserve">Online survey</w:t>
      </w:r>
      <w:r>
        <w:t xml:space="preserve"> </w:t>
      </w:r>
      <w:r>
        <w:t xml:space="preserve">A targeted survey was developed to gather information to validate the problem definition and the</w:t>
      </w:r>
      <w:r>
        <w:t xml:space="preserve"> </w:t>
      </w:r>
      <w:r>
        <w:t xml:space="preserve">objectives of the policy options, obtain input to define further the policy measures/options. Major</w:t>
      </w:r>
      <w:r>
        <w:t xml:space="preserve"> </w:t>
      </w:r>
      <w:r>
        <w:t xml:space="preserve">part of the survey was focused on obtaining the data needed to support the assessment of impacts of</w:t>
      </w:r>
      <w:r>
        <w:t xml:space="preserve"> </w:t>
      </w:r>
      <w:r>
        <w:t xml:space="preserve">measures and expected costs. The survey was aimed at national authorities and industry</w:t>
      </w:r>
      <w:r>
        <w:t xml:space="preserve"> </w:t>
      </w:r>
      <w:r>
        <w:t xml:space="preserve">representatives (associations and individual participants) from all relevant groups (freight organisers,</w:t>
      </w:r>
      <w:r>
        <w:t xml:space="preserve"> </w:t>
      </w:r>
      <w:r>
        <w:t xml:space="preserve">transport operators, terminal operators, shippers).</w:t>
      </w:r>
      <w:r>
        <w:br/>
      </w:r>
      <w:r>
        <w:t xml:space="preserve">Interviews</w:t>
      </w:r>
      <w:r>
        <w:t xml:space="preserve"> </w:t>
      </w:r>
      <w:r>
        <w:t xml:space="preserve">Three exploratory interviews were undertaken during the inception phase of the study. The</w:t>
      </w:r>
      <w:r>
        <w:t xml:space="preserve"> </w:t>
      </w:r>
      <w:r>
        <w:t xml:space="preserve">exploratory interviews considered views on the identified problem drivers and policy objectives, but</w:t>
      </w:r>
      <w:r>
        <w:t xml:space="preserve"> </w:t>
      </w:r>
      <w:r>
        <w:t xml:space="preserve">they also considered the potential impacts of policy measures.</w:t>
      </w:r>
      <w:r>
        <w:br/>
      </w:r>
      <w:r>
        <w:t xml:space="preserve">The targeted interviews were conducted based on a tailored interview checklist (based on the</w:t>
      </w:r>
      <w:r>
        <w:t xml:space="preserve"> </w:t>
      </w:r>
      <w:r>
        <w:t xml:space="preserve">questionnaire developed for the survey) that allowed to explore in depth the relevant topics for each</w:t>
      </w:r>
      <w:r>
        <w:t xml:space="preserve"> </w:t>
      </w:r>
      <w:r>
        <w:t xml:space="preserve">stakeholder group. Discussions with stakeholders focused on a range of topics, including the</w:t>
      </w:r>
      <w:r>
        <w:t xml:space="preserve"> </w:t>
      </w:r>
      <w:r>
        <w:t xml:space="preserve">identification of barriers for the use of more sustainable options, and their views on the policy options,</w:t>
      </w:r>
      <w:r>
        <w:t xml:space="preserve"> </w:t>
      </w:r>
      <w:r>
        <w:t xml:space="preserve">confirming the extent to which relevant measures address the drivers contributing to the problems.</w:t>
      </w:r>
      <w:r>
        <w:t xml:space="preserve"> </w:t>
      </w:r>
      <w:r>
        <w:t xml:space="preserve">They also assisted in understanding the cost elements associated to each policy measure and their</w:t>
      </w:r>
      <w:r>
        <w:t xml:space="preserve"> </w:t>
      </w:r>
      <w:r>
        <w:t xml:space="preserve">magnitude.</w:t>
      </w:r>
      <w:r>
        <w:t xml:space="preserve"> </w:t>
      </w:r>
      <w:r>
        <w:t xml:space="preserve">In parallel, targeted follow up interviews with stakeholders who had completed the survey were</w:t>
      </w:r>
      <w:r>
        <w:t xml:space="preserve"> </w:t>
      </w:r>
      <w:r>
        <w:t xml:space="preserve">carried out. The aim of these interviews was to clarify any questions in relation to their survey</w:t>
      </w:r>
      <w:r>
        <w:t xml:space="preserve"> </w:t>
      </w:r>
      <w:r>
        <w:t xml:space="preserve">response, and delve further into certain topics that have been raised or missed.</w:t>
      </w:r>
      <w:r>
        <w:br/>
      </w:r>
      <w:r>
        <w:t xml:space="preserve">Stakeholder expert meeting</w:t>
      </w:r>
      <w:r>
        <w:t xml:space="preserve"> </w:t>
      </w:r>
      <w:r>
        <w:t xml:space="preserve">The industry stakeholder expert meeting took place after the policy options under consideration had</w:t>
      </w:r>
      <w:r>
        <w:t xml:space="preserve"> </w:t>
      </w:r>
      <w:r>
        <w:t xml:space="preserve">been agreed with the Commission, but before the preferred policy option had been chosen. The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IIA</w:t>
      </w:r>
      <w:r>
        <w:t xml:space="preserve"> </w:t>
      </w:r>
      <w:r>
        <w:t xml:space="preserve">OPC</w:t>
      </w:r>
      <w:r>
        <w:t xml:space="preserve"> </w:t>
      </w:r>
      <w:r>
        <w:t xml:space="preserve">Interviews</w:t>
      </w:r>
      <w:r>
        <w:t xml:space="preserve"> </w:t>
      </w:r>
      <w:r>
        <w:t xml:space="preserve">Survey</w:t>
      </w:r>
      <w:r>
        <w:t xml:space="preserve"> </w:t>
      </w:r>
      <w:r>
        <w:t xml:space="preserve">Workshop</w:t>
      </w:r>
      <w:r>
        <w:t xml:space="preserve"> </w:t>
      </w:r>
      <w:r>
        <w:t xml:space="preserve">Industry</w:t>
      </w:r>
      <w:r>
        <w:t xml:space="preserve"> </w:t>
      </w:r>
      <w:r>
        <w:t xml:space="preserve">38</w:t>
      </w:r>
      <w:r>
        <w:t xml:space="preserve"> </w:t>
      </w:r>
      <w:r>
        <w:t xml:space="preserve">68</w:t>
      </w:r>
      <w:r>
        <w:t xml:space="preserve"> </w:t>
      </w:r>
      <w:r>
        <w:t xml:space="preserve">21</w:t>
      </w:r>
      <w:r>
        <w:t xml:space="preserve"> </w:t>
      </w:r>
      <w:r>
        <w:t xml:space="preserve">31</w:t>
      </w:r>
      <w:r>
        <w:t xml:space="preserve"> </w:t>
      </w:r>
      <w:r>
        <w:t xml:space="preserve">55</w:t>
      </w:r>
      <w:r>
        <w:t xml:space="preserve"> </w:t>
      </w:r>
      <w:r>
        <w:t xml:space="preserve">EU citizens</w:t>
      </w:r>
      <w:r>
        <w:t xml:space="preserve"> </w:t>
      </w:r>
      <w:r>
        <w:t xml:space="preserve">13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NGOs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4</w:t>
      </w:r>
      <w:r>
        <w:t xml:space="preserve"> </w:t>
      </w:r>
      <w:r>
        <w:t xml:space="preserve">14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Other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t xml:space="preserve"> </w:t>
      </w:r>
      <w:r>
        <w:t xml:space="preserve">62</w:t>
      </w:r>
      <w:r>
        <w:t xml:space="preserve"> </w:t>
      </w:r>
      <w:r>
        <w:t xml:space="preserve">100</w:t>
      </w:r>
      <w:r>
        <w:t xml:space="preserve"> </w:t>
      </w:r>
      <w:r>
        <w:t xml:space="preserve">29</w:t>
      </w:r>
      <w:r>
        <w:t xml:space="preserve"> </w:t>
      </w:r>
      <w:r>
        <w:t xml:space="preserve">49</w:t>
      </w:r>
      <w:r>
        <w:t xml:space="preserve"> </w:t>
      </w:r>
      <w:r>
        <w:t xml:space="preserve">55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stakeholder expert meeting introduced the key data and assumptions underlying the scenarios</w:t>
      </w:r>
      <w:r>
        <w:t xml:space="preserve"> </w:t>
      </w:r>
      <w:r>
        <w:t xml:space="preserve">developed with respect to each of the policy options under consideration, presented the impact</w:t>
      </w:r>
      <w:r>
        <w:t xml:space="preserve"> </w:t>
      </w:r>
      <w:r>
        <w:t xml:space="preserve">assessment methodology applied to assess the economic, social and environmental impacts of the</w:t>
      </w:r>
      <w:r>
        <w:t xml:space="preserve"> </w:t>
      </w:r>
      <w:r>
        <w:t xml:space="preserve">policy options, as well as the initial results and focused on the discussion on the choice of the</w:t>
      </w:r>
      <w:r>
        <w:t xml:space="preserve"> </w:t>
      </w:r>
      <w:r>
        <w:t xml:space="preserve">preferred policy option.</w:t>
      </w:r>
      <w:r>
        <w:t xml:space="preserve"> </w:t>
      </w:r>
      <w:r>
        <w:t xml:space="preserve">4. FEEDBACK RECEIVED</w:t>
      </w:r>
      <w:r>
        <w:t xml:space="preserve"> </w:t>
      </w:r>
      <w:r>
        <w:t xml:space="preserve">Problem definition and objectives</w:t>
      </w:r>
      <w:r>
        <w:t xml:space="preserve"> </w:t>
      </w:r>
      <w:r>
        <w:t xml:space="preserve">The stakeholder consultation activities revealed a large degree of agreement among stakeholders that</w:t>
      </w:r>
      <w:r>
        <w:t xml:space="preserve"> </w:t>
      </w:r>
      <w:r>
        <w:t xml:space="preserve">the problems and objectives identified in this impact assessment are relevant for the development of</w:t>
      </w:r>
      <w:r>
        <w:t xml:space="preserve"> </w:t>
      </w:r>
      <w:r>
        <w:t xml:space="preserve">intermodal transport137.</w:t>
      </w:r>
      <w:r>
        <w:br/>
      </w:r>
      <w:r>
        <w:t xml:space="preserve">The IIA consultation and OPC focused on the problem at a higher level, after which the survey and</w:t>
      </w:r>
      <w:r>
        <w:t xml:space="preserve"> </w:t>
      </w:r>
      <w:r>
        <w:t xml:space="preserve">interviews took a more detailed and systematic approach to specifying the problem and an associated</w:t>
      </w:r>
      <w:r>
        <w:t xml:space="preserve"> </w:t>
      </w:r>
      <w:r>
        <w:t xml:space="preserve">objective for the revision of the CTD. A common theme in the feedback on the IIA was a lack of</w:t>
      </w:r>
      <w:r>
        <w:t xml:space="preserve"> </w:t>
      </w:r>
      <w:r>
        <w:t xml:space="preserve">clarity surrounding some of the definitions of the current CTD, while others suggested that the CTD</w:t>
      </w:r>
      <w:r>
        <w:t xml:space="preserve"> </w:t>
      </w:r>
      <w:r>
        <w:t xml:space="preserve">should focus more on IWW and SSS in addition to road and rail transport. One industry respondent</w:t>
      </w:r>
      <w:r>
        <w:t xml:space="preserve"> </w:t>
      </w:r>
      <w:r>
        <w:t xml:space="preserve">commented that restrictions on road transport would not solve the problems of other modes, while</w:t>
      </w:r>
      <w:r>
        <w:t xml:space="preserve"> </w:t>
      </w:r>
      <w:r>
        <w:t xml:space="preserve">another industry respondent noted that smaller companies faced more challenges when using</w:t>
      </w:r>
      <w:r>
        <w:t xml:space="preserve"> </w:t>
      </w:r>
      <w:r>
        <w:t xml:space="preserve">intermodal transport. Overall, there was broad support across all stakeholder groups for the problems</w:t>
      </w:r>
      <w:r>
        <w:t xml:space="preserve"> </w:t>
      </w:r>
      <w:r>
        <w:t xml:space="preserve">that were identified, and the associated objectives for the revision of the CTD.</w:t>
      </w:r>
      <w:r>
        <w:br/>
      </w:r>
      <w:r>
        <w:t xml:space="preserve">In the OPC, respondents were asked detailed questions about the problem. Two thirds of respondents</w:t>
      </w:r>
      <w:r>
        <w:t xml:space="preserve"> </w:t>
      </w:r>
      <w:r>
        <w:t xml:space="preserve">believed that intermodal/multimodal transport was competitive with road-only transport in the EU</w:t>
      </w:r>
      <w:r>
        <w:t xml:space="preserve"> </w:t>
      </w:r>
      <w:r>
        <w:t xml:space="preserve">without support only in some situations (63 out of 95, 66%). This point of view was shared by</w:t>
      </w:r>
      <w:r>
        <w:t xml:space="preserve"> </w:t>
      </w:r>
      <w:r>
        <w:t xml:space="preserve">participating industry stakeholders, except for terminal operators, who were more pessimistic with</w:t>
      </w:r>
      <w:r>
        <w:t xml:space="preserve"> </w:t>
      </w:r>
      <w:r>
        <w:t xml:space="preserve">three out of five considering intermodal/multimodal transport never or almost never competitive with</w:t>
      </w:r>
      <w:r>
        <w:t xml:space="preserve"> </w:t>
      </w:r>
      <w:r>
        <w:t xml:space="preserve">road-only transport without support. Freight organisers (e.g. logistics operators, freight forwarders</w:t>
      </w:r>
      <w:r>
        <w:t xml:space="preserve"> </w:t>
      </w:r>
      <w:r>
        <w:t xml:space="preserve">mostly active in the road transport) were generally more sceptical about the lack of price-</w:t>
      </w:r>
      <w:r>
        <w:t xml:space="preserve"> </w:t>
      </w:r>
      <w:r>
        <w:t xml:space="preserve">competitiveness of intermodal transport compared to road-only transport and the insufficiency of the</w:t>
      </w:r>
      <w:r>
        <w:t xml:space="preserve"> </w:t>
      </w:r>
      <w:r>
        <w:t xml:space="preserve">support provided through the current CTD than the other industry stakeholder groups, who in their</w:t>
      </w:r>
      <w:r>
        <w:t xml:space="preserve"> </w:t>
      </w:r>
      <w:r>
        <w:t xml:space="preserve">vast majority agreed that the lack of price-competitiveness was an obstacle to the development of</w:t>
      </w:r>
      <w:r>
        <w:t xml:space="preserve"> </w:t>
      </w:r>
      <w:r>
        <w:t xml:space="preserve">intermodal transport. 80 out of 100 respondents (80%) implied that there were differences in the</w:t>
      </w:r>
      <w:r>
        <w:t xml:space="preserve"> </w:t>
      </w:r>
      <w:r>
        <w:t xml:space="preserve">competitiveness of intermodal/multimodal transport in different Member States, with common</w:t>
      </w:r>
      <w:r>
        <w:t xml:space="preserve"> </w:t>
      </w:r>
      <w:r>
        <w:t xml:space="preserve">reasons being differences in the infrastructure and services that were available, as well as differences</w:t>
      </w:r>
      <w:r>
        <w:t xml:space="preserve"> </w:t>
      </w:r>
      <w:r>
        <w:t xml:space="preserve">in the support provided. Respondents identified six factors as affecting the lack of competitiveness</w:t>
      </w:r>
      <w:r>
        <w:t xml:space="preserve"> </w:t>
      </w:r>
      <w:r>
        <w:t xml:space="preserve">of intermodal/multimodal transport compared with road-only transport: transhipment costs (87 out</w:t>
      </w:r>
      <w:r>
        <w:t xml:space="preserve"> </w:t>
      </w:r>
      <w:r>
        <w:t xml:space="preserve">of 94; 93%) and lack of suitable terminals in the vicinity (85 out of 95; 89%) were the most prominent</w:t>
      </w:r>
      <w:r>
        <w:t xml:space="preserve"> </w:t>
      </w:r>
      <w:r>
        <w:t xml:space="preserve">ones. For both of these, at least 75% of respondents from each stakeholder type and industry sub-</w:t>
      </w:r>
      <w:r>
        <w:t xml:space="preserve"> </w:t>
      </w:r>
      <w:r>
        <w:t xml:space="preserve">category agreed that these were relevant factors. 80% of the respondents considered an additional</w:t>
      </w:r>
      <w:r>
        <w:t xml:space="preserve"> </w:t>
      </w:r>
      <w:r>
        <w:t xml:space="preserve">four factors as being relevant, i.e.: road transport being cheaper than intermodal/multimodal transport</w:t>
      </w:r>
      <w:r>
        <w:t xml:space="preserve"> </w:t>
      </w:r>
      <w:r>
        <w:t xml:space="preserve">for door-to-door operations (78 out of 94; 83%); habit of using road-only transport (78 out of 94;</w:t>
      </w:r>
      <w:r>
        <w:t xml:space="preserve"> </w:t>
      </w:r>
      <w:r>
        <w:t xml:space="preserve">83%); lack of suitable service offer in terminals in the vicinity (76 out of 95; 80%); and delay/longer</w:t>
      </w:r>
      <w:r>
        <w:t xml:space="preserve"> </w:t>
      </w:r>
      <w:r>
        <w:t xml:space="preserve">transit time compared with road-only transport (73 out of 92; 79%). For each of these, at least half of</w:t>
      </w:r>
      <w:r>
        <w:t xml:space="preserve"> </w:t>
      </w:r>
      <w:r>
        <w:t xml:space="preserve">the respondents from each stakeholder type and industry sub-category felt that these factors were</w:t>
      </w:r>
      <w:r>
        <w:t xml:space="preserve"> </w:t>
      </w:r>
      <w:r>
        <w:t xml:space="preserve">relevant, with the exception of transport organisers, a minority of which (3 out of 7) felt that road</w:t>
      </w:r>
      <w:r>
        <w:t xml:space="preserve"> </w:t>
      </w:r>
      <w:r>
        <w:t xml:space="preserve">transport being cheaper than intermodal/multimodal transport for door-to-door operations was a</w:t>
      </w:r>
      <w:r>
        <w:t xml:space="preserve"> </w:t>
      </w:r>
      <w:r>
        <w:t xml:space="preserve">relevant factor.</w:t>
      </w:r>
    </w:p>
    <w:p>
      <w:pPr>
        <w:pStyle w:val="BodyText"/>
      </w:pPr>
      <w:r>
        <w:t xml:space="preserve">137 The respective shares of responses presented in this section refer to the total amount of responses to the specific</w:t>
      </w:r>
      <w:r>
        <w:t xml:space="preserve"> </w:t>
      </w:r>
      <w:r>
        <w:t xml:space="preserve">consultation question and not to the total amount of responses to the consultation activity as such.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The questions for the survey and interviews were designed to be complementary. In relation to</w:t>
      </w:r>
      <w:r>
        <w:t xml:space="preserve"> </w:t>
      </w:r>
      <w:r>
        <w:t xml:space="preserve">problems associated with Thematic Area 1, ‘Extend support to a wider range of operations and set</w:t>
      </w:r>
      <w:r>
        <w:t xml:space="preserve"> </w:t>
      </w:r>
      <w:r>
        <w:t xml:space="preserve">eligibility conditions that are simple and justified’, 25 out of 31 survey respondents (81%), and 19</w:t>
      </w:r>
      <w:r>
        <w:t xml:space="preserve"> </w:t>
      </w:r>
      <w:r>
        <w:t xml:space="preserve">out of 23 interviewees (83%), ‘agreed’ or ‘strongly agreed’ that the current eligibility criteria were</w:t>
      </w:r>
      <w:r>
        <w:t xml:space="preserve"> </w:t>
      </w:r>
      <w:r>
        <w:t xml:space="preserve">too narrow. This pattern was similar between different stakeholder groups, i.e. freight organisers,</w:t>
      </w:r>
      <w:r>
        <w:t xml:space="preserve"> </w:t>
      </w:r>
      <w:r>
        <w:t xml:space="preserve">transport operators, public authorities, and civil society representatives. 23 out of 31 survey</w:t>
      </w:r>
      <w:r>
        <w:t xml:space="preserve"> </w:t>
      </w:r>
      <w:r>
        <w:t xml:space="preserve">respondents (74%) and 15 out of 21 interviewees (71%). Felt that some of the eligibility criteria were</w:t>
      </w:r>
      <w:r>
        <w:t xml:space="preserve"> </w:t>
      </w:r>
      <w:r>
        <w:t xml:space="preserve">not entirely relevant to promote modal shift or to reduce CO2 emissions and other externalities</w:t>
      </w:r>
      <w:r>
        <w:t xml:space="preserve"> </w:t>
      </w:r>
      <w:r>
        <w:t xml:space="preserve">Similarly, 25 out of 31 survey respondents (81%) and 16 out of 19 interviewees (84%) had the view</w:t>
      </w:r>
      <w:r>
        <w:t xml:space="preserve"> </w:t>
      </w:r>
      <w:r>
        <w:t xml:space="preserve">that the current definition of CT uses ambiguous terms. The prevailing view among industry</w:t>
      </w:r>
      <w:r>
        <w:t xml:space="preserve"> </w:t>
      </w:r>
      <w:r>
        <w:t xml:space="preserve">stakeholders was that the CTD needs to be restrictive and not allow for different interpretations per</w:t>
      </w:r>
      <w:r>
        <w:t xml:space="preserve"> </w:t>
      </w:r>
      <w:r>
        <w:t xml:space="preserve">Member State. When asked to explain their responses, a couple of public authorities and the European</w:t>
      </w:r>
      <w:r>
        <w:t xml:space="preserve"> </w:t>
      </w:r>
      <w:r>
        <w:t xml:space="preserve">Association for Forwarding, Transport and Customs Services/European Logistics Platforms</w:t>
      </w:r>
      <w:r>
        <w:t xml:space="preserve"> </w:t>
      </w:r>
      <w:r>
        <w:t xml:space="preserve">Association (CLECAT/ELPA; representing more than 20 national logistics industry associations)</w:t>
      </w:r>
      <w:r>
        <w:t xml:space="preserve"> </w:t>
      </w:r>
      <w:r>
        <w:t xml:space="preserve">noted that it was not clear whether the definition of CT includes one or two-leg operations, and that</w:t>
      </w:r>
      <w:r>
        <w:t xml:space="preserve"> </w:t>
      </w:r>
      <w:r>
        <w:t xml:space="preserve">this had been interpreted differently in different Member States. Some public authorities and industry</w:t>
      </w:r>
      <w:r>
        <w:t xml:space="preserve"> </w:t>
      </w:r>
      <w:r>
        <w:t xml:space="preserve">respondents (in particular road hauliers) were concerned that the revision of the CTD would not</w:t>
      </w:r>
      <w:r>
        <w:t xml:space="preserve"> </w:t>
      </w:r>
      <w:r>
        <w:t xml:space="preserve">sufficiently factor in the changes and modernisation of the freight transport market. The term</w:t>
      </w:r>
      <w:r>
        <w:t xml:space="preserve"> </w:t>
      </w:r>
      <w:r>
        <w:t xml:space="preserve">“nearest</w:t>
      </w:r>
      <w:r>
        <w:t xml:space="preserve"> </w:t>
      </w:r>
      <w:r>
        <w:t xml:space="preserve">suitable terminal”</w:t>
      </w:r>
      <w:r>
        <w:t xml:space="preserve"> </w:t>
      </w:r>
      <w:r>
        <w:t xml:space="preserve">was commonly identified by freight organisers as one that was particularly</w:t>
      </w:r>
      <w:r>
        <w:t xml:space="preserve"> </w:t>
      </w:r>
      <w:r>
        <w:t xml:space="preserve">ambiguous. The Irish Road Hauliage Association (IRHA) suggested that there needed to be flexibility</w:t>
      </w:r>
      <w:r>
        <w:t xml:space="preserve"> </w:t>
      </w:r>
      <w:r>
        <w:t xml:space="preserve">on the length of road legs in particular, as a result of the different geographies in the EU’s Member</w:t>
      </w:r>
      <w:r>
        <w:t xml:space="preserve"> </w:t>
      </w:r>
      <w:r>
        <w:t xml:space="preserve">States.</w:t>
      </w:r>
      <w:r>
        <w:br/>
      </w:r>
      <w:r>
        <w:t xml:space="preserve">There was support for the objectives identified to address these problems. 28 out of 30 of survey</w:t>
      </w:r>
      <w:r>
        <w:t xml:space="preserve"> </w:t>
      </w:r>
      <w:r>
        <w:t xml:space="preserve">respondents (93%) and 20 out of 21 interviewees (95%) ‘agreed’ that the Directive should extend</w:t>
      </w:r>
      <w:r>
        <w:t xml:space="preserve"> </w:t>
      </w:r>
      <w:r>
        <w:t xml:space="preserve">support to a wider range of operations. In the survey, all industry stakeholders but one supported the</w:t>
      </w:r>
      <w:r>
        <w:t xml:space="preserve"> </w:t>
      </w:r>
      <w:r>
        <w:t xml:space="preserve">extension of support. On respondent felt that it should be restricted to only combined transport</w:t>
      </w:r>
      <w:r>
        <w:t xml:space="preserve"> </w:t>
      </w:r>
      <w:r>
        <w:t xml:space="preserve">operations. The response was similar in relation to the other objective that eligibility conditions</w:t>
      </w:r>
      <w:r>
        <w:t xml:space="preserve"> </w:t>
      </w:r>
      <w:r>
        <w:t xml:space="preserve">should be easy to control and justified, as all survey respondents (31 out of 31; 100%) and 20 out of</w:t>
      </w:r>
      <w:r>
        <w:t xml:space="preserve"> </w:t>
      </w:r>
      <w:r>
        <w:t xml:space="preserve">22 of interviewees (91%) ‘agreed’ or ‘strongly agreed’ with this. The response was similar across all</w:t>
      </w:r>
      <w:r>
        <w:t xml:space="preserve"> </w:t>
      </w:r>
      <w:r>
        <w:t xml:space="preserve">stakeholder groups. When asked to explain their responses, one association (CLECAT/ELPA) called</w:t>
      </w:r>
      <w:r>
        <w:t xml:space="preserve"> </w:t>
      </w:r>
      <w:r>
        <w:t xml:space="preserve">for the scope to be extended to all multimodal transport operations in the EU, as long as the longest</w:t>
      </w:r>
      <w:r>
        <w:t xml:space="preserve"> </w:t>
      </w:r>
      <w:r>
        <w:t xml:space="preserve">leg of the journey was carried out using a sustainable mode of transport, and that the initial and final</w:t>
      </w:r>
      <w:r>
        <w:t xml:space="preserve"> </w:t>
      </w:r>
      <w:r>
        <w:t xml:space="preserve">road legs were relatively short. They also underlined that multimodal operations should make use of</w:t>
      </w:r>
      <w:r>
        <w:t xml:space="preserve"> </w:t>
      </w:r>
      <w:r>
        <w:t xml:space="preserve">shipping, as well as rail and inland waterways.</w:t>
      </w:r>
      <w:r>
        <w:br/>
      </w:r>
      <w:r>
        <w:t xml:space="preserve">There was support for the definition of the problem under Thematic Area 2 ‘Improve monitoring and</w:t>
      </w:r>
      <w:r>
        <w:t xml:space="preserve"> </w:t>
      </w:r>
      <w:r>
        <w:t xml:space="preserve">reporting of the status of intermodal transport’, i.e. that there was a lack of market</w:t>
      </w:r>
      <w:r>
        <w:t xml:space="preserve"> </w:t>
      </w:r>
      <w:r>
        <w:t xml:space="preserve">monitoring/empirical basis to determine the adequate level of support. Eighteen out of 20 survey</w:t>
      </w:r>
      <w:r>
        <w:t xml:space="preserve"> </w:t>
      </w:r>
      <w:r>
        <w:t xml:space="preserve">respondents (one industry stakeholder and one public authority neither agreed nor disagreed) and 15</w:t>
      </w:r>
      <w:r>
        <w:t xml:space="preserve"> </w:t>
      </w:r>
      <w:r>
        <w:t xml:space="preserve">out of 22 interviewees (68%) ‘agreed’ or ‘strongly agreed’ with this definition of the problem.</w:t>
      </w:r>
      <w:r>
        <w:t xml:space="preserve"> </w:t>
      </w:r>
      <w:r>
        <w:t xml:space="preserve">Similarly, there was support for the proposed objective to address this problem: Improve monitoring</w:t>
      </w:r>
      <w:r>
        <w:t xml:space="preserve"> </w:t>
      </w:r>
      <w:r>
        <w:t xml:space="preserve">and reporting of the status of multimodal/intermodal transport, as 20 out of 21 of survey respondents</w:t>
      </w:r>
      <w:r>
        <w:t xml:space="preserve"> </w:t>
      </w:r>
      <w:r>
        <w:t xml:space="preserve">(95%) and 15 out of 22 interviewees (68%) either ‘agreed’ or ‘strongly agreed’ with this objective.</w:t>
      </w:r>
      <w:r>
        <w:t xml:space="preserve"> </w:t>
      </w:r>
      <w:r>
        <w:t xml:space="preserve">Among freight organisers, transport operators, and civil society representatives, several respondents</w:t>
      </w:r>
      <w:r>
        <w:t xml:space="preserve"> </w:t>
      </w:r>
      <w:r>
        <w:t xml:space="preserve">expressed support for improved monitoring and reporting requirements, while others stated that</w:t>
      </w:r>
      <w:r>
        <w:t xml:space="preserve"> </w:t>
      </w:r>
      <w:r>
        <w:t xml:space="preserve">reporting for the sake of reporting should be avoided.</w:t>
      </w:r>
      <w:r>
        <w:br/>
      </w:r>
      <w:r>
        <w:t xml:space="preserve">Stakeholders generally ‘agreed’ with each of the four elements of the problem definition associated</w:t>
      </w:r>
      <w:r>
        <w:t xml:space="preserve"> </w:t>
      </w:r>
      <w:r>
        <w:t xml:space="preserve">with Thematic Area 3, ‘Increase competitiveness of intermodal transport’. All but two of the survey</w:t>
      </w:r>
      <w:r>
        <w:t xml:space="preserve"> </w:t>
      </w:r>
      <w:r>
        <w:t xml:space="preserve">respondents and interviewees (19 out of 21 in both cases; 90%) ‘agreed’ or ‘strongly agreed’ that</w:t>
      </w:r>
      <w:r>
        <w:t xml:space="preserve"> </w:t>
      </w:r>
      <w:r>
        <w:t xml:space="preserve">there was an issue with the narrow application of support measures, while all but one (19 out of 20</w:t>
      </w:r>
      <w:r>
        <w:t xml:space="preserve"> </w:t>
      </w:r>
      <w:r>
        <w:t xml:space="preserve">survey respondents (95%) and 20 out of 21 interviewees (95%)) stakeholder in each case ‘agreed’ or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‘strongly agreed’ that there was a problem with the insufficient level of incentives provided. With</w:t>
      </w:r>
      <w:r>
        <w:t xml:space="preserve"> </w:t>
      </w:r>
      <w:r>
        <w:t xml:space="preserve">respect to the third element of the problem definition, differences in the application of the support</w:t>
      </w:r>
      <w:r>
        <w:t xml:space="preserve"> </w:t>
      </w:r>
      <w:r>
        <w:t xml:space="preserve">measures, again all but two respondents (17 out of 19 survey respondents (89%) and 16 out of 18</w:t>
      </w:r>
      <w:r>
        <w:t xml:space="preserve"> </w:t>
      </w:r>
      <w:r>
        <w:t xml:space="preserve">interviewees (89%)) in each case either ‘agreed’ or ‘strongly agreed’ that this was an issue. Finally,</w:t>
      </w:r>
      <w:r>
        <w:t xml:space="preserve"> </w:t>
      </w:r>
      <w:r>
        <w:t xml:space="preserve">while 17 out of 18 survey respondents (94%) ‘agreed’ or ‘strongly agreed’ that there was a problem</w:t>
      </w:r>
      <w:r>
        <w:t xml:space="preserve"> </w:t>
      </w:r>
      <w:r>
        <w:t xml:space="preserve">as information on national State aid is inadequate, therefore access is unequal, 16 out of 21</w:t>
      </w:r>
      <w:r>
        <w:t xml:space="preserve"> </w:t>
      </w:r>
      <w:r>
        <w:t xml:space="preserve">interviewees (76%) held such a view. In the survey, most stakeholders that did not explicitly agree</w:t>
      </w:r>
      <w:r>
        <w:t xml:space="preserve"> </w:t>
      </w:r>
      <w:r>
        <w:t xml:space="preserve">with the problems identified in this thematic area also did not disagree. One out of five responding</w:t>
      </w:r>
      <w:r>
        <w:t xml:space="preserve"> </w:t>
      </w:r>
      <w:r>
        <w:t xml:space="preserve">public authorities in the survey disagreed that the level of incentives was insufficient and one out of</w:t>
      </w:r>
      <w:r>
        <w:t xml:space="preserve"> </w:t>
      </w:r>
      <w:r>
        <w:t xml:space="preserve">three responding public authorities disagreed that the information on national State aid was</w:t>
      </w:r>
      <w:r>
        <w:t xml:space="preserve"> </w:t>
      </w:r>
      <w:r>
        <w:t xml:space="preserve">inadequate (industry representatives all agreed on these two points). One road hauliers association</w:t>
      </w:r>
      <w:r>
        <w:t xml:space="preserve"> </w:t>
      </w:r>
      <w:r>
        <w:t xml:space="preserve">(the World Road Transport Organisation – IRU) noted that the lack of harmonisation of support</w:t>
      </w:r>
      <w:r>
        <w:t xml:space="preserve"> </w:t>
      </w:r>
      <w:r>
        <w:t xml:space="preserve">measures was a challenge to some cross-border operations.</w:t>
      </w:r>
      <w:r>
        <w:br/>
      </w:r>
      <w:r>
        <w:t xml:space="preserve">Similarly, 22 out of 23 survey respondents (96%) and 16 out of 19 interviewees (84%) either ‘agreed’</w:t>
      </w:r>
      <w:r>
        <w:t xml:space="preserve"> </w:t>
      </w:r>
      <w:r>
        <w:t xml:space="preserve">or ‘strongly agreed’ with the objective that was proposed to address these problems: increase</w:t>
      </w:r>
      <w:r>
        <w:t xml:space="preserve"> </w:t>
      </w:r>
      <w:r>
        <w:t xml:space="preserve">competitiveness of multimodal/intermodal transport. In the survey, the responses of public authorities</w:t>
      </w:r>
      <w:r>
        <w:t xml:space="preserve"> </w:t>
      </w:r>
      <w:r>
        <w:t xml:space="preserve">were split, as four (strongly) agreed, one disagreed and three did not answer. While some freight</w:t>
      </w:r>
      <w:r>
        <w:t xml:space="preserve"> </w:t>
      </w:r>
      <w:r>
        <w:t xml:space="preserve">organisers and transport operators argued that multimodal/intermodal transport was less cost-</w:t>
      </w:r>
      <w:r>
        <w:t xml:space="preserve"> </w:t>
      </w:r>
      <w:r>
        <w:t xml:space="preserve">effective than road-only transport so needed to be supported, both IRU and the European Shippers</w:t>
      </w:r>
      <w:r>
        <w:t xml:space="preserve"> </w:t>
      </w:r>
      <w:r>
        <w:t xml:space="preserve">Council (ESC) pointed out that not only price competitiveness should be considered, but also other</w:t>
      </w:r>
      <w:r>
        <w:t xml:space="preserve"> </w:t>
      </w:r>
      <w:r>
        <w:t xml:space="preserve">aspects such as flexibility, capacity and reliability. The Maltese and the Finnish transport ministries</w:t>
      </w:r>
      <w:r>
        <w:t xml:space="preserve"> </w:t>
      </w:r>
      <w:r>
        <w:t xml:space="preserve">noted that increased competitiveness of multimodal/intermodal transport was needed.</w:t>
      </w:r>
      <w:r>
        <w:t xml:space="preserve"> </w:t>
      </w:r>
      <w:r>
        <w:t xml:space="preserve">Under Thematic Area 4, ‘Increase transparency and cooperation to facilitate flexibility and simplify</w:t>
      </w:r>
      <w:r>
        <w:t xml:space="preserve"> </w:t>
      </w:r>
      <w:r>
        <w:t xml:space="preserve">entry to the market’. 15 out of 18 respondents to the survey (83%) , and 16 out of 21 interviewees</w:t>
      </w:r>
      <w:r>
        <w:t xml:space="preserve"> </w:t>
      </w:r>
      <w:r>
        <w:t xml:space="preserve">(76%), either ‘agreed’ or ‘strongly agreed’ that inefficiencies in scheduling, planning and running</w:t>
      </w:r>
      <w:r>
        <w:t xml:space="preserve"> </w:t>
      </w:r>
      <w:r>
        <w:t xml:space="preserve">multimodal transport were an issue. Freight forwarders and shippers had a bigger tendency than</w:t>
      </w:r>
      <w:r>
        <w:t xml:space="preserve"> </w:t>
      </w:r>
      <w:r>
        <w:t xml:space="preserve">transport operators and terminal operators to see inherent inefficiencies in scheduling, planning and</w:t>
      </w:r>
      <w:r>
        <w:t xml:space="preserve"> </w:t>
      </w:r>
      <w:r>
        <w:t xml:space="preserve">running multimodal transport as an important obstacle to the development of intermodal transport.</w:t>
      </w:r>
      <w:r>
        <w:br/>
      </w:r>
      <w:r>
        <w:t xml:space="preserve">Similarly 13 out of 18 survey respondents (72%) and 15 out of 21 interviewees (71%) of stakeholders</w:t>
      </w:r>
      <w:r>
        <w:t xml:space="preserve"> </w:t>
      </w:r>
      <w:r>
        <w:t xml:space="preserve">either ‘agreed’ or ‘strongly agreed’ that a lack of multimodal information exchange and insufficient</w:t>
      </w:r>
      <w:r>
        <w:t xml:space="preserve"> </w:t>
      </w:r>
      <w:r>
        <w:t xml:space="preserve">track and tracing of shipments were part of the problem (12 out of 18 survey respondents (67%) and</w:t>
      </w:r>
      <w:r>
        <w:t xml:space="preserve"> </w:t>
      </w:r>
      <w:r>
        <w:t xml:space="preserve">14 out of 21 interviewees 67%)). This was across all stakeholder groups. In the survey, only on the</w:t>
      </w:r>
      <w:r>
        <w:t xml:space="preserve"> </w:t>
      </w:r>
      <w:r>
        <w:t xml:space="preserve">tracking and tracing of shipments, the opinions of industry representatives diverged. Otherwise there</w:t>
      </w:r>
      <w:r>
        <w:t xml:space="preserve"> </w:t>
      </w:r>
      <w:r>
        <w:t xml:space="preserve">was broad agreement on the problems under this thematic area. In the interviews, those respondents</w:t>
      </w:r>
      <w:r>
        <w:t xml:space="preserve"> </w:t>
      </w:r>
      <w:r>
        <w:t xml:space="preserve">who did not explicitly agree generally did not disagree either. Deutsche Post/DHL did not see</w:t>
      </w:r>
      <w:r>
        <w:t xml:space="preserve"> </w:t>
      </w:r>
      <w:r>
        <w:t xml:space="preserve">inefficiencies in scheduling and planning, but considered running multimodal transport a challenge,</w:t>
      </w:r>
      <w:r>
        <w:t xml:space="preserve"> </w:t>
      </w:r>
      <w:r>
        <w:t xml:space="preserve">as they were missing a standard intermodal information exchange space. 17 out of 19 survey</w:t>
      </w:r>
      <w:r>
        <w:t xml:space="preserve"> </w:t>
      </w:r>
      <w:r>
        <w:t xml:space="preserve">respondents were also in favour of the proposed objective to address the proposed problem definition</w:t>
      </w:r>
      <w:r>
        <w:t xml:space="preserve"> </w:t>
      </w:r>
      <w:r>
        <w:t xml:space="preserve">and 18 out of 21 interviewees (86%) either ‘agreed’ or ‘strongly agreed’ that a relevant objective was</w:t>
      </w:r>
      <w:r>
        <w:t xml:space="preserve"> </w:t>
      </w:r>
      <w:r>
        <w:t xml:space="preserve">to improve transparency and cooperation to facilitate flexibility and simplify entry to the market.</w:t>
      </w:r>
      <w:r>
        <w:t xml:space="preserve"> </w:t>
      </w:r>
      <w:r>
        <w:t xml:space="preserve">Three stakeholders disagreed or strongly disagreed (one each from industry, public authorities and</w:t>
      </w:r>
      <w:r>
        <w:t xml:space="preserve"> </w:t>
      </w:r>
      <w:r>
        <w:t xml:space="preserve">civil society).</w:t>
      </w:r>
    </w:p>
    <w:p>
      <w:pPr>
        <w:pStyle w:val="BodyText"/>
      </w:pPr>
      <w:r>
        <w:t xml:space="preserve">Potential solutions</w:t>
      </w:r>
      <w:r>
        <w:t xml:space="preserve"> </w:t>
      </w:r>
      <w:r>
        <w:t xml:space="preserve">The IIA sought stakeholders’ initial feedback on three options for amending the CTD, in addition to</w:t>
      </w:r>
      <w:r>
        <w:t xml:space="preserve"> </w:t>
      </w:r>
      <w:r>
        <w:t xml:space="preserve">Option 1, which was ‘no change’. Option 2 proposed to expand the list of support tools and provide</w:t>
      </w:r>
      <w:r>
        <w:t xml:space="preserve"> </w:t>
      </w:r>
      <w:r>
        <w:t xml:space="preserve">support to operations that saved certain negative externalities, while Option 3 additionally proposed</w:t>
      </w:r>
      <w:r>
        <w:t xml:space="preserve"> </w:t>
      </w:r>
      <w:r>
        <w:t xml:space="preserve">to make it an obligation that the support tools chosen by Member States be based on a regular</w:t>
      </w:r>
      <w:r>
        <w:t xml:space="preserve"> </w:t>
      </w:r>
      <w:r>
        <w:t xml:space="preserve">analysis of the transport system. Option 4 in turn built on Option 3 by requiring that a certain number</w:t>
      </w:r>
      <w:r>
        <w:t xml:space="preserve"> </w:t>
      </w:r>
      <w:r>
        <w:t xml:space="preserve">of mandatory, harmonised support measures be applied. There was also a general consensus amongst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respondents that change was needed, with many highlighting that action at the level of either Option</w:t>
      </w:r>
      <w:r>
        <w:t xml:space="preserve"> </w:t>
      </w:r>
      <w:r>
        <w:t xml:space="preserve">3 or Option 4 would be most effective.</w:t>
      </w:r>
      <w:r>
        <w:t xml:space="preserve"> </w:t>
      </w:r>
      <w:r>
        <w:t xml:space="preserve">The survey and interview identified three potential measures in response to the objectives identified</w:t>
      </w:r>
      <w:r>
        <w:t xml:space="preserve"> </w:t>
      </w:r>
      <w:r>
        <w:t xml:space="preserve">in relation to Thematic Area 1 ‘Extend support to a wider range of operations and set eligibility</w:t>
      </w:r>
      <w:r>
        <w:t xml:space="preserve"> </w:t>
      </w:r>
      <w:r>
        <w:t xml:space="preserve">conditions that are simple and justified’. 22 out of 27 of survey respondents (81%) and 17 out of 22</w:t>
      </w:r>
      <w:r>
        <w:t xml:space="preserve"> </w:t>
      </w:r>
      <w:r>
        <w:t xml:space="preserve">interviewees (77%) believed that the first measure (M1: extending the scope of the CTD to cover all</w:t>
      </w:r>
      <w:r>
        <w:t xml:space="preserve"> </w:t>
      </w:r>
      <w:r>
        <w:t xml:space="preserve">intermodal transport that saves certain negative externalities) would contribute to either a</w:t>
      </w:r>
      <w:r>
        <w:t xml:space="preserve"> </w:t>
      </w:r>
      <w:r>
        <w:t xml:space="preserve">‘significant’ or ‘a large extent’ to achieving the stated objective of extending support to a wider range</w:t>
      </w:r>
      <w:r>
        <w:t xml:space="preserve"> </w:t>
      </w:r>
      <w:r>
        <w:t xml:space="preserve">of operations and set eligibility conditions that are simple and justified. The responses were similar</w:t>
      </w:r>
      <w:r>
        <w:t xml:space="preserve"> </w:t>
      </w:r>
      <w:r>
        <w:t xml:space="preserve">across stakeholder groups.</w:t>
      </w:r>
      <w:r>
        <w:t xml:space="preserve"> </w:t>
      </w:r>
      <w:r>
        <w:t xml:space="preserve">On the measures extending the scope of the CTD to cover all intermodal transport that saves certain</w:t>
      </w:r>
      <w:r>
        <w:t xml:space="preserve"> </w:t>
      </w:r>
      <w:r>
        <w:t xml:space="preserve">negative externalities, nine out of 14 industry stakeholders that responded said that they expected</w:t>
      </w:r>
      <w:r>
        <w:t xml:space="preserve"> </w:t>
      </w:r>
      <w:r>
        <w:t xml:space="preserve">additional direct costs as a result of the implementation of the proposed measure. There were only</w:t>
      </w:r>
      <w:r>
        <w:t xml:space="preserve"> </w:t>
      </w:r>
      <w:r>
        <w:t xml:space="preserve">two responses from public authorities - one respondent (PL) expected additional direct costs as a</w:t>
      </w:r>
      <w:r>
        <w:t xml:space="preserve"> </w:t>
      </w:r>
      <w:r>
        <w:t xml:space="preserve">result of the implementation of the proposed measure and one did not (MT).</w:t>
      </w:r>
      <w:r>
        <w:t xml:space="preserve"> </w:t>
      </w:r>
      <w:r>
        <w:t xml:space="preserve">Basing eligibility on the savings in relation to a wide set of externalities was more popular than basing</w:t>
      </w:r>
      <w:r>
        <w:t xml:space="preserve"> </w:t>
      </w:r>
      <w:r>
        <w:t xml:space="preserve">eligibility solely on GHG emissions saved amongst both survey respondents (18 – compared to four</w:t>
      </w:r>
      <w:r>
        <w:t xml:space="preserve"> </w:t>
      </w:r>
      <w:r>
        <w:t xml:space="preserve">– out of 22; 82%) and interviewees (14 – compared to four – out of 21; 67%). In the interviews, two</w:t>
      </w:r>
      <w:r>
        <w:t xml:space="preserve"> </w:t>
      </w:r>
      <w:r>
        <w:t xml:space="preserve">industry associations and two public consultation were sceptical about basing eligibility on a wider</w:t>
      </w:r>
      <w:r>
        <w:t xml:space="preserve"> </w:t>
      </w:r>
      <w:r>
        <w:t xml:space="preserve">set of externalities, mainly with the argument that GHG as a sole criterion would be simpler. In terms</w:t>
      </w:r>
      <w:r>
        <w:t xml:space="preserve"> </w:t>
      </w:r>
      <w:r>
        <w:t xml:space="preserve">of which negative externalities to include, five were chosen by 15 or more (out of 18) survey</w:t>
      </w:r>
      <w:r>
        <w:t xml:space="preserve"> </w:t>
      </w:r>
      <w:r>
        <w:t xml:space="preserve">respondents, i.e. GHG emissions, accidents, air pollution, congestion and noise. A similar question</w:t>
      </w:r>
      <w:r>
        <w:t xml:space="preserve"> </w:t>
      </w:r>
      <w:r>
        <w:t xml:space="preserve">was asked in the OPC, which gave similar results as all those who supported a wide range of</w:t>
      </w:r>
      <w:r>
        <w:t xml:space="preserve"> </w:t>
      </w:r>
      <w:r>
        <w:t xml:space="preserve">externalities being considered wanted to see GHG emissions included (37 out of 37; 100%), while</w:t>
      </w:r>
      <w:r>
        <w:t xml:space="preserve"> </w:t>
      </w:r>
      <w:r>
        <w:t xml:space="preserve">large proportions also wanted congestion (34 out of 37; 92%); noise (30 out of 37; 81%), energy</w:t>
      </w:r>
      <w:r>
        <w:t xml:space="preserve"> </w:t>
      </w:r>
      <w:r>
        <w:t xml:space="preserve">efficiency (22 out of 27; 81%); air pollution (29 out of 37; 78%) and accidents (29 out of 37; 78%)</w:t>
      </w:r>
      <w:r>
        <w:t xml:space="preserve"> </w:t>
      </w:r>
      <w:r>
        <w:t xml:space="preserve">considered. In the survey, the inclusion of some other externalities was considered by some to be</w:t>
      </w:r>
      <w:r>
        <w:t xml:space="preserve"> </w:t>
      </w:r>
      <w:r>
        <w:t xml:space="preserve">important as they were all part of the broader issue, even though this would make the calculation</w:t>
      </w:r>
      <w:r>
        <w:t xml:space="preserve"> </w:t>
      </w:r>
      <w:r>
        <w:t xml:space="preserve">more complex. Calculating GHG emissions was considered easier, but it was also underlined that the</w:t>
      </w:r>
      <w:r>
        <w:t xml:space="preserve"> </w:t>
      </w:r>
      <w:r>
        <w:t xml:space="preserve">calculation of GHG emissions of different operations should be accurate.</w:t>
      </w:r>
      <w:r>
        <w:t xml:space="preserve"> </w:t>
      </w:r>
      <w:r>
        <w:t xml:space="preserve">However, there was no clear consensus from the respondents to the survey on the minimum level of</w:t>
      </w:r>
      <w:r>
        <w:t xml:space="preserve"> </w:t>
      </w:r>
      <w:r>
        <w:t xml:space="preserve">savings, of either GHG emissions or a wider range of externalities, that would need to be achieved</w:t>
      </w:r>
      <w:r>
        <w:t xml:space="preserve"> </w:t>
      </w:r>
      <w:r>
        <w:t xml:space="preserve">compared to road transport for a CT journey to be eligible for support. As to GHG emissions, four</w:t>
      </w:r>
      <w:r>
        <w:t xml:space="preserve"> </w:t>
      </w:r>
      <w:r>
        <w:t xml:space="preserve">industry stakeholders voted for a savings level of 61%-70% and three industry stakeholders voted for</w:t>
      </w:r>
      <w:r>
        <w:t xml:space="preserve"> </w:t>
      </w:r>
      <w:r>
        <w:t xml:space="preserve">the minimum level 1%-10%. The one public authority that responded voted for a savings level of</w:t>
      </w:r>
      <w:r>
        <w:t xml:space="preserve"> </w:t>
      </w:r>
      <w:r>
        <w:t xml:space="preserve">41%-50%. When considering a wider set of negative externalities, the one public authority voted for</w:t>
      </w:r>
      <w:r>
        <w:t xml:space="preserve"> </w:t>
      </w:r>
      <w:r>
        <w:t xml:space="preserve">31%-40%, while the picture for industry was mixed. Three industry stakeholders voted for 41%-50%,</w:t>
      </w:r>
      <w:r>
        <w:t xml:space="preserve"> </w:t>
      </w:r>
      <w:r>
        <w:t xml:space="preserve">two opted for the maximum 71%-80% and one for the minimum 1%-10%.</w:t>
      </w:r>
      <w:r>
        <w:br/>
      </w:r>
      <w:r>
        <w:t xml:space="preserve">Stakeholders were asked a series of questions in relation to second measure of Thematic Area 1: M2</w:t>
      </w:r>
      <w:r>
        <w:t xml:space="preserve"> </w:t>
      </w:r>
      <w:r>
        <w:t xml:space="preserve">– Limit the direct operational financial support to operations with door-to-door distance of less than</w:t>
      </w:r>
      <w:r>
        <w:t xml:space="preserve"> </w:t>
      </w:r>
      <w:r>
        <w:t xml:space="preserve">a certain value, which revealed little support for this measure. 15 out of 21 survey respondents (71%),</w:t>
      </w:r>
      <w:r>
        <w:t xml:space="preserve"> </w:t>
      </w:r>
      <w:r>
        <w:t xml:space="preserve">both industry stakeholders and public authorities, and 11 out of 20 interviewees (55%) did not</w:t>
      </w:r>
      <w:r>
        <w:t xml:space="preserve"> </w:t>
      </w:r>
      <w:r>
        <w:t xml:space="preserve">consider that the establishment of a distance threshold was an necessary criterion for assessing</w:t>
      </w:r>
      <w:r>
        <w:t xml:space="preserve"> </w:t>
      </w:r>
      <w:r>
        <w:t xml:space="preserve">eligibility. No differences were found across stakeholder groups. 17 out of 23 survey respondents</w:t>
      </w:r>
      <w:r>
        <w:t xml:space="preserve"> </w:t>
      </w:r>
      <w:r>
        <w:t xml:space="preserve">(74%) and 14 out of 20 interviewees (70%) did not believe that a threshold of no more than 1000 km</w:t>
      </w:r>
      <w:r>
        <w:t xml:space="preserve"> </w:t>
      </w:r>
      <w:r>
        <w:t xml:space="preserve">was appropriate, although three out of four public authorities and three out of 17 industry</w:t>
      </w:r>
      <w:r>
        <w:t xml:space="preserve"> </w:t>
      </w:r>
      <w:r>
        <w:t xml:space="preserve">representatives that expressed a view in the survey did consider it appropriate. Among the</w:t>
      </w:r>
      <w:r>
        <w:t xml:space="preserve"> </w:t>
      </w:r>
      <w:r>
        <w:t xml:space="preserve">interviewed stakeholders, the European Barge Union (EBU, IRU and LTG Cargo (freigth organiser)</w:t>
      </w:r>
      <w:r>
        <w:t xml:space="preserve"> </w:t>
      </w:r>
      <w:r>
        <w:t xml:space="preserve">considered a distance threshold an appropriate criterion for assessing eligibility, but did not think it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should be limited to 1000 km. Several freight organisers and the Maltese transport authority</w:t>
      </w:r>
      <w:r>
        <w:t xml:space="preserve"> </w:t>
      </w:r>
      <w:r>
        <w:t xml:space="preserve">considered the 1000-km threshold arbitrary and requested more flexibility. Stakeholders who were</w:t>
      </w:r>
      <w:r>
        <w:t xml:space="preserve"> </w:t>
      </w:r>
      <w:r>
        <w:t xml:space="preserve">against a specific distance threshold in the survey stated that is should either be GHGs or other</w:t>
      </w:r>
      <w:r>
        <w:t xml:space="preserve"> </w:t>
      </w:r>
      <w:r>
        <w:t xml:space="preserve">negative externalities that influence levels of support or that benefits should be provided for anyone</w:t>
      </w:r>
      <w:r>
        <w:t xml:space="preserve"> </w:t>
      </w:r>
      <w:r>
        <w:t xml:space="preserve">engaging in multimodal operations to facilitate uptake.</w:t>
      </w:r>
      <w:r>
        <w:t xml:space="preserve"> </w:t>
      </w:r>
      <w:r>
        <w:t xml:space="preserve">15 out of 23 survey respondents and ten out of 21 interviewees believed that the third measure relating</w:t>
      </w:r>
      <w:r>
        <w:t xml:space="preserve"> </w:t>
      </w:r>
      <w:r>
        <w:t xml:space="preserve">to Thematic Area 1, i.e. M3: Establish new and adequate dataset obligations for proof of eligibility,</w:t>
      </w:r>
      <w:r>
        <w:t xml:space="preserve"> </w:t>
      </w:r>
      <w:r>
        <w:t xml:space="preserve">would help to achieve the objective of extending support to a wider range of operations and set</w:t>
      </w:r>
      <w:r>
        <w:t xml:space="preserve"> </w:t>
      </w:r>
      <w:r>
        <w:t xml:space="preserve">eligibility conditions that are simple and justified to either a large or significant extent.While logistics</w:t>
      </w:r>
      <w:r>
        <w:t xml:space="preserve"> </w:t>
      </w:r>
      <w:r>
        <w:t xml:space="preserve">sector representatives saw potential benefits for multimodal/intermodal transport from the</w:t>
      </w:r>
      <w:r>
        <w:t xml:space="preserve"> </w:t>
      </w:r>
      <w:r>
        <w:t xml:space="preserve">introduction of tools of the eFTI Regulation, road sector representatives noted their reservation as</w:t>
      </w:r>
      <w:r>
        <w:t xml:space="preserve"> </w:t>
      </w:r>
      <w:r>
        <w:t xml:space="preserve">eFTI was still under development, its uptake was still low or that it would add complexity.</w:t>
      </w:r>
      <w:r>
        <w:t xml:space="preserve"> </w:t>
      </w:r>
      <w:r>
        <w:t xml:space="preserve">Six out of the 13 industry respondents indicated that there would be additional direct one-off costs</w:t>
      </w:r>
      <w:r>
        <w:t xml:space="preserve"> </w:t>
      </w:r>
      <w:r>
        <w:t xml:space="preserve">for their organisations or member organisations due to the implementation of dataset obligations for</w:t>
      </w:r>
      <w:r>
        <w:t xml:space="preserve"> </w:t>
      </w:r>
      <w:r>
        <w:t xml:space="preserve">proof of eligibility (three terminal operators plus a transport operator and two others), whilst the other</w:t>
      </w:r>
      <w:r>
        <w:t xml:space="preserve"> </w:t>
      </w:r>
      <w:r>
        <w:t xml:space="preserve">six respondents indicated that it would impact their annual operating expenditures (across all</w:t>
      </w:r>
      <w:r>
        <w:t xml:space="preserve"> </w:t>
      </w:r>
      <w:r>
        <w:t xml:space="preserve">subgroups but more transport operators). The main costs expected by UIRR and one anonymous</w:t>
      </w:r>
      <w:r>
        <w:t xml:space="preserve"> </w:t>
      </w:r>
      <w:r>
        <w:t xml:space="preserve">transport operator corresponded to the implementation of the digitalisation of data sharing and the</w:t>
      </w:r>
      <w:r>
        <w:t xml:space="preserve"> </w:t>
      </w:r>
      <w:r>
        <w:t xml:space="preserve">increase in the number of man hours required for training and the recruitment of new staff. These</w:t>
      </w:r>
      <w:r>
        <w:t xml:space="preserve"> </w:t>
      </w:r>
      <w:r>
        <w:t xml:space="preserve">were seen by WienCont to be different between different companies, with differences depending on</w:t>
      </w:r>
      <w:r>
        <w:t xml:space="preserve"> </w:t>
      </w:r>
      <w:r>
        <w:t xml:space="preserve">the maturity of their administrative processes. Two public authority respondents indicated that there</w:t>
      </w:r>
      <w:r>
        <w:t xml:space="preserve"> </w:t>
      </w:r>
      <w:r>
        <w:t xml:space="preserve">would be additional direct costs as a result of the implementation of this measure, whereas three</w:t>
      </w:r>
      <w:r>
        <w:t xml:space="preserve"> </w:t>
      </w:r>
      <w:r>
        <w:t xml:space="preserve">public authorities said that they did not know what would be the impact on additional costs.</w:t>
      </w:r>
      <w:r>
        <w:t xml:space="preserve"> </w:t>
      </w:r>
      <w:r>
        <w:t xml:space="preserve">There were a few advantages identified across both public authorities and industry with the</w:t>
      </w:r>
      <w:r>
        <w:t xml:space="preserve"> </w:t>
      </w:r>
      <w:r>
        <w:t xml:space="preserve">introduction of new and adequate dataset obligations for proof of eligibility. Both stakeholder groups</w:t>
      </w:r>
      <w:r>
        <w:t xml:space="preserve"> </w:t>
      </w:r>
      <w:r>
        <w:t xml:space="preserve">cited the increases in efficiency and transparency that obligations would provide, and the stronger</w:t>
      </w:r>
      <w:r>
        <w:t xml:space="preserve"> </w:t>
      </w:r>
      <w:r>
        <w:t xml:space="preserve">foundations created for data sharing. The main disadvantages echoed by both public authorities and</w:t>
      </w:r>
      <w:r>
        <w:t xml:space="preserve"> </w:t>
      </w:r>
      <w:r>
        <w:t xml:space="preserve">industry were the added human resources required and the challenging complexity of uniformly</w:t>
      </w:r>
      <w:r>
        <w:t xml:space="preserve"> </w:t>
      </w:r>
      <w:r>
        <w:t xml:space="preserve">implementing data reforms.</w:t>
      </w:r>
      <w:r>
        <w:t xml:space="preserve"> </w:t>
      </w:r>
      <w:r>
        <w:t xml:space="preserve">Under Thematic Area 2 ‘Improve monitoring and reporting of the status of intermodal transport’,</w:t>
      </w:r>
      <w:r>
        <w:t xml:space="preserve"> </w:t>
      </w:r>
      <w:r>
        <w:t xml:space="preserve">stakeholders were asked to express their views on two possible measures for addressing the proposed</w:t>
      </w:r>
      <w:r>
        <w:t xml:space="preserve"> </w:t>
      </w:r>
      <w:r>
        <w:t xml:space="preserve">objective, i.e. measures M4, establish an analysis and strategic planning obligation for Member</w:t>
      </w:r>
      <w:r>
        <w:t xml:space="preserve"> </w:t>
      </w:r>
      <w:r>
        <w:t xml:space="preserve">States for sustainable transport modes only; and M5, establish an analysis and strategic planning</w:t>
      </w:r>
      <w:r>
        <w:t xml:space="preserve"> </w:t>
      </w:r>
      <w:r>
        <w:t xml:space="preserve">obligation for Member States for all transport system (cross-modal). Stakeholders considered that</w:t>
      </w:r>
      <w:r>
        <w:t xml:space="preserve"> </w:t>
      </w:r>
      <w:r>
        <w:t xml:space="preserve">M5 would contribute more towards the objective of improving monitoring and reporting of the status</w:t>
      </w:r>
      <w:r>
        <w:t xml:space="preserve"> </w:t>
      </w:r>
      <w:r>
        <w:t xml:space="preserve">of multimodal/intermodal transport, than M4. Amongst stakeholders, 19 out of 22 survey</w:t>
      </w:r>
      <w:r>
        <w:t xml:space="preserve"> </w:t>
      </w:r>
      <w:r>
        <w:t xml:space="preserve">respondents (and 15 out of 22 interviewees) (86% and 68% respectively) considered that M5 would</w:t>
      </w:r>
      <w:r>
        <w:t xml:space="preserve"> </w:t>
      </w:r>
      <w:r>
        <w:t xml:space="preserve">contribute to achieving the objective to a large or significant extent, compared to only 10 out of 22</w:t>
      </w:r>
      <w:r>
        <w:t xml:space="preserve"> </w:t>
      </w:r>
      <w:r>
        <w:t xml:space="preserve">(and six out of 22 interviewees) (45% and 27% respectively) for M4. In the survey, the responses of</w:t>
      </w:r>
      <w:r>
        <w:t xml:space="preserve"> </w:t>
      </w:r>
      <w:r>
        <w:t xml:space="preserve">public authorities where the same for both measures (three in favour, one against), while the industry</w:t>
      </w:r>
      <w:r>
        <w:t xml:space="preserve"> </w:t>
      </w:r>
      <w:r>
        <w:t xml:space="preserve">clearly preferred M5. In the interviews, some freight organisers (e.g. IRHA, CLECAT/ELPA, IRU)</w:t>
      </w:r>
      <w:r>
        <w:t xml:space="preserve"> </w:t>
      </w:r>
      <w:r>
        <w:t xml:space="preserve">found the concept of “sustainable transport modes” too difficult to define, a reason for their</w:t>
      </w:r>
      <w:r>
        <w:t xml:space="preserve"> </w:t>
      </w:r>
      <w:r>
        <w:t xml:space="preserve">preference for M5. They reported fears that the definition could be too limited and could fully remove</w:t>
      </w:r>
      <w:r>
        <w:t xml:space="preserve"> </w:t>
      </w:r>
      <w:r>
        <w:t xml:space="preserve">road transport without proper comparison of greener technologies in the different transport modes.</w:t>
      </w:r>
      <w:r>
        <w:t xml:space="preserve"> </w:t>
      </w:r>
      <w:r>
        <w:t xml:space="preserve">EBU noted that road transport will become more sustainable in the future.The most popular frequency</w:t>
      </w:r>
      <w:r>
        <w:t xml:space="preserve"> </w:t>
      </w:r>
      <w:r>
        <w:t xml:space="preserve">of reporting under M5 was two years (19 out of 22 survey respondents and 12 out of 20 interviewees;</w:t>
      </w:r>
      <w:r>
        <w:t xml:space="preserve"> </w:t>
      </w:r>
      <w:r>
        <w:t xml:space="preserve">86% and 60% respectively), largely supported by the industry, while several public authorities</w:t>
      </w:r>
      <w:r>
        <w:t xml:space="preserve"> </w:t>
      </w:r>
      <w:r>
        <w:t xml:space="preserve">thought that the frequency of reporting should be every five years. In the survey, 12 out of 13 industry</w:t>
      </w:r>
      <w:r>
        <w:t xml:space="preserve"> </w:t>
      </w:r>
      <w:r>
        <w:t xml:space="preserve">respondents (92%) stated that they would accept a reporting obligation on their intermodal activities.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For the measures under Thematic Area 2, on improving reporting, no responses were received on the</w:t>
      </w:r>
      <w:r>
        <w:t xml:space="preserve"> </w:t>
      </w:r>
      <w:r>
        <w:t xml:space="preserve">relevant cost impacts.</w:t>
      </w:r>
      <w:r>
        <w:t xml:space="preserve"> </w:t>
      </w:r>
      <w:r>
        <w:t xml:space="preserve">The first question relating to possible solutions under Thematic Area 3, ‘Increase competitiveness of</w:t>
      </w:r>
      <w:r>
        <w:t xml:space="preserve"> </w:t>
      </w:r>
      <w:r>
        <w:t xml:space="preserve">intermodal transport’ asked stakeholders to indicate their preferred approach for introducing support</w:t>
      </w:r>
      <w:r>
        <w:t xml:space="preserve"> </w:t>
      </w:r>
      <w:r>
        <w:t xml:space="preserve">tools. The most popular option amongst survey respondents (six out of 17; 35%) was M10, i.e. </w:t>
      </w:r>
      <w:r>
        <w:t xml:space="preserve"> </w:t>
      </w:r>
      <w:r>
        <w:t xml:space="preserve">mandatory adoption of at least one operational support tool (eligibility based on this Directive’s</w:t>
      </w:r>
      <w:r>
        <w:t xml:space="preserve"> </w:t>
      </w:r>
      <w:r>
        <w:t xml:space="preserve">definition) and at least one technological upgrade support tool (eligibility to be defined by MS) from</w:t>
      </w:r>
      <w:r>
        <w:t xml:space="preserve"> </w:t>
      </w:r>
      <w:r>
        <w:t xml:space="preserve">the list of support Toolbox. This was followed by M7 (mandatory harmonised adoption of specific</w:t>
      </w:r>
      <w:r>
        <w:t xml:space="preserve"> </w:t>
      </w:r>
      <w:r>
        <w:t xml:space="preserve">support tool by all MS for non-road legs costs), which was supported by five survey respondents</w:t>
      </w:r>
      <w:r>
        <w:t xml:space="preserve"> </w:t>
      </w:r>
      <w:r>
        <w:t xml:space="preserve">(29%). In the survey, respondents from the industry generally were more in favour of mandatory</w:t>
      </w:r>
      <w:r>
        <w:t xml:space="preserve"> </w:t>
      </w:r>
      <w:r>
        <w:t xml:space="preserve">harmonised support, whereas public authorities were more split between mandatory and voluntary</w:t>
      </w:r>
      <w:r>
        <w:t xml:space="preserve"> </w:t>
      </w:r>
      <w:r>
        <w:t xml:space="preserve">and between harmonised and flexible approach. M7 was also the most popular response amongst</w:t>
      </w:r>
      <w:r>
        <w:t xml:space="preserve"> </w:t>
      </w:r>
      <w:r>
        <w:t xml:space="preserve">interviewees (supported by five industry associations and two civil society representative out of 17</w:t>
      </w:r>
      <w:r>
        <w:t xml:space="preserve"> </w:t>
      </w:r>
      <w:r>
        <w:t xml:space="preserve">replies; 41%). Those stakeholders that supported a mandatory approach argued that this would ensure</w:t>
      </w:r>
      <w:r>
        <w:t xml:space="preserve"> </w:t>
      </w:r>
      <w:r>
        <w:t xml:space="preserve">harmonisation between Member States and would better support cross-border journeys, whereas</w:t>
      </w:r>
      <w:r>
        <w:t xml:space="preserve"> </w:t>
      </w:r>
      <w:r>
        <w:t xml:space="preserve">those who supported a voluntary approach argued that a such an approach was more appropriate as</w:t>
      </w:r>
      <w:r>
        <w:t xml:space="preserve"> </w:t>
      </w:r>
      <w:r>
        <w:t xml:space="preserve">Member States were different.</w:t>
      </w:r>
      <w:r>
        <w:t xml:space="preserve"> </w:t>
      </w:r>
      <w:r>
        <w:t xml:space="preserve">Stakeholders were also asked for their views on making the detail of four of the measures mandatory.</w:t>
      </w:r>
      <w:r>
        <w:t xml:space="preserve"> </w:t>
      </w:r>
      <w:r>
        <w:t xml:space="preserve">Respondents agreed or strongly agreed that the following support tools should be mandatory for all</w:t>
      </w:r>
      <w:r>
        <w:t xml:space="preserve"> </w:t>
      </w:r>
      <w:r>
        <w:t xml:space="preserve">Member States in relation to:</w:t>
      </w:r>
      <w:r>
        <w:br/>
      </w:r>
      <w:r>
        <w:t xml:space="preserve">• M6: Reductions or reimbursements of charges paid by the shipper or operator who organised the</w:t>
      </w:r>
      <w:r>
        <w:t xml:space="preserve"> </w:t>
      </w:r>
      <w:r>
        <w:t xml:space="preserve">intermodal transport operation equal to the share or lump sum of certain transhipment costs (e.g. </w:t>
      </w:r>
      <w:r>
        <w:t xml:space="preserve"> </w:t>
      </w:r>
      <w:r>
        <w:t xml:space="preserve">30%) (ten out of 15 for the survey and 17 out of 21 amongst the interviews; 67% and 81%</w:t>
      </w:r>
      <w:r>
        <w:t xml:space="preserve"> </w:t>
      </w:r>
      <w:r>
        <w:t xml:space="preserve">respectively).</w:t>
      </w:r>
      <w:r>
        <w:t xml:space="preserve"> </w:t>
      </w:r>
      <w:r>
        <w:t xml:space="preserve">• M7: Reductions or reimbursements of costs paid by the shipper or operator who organises the</w:t>
      </w:r>
      <w:r>
        <w:t xml:space="preserve"> </w:t>
      </w:r>
      <w:r>
        <w:t xml:space="preserve">transport operation equal to the share or lump sum of certain transport costs per loading unit on</w:t>
      </w:r>
      <w:r>
        <w:t xml:space="preserve"> </w:t>
      </w:r>
      <w:r>
        <w:t xml:space="preserve">non-road leg (e.g. 20%) (eight out of 15 for the survey and 18 out of 21 amongst the interviews;</w:t>
      </w:r>
      <w:r>
        <w:t xml:space="preserve"> </w:t>
      </w:r>
      <w:r>
        <w:t xml:space="preserve">53% and 86% respectively).</w:t>
      </w:r>
      <w:r>
        <w:t xml:space="preserve"> </w:t>
      </w:r>
      <w:r>
        <w:t xml:space="preserve">• M9: at least 1 mandatory tool for support from the list of support Toolbox that reduce/reimburse</w:t>
      </w:r>
      <w:r>
        <w:t xml:space="preserve"> </w:t>
      </w:r>
      <w:r>
        <w:t xml:space="preserve">operational transport costs (ten out of 16 for the survey and 13 out of 17 amongst the interviews;</w:t>
      </w:r>
      <w:r>
        <w:t xml:space="preserve"> </w:t>
      </w:r>
      <w:r>
        <w:t xml:space="preserve">63% and 76% respectively).</w:t>
      </w:r>
      <w:r>
        <w:t xml:space="preserve"> </w:t>
      </w:r>
      <w:r>
        <w:t xml:space="preserve">• M10: at least 1 mandatory tool for support from the list of support Toolbox that reduce/reimburse</w:t>
      </w:r>
      <w:r>
        <w:t xml:space="preserve"> </w:t>
      </w:r>
      <w:r>
        <w:t xml:space="preserve">operational transport costs and at least 1 mandatory tool for support from the list of support</w:t>
      </w:r>
      <w:r>
        <w:t xml:space="preserve"> </w:t>
      </w:r>
      <w:r>
        <w:t xml:space="preserve">Toolbox that provide financial support for setting up new routes and technological upgrades (ten</w:t>
      </w:r>
      <w:r>
        <w:t xml:space="preserve"> </w:t>
      </w:r>
      <w:r>
        <w:t xml:space="preserve">out of 16 for the survey and eleven out of 17 amongst the interviews; 63% and 65% respectively).</w:t>
      </w:r>
      <w:r>
        <w:t xml:space="preserve"> </w:t>
      </w:r>
      <w:r>
        <w:t xml:space="preserve">For all the items in the list above, support in the survey came essentially from industry stakeholders.</w:t>
      </w:r>
      <w:r>
        <w:t xml:space="preserve"> </w:t>
      </w:r>
      <w:r>
        <w:t xml:space="preserve">Among public authorities, support and opposition to each of the above-listed measures was almost</w:t>
      </w:r>
      <w:r>
        <w:t xml:space="preserve"> </w:t>
      </w:r>
      <w:r>
        <w:t xml:space="preserve">exactly split half/half. In the course of the stakeholder workshop, concerns about the potential adverse</w:t>
      </w:r>
      <w:r>
        <w:t xml:space="preserve"> </w:t>
      </w:r>
      <w:r>
        <w:t xml:space="preserve">impact of the application of the tools being made voluntary on the level playing field were raised by</w:t>
      </w:r>
      <w:r>
        <w:t xml:space="preserve"> </w:t>
      </w:r>
      <w:r>
        <w:t xml:space="preserve">a number of stakeholders.</w:t>
      </w:r>
      <w:r>
        <w:br/>
      </w:r>
      <w:r>
        <w:t xml:space="preserve">Interviewees also indicated which of the specific provisions that are currently in the CTD should be</w:t>
      </w:r>
      <w:r>
        <w:t xml:space="preserve"> </w:t>
      </w:r>
      <w:r>
        <w:t xml:space="preserve">retained. 15 out of 20 were for retaining Article 2 (ban on quotas; 75%), Article 4 (equivalent use of</w:t>
      </w:r>
      <w:r>
        <w:t xml:space="preserve"> </w:t>
      </w:r>
      <w:r>
        <w:t xml:space="preserve">non-resident hauliers as in international road transport; 15 out of 20; 75%) and Article 8 (ban on price</w:t>
      </w:r>
      <w:r>
        <w:t xml:space="preserve"> </w:t>
      </w:r>
      <w:r>
        <w:t xml:space="preserve">controls; 12 out of 20; 60%). This reflected the responses to a similar question in the OPC, where 49</w:t>
      </w:r>
      <w:r>
        <w:t xml:space="preserve"> </w:t>
      </w:r>
      <w:r>
        <w:t xml:space="preserve">out of 72 of respondents indicated their support for retaining Article 2 (68%) and Article 4 (39 out of</w:t>
      </w:r>
      <w:r>
        <w:t xml:space="preserve"> </w:t>
      </w:r>
      <w:r>
        <w:t xml:space="preserve">59; 66%). In addition, 55 out of 72 (76%) of respondents to the OPC supported retaining both Article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6.1 (tax reductions or reimbursements to road hauliers of Rolling Highway CT operations; and</w:t>
      </w:r>
      <w:r>
        <w:t xml:space="preserve"> </w:t>
      </w:r>
      <w:r>
        <w:t xml:space="preserve">Article 6.2 (tax exemptions to road hauliers for vehicles used exclusively in all new eligible CT; 57</w:t>
      </w:r>
      <w:r>
        <w:t xml:space="preserve"> </w:t>
      </w:r>
      <w:r>
        <w:t xml:space="preserve">out of 73 (78%)).</w:t>
      </w:r>
      <w:r>
        <w:br/>
      </w:r>
      <w:r>
        <w:t xml:space="preserve">In the survey, stakeholders were asked for their views on how four policy measures under Thematic</w:t>
      </w:r>
      <w:r>
        <w:t xml:space="preserve"> </w:t>
      </w:r>
      <w:r>
        <w:t xml:space="preserve">Area 4, ‘Increase transparency and cooperation to facilitate flexibility and simplify entry to the</w:t>
      </w:r>
      <w:r>
        <w:t xml:space="preserve"> </w:t>
      </w:r>
      <w:r>
        <w:t xml:space="preserve">market’ would contribute to meeting the proposed objective of improving transparency and</w:t>
      </w:r>
      <w:r>
        <w:t xml:space="preserve"> </w:t>
      </w:r>
      <w:r>
        <w:t xml:space="preserve">cooperation to facilitate flexibility and simplify entry to the market. For both M11 (establish</w:t>
      </w:r>
      <w:r>
        <w:t xml:space="preserve"> </w:t>
      </w:r>
      <w:r>
        <w:t xml:space="preserve">interoperability obligation for defined data set) and M12 (establish common data exchange</w:t>
      </w:r>
      <w:r>
        <w:t xml:space="preserve"> </w:t>
      </w:r>
      <w:r>
        <w:t xml:space="preserve">protocol), all survey respondents that had a view (12 out of 12; 100%) and 15 out of 22 interviewees</w:t>
      </w:r>
      <w:r>
        <w:t xml:space="preserve"> </w:t>
      </w:r>
      <w:r>
        <w:t xml:space="preserve">(68%) believed that these measures would contribute to achieving the proposed objective to a</w:t>
      </w:r>
      <w:r>
        <w:t xml:space="preserve"> </w:t>
      </w:r>
      <w:r>
        <w:t xml:space="preserve">‘significant extent’. For M13, establish transparency requirements for services/facilities available at</w:t>
      </w:r>
      <w:r>
        <w:t xml:space="preserve"> </w:t>
      </w:r>
      <w:r>
        <w:t xml:space="preserve">terminals, 12 out of 13 survey respondents (92%) and 13 out of 22 interviewees (59%) also believed</w:t>
      </w:r>
      <w:r>
        <w:t xml:space="preserve"> </w:t>
      </w:r>
      <w:r>
        <w:t xml:space="preserve">that the measure would contribute to achieving the proposed objective to a ‘significant extent’ (on</w:t>
      </w:r>
      <w:r>
        <w:t xml:space="preserve"> </w:t>
      </w:r>
      <w:r>
        <w:t xml:space="preserve">industry respondend chose “limited extent” as an answer).</w:t>
      </w:r>
      <w:r>
        <w:br/>
      </w:r>
      <w:r>
        <w:t xml:space="preserve">On M11, M12 and M13, two industry stakeholders (one transport operator and one freight organiser)</w:t>
      </w:r>
      <w:r>
        <w:t xml:space="preserve"> </w:t>
      </w:r>
      <w:r>
        <w:t xml:space="preserve">expected some additional direct one-off costs for their organisation or their members, but did not</w:t>
      </w:r>
      <w:r>
        <w:t xml:space="preserve"> </w:t>
      </w:r>
      <w:r>
        <w:t xml:space="preserve">expand further. Five industry stakeholders (across all subgroups) expected some additional ongoing</w:t>
      </w:r>
      <w:r>
        <w:t xml:space="preserve"> </w:t>
      </w:r>
      <w:r>
        <w:t xml:space="preserve">costs from ensuring compliance with requirements for these measures, but again did not expand</w:t>
      </w:r>
      <w:r>
        <w:t xml:space="preserve"> </w:t>
      </w:r>
      <w:r>
        <w:t xml:space="preserve">further.</w:t>
      </w:r>
      <w:r>
        <w:t xml:space="preserve"> </w:t>
      </w:r>
      <w:r>
        <w:t xml:space="preserve">Stakeholders were asked to indicate from a list of criteria those that they considered important for</w:t>
      </w:r>
      <w:r>
        <w:t xml:space="preserve"> </w:t>
      </w:r>
      <w:r>
        <w:t xml:space="preserve">transparency and as being an appropriate basis for defining terminal categories. At least ten</w:t>
      </w:r>
      <w:r>
        <w:t xml:space="preserve"> </w:t>
      </w:r>
      <w:r>
        <w:t xml:space="preserve">interviewees out of 21 indicated that each criterion was important. No interviewee opposed any</w:t>
      </w:r>
      <w:r>
        <w:t xml:space="preserve"> </w:t>
      </w:r>
      <w:r>
        <w:t xml:space="preserve">criterion. Within the survey, the criteria listed as the most important (75%) by industry stakeholders</w:t>
      </w:r>
      <w:r>
        <w:t xml:space="preserve"> </w:t>
      </w:r>
      <w:r>
        <w:t xml:space="preserve">was ‘connections by road, rail, inland waterways and short-sea’ and by public authorities (45%) was</w:t>
      </w:r>
      <w:r>
        <w:t xml:space="preserve"> </w:t>
      </w:r>
      <w:r>
        <w:t xml:space="preserve">‘conditions for road hauliers’.</w:t>
      </w:r>
      <w:r>
        <w:br/>
      </w:r>
      <w:r>
        <w:t xml:space="preserve">Support tools</w:t>
      </w:r>
      <w:r>
        <w:br/>
      </w:r>
      <w:r>
        <w:t xml:space="preserve">A number of support tools could be adopted to support industry stakeholders to increase the use of</w:t>
      </w:r>
      <w:r>
        <w:t xml:space="preserve"> </w:t>
      </w:r>
      <w:r>
        <w:t xml:space="preserve">multimodal/intermodal transport. Linked to questions under thematic area 3 above, stakeholders were</w:t>
      </w:r>
      <w:r>
        <w:t xml:space="preserve"> </w:t>
      </w:r>
      <w:r>
        <w:t xml:space="preserve">also asked further questions on the details of the proposed support measures.</w:t>
      </w:r>
      <w:r>
        <w:t xml:space="preserve"> </w:t>
      </w:r>
      <w:r>
        <w:t xml:space="preserve">As part of the OPC, stakeholders were asked a range of questions on support tools, including who</w:t>
      </w:r>
      <w:r>
        <w:t xml:space="preserve"> </w:t>
      </w:r>
      <w:r>
        <w:t xml:space="preserve">should be the beneficiaries of these. There was broad support to apply policies or support measures</w:t>
      </w:r>
      <w:r>
        <w:t xml:space="preserve"> </w:t>
      </w:r>
      <w:r>
        <w:t xml:space="preserve">to different actors, with transport organisers (85 out of 96; 89%) and shippers (83 out of 95; 87%)</w:t>
      </w:r>
      <w:r>
        <w:t xml:space="preserve"> </w:t>
      </w:r>
      <w:r>
        <w:t xml:space="preserve">being the most popular beneficiaries to encourage them to choose intermodal/multimodal options. 59</w:t>
      </w:r>
      <w:r>
        <w:t xml:space="preserve"> </w:t>
      </w:r>
      <w:r>
        <w:t xml:space="preserve">out of 93 respondents (63%) believed that the eligibility for support should be based on new</w:t>
      </w:r>
      <w:r>
        <w:t xml:space="preserve"> </w:t>
      </w:r>
      <w:r>
        <w:t xml:space="preserve">principles rather than on those in the current CTD. With the exception of participating terminal</w:t>
      </w:r>
      <w:r>
        <w:t xml:space="preserve"> </w:t>
      </w:r>
      <w:r>
        <w:t xml:space="preserve">operators and freight organisers, the majority of whom were against giving up the current principles,</w:t>
      </w:r>
      <w:r>
        <w:t xml:space="preserve"> </w:t>
      </w:r>
      <w:r>
        <w:t xml:space="preserve">all industry sub-categories responding to the OPC were in their majority in favour of introducing new</w:t>
      </w:r>
      <w:r>
        <w:t xml:space="preserve"> </w:t>
      </w:r>
      <w:r>
        <w:t xml:space="preserve">principles. The most common aim of the support tools included in the CTD should be to provide</w:t>
      </w:r>
      <w:r>
        <w:t xml:space="preserve"> </w:t>
      </w:r>
      <w:r>
        <w:t xml:space="preserve">support to cover the inherent disadvantages of intermodal/multimodal transport in order to make</w:t>
      </w:r>
      <w:r>
        <w:t xml:space="preserve"> </w:t>
      </w:r>
      <w:r>
        <w:t xml:space="preserve">intermodal/multimodal operations price-competitive vis-à-vis road-only transport (58 out of 75;</w:t>
      </w:r>
      <w:r>
        <w:t xml:space="preserve"> </w:t>
      </w:r>
      <w:r>
        <w:t xml:space="preserve">77%). This was supported by the majority of respondents from each stakeholder group and industry</w:t>
      </w:r>
      <w:r>
        <w:t xml:space="preserve"> </w:t>
      </w:r>
      <w:r>
        <w:t xml:space="preserve">sub-category. There was also broad support for different types of measures, such as: economic</w:t>
      </w:r>
      <w:r>
        <w:t xml:space="preserve"> </w:t>
      </w:r>
      <w:r>
        <w:t xml:space="preserve">support for technological upgrades (89 out of 96; 93%); regulatory support (85 out of 96; 89%);</w:t>
      </w:r>
      <w:r>
        <w:t xml:space="preserve"> </w:t>
      </w:r>
      <w:r>
        <w:t xml:space="preserve">economic support to operations (85 out of 96; 89%); and administrative support (simplification of</w:t>
      </w:r>
      <w:r>
        <w:t xml:space="preserve"> </w:t>
      </w:r>
      <w:r>
        <w:t xml:space="preserve">procedures) (79 out of 95; 83%). All stakeholder groups considered these measures equally as</w:t>
      </w:r>
      <w:r>
        <w:t xml:space="preserve"> </w:t>
      </w:r>
      <w:r>
        <w:t xml:space="preserve">‘important’ or ‘very important’.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In the context of Thematic Area 3, stakeholders, including those from different industrial sectors,</w:t>
      </w:r>
      <w:r>
        <w:t xml:space="preserve"> </w:t>
      </w:r>
      <w:r>
        <w:t xml:space="preserve">were asked tailored questions in the survey about different support tools. When asked about the most</w:t>
      </w:r>
      <w:r>
        <w:t xml:space="preserve"> </w:t>
      </w:r>
      <w:r>
        <w:t xml:space="preserve">important factors in choosing intermodal transport operations, the most important factor given by</w:t>
      </w:r>
      <w:r>
        <w:t xml:space="preserve"> </w:t>
      </w:r>
      <w:r>
        <w:t xml:space="preserve">industry respondents to the survey was price (11 out of 12; 92%), followed by reliability (six out of</w:t>
      </w:r>
      <w:r>
        <w:t xml:space="preserve"> </w:t>
      </w:r>
      <w:r>
        <w:t xml:space="preserve">12; 50%) and delivery time (four out of 12; 33%). These factors were similarly considered to be</w:t>
      </w:r>
      <w:r>
        <w:t xml:space="preserve"> </w:t>
      </w:r>
      <w:r>
        <w:t xml:space="preserve">important by interviewees, across stakeholder groups: freight forwarders, transport operators and</w:t>
      </w:r>
      <w:r>
        <w:t xml:space="preserve"> </w:t>
      </w:r>
      <w:r>
        <w:t xml:space="preserve">public authorities agreed to a very large extent. Some interviewees highlighted that, while gaining</w:t>
      </w:r>
      <w:r>
        <w:t xml:space="preserve"> </w:t>
      </w:r>
      <w:r>
        <w:t xml:space="preserve">importance, sustainability was not yet a primary concern for customers. Industry respondents were</w:t>
      </w:r>
      <w:r>
        <w:t xml:space="preserve"> </w:t>
      </w:r>
      <w:r>
        <w:t xml:space="preserve">also asked to provide the minimum level of reduction of transport costs that would be needed to make</w:t>
      </w:r>
      <w:r>
        <w:t xml:space="preserve"> </w:t>
      </w:r>
      <w:r>
        <w:t xml:space="preserve">door-to-door intermodal transport solutions competitive with road-only transport for different ‘road-</w:t>
      </w:r>
      <w:r>
        <w:t xml:space="preserve"> </w:t>
      </w:r>
      <w:r>
        <w:t xml:space="preserve">other mode’ combinations. Road-rail combinations were considered to require least cost reductions,</w:t>
      </w:r>
      <w:r>
        <w:t xml:space="preserve"> </w:t>
      </w:r>
      <w:r>
        <w:t xml:space="preserve">as half of those who responded (five out of ten) considered that reductions of less than 10% would</w:t>
      </w:r>
      <w:r>
        <w:t xml:space="preserve"> </w:t>
      </w:r>
      <w:r>
        <w:t xml:space="preserve">be needed to make rail-road combinations competitive with road-only transport. On the other hand,</w:t>
      </w:r>
      <w:r>
        <w:t xml:space="preserve"> </w:t>
      </w:r>
      <w:r>
        <w:t xml:space="preserve">for road-SSS combinations half of those who responded (two out of four) considered that cost</w:t>
      </w:r>
      <w:r>
        <w:t xml:space="preserve"> </w:t>
      </w:r>
      <w:r>
        <w:t xml:space="preserve">reductions of less than 20% would be needed to make these combinations competitive, whereas three</w:t>
      </w:r>
      <w:r>
        <w:t xml:space="preserve"> </w:t>
      </w:r>
      <w:r>
        <w:t xml:space="preserve">out of the five responses (60%) relating to road-inland waterways combinations felt that a reduction</w:t>
      </w:r>
      <w:r>
        <w:t xml:space="preserve"> </w:t>
      </w:r>
      <w:r>
        <w:t xml:space="preserve">of over 25% was needed for these to become competitive.</w:t>
      </w:r>
      <w:r>
        <w:br/>
      </w:r>
      <w:r>
        <w:t xml:space="preserve">Stakeholders were then asked questions about different aspects of potential support tools, with the</w:t>
      </w:r>
      <w:r>
        <w:t xml:space="preserve"> </w:t>
      </w:r>
      <w:r>
        <w:t xml:space="preserve">survey having more tailored questions for different types of stakeholder. First, there was a series of</w:t>
      </w:r>
      <w:r>
        <w:t xml:space="preserve"> </w:t>
      </w:r>
      <w:r>
        <w:t xml:space="preserve">questions on potential financial support in the form of reductions or reimbursements of operational</w:t>
      </w:r>
      <w:r>
        <w:t xml:space="preserve"> </w:t>
      </w:r>
      <w:r>
        <w:t xml:space="preserve">costs. Ten out of 15 interviewees ‘agreed’ or ‘strongly agreed’ with the inclusion of either a reduction</w:t>
      </w:r>
      <w:r>
        <w:t xml:space="preserve"> </w:t>
      </w:r>
      <w:r>
        <w:t xml:space="preserve">or reimbursement of the transhipment costs incurred (67%), of the charges incurred for the use of</w:t>
      </w:r>
      <w:r>
        <w:t xml:space="preserve"> </w:t>
      </w:r>
      <w:r>
        <w:t xml:space="preserve">certain infrastructure and of the operational transport costs to a shipper or operator who organises</w:t>
      </w:r>
      <w:r>
        <w:t xml:space="preserve"> </w:t>
      </w:r>
      <w:r>
        <w:t xml:space="preserve">the transport operations (both nine out of 15; 60%). In the interviews, several industry associations</w:t>
      </w:r>
      <w:r>
        <w:t xml:space="preserve"> </w:t>
      </w:r>
      <w:r>
        <w:t xml:space="preserve">declared themselves in favour of financial and non-financial support measures to make intermodal</w:t>
      </w:r>
      <w:r>
        <w:t xml:space="preserve"> </w:t>
      </w:r>
      <w:r>
        <w:t xml:space="preserve">transport more cost-effective. Public authorities which responded tended to be more cautious as to</w:t>
      </w:r>
      <w:r>
        <w:t xml:space="preserve"> </w:t>
      </w:r>
      <w:r>
        <w:t xml:space="preserve">their capacity to provide financial support. The possibility of reducing rail access charges was</w:t>
      </w:r>
      <w:r>
        <w:t xml:space="preserve"> </w:t>
      </w:r>
      <w:r>
        <w:t xml:space="preserve">referred to as an option by several public authorities. The survey revealed little experience with the</w:t>
      </w:r>
      <w:r>
        <w:t xml:space="preserve"> </w:t>
      </w:r>
      <w:r>
        <w:t xml:space="preserve">use of these support measures. If such support tools were applied, there was a preference for these to</w:t>
      </w:r>
      <w:r>
        <w:t xml:space="preserve"> </w:t>
      </w:r>
      <w:r>
        <w:t xml:space="preserve">be applied as a share of costs (e.g. three out of four supported the reduction or reimbursement of the</w:t>
      </w:r>
      <w:r>
        <w:t xml:space="preserve"> </w:t>
      </w:r>
      <w:r>
        <w:t xml:space="preserve">transhipment costs incurred working in this way), but the numbers that responded to this question</w:t>
      </w:r>
      <w:r>
        <w:t xml:space="preserve"> </w:t>
      </w:r>
      <w:r>
        <w:t xml:space="preserve">were very low. Industry respondents also tended to support the Member State where the costs</w:t>
      </w:r>
      <w:r>
        <w:t xml:space="preserve"> </w:t>
      </w:r>
      <w:r>
        <w:t xml:space="preserve">occurred funding the support, although again the numbers were very low (e.g. again only three out</w:t>
      </w:r>
      <w:r>
        <w:t xml:space="preserve"> </w:t>
      </w:r>
      <w:r>
        <w:t xml:space="preserve">of four shippers supported the reduction or reimbursement of the transhipment costs incurred working</w:t>
      </w:r>
      <w:r>
        <w:t xml:space="preserve"> </w:t>
      </w:r>
      <w:r>
        <w:t xml:space="preserve">in this way).</w:t>
      </w:r>
      <w:r>
        <w:t xml:space="preserve"> </w:t>
      </w:r>
      <w:r>
        <w:t xml:space="preserve">On the operational support measures, no industry stakeholder provided information on the impacts</w:t>
      </w:r>
      <w:r>
        <w:t xml:space="preserve"> </w:t>
      </w:r>
      <w:r>
        <w:t xml:space="preserve">associated with the implementation of these measures. Naturally, industry stakeholders welcomed all</w:t>
      </w:r>
      <w:r>
        <w:t xml:space="preserve"> </w:t>
      </w:r>
      <w:r>
        <w:t xml:space="preserve">additional public support. The Latvian Ministry of Transport noted that the main problem for</w:t>
      </w:r>
      <w:r>
        <w:t xml:space="preserve"> </w:t>
      </w:r>
      <w:r>
        <w:t xml:space="preserve">cohesion countries will be the level of EU support in general, first for the intermodal infrastructure</w:t>
      </w:r>
      <w:r>
        <w:t xml:space="preserve"> </w:t>
      </w:r>
      <w:r>
        <w:t xml:space="preserve">(terminals, equipment, etc.) but also for supporting intermodal operations. Latvia considers the</w:t>
      </w:r>
      <w:r>
        <w:t xml:space="preserve"> </w:t>
      </w:r>
      <w:r>
        <w:t xml:space="preserve">situation regarding intermodal transport uneven between different Member States. In those Member</w:t>
      </w:r>
      <w:r>
        <w:t xml:space="preserve"> </w:t>
      </w:r>
      <w:r>
        <w:t xml:space="preserve">States with a low population density, the low number of freight movements might not be enough to</w:t>
      </w:r>
      <w:r>
        <w:t xml:space="preserve"> </w:t>
      </w:r>
      <w:r>
        <w:t xml:space="preserve">make intermodal transport profitable.</w:t>
      </w:r>
      <w:r>
        <w:t xml:space="preserve"> </w:t>
      </w:r>
      <w:r>
        <w:t xml:space="preserve">Second, there were questions about financial support for setting up new routes. Eight out of 15</w:t>
      </w:r>
      <w:r>
        <w:t xml:space="preserve"> </w:t>
      </w:r>
      <w:r>
        <w:t xml:space="preserve">interviewees (53%) ‘agreed’ or ‘strongly agreed’ with the inclusion of ‘start-up support to the shipper</w:t>
      </w:r>
      <w:r>
        <w:t xml:space="preserve"> </w:t>
      </w:r>
      <w:r>
        <w:t xml:space="preserve">or operator for organising a new intermodal transport scheduled route’. Again, the survey revealed</w:t>
      </w:r>
      <w:r>
        <w:t xml:space="preserve"> </w:t>
      </w:r>
      <w:r>
        <w:t xml:space="preserve">little experience with such support tools in practice and industry – again from a low level of response</w:t>
      </w:r>
      <w:r>
        <w:t xml:space="preserve"> </w:t>
      </w:r>
      <w:r>
        <w:t xml:space="preserve">– felt that the support should be applied as a share of costs (e.g. four out of six transport operators;</w:t>
      </w:r>
      <w:r>
        <w:t xml:space="preserve"> </w:t>
      </w:r>
      <w:r>
        <w:t xml:space="preserve">67%) and for these to be funded by the Member State were the costs occurred (e.g. six out of six</w:t>
      </w:r>
      <w:r>
        <w:t xml:space="preserve"> </w:t>
      </w:r>
      <w:r>
        <w:t xml:space="preserve">transport operators; 100%). When asked in the interviews about their reasons for being in favour of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start-up support for a new scheduled route, it was noted that starting up long routes was a significant</w:t>
      </w:r>
      <w:r>
        <w:t xml:space="preserve"> </w:t>
      </w:r>
      <w:r>
        <w:t xml:space="preserve">financial risk for operators and would often only become financially viable after several months of</w:t>
      </w:r>
      <w:r>
        <w:t xml:space="preserve"> </w:t>
      </w:r>
      <w:r>
        <w:t xml:space="preserve">operation. Some industry representatives expressed their concern that new routes might be stopped</w:t>
      </w:r>
      <w:r>
        <w:t xml:space="preserve"> </w:t>
      </w:r>
      <w:r>
        <w:t xml:space="preserve">again after support runs out.</w:t>
      </w:r>
      <w:r>
        <w:t xml:space="preserve"> </w:t>
      </w:r>
      <w:r>
        <w:t xml:space="preserve">The third set of questions on support tools asked for views on financial support for technological</w:t>
      </w:r>
      <w:r>
        <w:t xml:space="preserve"> </w:t>
      </w:r>
      <w:r>
        <w:t xml:space="preserve">upgrades. Six of the proposed support tools received a majority support from interviewees, i.e.:</w:t>
      </w:r>
      <w:r>
        <w:br/>
      </w:r>
      <w:r>
        <w:t xml:space="preserve">1. Start-up support for agents for establishing an open access consolidation or distribution</w:t>
      </w:r>
      <w:r>
        <w:t xml:space="preserve"> </w:t>
      </w:r>
      <w:r>
        <w:t xml:space="preserve">centre or platform for intermodal transport (12 out of 14; 86%).</w:t>
      </w:r>
      <w:r>
        <w:t xml:space="preserve"> </w:t>
      </w:r>
      <w:r>
        <w:t xml:space="preserve">2. Financial support to transport operators or transport chain organisers in intermodal</w:t>
      </w:r>
      <w:r>
        <w:t xml:space="preserve"> </w:t>
      </w:r>
      <w:r>
        <w:t xml:space="preserve">transport for ICT upgrades (12 out of 14; 86%).</w:t>
      </w:r>
      <w:r>
        <w:t xml:space="preserve"> </w:t>
      </w:r>
      <w:r>
        <w:t xml:space="preserve">3. Financial support to transhipment terminal owners or operators for acquiring additional</w:t>
      </w:r>
      <w:r>
        <w:t xml:space="preserve"> </w:t>
      </w:r>
      <w:r>
        <w:t xml:space="preserve">clean equipment for increasing their handling capacity and ability to handle new types of</w:t>
      </w:r>
      <w:r>
        <w:t xml:space="preserve"> </w:t>
      </w:r>
      <w:r>
        <w:t xml:space="preserve">loading units (11 out of 14; 79%).</w:t>
      </w:r>
      <w:r>
        <w:t xml:space="preserve"> </w:t>
      </w:r>
      <w:r>
        <w:t xml:space="preserve">4. Financial support to transhipment terminal operators for acquiring clean transhipment and</w:t>
      </w:r>
      <w:r>
        <w:t xml:space="preserve"> </w:t>
      </w:r>
      <w:r>
        <w:t xml:space="preserve">shunting equipment (11 out of 14; 79%).</w:t>
      </w:r>
      <w:r>
        <w:t xml:space="preserve"> </w:t>
      </w:r>
      <w:r>
        <w:t xml:space="preserve">5. Financial support to transport operators for retrofitting non-cranable semi-trailers into</w:t>
      </w:r>
      <w:r>
        <w:t xml:space="preserve"> </w:t>
      </w:r>
      <w:r>
        <w:t xml:space="preserve">cranable semitrailer (10 out of 15; 67%).</w:t>
      </w:r>
      <w:r>
        <w:t xml:space="preserve"> </w:t>
      </w:r>
      <w:r>
        <w:t xml:space="preserve">6. Financial support to transport operators/carriers or transport chain organisers for acquiring</w:t>
      </w:r>
      <w:r>
        <w:t xml:space="preserve"> </w:t>
      </w:r>
      <w:r>
        <w:t xml:space="preserve">or/and using ‘clean’ vehicles or vessels exclusively in intermodal transport (10 out of 15;</w:t>
      </w:r>
      <w:r>
        <w:t xml:space="preserve"> </w:t>
      </w:r>
      <w:r>
        <w:t xml:space="preserve">67%).</w:t>
      </w:r>
    </w:p>
    <w:p>
      <w:pPr>
        <w:pStyle w:val="BodyText"/>
      </w:pPr>
      <w:r>
        <w:t xml:space="preserve">15 out of 15 transport operators (100%), underlined that the initial investment costs had impacted</w:t>
      </w:r>
      <w:r>
        <w:t xml:space="preserve"> </w:t>
      </w:r>
      <w:r>
        <w:t xml:space="preserve">their introduction of such technologies. The survey again revealed little experience with these support</w:t>
      </w:r>
      <w:r>
        <w:t xml:space="preserve"> </w:t>
      </w:r>
      <w:r>
        <w:t xml:space="preserve">tools and again industry – from a low level of response – also called for the support to be applied as</w:t>
      </w:r>
      <w:r>
        <w:t xml:space="preserve"> </w:t>
      </w:r>
      <w:r>
        <w:t xml:space="preserve">a share of costs (e.g. 4 out of 5 terminal operators (80%)).</w:t>
      </w:r>
      <w:r>
        <w:t xml:space="preserve"> </w:t>
      </w:r>
      <w:r>
        <w:t xml:space="preserve">The fourth set of questions related to potential regulatory support. Stakeholders ‘agreed’ or ‘strongly</w:t>
      </w:r>
      <w:r>
        <w:t xml:space="preserve"> </w:t>
      </w:r>
      <w:r>
        <w:t xml:space="preserve">agreed’ with the inclusion of both of the proposed support tools, i.e. exemption of eligible intermodal</w:t>
      </w:r>
      <w:r>
        <w:t xml:space="preserve"> </w:t>
      </w:r>
      <w:r>
        <w:t xml:space="preserve">transport road legs for from national/local traffic bans (13 out of 15; 87%) and allow increased weights and</w:t>
      </w:r>
      <w:r>
        <w:t xml:space="preserve"> </w:t>
      </w:r>
      <w:r>
        <w:t xml:space="preserve">dimensions for road vehicles in intermodal transport road legs beyond EU rules (12 out of 15). The survey</w:t>
      </w:r>
      <w:r>
        <w:t xml:space="preserve"> </w:t>
      </w:r>
      <w:r>
        <w:t xml:space="preserve">revealed that industry did not agree that these support tools should only apply to zero emission vehicles,</w:t>
      </w:r>
      <w:r>
        <w:t xml:space="preserve"> </w:t>
      </w:r>
      <w:r>
        <w:t xml:space="preserve">e.g. 4 out of 5 transport operators disagreed that weekend or peak hour driving bans should only be lifted</w:t>
      </w:r>
      <w:r>
        <w:t xml:space="preserve"> </w:t>
      </w:r>
      <w:r>
        <w:t xml:space="preserve">for zero emission vehicles.</w:t>
      </w:r>
      <w:r>
        <w:t xml:space="preserve"> </w:t>
      </w:r>
      <w:r>
        <w:t xml:space="preserve">Expected evolution without further action</w:t>
      </w:r>
      <w:r>
        <w:br/>
      </w:r>
      <w:r>
        <w:t xml:space="preserve">Of the survey respondents and interviewees who responded to a question about how the share of</w:t>
      </w:r>
      <w:r>
        <w:t xml:space="preserve"> </w:t>
      </w:r>
      <w:r>
        <w:t xml:space="preserve">intermodal transport in their country would evolve without further support over the next decade, all</w:t>
      </w:r>
      <w:r>
        <w:t xml:space="preserve"> </w:t>
      </w:r>
      <w:r>
        <w:t xml:space="preserve">but one considered that the share would either stagnate or decline by 2030. When asked about how</w:t>
      </w:r>
      <w:r>
        <w:t xml:space="preserve"> </w:t>
      </w:r>
      <w:r>
        <w:t xml:space="preserve">the average costs per transport operation by mode would evolve without further revision of the CTD,</w:t>
      </w:r>
      <w:r>
        <w:t xml:space="preserve"> </w:t>
      </w:r>
      <w:r>
        <w:t xml:space="preserve">stakeholders of all groups in the interviews agreed that costs would generally rise in the context of</w:t>
      </w:r>
      <w:r>
        <w:t xml:space="preserve"> </w:t>
      </w:r>
      <w:r>
        <w:t xml:space="preserve">overall high inflation. 14 out of 19 of interviewees suggested that the cost of road transport would</w:t>
      </w:r>
      <w:r>
        <w:t xml:space="preserve"> </w:t>
      </w:r>
      <w:r>
        <w:t xml:space="preserve">increase by more than 15% by 2030, whereas for other modes, ten out of 19 felt that the costs would</w:t>
      </w:r>
      <w:r>
        <w:t xml:space="preserve"> </w:t>
      </w:r>
      <w:r>
        <w:t xml:space="preserve">either increase by at least 5% for rail or they did not know (12 out of 19 for inland waterways) and</w:t>
      </w:r>
      <w:r>
        <w:t xml:space="preserve"> </w:t>
      </w:r>
      <w:r>
        <w:t xml:space="preserve">ten out of 19 for short sea shipping). When asked about the effects on costs for different modes of</w:t>
      </w:r>
      <w:r>
        <w:t xml:space="preserve"> </w:t>
      </w:r>
      <w:r>
        <w:t xml:space="preserve">the regulatory framework, six out of seven of survey respondents (86%) and 13 out of 18 interviewees</w:t>
      </w:r>
      <w:r>
        <w:t xml:space="preserve"> </w:t>
      </w:r>
      <w:r>
        <w:t xml:space="preserve">(72%) thought that costs for road transport would increase. Some respondents thought this also for</w:t>
      </w:r>
      <w:r>
        <w:t xml:space="preserve"> </w:t>
      </w:r>
      <w:r>
        <w:t xml:space="preserve">short sea shipping, with five out of seven survey respondents (71%) and seven out of 18 interviewees</w:t>
      </w:r>
      <w:r>
        <w:t xml:space="preserve"> </w:t>
      </w:r>
      <w:r>
        <w:t xml:space="preserve">(38%) (with a further nine indicating they do not know) indicating this.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revision of the CTD aims at increasing the uptake of intermodal transport by making intermodal</w:t>
      </w:r>
      <w:r>
        <w:t xml:space="preserve"> </w:t>
      </w:r>
      <w:r>
        <w:t xml:space="preserve">transport more competitive vis-à-vis road-only transport. The costs and benefits of the preferred option</w:t>
      </w:r>
      <w:r>
        <w:t xml:space="preserve"> </w:t>
      </w:r>
      <w:r>
        <w:t xml:space="preserve">are expected to fall on different stakeholder groups.</w:t>
      </w:r>
      <w:r>
        <w:br/>
      </w:r>
      <w:r>
        <w:t xml:space="preserve">The preferred policy option is expected to have positive impacts on those involved in intermodal transport</w:t>
      </w:r>
      <w:r>
        <w:t xml:space="preserve"> </w:t>
      </w:r>
      <w:r>
        <w:t xml:space="preserve">but may also lead to some negative impacts on those engaged in road-only transport that are not willing to</w:t>
      </w:r>
      <w:r>
        <w:t xml:space="preserve"> </w:t>
      </w:r>
      <w:r>
        <w:t xml:space="preserve">shift to providing the intermodal road legs. At the same time, the shippers, while not bearing additional</w:t>
      </w:r>
      <w:r>
        <w:t xml:space="preserve"> </w:t>
      </w:r>
      <w:r>
        <w:t xml:space="preserve">costs, will benefit from a wider range of transport options.</w:t>
      </w:r>
      <w:r>
        <w:br/>
      </w:r>
      <w:r>
        <w:t xml:space="preserve">Description of industry stakeholders’ roles and their place in the intermodal chain</w:t>
      </w:r>
      <w:r>
        <w:br/>
      </w:r>
      <w:r>
        <w:t xml:space="preserve">The intermodal transport market consists of four groups of industry stakeholders, defined here by type of</w:t>
      </w:r>
      <w:r>
        <w:t xml:space="preserve"> </w:t>
      </w:r>
      <w:r>
        <w:t xml:space="preserve">activity, and Member State authorities. In some cases, the stakeholders participate in several activities in</w:t>
      </w:r>
      <w:r>
        <w:t xml:space="preserve"> </w:t>
      </w:r>
      <w:r>
        <w:t xml:space="preserve">the sector and the stakeholder groups may somewhat overlap.</w:t>
      </w:r>
      <w:r>
        <w:br/>
      </w:r>
      <w:r>
        <w:t xml:space="preserve">The goods are owned and shipped by shippers, who have an interest to send the good from place of</w:t>
      </w:r>
      <w:r>
        <w:t xml:space="preserve"> </w:t>
      </w:r>
      <w:r>
        <w:t xml:space="preserve">departure to place of arrival. The shippers may organise the transport themselves or hire a logistics</w:t>
      </w:r>
      <w:r>
        <w:t xml:space="preserve"> </w:t>
      </w:r>
      <w:r>
        <w:t xml:space="preserve">company or freight forwarder to do the organisation for them. Thus, the shippers and logistics companies</w:t>
      </w:r>
      <w:r>
        <w:t xml:space="preserve"> </w:t>
      </w:r>
      <w:r>
        <w:t xml:space="preserve">are treated in this impact assessment as transport organisers. They decide which mode of transport to use</w:t>
      </w:r>
      <w:r>
        <w:t xml:space="preserve"> </w:t>
      </w:r>
      <w:r>
        <w:t xml:space="preserve">for the operation and are crucial in achieving modal shift. Some organisers, in particular bigger logistics</w:t>
      </w:r>
      <w:r>
        <w:t xml:space="preserve"> </w:t>
      </w:r>
      <w:r>
        <w:t xml:space="preserve">companies, may also be engaged in actual transport activity and act as carriers for parts of the transport</w:t>
      </w:r>
      <w:r>
        <w:t xml:space="preserve"> </w:t>
      </w:r>
      <w:r>
        <w:t xml:space="preserve">operation, typically the road leg, but not limited to it. For instance, some large shipping companies are</w:t>
      </w:r>
      <w:r>
        <w:t xml:space="preserve"> </w:t>
      </w:r>
      <w:r>
        <w:t xml:space="preserve">developing their own logistics services for roads that connect to maritime services. Similarly, some shippers</w:t>
      </w:r>
      <w:r>
        <w:t xml:space="preserve"> </w:t>
      </w:r>
      <w:r>
        <w:t xml:space="preserve">carry out on their own account transport for parts of operation, typically the road-leg.</w:t>
      </w:r>
      <w:r>
        <w:br/>
      </w:r>
      <w:r>
        <w:t xml:space="preserve">Transport carriers are companies actually carrying the goods either on rail (railway undertakings), inland</w:t>
      </w:r>
      <w:r>
        <w:t xml:space="preserve"> </w:t>
      </w:r>
      <w:r>
        <w:t xml:space="preserve">waterways (barge operators), short sea shipping (maritime operators) or road (road hauliers). The carriers</w:t>
      </w:r>
      <w:r>
        <w:t xml:space="preserve"> </w:t>
      </w:r>
      <w:r>
        <w:t xml:space="preserve">do not decide which mode of transport to choose, but simply carry out the operation as per transport</w:t>
      </w:r>
      <w:r>
        <w:t xml:space="preserve"> </w:t>
      </w:r>
      <w:r>
        <w:t xml:space="preserve">contract on the mode of transport they are active in. The exception is the situation where a road haulier</w:t>
      </w:r>
      <w:r>
        <w:t xml:space="preserve"> </w:t>
      </w:r>
      <w:r>
        <w:t xml:space="preserve">can decide to take a ferry instead of driving all the way without a transport organiser intervention.</w:t>
      </w:r>
      <w:r>
        <w:t xml:space="preserve"> </w:t>
      </w:r>
      <w:r>
        <w:t xml:space="preserve">Sometimes carriers subcontract other carriers either in the same mode or other modes to carry out the</w:t>
      </w:r>
      <w:r>
        <w:t xml:space="preserve"> </w:t>
      </w:r>
      <w:r>
        <w:t xml:space="preserve">operation.</w:t>
      </w:r>
      <w:r>
        <w:br/>
      </w:r>
      <w:r>
        <w:t xml:space="preserve">Dedicated companies exist, in particular in rail transport, that organise connections without organising</w:t>
      </w:r>
      <w:r>
        <w:t xml:space="preserve"> </w:t>
      </w:r>
      <w:r>
        <w:t xml:space="preserve">door-to-door services or without providing actual transport services. These are known as either multimodal</w:t>
      </w:r>
      <w:r>
        <w:t xml:space="preserve"> </w:t>
      </w:r>
      <w:r>
        <w:t xml:space="preserve">transport operators (MTOs) or combined transport operators (CTOs). In this impact assessment, they are</w:t>
      </w:r>
      <w:r>
        <w:t xml:space="preserve"> </w:t>
      </w:r>
      <w:r>
        <w:t xml:space="preserve">called connection organisers. These economic agents take the commercial risk of establishing rail services</w:t>
      </w:r>
      <w:r>
        <w:t xml:space="preserve"> </w:t>
      </w:r>
      <w:r>
        <w:t xml:space="preserve">between terminals, contract a railway undertaking to carry out the transport and sell “slots” to transport</w:t>
      </w:r>
      <w:r>
        <w:t xml:space="preserve"> </w:t>
      </w:r>
      <w:r>
        <w:t xml:space="preserve">organisers on these trains. In such a model, the railway undertaking is not taking any risks as it is always</w:t>
      </w:r>
      <w:r>
        <w:t xml:space="preserve"> </w:t>
      </w:r>
      <w:r>
        <w:t xml:space="preserve">paid for running a full-length train. It is the connection organiser that has to find sufficient shippers or</w:t>
      </w:r>
      <w:r>
        <w:t xml:space="preserve"> </w:t>
      </w:r>
      <w:r>
        <w:t xml:space="preserve">logistics companies to actually fill the train and cover the costs it pays to the railway undertaking. These</w:t>
      </w:r>
      <w:r>
        <w:t xml:space="preserve"> </w:t>
      </w:r>
      <w:r>
        <w:t xml:space="preserve">operators are crucial enablers of intermodal transport as railway undertakings are often unwilling to sell</w:t>
      </w:r>
      <w:r>
        <w:t xml:space="preserve"> </w:t>
      </w:r>
      <w:r>
        <w:t xml:space="preserve">rail-space wagon-by-wagon and most shippers do not have sufficient freight to fill full block trains at</w:t>
      </w:r>
      <w:r>
        <w:t xml:space="preserve"> </w:t>
      </w:r>
      <w:r>
        <w:t xml:space="preserve">regular intervals. Sometimes, logistics companies can act as connection organisers and sometimes shippers</w:t>
      </w:r>
      <w:r>
        <w:t xml:space="preserve"> </w:t>
      </w:r>
      <w:r>
        <w:t xml:space="preserve">create consortiums among themselves to arrange new train services.</w:t>
      </w:r>
      <w:r>
        <w:br/>
      </w:r>
      <w:r>
        <w:t xml:space="preserve">Terminal operators play a part in intermodal transport by transhipping freight between modes. Usually,</w:t>
      </w:r>
      <w:r>
        <w:t xml:space="preserve"> </w:t>
      </w:r>
      <w:r>
        <w:t xml:space="preserve">terminal operators do not provide other services in the intermodal chain. Terminals may be owned or be</w:t>
      </w:r>
      <w:r>
        <w:t xml:space="preserve"> </w:t>
      </w:r>
      <w:r>
        <w:t xml:space="preserve">affiliated to carriers or connection organisers.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Figure 13: Comparative example of contractual relationships and the flow of goods between different industry</w:t>
      </w:r>
      <w:r>
        <w:t xml:space="preserve"> </w:t>
      </w:r>
      <w:r>
        <w:t xml:space="preserve">stakeholders in road-only transport and in intermodal transport</w:t>
      </w:r>
    </w:p>
    <w:p>
      <w:pPr>
        <w:pStyle w:val="BodyText"/>
      </w:pPr>
      <w:r>
        <w:t xml:space="preserve">Finally, the revision has to take into account that modal shift to intermodal transport has an impact on</w:t>
      </w:r>
      <w:r>
        <w:t xml:space="preserve"> </w:t>
      </w:r>
      <w:r>
        <w:t xml:space="preserve">those road hauliers who currently carry out road-only long-distance transport. The road hauliers can adapt</w:t>
      </w:r>
      <w:r>
        <w:t xml:space="preserve"> </w:t>
      </w:r>
      <w:r>
        <w:t xml:space="preserve">to intermodal market and start providing intermodal road legs.</w:t>
      </w:r>
      <w:r>
        <w:br/>
      </w:r>
      <w:r>
        <w:t xml:space="preserve">All industry stakeholders mentioned, except long-distance road hauliers, are expected to benefit from</w:t>
      </w:r>
      <w:r>
        <w:t xml:space="preserve"> </w:t>
      </w:r>
      <w:r>
        <w:t xml:space="preserve">increased competitiveness of the intermodal transport. For the carriers, the logistics companies, the</w:t>
      </w:r>
      <w:r>
        <w:t xml:space="preserve"> </w:t>
      </w:r>
      <w:r>
        <w:t xml:space="preserve">volume of their operations and thus turnover will increase. For the connection organisers, their risks are</w:t>
      </w:r>
      <w:r>
        <w:t xml:space="preserve"> </w:t>
      </w:r>
      <w:r>
        <w:t xml:space="preserve">reduced and as is investment payback-time. However, this does not necessarily translate into higher profits</w:t>
      </w:r>
      <w:r>
        <w:t xml:space="preserve"> </w:t>
      </w:r>
      <w:r>
        <w:t xml:space="preserve">as competition with road-only transport is sharp and any increase in intermodal transport prices to</w:t>
      </w:r>
      <w:r>
        <w:t xml:space="preserve"> </w:t>
      </w:r>
      <w:r>
        <w:t xml:space="preserve">shippers will result in operations simply taking place on road-only transport. Similarly, the carriers and</w:t>
      </w:r>
      <w:r>
        <w:t xml:space="preserve"> </w:t>
      </w:r>
      <w:r>
        <w:t xml:space="preserve">logistics companies are not expected to raise their prices as the competing road transport price remains a</w:t>
      </w:r>
      <w:r>
        <w:t xml:space="preserve"> </w:t>
      </w:r>
      <w:r>
        <w:t xml:space="preserve">constraining factor. For shippers, there is no cost saving impact expected, as the support is expected to</w:t>
      </w:r>
      <w:r>
        <w:t xml:space="preserve"> </w:t>
      </w:r>
      <w:r>
        <w:t xml:space="preserve">bring the intermodal transport cost to a comparable level with road-only transport. Thus, for shippers who</w:t>
      </w:r>
      <w:r>
        <w:t xml:space="preserve"> </w:t>
      </w:r>
      <w:r>
        <w:t xml:space="preserve">today use road-only transport, the reduction of the intermodal price will not actually affect their costs.</w:t>
      </w:r>
      <w:r>
        <w:br/>
      </w:r>
      <w:r>
        <w:t xml:space="preserve">2. SUMMARY OF COSTS AND BENEFITS</w:t>
      </w:r>
      <w:r>
        <w:t xml:space="preserve"> </w:t>
      </w:r>
      <w:r>
        <w:t xml:space="preserve">I. Overview of Benefits (total for all provisions) – Preferred Option (PO-B2a)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savings for businesses,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</w:t>
      </w:r>
      <w:r>
        <w:t xml:space="preserve"> </w:t>
      </w:r>
      <w:r>
        <w:t xml:space="preserve">the baseline</w:t>
      </w:r>
      <w:r>
        <w:br/>
      </w:r>
      <w:r>
        <w:t xml:space="preserve">EUR 4.3 billion</w:t>
      </w:r>
      <w:r>
        <w:br/>
      </w:r>
      <w:r>
        <w:t xml:space="preserve">Administrative cost savings derive from</w:t>
      </w:r>
      <w:r>
        <w:t xml:space="preserve"> </w:t>
      </w:r>
      <w:r>
        <w:t xml:space="preserve">simplified procedures thanks to the use of</w:t>
      </w:r>
      <w:r>
        <w:t xml:space="preserve"> </w:t>
      </w:r>
      <w:r>
        <w:t xml:space="preserve">eFTI digital transport data platforms for proof</w:t>
      </w:r>
      <w:r>
        <w:t xml:space="preserve"> </w:t>
      </w:r>
      <w:r>
        <w:t xml:space="preserve">of eligibility and for reporting eligible</w:t>
      </w:r>
      <w:r>
        <w:t xml:space="preserve"> </w:t>
      </w:r>
      <w:r>
        <w:t xml:space="preserve">operations in support to the application</w:t>
      </w:r>
      <w:r>
        <w:t xml:space="preserve"> </w:t>
      </w:r>
      <w:r>
        <w:t xml:space="preserve">process, as well as from easier access to</w:t>
      </w:r>
      <w:r>
        <w:t xml:space="preserve"> </w:t>
      </w:r>
      <w:r>
        <w:t xml:space="preserve">information about upcoming support schemes.</w:t>
      </w:r>
      <w:r>
        <w:t xml:space="preserve"> </w:t>
      </w:r>
      <w:r>
        <w:t xml:space="preserve">The beneficiaries are transport organisers.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savings for Member State</w:t>
      </w:r>
      <w:r>
        <w:t xml:space="preserve"> </w:t>
      </w:r>
      <w:r>
        <w:t xml:space="preserve">authorities, expressed as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EUR 2.3 million</w:t>
      </w:r>
      <w:r>
        <w:t xml:space="preserve"> </w:t>
      </w:r>
      <w:r>
        <w:t xml:space="preserve">Mandatory use of eFTI platforms for proof of</w:t>
      </w:r>
      <w:r>
        <w:t xml:space="preserve"> </w:t>
      </w:r>
      <w:r>
        <w:t xml:space="preserve">eligibility reduces the road-side check time.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I. Overview of Benefits (total for all provisions) – Preferred Option (PO-B2a)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2050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Reduction in external costs</w:t>
      </w:r>
      <w:r>
        <w:t xml:space="preserve"> </w:t>
      </w:r>
      <w:r>
        <w:t xml:space="preserve">of transport, expressed as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EUR 15.3 billion</w:t>
      </w:r>
      <w:r>
        <w:t xml:space="preserve"> </w:t>
      </w:r>
      <w:r>
        <w:t xml:space="preserve">Indirect benefit to society at large, as the shift</w:t>
      </w:r>
      <w:r>
        <w:t xml:space="preserve"> </w:t>
      </w:r>
      <w:r>
        <w:t xml:space="preserve">from road-only transport to intermodal</w:t>
      </w:r>
      <w:r>
        <w:t xml:space="preserve"> </w:t>
      </w:r>
      <w:r>
        <w:t xml:space="preserve">transport saves external costs of GHG</w:t>
      </w:r>
      <w:r>
        <w:t xml:space="preserve"> </w:t>
      </w:r>
      <w:r>
        <w:t xml:space="preserve">emissions, air pollutant emissions, noise,</w:t>
      </w:r>
      <w:r>
        <w:t xml:space="preserve"> </w:t>
      </w:r>
      <w:r>
        <w:t xml:space="preserve">accidents and congestion</w:t>
      </w:r>
      <w:r>
        <w:t xml:space="preserve"> </w:t>
      </w:r>
      <w:r>
        <w:t xml:space="preserve">Reduction in energy</w:t>
      </w:r>
      <w:r>
        <w:t xml:space="preserve"> </w:t>
      </w:r>
      <w:r>
        <w:t xml:space="preserve">consumption (cumulative</w:t>
      </w:r>
      <w:r>
        <w:t xml:space="preserve"> </w:t>
      </w:r>
      <w:r>
        <w:t xml:space="preserve">over 2025-2050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10.5 million of tonnes of oil equivalent</w:t>
      </w:r>
      <w:r>
        <w:t xml:space="preserve"> </w:t>
      </w:r>
      <w:r>
        <w:t xml:space="preserve">Indirect benefit to society at large, as the shift</w:t>
      </w:r>
      <w:r>
        <w:t xml:space="preserve"> </w:t>
      </w:r>
      <w:r>
        <w:t xml:space="preserve">from road-only transport to intermodal</w:t>
      </w:r>
      <w:r>
        <w:t xml:space="preserve"> </w:t>
      </w:r>
      <w:r>
        <w:t xml:space="preserve">transport reduces overall energy consumption.</w:t>
      </w:r>
      <w:r>
        <w:t xml:space="preserve"> </w:t>
      </w:r>
      <w:r>
        <w:t xml:space="preserve">Positive impact on GDP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GDP increase of 0.1% in 2030 and 0.3% in</w:t>
      </w:r>
      <w:r>
        <w:t xml:space="preserve"> </w:t>
      </w:r>
      <w:r>
        <w:t xml:space="preserve">2050 relative to the baseline</w:t>
      </w:r>
      <w:r>
        <w:t xml:space="preserve"> </w:t>
      </w:r>
      <w:r>
        <w:t xml:space="preserve">Indirect benefit to society at large. The</w:t>
      </w:r>
      <w:r>
        <w:t xml:space="preserve"> </w:t>
      </w:r>
      <w:r>
        <w:t xml:space="preserve">increase in the competitiveness of intermodal</w:t>
      </w:r>
      <w:r>
        <w:t xml:space="preserve"> </w:t>
      </w:r>
      <w:r>
        <w:t xml:space="preserve">transport operations is expected to have</w:t>
      </w:r>
      <w:r>
        <w:t xml:space="preserve"> </w:t>
      </w:r>
      <w:r>
        <w:t xml:space="preserve">knock-on effects throughout the entire</w:t>
      </w:r>
      <w:r>
        <w:t xml:space="preserve"> </w:t>
      </w:r>
      <w:r>
        <w:t xml:space="preserve">economy, leveraging the initial impact on the</w:t>
      </w:r>
      <w:r>
        <w:t xml:space="preserve"> </w:t>
      </w:r>
      <w:r>
        <w:t xml:space="preserve">transport sector. This is also expected to lead</w:t>
      </w:r>
      <w:r>
        <w:t xml:space="preserve"> </w:t>
      </w:r>
      <w:r>
        <w:t xml:space="preserve">to positive impacts on GDP, which is</w:t>
      </w:r>
      <w:r>
        <w:t xml:space="preserve"> </w:t>
      </w:r>
      <w:r>
        <w:t xml:space="preserve">estimated to increase by around 0.1% in 2030</w:t>
      </w:r>
      <w:r>
        <w:t xml:space="preserve"> </w:t>
      </w:r>
      <w:r>
        <w:t xml:space="preserve">and 0.3% in 2050 relative to the baseline.</w:t>
      </w:r>
      <w:r>
        <w:t xml:space="preserve"> </w:t>
      </w:r>
      <w:r>
        <w:t xml:space="preserve">Positive impacts on</w:t>
      </w:r>
      <w:r>
        <w:t xml:space="preserve"> </w:t>
      </w:r>
      <w:r>
        <w:t xml:space="preserve">employment relative to the</w:t>
      </w:r>
      <w:r>
        <w:t xml:space="preserve"> </w:t>
      </w:r>
      <w:r>
        <w:t xml:space="preserve">baseline (additional</w:t>
      </w:r>
      <w:r>
        <w:t xml:space="preserve"> </w:t>
      </w:r>
      <w:r>
        <w:t xml:space="preserve">persons employed over</w:t>
      </w:r>
      <w:r>
        <w:t xml:space="preserve"> </w:t>
      </w:r>
      <w:r>
        <w:t xml:space="preserve">2025-2050)</w:t>
      </w:r>
      <w:r>
        <w:t xml:space="preserve"> </w:t>
      </w:r>
      <w:r>
        <w:t xml:space="preserve">24,000 additional persons employed in 2030</w:t>
      </w:r>
      <w:r>
        <w:t xml:space="preserve"> </w:t>
      </w:r>
      <w:r>
        <w:t xml:space="preserve">and 83,000 in 2050</w:t>
      </w:r>
      <w:r>
        <w:t xml:space="preserve"> </w:t>
      </w:r>
      <w:r>
        <w:t xml:space="preserve">Indirect benefit to society at large. The shift to</w:t>
      </w:r>
      <w:r>
        <w:t xml:space="preserve"> </w:t>
      </w:r>
      <w:r>
        <w:t xml:space="preserve">intermodal transport solutions involves several</w:t>
      </w:r>
      <w:r>
        <w:t xml:space="preserve"> </w:t>
      </w:r>
      <w:r>
        <w:t xml:space="preserve">transport modes, transhipment and terminal</w:t>
      </w:r>
      <w:r>
        <w:t xml:space="preserve"> </w:t>
      </w:r>
      <w:r>
        <w:t xml:space="preserve">services that will generate more employment.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savings for businesses</w:t>
      </w:r>
      <w:r>
        <w:t xml:space="preserve"> </w:t>
      </w:r>
      <w:r>
        <w:t xml:space="preserve">(annual savings relative</w:t>
      </w:r>
      <w:r>
        <w:t xml:space="preserve"> </w:t>
      </w:r>
      <w:r>
        <w:t xml:space="preserve">to the baseline)</w:t>
      </w:r>
      <w:r>
        <w:t xml:space="preserve"> </w:t>
      </w:r>
      <w:r>
        <w:t xml:space="preserve">EUR 0.43 billion</w:t>
      </w:r>
      <w:r>
        <w:t xml:space="preserve"> </w:t>
      </w:r>
      <w:r>
        <w:t xml:space="preserve">Recurrent administrative cost savings derive</w:t>
      </w:r>
      <w:r>
        <w:t xml:space="preserve"> </w:t>
      </w:r>
      <w:r>
        <w:t xml:space="preserve">from simplified procedures thanks to the use</w:t>
      </w:r>
      <w:r>
        <w:t xml:space="preserve"> </w:t>
      </w:r>
      <w:r>
        <w:t xml:space="preserve">of eFTI digital transport data platforms for</w:t>
      </w:r>
      <w:r>
        <w:t xml:space="preserve"> </w:t>
      </w:r>
      <w:r>
        <w:t xml:space="preserve">proof of eligibility. The beneficiaries are</w:t>
      </w:r>
      <w:r>
        <w:t xml:space="preserve"> </w:t>
      </w:r>
      <w:r>
        <w:t xml:space="preserve">transport organisers.</w:t>
      </w:r>
    </w:p>
    <w:p>
      <w:pPr>
        <w:pStyle w:val="Compact"/>
        <w:numPr>
          <w:ilvl w:val="0"/>
          <w:numId w:val="1007"/>
        </w:numPr>
      </w:pPr>
      <w:r>
        <w:t xml:space="preserve">Overview of costs – Preferred option (PO-B2a)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 adjustment costs,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operators</w:t>
      </w:r>
      <w:r>
        <w:t xml:space="preserve"> </w:t>
      </w:r>
      <w:r>
        <w:t xml:space="preserve">in the</w:t>
      </w:r>
      <w:r>
        <w:t xml:space="preserve"> </w:t>
      </w:r>
      <w:r>
        <w:t xml:space="preserve">intermodal</w:t>
      </w:r>
      <w:r>
        <w:t xml:space="preserve"> </w:t>
      </w:r>
      <w:r>
        <w:t xml:space="preserve">transport: EUR</w:t>
      </w:r>
      <w:r>
        <w:t xml:space="preserve"> </w:t>
      </w:r>
      <w:r>
        <w:t xml:space="preserve">0.3 million.</w:t>
      </w:r>
      <w:r>
        <w:t xml:space="preserve"> </w:t>
      </w:r>
      <w:r>
        <w:t xml:space="preserve">-</w:t>
      </w:r>
      <w:r>
        <w:t xml:space="preserve"> </w:t>
      </w:r>
      <w:r>
        <w:t xml:space="preserve">For 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</w:t>
      </w:r>
      <w:r>
        <w:t xml:space="preserve"> </w:t>
      </w:r>
      <w:r>
        <w:t xml:space="preserve">n: EUR 0.3</w:t>
      </w:r>
      <w:r>
        <w:t xml:space="preserve"> </w:t>
      </w:r>
      <w:r>
        <w:t xml:space="preserve">million.</w:t>
      </w:r>
      <w:r>
        <w:t xml:space="preserve"> </w:t>
      </w:r>
      <w:r>
        <w:t xml:space="preserve">For 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Commission:</w:t>
      </w:r>
      <w:r>
        <w:t xml:space="preserve"> </w:t>
      </w:r>
      <w:r>
        <w:t xml:space="preserve">EUR 1.7</w:t>
      </w:r>
      <w:r>
        <w:t xml:space="preserve"> </w:t>
      </w:r>
      <w:r>
        <w:t xml:space="preserve">million.</w:t>
      </w:r>
      <w:r>
        <w:t xml:space="preserve"> </w:t>
      </w:r>
      <w:r>
        <w:t xml:space="preserve">Direct administrative costs,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operators</w:t>
      </w:r>
      <w:r>
        <w:t xml:space="preserve"> </w:t>
      </w:r>
      <w:r>
        <w:t xml:space="preserve">in the</w:t>
      </w:r>
      <w:r>
        <w:t xml:space="preserve"> </w:t>
      </w:r>
      <w:r>
        <w:t xml:space="preserve">intermodal</w:t>
      </w:r>
      <w:r>
        <w:t xml:space="preserve"> </w:t>
      </w:r>
      <w:r>
        <w:t xml:space="preserve">transport: EUR</w:t>
      </w:r>
      <w:r>
        <w:t xml:space="preserve"> </w:t>
      </w:r>
      <w:r>
        <w:t xml:space="preserve">6.6 million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Economic cost of support,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</w:t>
      </w:r>
      <w:r>
        <w:t xml:space="preserve"> </w:t>
      </w:r>
      <w:r>
        <w:t xml:space="preserve">ns: EUR 7.5</w:t>
      </w:r>
      <w:r>
        <w:t xml:space="preserve"> </w:t>
      </w:r>
      <w:r>
        <w:t xml:space="preserve">billion.</w:t>
      </w:r>
      <w:r>
        <w:br/>
      </w:r>
      <w:r>
        <w:t xml:space="preserve">Costs related to the ‘one in, one out’ approach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II. Overview of costs – Preferred option (PO-B2a)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costs, expressed</w:t>
      </w:r>
      <w:r>
        <w:t xml:space="preserve"> </w:t>
      </w:r>
      <w:r>
        <w:t xml:space="preserve">as present value</w:t>
      </w:r>
      <w:r>
        <w:t xml:space="preserve"> </w:t>
      </w:r>
      <w:r>
        <w:t xml:space="preserve">over 2025-2050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operators</w:t>
      </w:r>
      <w:r>
        <w:t xml:space="preserve"> </w:t>
      </w:r>
      <w:r>
        <w:t xml:space="preserve">in the</w:t>
      </w:r>
      <w:r>
        <w:t xml:space="preserve"> </w:t>
      </w:r>
      <w:r>
        <w:t xml:space="preserve">intermodal</w:t>
      </w:r>
      <w:r>
        <w:t xml:space="preserve"> </w:t>
      </w:r>
      <w:r>
        <w:t xml:space="preserve">transport: EUR</w:t>
      </w:r>
      <w:r>
        <w:t xml:space="preserve"> </w:t>
      </w:r>
      <w:r>
        <w:t xml:space="preserve">0.3 million.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offsetting),</w:t>
      </w:r>
      <w:r>
        <w:t xml:space="preserve"> </w:t>
      </w:r>
      <w:r>
        <w:t xml:space="preserve">annual costs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EUR 6,100</w:t>
      </w:r>
    </w:p>
    <w:p>
      <w:pPr>
        <w:pStyle w:val="Compact"/>
        <w:numPr>
          <w:ilvl w:val="0"/>
          <w:numId w:val="1008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09"/>
        </w:numPr>
      </w:pPr>
      <w:r>
        <w:t xml:space="preserve">Overview of relevant Sustainable Development Goals – Preferred Option (PO-B2a)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9: Industry,</w:t>
      </w:r>
      <w:r>
        <w:t xml:space="preserve"> </w:t>
      </w:r>
      <w:r>
        <w:t xml:space="preserve">innovation and</w:t>
      </w:r>
      <w:r>
        <w:t xml:space="preserve"> </w:t>
      </w:r>
      <w:r>
        <w:t xml:space="preserve">infrastructure</w:t>
      </w:r>
    </w:p>
    <w:p>
      <w:pPr>
        <w:pStyle w:val="FirstParagraph"/>
      </w:pPr>
      <w:r>
        <w:t xml:space="preserve">Indicator: 9.1.2: Passenger</w:t>
      </w:r>
      <w:r>
        <w:t xml:space="preserve"> </w:t>
      </w:r>
      <w:r>
        <w:t xml:space="preserve">and freight volumes, by</w:t>
      </w:r>
      <w:r>
        <w:t xml:space="preserve"> </w:t>
      </w:r>
      <w:r>
        <w:t xml:space="preserve">mode of transport</w:t>
      </w:r>
      <w:r>
        <w:t xml:space="preserve"> </w:t>
      </w:r>
      <w:r>
        <w:t xml:space="preserve">PO-B2a is expected to result in 6.8% increase</w:t>
      </w:r>
      <w:r>
        <w:t xml:space="preserve"> </w:t>
      </w:r>
      <w:r>
        <w:t xml:space="preserve">in intermodal volumes across all non-road</w:t>
      </w:r>
      <w:r>
        <w:t xml:space="preserve"> </w:t>
      </w:r>
      <w:r>
        <w:t xml:space="preserve">modes relative to the baseline scenario</w:t>
      </w:r>
      <w:r>
        <w:t xml:space="preserve"> </w:t>
      </w:r>
      <w:r>
        <w:t xml:space="preserve">(cumulative over 2025-2050).</w:t>
      </w:r>
      <w:r>
        <w:br/>
      </w:r>
      <w:r>
        <w:t xml:space="preserve">This is largely attributed to PM9, PM10,</w:t>
      </w:r>
      <w:r>
        <w:t xml:space="preserve"> </w:t>
      </w:r>
      <w:r>
        <w:t xml:space="preserve">PM11 and PM13, which are expected to</w:t>
      </w:r>
      <w:r>
        <w:t xml:space="preserve"> </w:t>
      </w:r>
      <w:r>
        <w:t xml:space="preserve">engender an increase in intermodal</w:t>
      </w:r>
      <w:r>
        <w:t xml:space="preserve"> </w:t>
      </w:r>
      <w:r>
        <w:t xml:space="preserve">freight transport using support tools.</w:t>
      </w:r>
      <w:r>
        <w:t xml:space="preserve"> </w:t>
      </w:r>
      <w:r>
        <w:t xml:space="preserve">These measures are expected to drive a</w:t>
      </w:r>
      <w:r>
        <w:t xml:space="preserve"> </w:t>
      </w:r>
      <w:r>
        <w:t xml:space="preserve">shift away from road freight and towards</w:t>
      </w:r>
      <w:r>
        <w:t xml:space="preserve"> </w:t>
      </w:r>
      <w:r>
        <w:t xml:space="preserve">rail, IWW and SSS freight transport.</w:t>
      </w:r>
      <w:r>
        <w:br/>
      </w:r>
      <w:r>
        <w:t xml:space="preserve">SDG 13: Climate action</w:t>
      </w:r>
    </w:p>
    <w:p>
      <w:pPr>
        <w:pStyle w:val="BodyText"/>
      </w:pPr>
      <w:r>
        <w:t xml:space="preserve">Indicator: 13.2.2: Total</w:t>
      </w:r>
      <w:r>
        <w:t xml:space="preserve"> </w:t>
      </w:r>
      <w:r>
        <w:t xml:space="preserve">greenhouse gas emissions</w:t>
      </w:r>
      <w:r>
        <w:t xml:space="preserve"> </w:t>
      </w:r>
      <w:r>
        <w:t xml:space="preserve">per year</w:t>
      </w:r>
    </w:p>
    <w:p>
      <w:pPr>
        <w:pStyle w:val="BodyText"/>
      </w:pPr>
      <w:r>
        <w:t xml:space="preserve">PO-B2a is expected to result in a reduction in</w:t>
      </w:r>
      <w:r>
        <w:t xml:space="preserve"> </w:t>
      </w:r>
      <w:r>
        <w:t xml:space="preserve">the CO2 emissions of freight transport by 0.7%</w:t>
      </w:r>
      <w:r>
        <w:t xml:space="preserve"> </w:t>
      </w:r>
      <w:r>
        <w:t xml:space="preserve">of the CO2 emissions of freight transport in the</w:t>
      </w:r>
      <w:r>
        <w:t xml:space="preserve"> </w:t>
      </w:r>
      <w:r>
        <w:t xml:space="preserve">2025-2050 period, relative to the baseline</w:t>
      </w:r>
      <w:r>
        <w:t xml:space="preserve"> </w:t>
      </w:r>
      <w:r>
        <w:t xml:space="preserve">scenario.</w:t>
      </w:r>
      <w:r>
        <w:br/>
      </w:r>
      <w:r>
        <w:t xml:space="preserve">This is largely attributed to PM9, PM10,</w:t>
      </w:r>
      <w:r>
        <w:t xml:space="preserve"> </w:t>
      </w:r>
      <w:r>
        <w:t xml:space="preserve">PM11 and PM13, which are expected to</w:t>
      </w:r>
      <w:r>
        <w:t xml:space="preserve"> </w:t>
      </w:r>
      <w:r>
        <w:t xml:space="preserve">engender an increase in intermodal freight</w:t>
      </w:r>
      <w:r>
        <w:t xml:space="preserve"> </w:t>
      </w:r>
      <w:r>
        <w:t xml:space="preserve">transport using support tools. The shift</w:t>
      </w:r>
      <w:r>
        <w:t xml:space="preserve"> </w:t>
      </w:r>
      <w:r>
        <w:t xml:space="preserve">away from road freight will support a</w:t>
      </w:r>
      <w:r>
        <w:t xml:space="preserve"> </w:t>
      </w:r>
      <w:r>
        <w:t xml:space="preserve">reduction in CO2 emissions relative to the</w:t>
      </w:r>
      <w:r>
        <w:t xml:space="preserve"> </w:t>
      </w:r>
      <w:r>
        <w:t xml:space="preserve">baseline scenario.</w:t>
      </w:r>
      <w:r>
        <w:t xml:space="preserve"> </w:t>
      </w:r>
      <w:r>
        <w:t xml:space="preserve">SDG 7 - Affordable and</w:t>
      </w:r>
      <w:r>
        <w:t xml:space="preserve"> </w:t>
      </w:r>
      <w:r>
        <w:t xml:space="preserve">clean energy</w:t>
      </w:r>
      <w:r>
        <w:t xml:space="preserve"> </w:t>
      </w:r>
      <w:r>
        <w:t xml:space="preserve">Indicator: 7.3.1 is the</w:t>
      </w:r>
      <w:r>
        <w:t xml:space="preserve"> </w:t>
      </w:r>
      <w:r>
        <w:t xml:space="preserve">“Energy intensity measured</w:t>
      </w:r>
      <w:r>
        <w:t xml:space="preserve"> </w:t>
      </w:r>
      <w:r>
        <w:t xml:space="preserve">in terms of primary energy</w:t>
      </w:r>
      <w:r>
        <w:t xml:space="preserve"> </w:t>
      </w:r>
      <w:r>
        <w:t xml:space="preserve">and GDP”</w:t>
      </w:r>
      <w:r>
        <w:t xml:space="preserve">.</w:t>
      </w:r>
      <w:r>
        <w:t xml:space="preserve"> </w:t>
      </w:r>
      <w:r>
        <w:t xml:space="preserve">By replacing road-only transport with</w:t>
      </w:r>
      <w:r>
        <w:t xml:space="preserve"> </w:t>
      </w:r>
      <w:r>
        <w:t xml:space="preserve">intermodal transport, energy consumption in</w:t>
      </w:r>
      <w:r>
        <w:t xml:space="preserve"> </w:t>
      </w:r>
      <w:r>
        <w:t xml:space="preserve">freight transport per tkm transported is</w:t>
      </w:r>
      <w:r>
        <w:t xml:space="preserve"> </w:t>
      </w:r>
      <w:r>
        <w:t xml:space="preserve">expected to reduce. Cumulatively over 2025-</w:t>
      </w:r>
      <w:r>
        <w:t xml:space="preserve"> </w:t>
      </w:r>
      <w:r>
        <w:t xml:space="preserve">2050 period, the energy consumption will</w:t>
      </w:r>
      <w:r>
        <w:t xml:space="preserve"> </w:t>
      </w:r>
      <w:r>
        <w:t xml:space="preserve">reduce by 10.5 million of tonnes of oil</w:t>
      </w:r>
      <w:r>
        <w:t xml:space="preserve"> </w:t>
      </w:r>
      <w:r>
        <w:t xml:space="preserve">equivalent.</w:t>
      </w:r>
      <w:r>
        <w:br/>
      </w:r>
      <w:r>
        <w:t xml:space="preserve">This is largely attributed to PM9, P10, P11</w:t>
      </w:r>
      <w:r>
        <w:t xml:space="preserve"> </w:t>
      </w:r>
      <w:r>
        <w:t xml:space="preserve">and PM13, which are expected to</w:t>
      </w:r>
      <w:r>
        <w:t xml:space="preserve"> </w:t>
      </w:r>
      <w:r>
        <w:t xml:space="preserve">engender an increase in intermodal freight</w:t>
      </w:r>
      <w:r>
        <w:t xml:space="preserve"> </w:t>
      </w:r>
      <w:r>
        <w:t xml:space="preserve">transport using support tools. The shift</w:t>
      </w:r>
      <w:r>
        <w:t xml:space="preserve"> </w:t>
      </w:r>
      <w:r>
        <w:t xml:space="preserve">away from road freight will reduce energy</w:t>
      </w:r>
      <w:r>
        <w:t xml:space="preserve"> </w:t>
      </w:r>
      <w:r>
        <w:t xml:space="preserve">consumption as rail, IWW and SSS freight</w:t>
      </w:r>
      <w:r>
        <w:t xml:space="preserve"> </w:t>
      </w:r>
      <w:r>
        <w:t xml:space="preserve">transport is more energy efficient per tkm</w:t>
      </w:r>
      <w:r>
        <w:t xml:space="preserve"> </w:t>
      </w:r>
      <w:r>
        <w:t xml:space="preserve">transported due to larger loading capacity.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1. DESCRIPTION OF THE ANALYTICAL METHODS USED</w:t>
      </w:r>
      <w:r>
        <w:br/>
      </w:r>
      <w:r>
        <w:t xml:space="preserve">The analytical framework used for the purpose of this impact assessment builds on the PRIMES-</w:t>
      </w:r>
      <w:r>
        <w:t xml:space="preserve"> </w:t>
      </w:r>
      <w:r>
        <w:t xml:space="preserve">TREMOVE, ASTRA and TRUST models, and the assessment of the administrative costs, etc.138.</w:t>
      </w:r>
      <w:r>
        <w:t xml:space="preserve"> </w:t>
      </w:r>
      <w:r>
        <w:t xml:space="preserve">The baseline scenario has been developed using the PRIMES-TREMOVE model by E3Modelling. PRIMES-</w:t>
      </w:r>
      <w:r>
        <w:t xml:space="preserve"> </w:t>
      </w:r>
      <w:r>
        <w:t xml:space="preserve">TREMOVE has a successful record of use in the Commission’s energy, transport and climate policy</w:t>
      </w:r>
      <w:r>
        <w:t xml:space="preserve"> </w:t>
      </w:r>
      <w:r>
        <w:t xml:space="preserve">assessments. In particular, it has been used for the impact assessments underpinning the ‘Fit for 55’</w:t>
      </w:r>
      <w:r>
        <w:t xml:space="preserve"> </w:t>
      </w:r>
      <w:r>
        <w:t xml:space="preserve">package, the impact assessments accompanying the 2030 climate target plan139 and the staff working</w:t>
      </w:r>
      <w:r>
        <w:t xml:space="preserve"> </w:t>
      </w:r>
      <w:r>
        <w:t xml:space="preserve">document accompanying the sustainable and smart mobility strategy140, the Commission’s proposal for a</w:t>
      </w:r>
      <w:r>
        <w:t xml:space="preserve"> </w:t>
      </w:r>
      <w:r>
        <w:t xml:space="preserve">long term strategy141 as well as for the 2020 and 2030 EU’s climate and energy policy framework.</w:t>
      </w:r>
      <w:r>
        <w:br/>
      </w:r>
      <w:r>
        <w:t xml:space="preserve">ASTRA and TRUST are the main models used to assess the policy measures and options presented in this</w:t>
      </w:r>
      <w:r>
        <w:t xml:space="preserve"> </w:t>
      </w:r>
      <w:r>
        <w:t xml:space="preserve">impact assessment. For the baseline scenario they have been calibrated on the results of the PRIMES-</w:t>
      </w:r>
      <w:r>
        <w:t xml:space="preserve"> </w:t>
      </w:r>
      <w:r>
        <w:t xml:space="preserve">TREMOVE model.</w:t>
      </w:r>
      <w:r>
        <w:br/>
      </w:r>
      <w:r>
        <w:t xml:space="preserve">The proposed measures are assumed to be implemented from 2025 onwards, so that the assessment has</w:t>
      </w:r>
      <w:r>
        <w:t xml:space="preserve"> </w:t>
      </w:r>
      <w:r>
        <w:t xml:space="preserve">been undertaken for the 2025-2050 period and refers to EU-27. Costs and benefits are expressed as</w:t>
      </w:r>
      <w:r>
        <w:t xml:space="preserve"> </w:t>
      </w:r>
      <w:r>
        <w:t xml:space="preserve">present value over the 2025-2050 period, using a 3% discount rate.</w:t>
      </w:r>
      <w:r>
        <w:t xml:space="preserve"> </w:t>
      </w:r>
      <w:r>
        <w:t xml:space="preserve">1.1. PRIMES-TREMOVE model</w:t>
      </w:r>
      <w:r>
        <w:br/>
      </w:r>
      <w:r>
        <w:t xml:space="preserve">The PRIMES-TREMOVE transport model projects the evolution of demand for passengers and freight</w:t>
      </w:r>
      <w:r>
        <w:t xml:space="preserve"> </w:t>
      </w:r>
      <w:r>
        <w:t xml:space="preserve">transport, by transport mode, and transport vehicle/technology, following a formulation based on</w:t>
      </w:r>
      <w:r>
        <w:t xml:space="preserve"> </w:t>
      </w:r>
      <w:r>
        <w:t xml:space="preserve">microeconomic foundation of decisions of multiple actors. Operation, investment and emission costs,</w:t>
      </w:r>
      <w:r>
        <w:t xml:space="preserve"> </w:t>
      </w:r>
      <w:r>
        <w:t xml:space="preserve">various policy measures, utility factors and congestion are among the drivers that influence the projections</w:t>
      </w:r>
      <w:r>
        <w:t xml:space="preserve"> </w:t>
      </w:r>
      <w:r>
        <w:t xml:space="preserve">of the model. The projections of activity, equipment (fleet), usage of equipment, energy consumption and</w:t>
      </w:r>
      <w:r>
        <w:t xml:space="preserve"> </w:t>
      </w:r>
      <w:r>
        <w:t xml:space="preserve">emissions (and other externalities) constitute the set of model outputs.</w:t>
      </w:r>
      <w:r>
        <w:br/>
      </w:r>
      <w:r>
        <w:t xml:space="preserve">The PRIMES-TREMOVE transport model can therefore provide the quantitative analysis for the transport</w:t>
      </w:r>
      <w:r>
        <w:t xml:space="preserve"> </w:t>
      </w:r>
      <w:r>
        <w:t xml:space="preserve">sector in the EU, candidate and neighbouring countries covering activity, equipment, energy and emissions.</w:t>
      </w:r>
      <w:r>
        <w:t xml:space="preserve"> </w:t>
      </w:r>
      <w:r>
        <w:t xml:space="preserve">The model accounts for each country separately which means that the detailed long-term outlooks are</w:t>
      </w:r>
      <w:r>
        <w:t xml:space="preserve"> </w:t>
      </w:r>
      <w:r>
        <w:t xml:space="preserve">available both for each country and in aggregate forms (e.g. EU level).</w:t>
      </w:r>
      <w:r>
        <w:t xml:space="preserve"> </w:t>
      </w:r>
      <w:r>
        <w:t xml:space="preserve">In the transport field, PRIMES-TREMOVE is suitable for modelling soft measures (e.g. eco-driving, labelling);</w:t>
      </w:r>
      <w:r>
        <w:t xml:space="preserve"> </w:t>
      </w:r>
      <w:r>
        <w:t xml:space="preserve">economic measures (e.g. subsidies and taxes on fuels, vehicles, emissions; ETS for transport when linked</w:t>
      </w:r>
      <w:r>
        <w:t xml:space="preserve"> </w:t>
      </w:r>
      <w:r>
        <w:t xml:space="preserve">with PRIMES; pricing of congestion and other externalities such as air pollution, accidents and noise;</w:t>
      </w:r>
      <w:r>
        <w:t xml:space="preserve"> </w:t>
      </w:r>
      <w:r>
        <w:t xml:space="preserve">measures supporting R&amp;D); regulatory measures (e.g. CO2 emission performance standards for new light</w:t>
      </w:r>
      <w:r>
        <w:t xml:space="preserve"> </w:t>
      </w:r>
      <w:r>
        <w:t xml:space="preserve">duty vehicles and heavy duty vehicles; EURO standards on road transport vehicles; technology standards</w:t>
      </w:r>
      <w:r>
        <w:t xml:space="preserve"> </w:t>
      </w:r>
      <w:r>
        <w:t xml:space="preserve">for non-road transport technologies, deployment of Intelligent Transport Systems) and infrastructure</w:t>
      </w:r>
      <w:r>
        <w:t xml:space="preserve"> </w:t>
      </w:r>
      <w:r>
        <w:t xml:space="preserve">policies for alternative fuels (e.g. deployment of refuelling/recharging infrastructure for electricity,</w:t>
      </w:r>
      <w:r>
        <w:t xml:space="preserve"> </w:t>
      </w:r>
      <w:r>
        <w:t xml:space="preserve">hydrogen, LNG, CNG). Used as a module that contributes to the PRIMES energy system model, PRIMES-</w:t>
      </w:r>
      <w:r>
        <w:t xml:space="preserve"> </w:t>
      </w:r>
      <w:r>
        <w:t xml:space="preserve">TREMOVE can show how policies and trends in the field of transport contribute to economy-wide trends in</w:t>
      </w:r>
      <w:r>
        <w:t xml:space="preserve"> </w:t>
      </w:r>
      <w:r>
        <w:t xml:space="preserve">energy use and emissions. Using data disaggregated per Member State, the model can show differentiated</w:t>
      </w:r>
      <w:r>
        <w:t xml:space="preserve"> </w:t>
      </w:r>
      <w:r>
        <w:t xml:space="preserve">trends across Member States.</w:t>
      </w:r>
    </w:p>
    <w:p>
      <w:pPr>
        <w:pStyle w:val="BodyText"/>
      </w:pPr>
      <w:r>
        <w:t xml:space="preserve">138 Ricardo et al. support study (2023), op.cit.</w:t>
      </w:r>
      <w:r>
        <w:br/>
      </w:r>
      <w:r>
        <w:t xml:space="preserve">139 SWD/2020/176 final.</w:t>
      </w:r>
      <w:r>
        <w:t xml:space="preserve"> </w:t>
      </w:r>
      <w:r>
        <w:t xml:space="preserve">140 SWD/2020/331 final, https://eur-lex.europa.eu/legal-content/EN/TXT/?uri=CELEX%3A52020SC0331</w:t>
      </w:r>
      <w:r>
        <w:br/>
      </w:r>
      <w:r>
        <w:t xml:space="preserve">141 2050 long-term strategy (europa.eu)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The PRIMES-TREMOVE has been developed and is maintained by E3Modelling, based on, but extending</w:t>
      </w:r>
      <w:r>
        <w:t xml:space="preserve"> </w:t>
      </w:r>
      <w:r>
        <w:t xml:space="preserve">features of, the open source TREMOVE model developed by the TREMOVE142 modelling community. Part of</w:t>
      </w:r>
      <w:r>
        <w:t xml:space="preserve"> </w:t>
      </w:r>
      <w:r>
        <w:t xml:space="preserve">the model (e.g. the utility nested tree) was built following the TREMOVE model143. Other parts, like the</w:t>
      </w:r>
      <w:r>
        <w:t xml:space="preserve"> </w:t>
      </w:r>
      <w:r>
        <w:t xml:space="preserve">component on fuel consumption and emissions, follow the COPERT model.</w:t>
      </w:r>
      <w:r>
        <w:t xml:space="preserve"> </w:t>
      </w:r>
      <w:r>
        <w:t xml:space="preserve">Data inputs</w:t>
      </w:r>
      <w:r>
        <w:t xml:space="preserve"> </w:t>
      </w:r>
      <w:r>
        <w:t xml:space="preserve">The main data sources for inputs to the PRIMES-TREMOVE model, such as for activity and energy</w:t>
      </w:r>
      <w:r>
        <w:t xml:space="preserve"> </w:t>
      </w:r>
      <w:r>
        <w:t xml:space="preserve">consumption, come from EUROSTAT databases and from the Statistical Pocketbook ‘EU transport in</w:t>
      </w:r>
      <w:r>
        <w:t xml:space="preserve"> </w:t>
      </w:r>
      <w:r>
        <w:t xml:space="preserve">figures’144. Excise taxes are derived from DG TAXUD excise duty tables. Other data comes from different</w:t>
      </w:r>
      <w:r>
        <w:t xml:space="preserve"> </w:t>
      </w:r>
      <w:r>
        <w:t xml:space="preserve">sources such as research projects (e.g. TRACCS project) and reports.</w:t>
      </w:r>
      <w:r>
        <w:t xml:space="preserve"> </w:t>
      </w:r>
      <w:r>
        <w:t xml:space="preserve">1.2. TRUST - TRansport eUropean Simulation Tool</w:t>
      </w:r>
      <w:r>
        <w:t xml:space="preserve"> </w:t>
      </w:r>
      <w:r>
        <w:t xml:space="preserve">TRUST is a European scale transport network model developed and maintained by TRT and simulating road,</w:t>
      </w:r>
      <w:r>
        <w:t xml:space="preserve"> </w:t>
      </w:r>
      <w:r>
        <w:t xml:space="preserve">rail, inland waterways and maritime transport activity. TRUST covers the whole Europe and its</w:t>
      </w:r>
      <w:r>
        <w:t xml:space="preserve"> </w:t>
      </w:r>
      <w:r>
        <w:t xml:space="preserve">neighbouring countries and it allows for the assignment of passenger and freight origin-destination (OD)</w:t>
      </w:r>
      <w:r>
        <w:t xml:space="preserve"> </w:t>
      </w:r>
      <w:r>
        <w:t xml:space="preserve">matrices at NUTS3 level of detail (about 1,600 zones) on the multimodal transport network145.</w:t>
      </w:r>
      <w:r>
        <w:br/>
      </w:r>
      <w:r>
        <w:t xml:space="preserve">Road, rail, inland waterways and maritime transport modes are covered in separate modules, each with its</w:t>
      </w:r>
      <w:r>
        <w:t xml:space="preserve"> </w:t>
      </w:r>
      <w:r>
        <w:t xml:space="preserve">own matrices that are then assigned simultaneously on the multimodal transport network.</w:t>
      </w:r>
      <w:r>
        <w:br/>
      </w:r>
      <w:r>
        <w:t xml:space="preserve">TRUST is built in PTV-VISUM software environment. The assignment algorithm used is</w:t>
      </w:r>
      <w:r>
        <w:t xml:space="preserve"> </w:t>
      </w:r>
      <w:r>
        <w:t xml:space="preserve">Equilibrium Assignment which distributes demand for each origin/destination pair among available</w:t>
      </w:r>
      <w:r>
        <w:t xml:space="preserve"> </w:t>
      </w:r>
      <w:r>
        <w:t xml:space="preserve">alternative routes, according to Wardrop first principle. This principle assumes that each traveller is</w:t>
      </w:r>
      <w:r>
        <w:t xml:space="preserve"> </w:t>
      </w:r>
      <w:r>
        <w:t xml:space="preserve">identical, non-cooperative and rational in selecting the shortest route, and knows the exact travel time</w:t>
      </w:r>
      <w:r>
        <w:t xml:space="preserve"> </w:t>
      </w:r>
      <w:r>
        <w:t xml:space="preserve">he/she will encounter. If all travellers select routes according to this principle the road network will</w:t>
      </w:r>
      <w:r>
        <w:t xml:space="preserve"> </w:t>
      </w:r>
      <w:r>
        <w:t xml:space="preserve">be at equilibrium, such that no one can reduce their travel times by unilaterally choosing another</w:t>
      </w:r>
      <w:r>
        <w:t xml:space="preserve"> </w:t>
      </w:r>
      <w:r>
        <w:t xml:space="preserve">route of the same OD pair. This principle has been extended to consider generalised travel cost instead</w:t>
      </w:r>
      <w:r>
        <w:t xml:space="preserve"> </w:t>
      </w:r>
      <w:r>
        <w:t xml:space="preserve">of travel time, where generalised travel cost can include the monetary cost of in-vehicle travel time,</w:t>
      </w:r>
      <w:r>
        <w:t xml:space="preserve"> </w:t>
      </w:r>
      <w:r>
        <w:t xml:space="preserve">tolls, parking charges and fuel consumption costs. The impedance function is defined in terms of</w:t>
      </w:r>
      <w:r>
        <w:t xml:space="preserve"> </w:t>
      </w:r>
      <w:r>
        <w:t xml:space="preserve">generalised time from an origin O to a destination D. Travel costs are defined separately by link types</w:t>
      </w:r>
      <w:r>
        <w:t xml:space="preserve"> </w:t>
      </w:r>
      <w:r>
        <w:t xml:space="preserve">using combinations of fixed, time-dependent and distance-dependent parameters. Travel time is</w:t>
      </w:r>
      <w:r>
        <w:t xml:space="preserve"> </w:t>
      </w:r>
      <w:r>
        <w:t xml:space="preserve">estimated endogenously by the model as result of the assignment. Speed-flow functions are used to</w:t>
      </w:r>
      <w:r>
        <w:t xml:space="preserve"> </w:t>
      </w:r>
      <w:r>
        <w:t xml:space="preserve">model the impact of traffic on free-flow speeds, given links capacity. The model iterates until a pre-</w:t>
      </w:r>
      <w:r>
        <w:t xml:space="preserve"> </w:t>
      </w:r>
      <w:r>
        <w:t xml:space="preserve">defined convergence criterion for equilibrium is reached.</w:t>
      </w:r>
      <w:r>
        <w:t xml:space="preserve"> </w:t>
      </w:r>
      <w:r>
        <w:t xml:space="preserve">TRUST can simulate various transport policy measures at network level and at European scale for</w:t>
      </w:r>
      <w:r>
        <w:t xml:space="preserve"> </w:t>
      </w:r>
      <w:r>
        <w:t xml:space="preserve">road, rail, maritime and inland waterways. It is particularly suitable for modelling policies in the</w:t>
      </w:r>
      <w:r>
        <w:t xml:space="preserve"> </w:t>
      </w:r>
      <w:r>
        <w:t xml:space="preserve">fields of infrastructure, infrastructure charging, etc.</w:t>
      </w:r>
      <w:r>
        <w:br/>
      </w:r>
      <w:r>
        <w:t xml:space="preserve">The TRUST model has an internal mode choice module which allows to estimate modal split for</w:t>
      </w:r>
      <w:r>
        <w:t xml:space="preserve"> </w:t>
      </w:r>
      <w:r>
        <w:t xml:space="preserve">various scenarios. Future trends of transport demand by mode coming from ASTRA are used to</w:t>
      </w:r>
    </w:p>
    <w:p>
      <w:pPr>
        <w:pStyle w:val="BodyText"/>
      </w:pPr>
      <w:r>
        <w:t xml:space="preserve">142 https://www.tmleuven.be/en/navigation/TREMOVE.</w:t>
      </w:r>
      <w:r>
        <w:br/>
      </w:r>
      <w:r>
        <w:t xml:space="preserve">143 Several model enhancements were made compared to the standard TREMOVE model, as for example: for the number</w:t>
      </w:r>
      <w:r>
        <w:t xml:space="preserve"> </w:t>
      </w:r>
      <w:r>
        <w:t xml:space="preserve">of vintages (allowing representation of the choice of second-hand cars); for the technology categories which include</w:t>
      </w:r>
      <w:r>
        <w:t xml:space="preserve"> </w:t>
      </w:r>
      <w:r>
        <w:t xml:space="preserve">vehicle types using electricity from the grid and fuel cells. The model also incorporates additional fuel types, such as</w:t>
      </w:r>
      <w:r>
        <w:t xml:space="preserve"> </w:t>
      </w:r>
      <w:r>
        <w:t xml:space="preserve">biofuels (when they differ from standard fossil fuel technologies), LPG, LNG, hydrogen and e-fuels. In addition,</w:t>
      </w:r>
      <w:r>
        <w:t xml:space="preserve"> </w:t>
      </w:r>
      <w:r>
        <w:t xml:space="preserve">representation of infrastructure for refuelling and recharging are among the model refinements, influencing fuel choices.</w:t>
      </w:r>
      <w:r>
        <w:t xml:space="preserve"> </w:t>
      </w:r>
      <w:r>
        <w:t xml:space="preserve">A major model enhancement concerns the inclusion of heterogeneity in the distance of stylised trips; the model considers</w:t>
      </w:r>
      <w:r>
        <w:t xml:space="preserve"> </w:t>
      </w:r>
      <w:r>
        <w:t xml:space="preserve">that the trip distances follow a distribution function with different distances and frequencies. The inclusion of</w:t>
      </w:r>
      <w:r>
        <w:t xml:space="preserve"> </w:t>
      </w:r>
      <w:r>
        <w:t xml:space="preserve">heterogeneity was found to be of significant influence in the choice of vehicle-fuels especially for vehicles-fuels with</w:t>
      </w:r>
      <w:r>
        <w:t xml:space="preserve"> </w:t>
      </w:r>
      <w:r>
        <w:t xml:space="preserve">range limitations.</w:t>
      </w:r>
      <w:r>
        <w:t xml:space="preserve"> </w:t>
      </w:r>
      <w:r>
        <w:t xml:space="preserve">144 Statistical Pocketbook (2022), https://transport.ec.europa.eu/media-corner/publications/statistical-pocketbook-</w:t>
      </w:r>
      <w:r>
        <w:t xml:space="preserve"> </w:t>
      </w:r>
      <w:r>
        <w:t xml:space="preserve">2022_en .</w:t>
      </w:r>
      <w:r>
        <w:t xml:space="preserve"> </w:t>
      </w:r>
      <w:r>
        <w:t xml:space="preserve">145 Further information on TRUST is available on http://www.trt.it/en/tools/trust/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estimate total demand and then split by mode according to new travel time and costs deriving from</w:t>
      </w:r>
      <w:r>
        <w:t xml:space="preserve"> </w:t>
      </w:r>
      <w:r>
        <w:t xml:space="preserve">infrastructure development and policies implementation.</w:t>
      </w:r>
      <w:r>
        <w:t xml:space="preserve"> </w:t>
      </w:r>
      <w:r>
        <w:t xml:space="preserve">The TRUST road model deals with the assignment of road transport origin-destination matrices for</w:t>
      </w:r>
      <w:r>
        <w:t xml:space="preserve"> </w:t>
      </w:r>
      <w:r>
        <w:t xml:space="preserve">both passenger cars and trucks above 3.5t. The road network covers all relevant links between the</w:t>
      </w:r>
      <w:r>
        <w:t xml:space="preserve"> </w:t>
      </w:r>
      <w:r>
        <w:t xml:space="preserve">NUTS-3 regions, including motorways, primary roads, and roads of regional and sub-regional</w:t>
      </w:r>
      <w:r>
        <w:t xml:space="preserve"> </w:t>
      </w:r>
      <w:r>
        <w:t xml:space="preserve">interest. Ro-Ro ferry services are also explicitly modelled. TRUST rail network includes different</w:t>
      </w:r>
      <w:r>
        <w:t xml:space="preserve"> </w:t>
      </w:r>
      <w:r>
        <w:t xml:space="preserve">link types (conventional, high speed, border rail link, by user group). Rail supply includes also</w:t>
      </w:r>
      <w:r>
        <w:t xml:space="preserve"> </w:t>
      </w:r>
      <w:r>
        <w:t xml:space="preserve">intermodal terminals for load transfer between road and rail. Interchange with maritime mode is</w:t>
      </w:r>
      <w:r>
        <w:t xml:space="preserve"> </w:t>
      </w:r>
      <w:r>
        <w:t xml:space="preserve">modelled where existing. Demand is segmented according to different train types (three for</w:t>
      </w:r>
      <w:r>
        <w:t xml:space="preserve"> </w:t>
      </w:r>
      <w:r>
        <w:t xml:space="preserve">passengers and two for freight). TRUST inland waterways network includes all main canals and 70</w:t>
      </w:r>
      <w:r>
        <w:t xml:space="preserve"> </w:t>
      </w:r>
      <w:r>
        <w:t xml:space="preserve">inland ports across Europe. Each link has specific features on free-flow speed, class of the canal,</w:t>
      </w:r>
      <w:r>
        <w:t xml:space="preserve"> </w:t>
      </w:r>
      <w:r>
        <w:t xml:space="preserve">draught and capacity. Inland waterways demand matrices are segmented in two categories (container;</w:t>
      </w:r>
      <w:r>
        <w:t xml:space="preserve"> </w:t>
      </w:r>
      <w:r>
        <w:t xml:space="preserve">non-container). TRUST inland waterways assignment is performed according to an AON (all or</w:t>
      </w:r>
      <w:r>
        <w:t xml:space="preserve"> </w:t>
      </w:r>
      <w:r>
        <w:t xml:space="preserve">nothing) algorithm.The maritime model includes almost 200 ports across Europe and all sea routes</w:t>
      </w:r>
      <w:r>
        <w:t xml:space="preserve"> </w:t>
      </w:r>
      <w:r>
        <w:t xml:space="preserve">between ports. Access to maritime mode is direct for those zones with ports and by feeder modes</w:t>
      </w:r>
      <w:r>
        <w:t xml:space="preserve"> </w:t>
      </w:r>
      <w:r>
        <w:t xml:space="preserve">(road, rail or inland waterway) for zones without ports. Thus, the model simulates complete freight</w:t>
      </w:r>
      <w:r>
        <w:t xml:space="preserve"> </w:t>
      </w:r>
      <w:r>
        <w:t xml:space="preserve">origin-destination paths. Time and costs at ports are considered in the calculation of the generalised</w:t>
      </w:r>
      <w:r>
        <w:t xml:space="preserve"> </w:t>
      </w:r>
      <w:r>
        <w:t xml:space="preserve">cost. Maritime demand matrices are segmented into container, bulk and general cargo.</w:t>
      </w:r>
      <w:r>
        <w:br/>
      </w:r>
      <w:r>
        <w:t xml:space="preserve">The TRUST model is a well established model that has been used for numerous impact assessments</w:t>
      </w:r>
      <w:r>
        <w:t xml:space="preserve"> </w:t>
      </w:r>
      <w:r>
        <w:t xml:space="preserve">in the transport field over the past 15 years. So far, the model has not undergone a formal scientific</w:t>
      </w:r>
      <w:r>
        <w:t xml:space="preserve"> </w:t>
      </w:r>
      <w:r>
        <w:t xml:space="preserve">review by a panel of external experts.</w:t>
      </w:r>
      <w:r>
        <w:t xml:space="preserve"> </w:t>
      </w:r>
      <w:r>
        <w:t xml:space="preserve">In the context of this impact assessment, the TRUST network model was used for:</w:t>
      </w:r>
      <w:r>
        <w:t xml:space="preserve"> </w:t>
      </w:r>
      <w:r>
        <w:t xml:space="preserve">• Testing and fine-tuning some of the policy measures to be implemented and combining them in</w:t>
      </w:r>
      <w:r>
        <w:t xml:space="preserve"> </w:t>
      </w:r>
      <w:r>
        <w:t xml:space="preserve">policy options.</w:t>
      </w:r>
      <w:r>
        <w:t xml:space="preserve"> </w:t>
      </w:r>
      <w:r>
        <w:t xml:space="preserve">• Analysing the eligibility criteria defined in the policy options based on the distribution of tkm by</w:t>
      </w:r>
      <w:r>
        <w:t xml:space="preserve"> </w:t>
      </w:r>
      <w:r>
        <w:t xml:space="preserve">distance bands in the TRUST model.</w:t>
      </w:r>
      <w:r>
        <w:t xml:space="preserve"> </w:t>
      </w:r>
      <w:r>
        <w:t xml:space="preserve">• Assessing the share of traffic which cannot benefit from economic support.</w:t>
      </w:r>
      <w:r>
        <w:t xml:space="preserve"> </w:t>
      </w:r>
      <w:r>
        <w:t xml:space="preserve">In addition, TRUST was used to quantify the modal shift expected over the time horizon of the impact</w:t>
      </w:r>
      <w:r>
        <w:t xml:space="preserve"> </w:t>
      </w:r>
      <w:r>
        <w:t xml:space="preserve">assessment (2030, 2040 and 2050) resulting from the implementation of those policy measures</w:t>
      </w:r>
      <w:r>
        <w:t xml:space="preserve"> </w:t>
      </w:r>
      <w:r>
        <w:t xml:space="preserve">providing an operational economic support to the non-road modes.</w:t>
      </w:r>
      <w:r>
        <w:t xml:space="preserve"> </w:t>
      </w:r>
      <w:r>
        <w:t xml:space="preserve">More specifically, the model was used to assess the impact of reductions in transport costs and</w:t>
      </w:r>
      <w:r>
        <w:t xml:space="preserve"> </w:t>
      </w:r>
      <w:r>
        <w:t xml:space="preserve">transhipment costs for policy measures foreseeing a contribution to eligible operations (i.e. those</w:t>
      </w:r>
      <w:r>
        <w:t xml:space="preserve"> </w:t>
      </w:r>
      <w:r>
        <w:t xml:space="preserve">determining a reduction of cost for non-road modes) to transport operators or shippers . The impact</w:t>
      </w:r>
      <w:r>
        <w:t xml:space="preserve"> </w:t>
      </w:r>
      <w:r>
        <w:t xml:space="preserve">was calculated in terms of percentage change in transport activity (tkm) relative to the baseline for</w:t>
      </w:r>
      <w:r>
        <w:t xml:space="preserve"> </w:t>
      </w:r>
      <w:r>
        <w:t xml:space="preserve">each mode for the intra-EU27 flows.</w:t>
      </w:r>
      <w:r>
        <w:t xml:space="preserve"> </w:t>
      </w:r>
      <w:r>
        <w:t xml:space="preserve">Intermodal transport chains are simulated by TRUST as “unitised” transport flows composed of:</w:t>
      </w:r>
      <w:r>
        <w:br/>
      </w:r>
      <w:r>
        <w:t xml:space="preserve">•</w:t>
      </w:r>
      <w:r>
        <w:t xml:space="preserve"> </w:t>
      </w:r>
      <w:r>
        <w:t xml:space="preserve">Initial road leg (from origin of goods to departure terminal)</w:t>
      </w:r>
      <w:r>
        <w:t xml:space="preserve"> </w:t>
      </w:r>
      <w:r>
        <w:t xml:space="preserve">•</w:t>
      </w:r>
      <w:r>
        <w:t xml:space="preserve"> </w:t>
      </w:r>
      <w:r>
        <w:t xml:space="preserve">Transhipment (at the departure terminal)</w:t>
      </w:r>
      <w:r>
        <w:t xml:space="preserve"> </w:t>
      </w:r>
      <w:r>
        <w:t xml:space="preserve">•</w:t>
      </w:r>
      <w:r>
        <w:t xml:space="preserve"> </w:t>
      </w:r>
      <w:r>
        <w:t xml:space="preserve">Non-road main mode leg (either rail, inland waterway or short-sea shipping)</w:t>
      </w:r>
      <w:r>
        <w:t xml:space="preserve"> </w:t>
      </w:r>
      <w:r>
        <w:t xml:space="preserve">•</w:t>
      </w:r>
      <w:r>
        <w:t xml:space="preserve"> </w:t>
      </w:r>
      <w:r>
        <w:t xml:space="preserve">Transhipment (at the arrival terminal)</w:t>
      </w:r>
      <w:r>
        <w:t xml:space="preserve"> </w:t>
      </w:r>
      <w:r>
        <w:t xml:space="preserve">•</w:t>
      </w:r>
      <w:r>
        <w:t xml:space="preserve"> </w:t>
      </w:r>
      <w:r>
        <w:t xml:space="preserve">Final road leg (from the arrival terminal to the destination of goods)</w:t>
      </w:r>
      <w:r>
        <w:t xml:space="preserve"> </w:t>
      </w:r>
      <w:r>
        <w:t xml:space="preserve">Figure 14: TRUST modelling of unitised transport flows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Source Ricardo et al. support study (2023)</w:t>
      </w:r>
      <w:r>
        <w:t xml:space="preserve"> </w:t>
      </w:r>
      <w:r>
        <w:t xml:space="preserve">Therefore, the assessment of the policy measures with the TRUST model entailed applying the</w:t>
      </w:r>
      <w:r>
        <w:t xml:space="preserve"> </w:t>
      </w:r>
      <w:r>
        <w:t xml:space="preserve">reduction of the transport costs for non-road main mode legs (i.e. point c)) and of transhipment costs</w:t>
      </w:r>
      <w:r>
        <w:t xml:space="preserve"> </w:t>
      </w:r>
      <w:r>
        <w:t xml:space="preserve">at terminals (i.e. points b) and d)).</w:t>
      </w:r>
      <w:r>
        <w:t xml:space="preserve"> </w:t>
      </w:r>
      <w:r>
        <w:t xml:space="preserve">Data inputs</w:t>
      </w:r>
      <w:r>
        <w:t xml:space="preserve"> </w:t>
      </w:r>
      <w:r>
        <w:t xml:space="preserve">The main data sources for inputs to the TRUST model are the EUROSTAT database and the Statistical</w:t>
      </w:r>
      <w:r>
        <w:t xml:space="preserve"> </w:t>
      </w:r>
      <w:r>
        <w:t xml:space="preserve">Pocketbook ‘EU transport in figures’146, TENtec Information system147 and ETISplus database.</w:t>
      </w:r>
      <w:r>
        <w:t xml:space="preserve"> </w:t>
      </w:r>
      <w:r>
        <w:t xml:space="preserve">1.3. ASTRA - ASsessment of TRAnsport Strategies</w:t>
      </w:r>
      <w:r>
        <w:t xml:space="preserve"> </w:t>
      </w:r>
      <w:r>
        <w:t xml:space="preserve">ASTRA is a strategic model based on the Systems Dynamics Modelling approach simulating the transport</w:t>
      </w:r>
      <w:r>
        <w:t xml:space="preserve"> </w:t>
      </w:r>
      <w:r>
        <w:t xml:space="preserve">system development in combination with the economy and the environment until the year 2050148.</w:t>
      </w:r>
      <w:r>
        <w:br/>
      </w:r>
      <w:r>
        <w:t xml:space="preserve">ASTRA consists of different modules, each related to one specific aspect such as the economy, transport</w:t>
      </w:r>
      <w:r>
        <w:t xml:space="preserve"> </w:t>
      </w:r>
      <w:r>
        <w:t xml:space="preserve">demand or the vehicle fleet. The main modules cover the following aspects:</w:t>
      </w:r>
      <w:r>
        <w:t xml:space="preserve"> </w:t>
      </w:r>
      <w:r>
        <w:t xml:space="preserve">1. Population and social structure (age cohorts and income groups)</w:t>
      </w:r>
      <w:r>
        <w:t xml:space="preserve"> </w:t>
      </w:r>
      <w:r>
        <w:t xml:space="preserve">2. Economy (e.g. GDP, input-output tables, employment, consumption and investment both at aggregate</w:t>
      </w:r>
      <w:r>
        <w:t xml:space="preserve"> </w:t>
      </w:r>
      <w:r>
        <w:t xml:space="preserve">and at sectoral level)</w:t>
      </w:r>
      <w:r>
        <w:t xml:space="preserve"> </w:t>
      </w:r>
      <w:r>
        <w:t xml:space="preserve">3. Foreign trade (inside EU and to partners from outside EU)</w:t>
      </w:r>
      <w:r>
        <w:t xml:space="preserve"> </w:t>
      </w:r>
      <w:r>
        <w:t xml:space="preserve">4. Transport (including demand estimation, modal split, transport cost and infrastructure networks)</w:t>
      </w:r>
      <w:r>
        <w:t xml:space="preserve"> </w:t>
      </w:r>
      <w:r>
        <w:t xml:space="preserve">5. Vehicle fleet (passenger and freight road vehicles by segment and drivetrain)</w:t>
      </w:r>
      <w:r>
        <w:t xml:space="preserve"> </w:t>
      </w:r>
      <w:r>
        <w:t xml:space="preserve">6. Environment (including air pollutant emissions, CO2 emissions, energy consumption).</w:t>
      </w:r>
      <w:r>
        <w:t xml:space="preserve"> </w:t>
      </w:r>
      <w:r>
        <w:t xml:space="preserve">The economy module simulates the main economic variables. Some of these variables (e.g. GDP) are</w:t>
      </w:r>
      <w:r>
        <w:t xml:space="preserve"> </w:t>
      </w:r>
      <w:r>
        <w:t xml:space="preserve">transferred to the transport generation module, which uses the input to generate a distributed transport</w:t>
      </w:r>
      <w:r>
        <w:t xml:space="preserve"> </w:t>
      </w:r>
      <w:r>
        <w:t xml:space="preserve">demand. In the transport module, demand is split by mode of transport. The traffic performance by mode</w:t>
      </w:r>
      <w:r>
        <w:t xml:space="preserve"> </w:t>
      </w:r>
      <w:r>
        <w:t xml:space="preserve">is associated with the composition of the fleet (computed in the vehicle fleet module) and the emissions</w:t>
      </w:r>
      <w:r>
        <w:t xml:space="preserve"> </w:t>
      </w:r>
      <w:r>
        <w:t xml:space="preserve">factors (defined in the environmental module), in order to estimate total emissions.</w:t>
      </w:r>
      <w:r>
        <w:t xml:space="preserve"> </w:t>
      </w:r>
      <w:r>
        <w:t xml:space="preserve">Several feedback effects take place in the ASTRA model. For instance, the economy module provides the</w:t>
      </w:r>
      <w:r>
        <w:t xml:space="preserve"> </w:t>
      </w:r>
      <w:r>
        <w:t xml:space="preserve">level of income to the fleet module, in order to estimate vehicle purchase. The economy module then</w:t>
      </w:r>
      <w:r>
        <w:t xml:space="preserve"> </w:t>
      </w:r>
      <w:r>
        <w:t xml:space="preserve">receives information on the total number of purchased vehicles from the fleet module to account for this</w:t>
      </w:r>
      <w:r>
        <w:t xml:space="preserve"> </w:t>
      </w:r>
      <w:r>
        <w:t xml:space="preserve">item of transport consumption and investment. Furthermore, changes in the economic system</w:t>
      </w:r>
      <w:r>
        <w:t xml:space="preserve"> </w:t>
      </w:r>
      <w:r>
        <w:t xml:space="preserve">immediately feed into changes of the transport behaviour and alter origins, destinations and volumes of</w:t>
      </w:r>
      <w:r>
        <w:t xml:space="preserve"> </w:t>
      </w:r>
      <w:r>
        <w:t xml:space="preserve">European transport flows.</w:t>
      </w:r>
      <w:r>
        <w:t xml:space="preserve"> </w:t>
      </w:r>
      <w:r>
        <w:t xml:space="preserve">The indicators that ASTRA can produce cover a wide range of impacts; in particular transport system</w:t>
      </w:r>
      <w:r>
        <w:t xml:space="preserve"> </w:t>
      </w:r>
      <w:r>
        <w:t xml:space="preserve">operation, economic, environmental and social indicators. The environment module uses input from the</w:t>
      </w:r>
      <w:r>
        <w:t xml:space="preserve"> </w:t>
      </w:r>
      <w:r>
        <w:t xml:space="preserve">transport module (in terms of vehicle-kilometres-travelled per mode and geographical context) and from</w:t>
      </w:r>
      <w:r>
        <w:t xml:space="preserve"> </w:t>
      </w:r>
      <w:r>
        <w:t xml:space="preserve">the vehicle fleet module (in terms of the technical composition of vehicle fleets), in order to compute fuel</w:t>
      </w:r>
    </w:p>
    <w:p>
      <w:pPr>
        <w:pStyle w:val="BodyText"/>
      </w:pPr>
      <w:r>
        <w:t xml:space="preserve">146 Statistical Pocketbook (2022), op.cit.</w:t>
      </w:r>
      <w:r>
        <w:t xml:space="preserve"> </w:t>
      </w:r>
      <w:r>
        <w:t xml:space="preserve">147 https://ec.europa.eu/transport/themes/infrastructure-ten-t-connecting-europe/tentec-information-system_en</w:t>
      </w:r>
      <w:r>
        <w:br/>
      </w:r>
      <w:r>
        <w:t xml:space="preserve">148 A detailed description of the model is available at http://www.astra-model.eu/index.htm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consumption, greenhouse gas emissions and air pollutant emissions from transport. ASTRA also estimates</w:t>
      </w:r>
      <w:r>
        <w:t xml:space="preserve"> </w:t>
      </w:r>
      <w:r>
        <w:t xml:space="preserve">the upstream emissions (well-to-tank) due to fuel production and vehicles production. Therefore, well-to-</w:t>
      </w:r>
      <w:r>
        <w:t xml:space="preserve"> </w:t>
      </w:r>
      <w:r>
        <w:t xml:space="preserve">wheel emissions can be provided as well.</w:t>
      </w:r>
      <w:r>
        <w:t xml:space="preserve"> </w:t>
      </w:r>
      <w:r>
        <w:t xml:space="preserve">Strategic assessment capabilities in ASTRA cover a wide range of transport measures and investments with</w:t>
      </w:r>
      <w:r>
        <w:t xml:space="preserve"> </w:t>
      </w:r>
      <w:r>
        <w:t xml:space="preserve">flexible timing and levels of implementation.</w:t>
      </w:r>
      <w:r>
        <w:br/>
      </w:r>
      <w:r>
        <w:t xml:space="preserve">Geographically, ASTRA covers all EU Member States plus the United Kingdom, Norway and</w:t>
      </w:r>
      <w:r>
        <w:t xml:space="preserve"> </w:t>
      </w:r>
      <w:r>
        <w:t xml:space="preserve">Switzerland. The model is built in Vensim software and is developed and maintained by TRT, M-</w:t>
      </w:r>
      <w:r>
        <w:t xml:space="preserve"> </w:t>
      </w:r>
      <w:r>
        <w:t xml:space="preserve">Five and ISI Fraunhofer.</w:t>
      </w:r>
      <w:r>
        <w:t xml:space="preserve"> </w:t>
      </w:r>
      <w:r>
        <w:t xml:space="preserve">The ASTRA model is a well established model that has been used for numerous impact assessments</w:t>
      </w:r>
      <w:r>
        <w:t xml:space="preserve"> </w:t>
      </w:r>
      <w:r>
        <w:t xml:space="preserve">in the energy, transport and climate action fields for the past 15 years. A dedicated version of the</w:t>
      </w:r>
      <w:r>
        <w:t xml:space="preserve"> </w:t>
      </w:r>
      <w:r>
        <w:t xml:space="preserve">ASTRA model was developed by TRT and M-Five on behalf of JRC and is being used since 2013,</w:t>
      </w:r>
      <w:r>
        <w:t xml:space="preserve"> </w:t>
      </w:r>
      <w:r>
        <w:t xml:space="preserve">when the first version was developed as part of the ASSIST project149.</w:t>
      </w:r>
      <w:r>
        <w:br/>
      </w:r>
      <w:r>
        <w:t xml:space="preserve">So far, the model has not undergone a formal scientific review by a panel of external experts.</w:t>
      </w:r>
      <w:r>
        <w:t xml:space="preserve"> </w:t>
      </w:r>
      <w:r>
        <w:t xml:space="preserve">In the context of this impact assessment, the ASTRA model was used to estimate the wider impacts</w:t>
      </w:r>
      <w:r>
        <w:t xml:space="preserve"> </w:t>
      </w:r>
      <w:r>
        <w:t xml:space="preserve">of the policy measures and options in terms of GDP, GHG emissions, air pollution emissions and</w:t>
      </w:r>
      <w:r>
        <w:t xml:space="preserve"> </w:t>
      </w:r>
      <w:r>
        <w:t xml:space="preserve">other external costs of transport. To this aim, the ASTRA model has used as input the estimated</w:t>
      </w:r>
      <w:r>
        <w:t xml:space="preserve"> </w:t>
      </w:r>
      <w:r>
        <w:t xml:space="preserve">increase in the unitised transport from the TRUST model. To monetise the external costs, the unit</w:t>
      </w:r>
      <w:r>
        <w:t xml:space="preserve"> </w:t>
      </w:r>
      <w:r>
        <w:t xml:space="preserve">values from the Handbook on the external costs of transport150 have been used.</w:t>
      </w:r>
      <w:r>
        <w:t xml:space="preserve"> </w:t>
      </w:r>
      <w:r>
        <w:t xml:space="preserve">Data inputs</w:t>
      </w:r>
      <w:r>
        <w:t xml:space="preserve"> </w:t>
      </w:r>
      <w:r>
        <w:t xml:space="preserve">ASTRA is calibrated on the EUROSTAT database and data from the Statistical Pocketbook ‘EU transport in</w:t>
      </w:r>
      <w:r>
        <w:t xml:space="preserve"> </w:t>
      </w:r>
      <w:r>
        <w:t xml:space="preserve">figures’151.</w:t>
      </w:r>
      <w:r>
        <w:br/>
      </w:r>
      <w:r>
        <w:t xml:space="preserve">1.4. Cost model</w:t>
      </w:r>
      <w:r>
        <w:br/>
      </w:r>
      <w:r>
        <w:t xml:space="preserve">The assessment of the transport costs by mode was performed on the basis of specific cost assumptions</w:t>
      </w:r>
      <w:r>
        <w:t xml:space="preserve"> </w:t>
      </w:r>
      <w:r>
        <w:t xml:space="preserve">highlighting the contribution of the various legs of intermodal transport. They reflect the transport costs by</w:t>
      </w:r>
      <w:r>
        <w:t xml:space="preserve"> </w:t>
      </w:r>
      <w:r>
        <w:t xml:space="preserve">mode and the costs of transhipments.</w:t>
      </w:r>
      <w:r>
        <w:br/>
      </w:r>
      <w:r>
        <w:t xml:space="preserve">The following modes have been considered separately</w:t>
      </w:r>
      <w:r>
        <w:t xml:space="preserve"> </w:t>
      </w:r>
      <w:r>
        <w:t xml:space="preserve">1. Long distance road transport (truck used as main mode or as long-distance feeder mode);</w:t>
      </w:r>
      <w:r>
        <w:t xml:space="preserve"> </w:t>
      </w:r>
      <w:r>
        <w:t xml:space="preserve">2. Short distance road transport (truck used as feeder mode);</w:t>
      </w:r>
      <w:r>
        <w:t xml:space="preserve"> </w:t>
      </w:r>
      <w:r>
        <w:t xml:space="preserve">3. Rail intermodal;</w:t>
      </w:r>
      <w:r>
        <w:t xml:space="preserve"> </w:t>
      </w:r>
      <w:r>
        <w:t xml:space="preserve">4. IWW intermodal;</w:t>
      </w:r>
      <w:r>
        <w:t xml:space="preserve"> </w:t>
      </w:r>
      <w:r>
        <w:t xml:space="preserve">5. SSS – Roll-on/roll-off (RoRo);</w:t>
      </w:r>
      <w:r>
        <w:t xml:space="preserve"> </w:t>
      </w:r>
      <w:r>
        <w:t xml:space="preserve">6. SSS – Lift-on/lift-off (LoLo).</w:t>
      </w:r>
      <w:r>
        <w:t xml:space="preserve"> </w:t>
      </w:r>
      <w:r>
        <w:t xml:space="preserve">In order to provide reliable estimates of the average costs, costs have been assessed on representative</w:t>
      </w:r>
      <w:r>
        <w:t xml:space="preserve"> </w:t>
      </w:r>
      <w:r>
        <w:t xml:space="preserve">distances. To this end typical cases have been represented by different distance thresholds: short (300 km),</w:t>
      </w:r>
      <w:r>
        <w:t xml:space="preserve"> </w:t>
      </w:r>
      <w:r>
        <w:t xml:space="preserve">medium (600 km) and long (1000 km). In the case of short distances (300 km), RR is typically more costly</w:t>
      </w:r>
      <w:r>
        <w:t xml:space="preserve"> </w:t>
      </w:r>
      <w:r>
        <w:t xml:space="preserve">than an all-road solution. The same 300km distance threshold can be suitable for IWW-intermodal</w:t>
      </w:r>
      <w:r>
        <w:t xml:space="preserve"> </w:t>
      </w:r>
      <w:r>
        <w:t xml:space="preserve">combination, because the cost difference of the inland waterway leg and road transport per unit</w:t>
      </w:r>
      <w:r>
        <w:t xml:space="preserve"> </w:t>
      </w:r>
      <w:r>
        <w:t xml:space="preserve">transported is bigger, and the road legs are very short and thus have little impact on costs. In the case of a</w:t>
      </w:r>
      <w:r>
        <w:t xml:space="preserve"> </w:t>
      </w:r>
      <w:r>
        <w:t xml:space="preserve">medium distance range (600 km), intermodal solutions become more competitive with single mode road</w:t>
      </w:r>
    </w:p>
    <w:p>
      <w:pPr>
        <w:pStyle w:val="BodyText"/>
      </w:pPr>
      <w:r>
        <w:t xml:space="preserve">149 Assist-Project - ASSIST</w:t>
      </w:r>
      <w:r>
        <w:t xml:space="preserve"> </w:t>
      </w:r>
      <w:r>
        <w:t xml:space="preserve">150 CE Delft et al. (2019). op.cit.</w:t>
      </w:r>
      <w:r>
        <w:br/>
      </w:r>
      <w:r>
        <w:t xml:space="preserve">151 Statistical Pocketbook (2022), op.cit.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transport while in the case of long-distance example (1000 km and more) intermodal in almost all cases is</w:t>
      </w:r>
      <w:r>
        <w:t xml:space="preserve"> </w:t>
      </w:r>
      <w:r>
        <w:t xml:space="preserve">the best option.</w:t>
      </w:r>
      <w:r>
        <w:br/>
      </w:r>
      <w:r>
        <w:t xml:space="preserve">Other elements having an impact on the average costs are attributed to the average composition of traffic</w:t>
      </w:r>
      <w:r>
        <w:t xml:space="preserve"> </w:t>
      </w:r>
      <w:r>
        <w:t xml:space="preserve">in terms (number of units carried on a train, balance of flows on the round trip, etc.). The objective of the</w:t>
      </w:r>
      <w:r>
        <w:t xml:space="preserve"> </w:t>
      </w:r>
      <w:r>
        <w:t xml:space="preserve">cost model was to provide an assessment of the various components of the costs, to give an indication of</w:t>
      </w:r>
      <w:r>
        <w:t xml:space="preserve"> </w:t>
      </w:r>
      <w:r>
        <w:t xml:space="preserve">the likely evolution of costs over time. The underlying assumption has been that costs represent a good</w:t>
      </w:r>
      <w:r>
        <w:t xml:space="preserve"> </w:t>
      </w:r>
      <w:r>
        <w:t xml:space="preserve">approximation of transport prices. Regional differences in transport cost were considered to take into</w:t>
      </w:r>
      <w:r>
        <w:t xml:space="preserve"> </w:t>
      </w:r>
      <w:r>
        <w:t xml:space="preserve">account for example differences in drivers’ wages or level of tolls and track access charge levied in the</w:t>
      </w:r>
      <w:r>
        <w:t xml:space="preserve"> </w:t>
      </w:r>
      <w:r>
        <w:t xml:space="preserve">different countries.</w:t>
      </w:r>
      <w:r>
        <w:br/>
      </w:r>
      <w:r>
        <w:t xml:space="preserve">2. BASELINE SCENARIO</w:t>
      </w:r>
      <w:r>
        <w:br/>
      </w:r>
      <w:r>
        <w:t xml:space="preserve">In order to reflect the fundamental socio-economic, technological and policy developments, the Commission</w:t>
      </w:r>
      <w:r>
        <w:t xml:space="preserve"> </w:t>
      </w:r>
      <w:r>
        <w:t xml:space="preserve">prepares periodically an EU Reference Scenario on energy, transport and GHG emissions. The socio-economic and</w:t>
      </w:r>
      <w:r>
        <w:t xml:space="preserve"> </w:t>
      </w:r>
      <w:r>
        <w:t xml:space="preserve">technological developments used for developing the baseline scenario for this impact assessment build on</w:t>
      </w:r>
      <w:r>
        <w:t xml:space="preserve"> </w:t>
      </w:r>
      <w:r>
        <w:t xml:space="preserve">REF2020152. The same assumptions have been used in the policy scenarios underpinning the impact assessments</w:t>
      </w:r>
      <w:r>
        <w:t xml:space="preserve"> </w:t>
      </w:r>
      <w:r>
        <w:t xml:space="preserve">accompanying the “Fit for 55” package153.</w:t>
      </w:r>
      <w:r>
        <w:br/>
      </w:r>
      <w:r>
        <w:t xml:space="preserve">Main assumptions of the baseline scenario</w:t>
      </w:r>
      <w:r>
        <w:t xml:space="preserve"> </w:t>
      </w:r>
      <w:r>
        <w:t xml:space="preserve">The main assumptions related to economic development, international energy prices and technologies are</w:t>
      </w:r>
      <w:r>
        <w:t xml:space="preserve"> </w:t>
      </w:r>
      <w:r>
        <w:t xml:space="preserve">described below.</w:t>
      </w:r>
      <w:r>
        <w:t xml:space="preserve"> </w:t>
      </w:r>
      <w:r>
        <w:t xml:space="preserve">Economic assumptions</w:t>
      </w:r>
      <w:r>
        <w:t xml:space="preserve"> </w:t>
      </w:r>
      <w:r>
        <w:t xml:space="preserve">The modelling work is based on socio-economic assumptions describing the expected evolution of the</w:t>
      </w:r>
      <w:r>
        <w:t xml:space="preserve"> </w:t>
      </w:r>
      <w:r>
        <w:t xml:space="preserve">European society. Long-term projections on population dynamics and economic activity form part of the</w:t>
      </w:r>
      <w:r>
        <w:t xml:space="preserve"> </w:t>
      </w:r>
      <w:r>
        <w:t xml:space="preserve">input to the model and are used to estimate transport activity, particularly relevant for this impact</w:t>
      </w:r>
      <w:r>
        <w:t xml:space="preserve"> </w:t>
      </w:r>
      <w:r>
        <w:t xml:space="preserve">assessment.</w:t>
      </w:r>
      <w:r>
        <w:br/>
      </w:r>
      <w:r>
        <w:t xml:space="preserve">Population projections from Eurostat154 are used to estimate the evolution of the European population,</w:t>
      </w:r>
      <w:r>
        <w:t xml:space="preserve"> </w:t>
      </w:r>
      <w:r>
        <w:t xml:space="preserve">which is expected to change little in total number in the coming decades. The GDP growth projections are</w:t>
      </w:r>
      <w:r>
        <w:t xml:space="preserve"> </w:t>
      </w:r>
      <w:r>
        <w:t xml:space="preserve">from the Ageing Report 2021155 by the Directorate General for Economic and Financial Affairs, which are</w:t>
      </w:r>
      <w:r>
        <w:t xml:space="preserve"> </w:t>
      </w:r>
      <w:r>
        <w:t xml:space="preserve">based on the same population growth assumptions.</w:t>
      </w:r>
      <w:r>
        <w:t xml:space="preserve"> </w:t>
      </w:r>
      <w:r>
        <w:t xml:space="preserve">Table 26: Projected population and GDP growth per Member State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EU27</w:t>
      </w:r>
      <w:r>
        <w:t xml:space="preserve"> </w:t>
      </w:r>
      <w:r>
        <w:t xml:space="preserve">447.7</w:t>
      </w:r>
      <w:r>
        <w:t xml:space="preserve"> </w:t>
      </w:r>
      <w:r>
        <w:t xml:space="preserve">449.3</w:t>
      </w:r>
      <w:r>
        <w:t xml:space="preserve"> </w:t>
      </w:r>
      <w:r>
        <w:t xml:space="preserve">449.1</w:t>
      </w:r>
      <w:r>
        <w:t xml:space="preserve"> </w:t>
      </w:r>
      <w:r>
        <w:t xml:space="preserve">0.9%</w:t>
      </w:r>
      <w:r>
        <w:t xml:space="preserve"> </w:t>
      </w:r>
      <w:r>
        <w:t xml:space="preserve">1.1%</w:t>
      </w:r>
      <w:r>
        <w:t xml:space="preserve"> </w:t>
      </w:r>
      <w:r>
        <w:t xml:space="preserve">Austria</w:t>
      </w:r>
      <w:r>
        <w:t xml:space="preserve"> </w:t>
      </w:r>
      <w:r>
        <w:t xml:space="preserve">8.90</w:t>
      </w:r>
      <w:r>
        <w:t xml:space="preserve"> </w:t>
      </w:r>
      <w:r>
        <w:t xml:space="preserve">9.03</w:t>
      </w:r>
      <w:r>
        <w:t xml:space="preserve"> </w:t>
      </w:r>
      <w:r>
        <w:t xml:space="preserve">9.15</w:t>
      </w:r>
      <w:r>
        <w:t xml:space="preserve"> </w:t>
      </w:r>
      <w:r>
        <w:t xml:space="preserve">0.9%</w:t>
      </w:r>
      <w:r>
        <w:t xml:space="preserve"> </w:t>
      </w:r>
      <w:r>
        <w:t xml:space="preserve">1.2%</w:t>
      </w:r>
      <w:r>
        <w:t xml:space="preserve"> </w:t>
      </w:r>
      <w:r>
        <w:t xml:space="preserve">Belgium</w:t>
      </w:r>
      <w:r>
        <w:t xml:space="preserve"> </w:t>
      </w:r>
      <w:r>
        <w:t xml:space="preserve">11.51</w:t>
      </w:r>
      <w:r>
        <w:t xml:space="preserve"> </w:t>
      </w:r>
      <w:r>
        <w:t xml:space="preserve">11.66</w:t>
      </w:r>
      <w:r>
        <w:t xml:space="preserve"> </w:t>
      </w:r>
      <w:r>
        <w:t xml:space="preserve">11.76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Bulgaria</w:t>
      </w:r>
      <w:r>
        <w:t xml:space="preserve"> </w:t>
      </w:r>
      <w:r>
        <w:t xml:space="preserve">6.95</w:t>
      </w:r>
      <w:r>
        <w:t xml:space="preserve"> </w:t>
      </w:r>
      <w:r>
        <w:t xml:space="preserve">6.69</w:t>
      </w:r>
      <w:r>
        <w:t xml:space="preserve"> </w:t>
      </w:r>
      <w:r>
        <w:t xml:space="preserve">6.45</w:t>
      </w:r>
      <w:r>
        <w:t xml:space="preserve"> </w:t>
      </w:r>
      <w:r>
        <w:t xml:space="preserve">0.7%</w:t>
      </w:r>
      <w:r>
        <w:t xml:space="preserve"> </w:t>
      </w:r>
      <w:r>
        <w:t xml:space="preserve">1.3%</w:t>
      </w:r>
      <w:r>
        <w:t xml:space="preserve"> </w:t>
      </w:r>
      <w:r>
        <w:t xml:space="preserve">Croatia</w:t>
      </w:r>
      <w:r>
        <w:t xml:space="preserve"> </w:t>
      </w:r>
      <w:r>
        <w:t xml:space="preserve">4.06</w:t>
      </w:r>
      <w:r>
        <w:t xml:space="preserve"> </w:t>
      </w:r>
      <w:r>
        <w:t xml:space="preserve">3.94</w:t>
      </w:r>
      <w:r>
        <w:t xml:space="preserve"> </w:t>
      </w:r>
      <w:r>
        <w:t xml:space="preserve">3.83</w:t>
      </w:r>
      <w:r>
        <w:t xml:space="preserve"> </w:t>
      </w:r>
      <w:r>
        <w:t xml:space="preserve">0.2%</w:t>
      </w:r>
      <w:r>
        <w:t xml:space="preserve"> </w:t>
      </w:r>
      <w:r>
        <w:t xml:space="preserve">0.6%</w:t>
      </w:r>
      <w:r>
        <w:t xml:space="preserve"> </w:t>
      </w:r>
      <w:r>
        <w:t xml:space="preserve">Cyprus</w:t>
      </w:r>
      <w:r>
        <w:t xml:space="preserve"> </w:t>
      </w:r>
      <w:r>
        <w:t xml:space="preserve">0.89</w:t>
      </w:r>
      <w:r>
        <w:t xml:space="preserve"> </w:t>
      </w:r>
      <w:r>
        <w:t xml:space="preserve">0.93</w:t>
      </w:r>
      <w:r>
        <w:t xml:space="preserve"> </w:t>
      </w:r>
      <w:r>
        <w:t xml:space="preserve">0.96</w:t>
      </w:r>
      <w:r>
        <w:t xml:space="preserve"> </w:t>
      </w:r>
      <w:r>
        <w:t xml:space="preserve">0.7%</w:t>
      </w:r>
      <w:r>
        <w:t xml:space="preserve"> </w:t>
      </w:r>
      <w:r>
        <w:t xml:space="preserve">1.7%</w:t>
      </w:r>
      <w:r>
        <w:t xml:space="preserve"> </w:t>
      </w:r>
      <w:r>
        <w:t xml:space="preserve">Czechia</w:t>
      </w:r>
      <w:r>
        <w:t xml:space="preserve"> </w:t>
      </w:r>
      <w:r>
        <w:t xml:space="preserve">10.69</w:t>
      </w:r>
      <w:r>
        <w:t xml:space="preserve"> </w:t>
      </w:r>
      <w:r>
        <w:t xml:space="preserve">10.79</w:t>
      </w:r>
      <w:r>
        <w:t xml:space="preserve"> </w:t>
      </w:r>
      <w:r>
        <w:t xml:space="preserve">10.76</w:t>
      </w:r>
      <w:r>
        <w:t xml:space="preserve"> </w:t>
      </w:r>
      <w:r>
        <w:t xml:space="preserve">1.6%</w:t>
      </w:r>
      <w:r>
        <w:t xml:space="preserve"> </w:t>
      </w:r>
      <w:r>
        <w:t xml:space="preserve">2.0%</w:t>
      </w:r>
      <w:r>
        <w:t xml:space="preserve"> </w:t>
      </w:r>
      <w:r>
        <w:t xml:space="preserve">Denmark</w:t>
      </w:r>
      <w:r>
        <w:t xml:space="preserve"> </w:t>
      </w:r>
      <w:r>
        <w:t xml:space="preserve">5.81</w:t>
      </w:r>
      <w:r>
        <w:t xml:space="preserve"> </w:t>
      </w:r>
      <w:r>
        <w:t xml:space="preserve">5.88</w:t>
      </w:r>
      <w:r>
        <w:t xml:space="preserve"> </w:t>
      </w:r>
      <w:r>
        <w:t xml:space="preserve">5.96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Estonia</w:t>
      </w:r>
      <w:r>
        <w:t xml:space="preserve"> </w:t>
      </w:r>
      <w:r>
        <w:t xml:space="preserve">1.33</w:t>
      </w:r>
      <w:r>
        <w:t xml:space="preserve"> </w:t>
      </w:r>
      <w:r>
        <w:t xml:space="preserve">1.32</w:t>
      </w:r>
      <w:r>
        <w:t xml:space="preserve"> </w:t>
      </w:r>
      <w:r>
        <w:t xml:space="preserve">1.31</w:t>
      </w:r>
      <w:r>
        <w:t xml:space="preserve"> </w:t>
      </w:r>
      <w:r>
        <w:t xml:space="preserve">2.2%</w:t>
      </w:r>
      <w:r>
        <w:t xml:space="preserve"> </w:t>
      </w:r>
      <w:r>
        <w:t xml:space="preserve">2.6%</w:t>
      </w:r>
      <w:r>
        <w:t xml:space="preserve"> </w:t>
      </w:r>
      <w:r>
        <w:t xml:space="preserve">Finland</w:t>
      </w:r>
      <w:r>
        <w:t xml:space="preserve"> </w:t>
      </w:r>
      <w:r>
        <w:t xml:space="preserve">5.53</w:t>
      </w:r>
      <w:r>
        <w:t xml:space="preserve"> </w:t>
      </w:r>
      <w:r>
        <w:t xml:space="preserve">5.54</w:t>
      </w:r>
      <w:r>
        <w:t xml:space="preserve"> </w:t>
      </w:r>
      <w:r>
        <w:t xml:space="preserve">5.52</w:t>
      </w:r>
      <w:r>
        <w:t xml:space="preserve"> </w:t>
      </w:r>
      <w:r>
        <w:t xml:space="preserve">0.6%</w:t>
      </w:r>
      <w:r>
        <w:t xml:space="preserve"> </w:t>
      </w:r>
      <w:r>
        <w:t xml:space="preserve">1.2%</w:t>
      </w:r>
    </w:p>
    <w:p>
      <w:pPr>
        <w:pStyle w:val="BodyText"/>
      </w:pPr>
      <w:r>
        <w:t xml:space="preserve">152 EU Reference Scenario 2020, op.cit.</w:t>
      </w:r>
      <w:r>
        <w:t xml:space="preserve"> </w:t>
      </w:r>
      <w:r>
        <w:t xml:space="preserve">153 Policy scenarios for delivering the European Green Deal (europa.eu)</w:t>
      </w:r>
      <w:r>
        <w:t xml:space="preserve"> </w:t>
      </w:r>
      <w:r>
        <w:t xml:space="preserve">154 EUROPOP2019 population projections: Eurostat - Data Explorer (europa.eu)</w:t>
      </w:r>
      <w:r>
        <w:br/>
      </w:r>
      <w:r>
        <w:t xml:space="preserve">155 The 2021 Ageing Report : Underlying assumptions and projection methodologies The 2021 Ageing Report:</w:t>
      </w:r>
      <w:r>
        <w:t xml:space="preserve"> </w:t>
      </w:r>
      <w:r>
        <w:t xml:space="preserve">Underlying Assumptions and Projection Methodologies | European Commission (europa.eu)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France</w:t>
      </w:r>
      <w:r>
        <w:t xml:space="preserve"> </w:t>
      </w:r>
      <w:r>
        <w:t xml:space="preserve">67.20</w:t>
      </w:r>
      <w:r>
        <w:t xml:space="preserve"> </w:t>
      </w:r>
      <w:r>
        <w:t xml:space="preserve">68.04</w:t>
      </w:r>
      <w:r>
        <w:t xml:space="preserve"> </w:t>
      </w:r>
      <w:r>
        <w:t xml:space="preserve">68.75</w:t>
      </w:r>
      <w:r>
        <w:t xml:space="preserve"> </w:t>
      </w:r>
      <w:r>
        <w:t xml:space="preserve">0.7%</w:t>
      </w:r>
      <w:r>
        <w:t xml:space="preserve"> </w:t>
      </w:r>
      <w:r>
        <w:t xml:space="preserve">1.0%</w:t>
      </w:r>
      <w:r>
        <w:t xml:space="preserve"> </w:t>
      </w:r>
      <w:r>
        <w:t xml:space="preserve">Germany</w:t>
      </w:r>
      <w:r>
        <w:t xml:space="preserve"> </w:t>
      </w:r>
      <w:r>
        <w:t xml:space="preserve">83.14</w:t>
      </w:r>
      <w:r>
        <w:t xml:space="preserve"> </w:t>
      </w:r>
      <w:r>
        <w:t xml:space="preserve">83.48</w:t>
      </w:r>
      <w:r>
        <w:t xml:space="preserve"> </w:t>
      </w:r>
      <w:r>
        <w:t xml:space="preserve">83.45</w:t>
      </w:r>
      <w:r>
        <w:t xml:space="preserve"> </w:t>
      </w:r>
      <w:r>
        <w:t xml:space="preserve">0.8%</w:t>
      </w:r>
      <w:r>
        <w:t xml:space="preserve"> </w:t>
      </w:r>
      <w:r>
        <w:t xml:space="preserve">0.7%</w:t>
      </w:r>
      <w:r>
        <w:t xml:space="preserve"> </w:t>
      </w:r>
      <w:r>
        <w:t xml:space="preserve">Greece</w:t>
      </w:r>
      <w:r>
        <w:t xml:space="preserve"> </w:t>
      </w:r>
      <w:r>
        <w:t xml:space="preserve">10.70</w:t>
      </w:r>
      <w:r>
        <w:t xml:space="preserve"> </w:t>
      </w:r>
      <w:r>
        <w:t xml:space="preserve">10.51</w:t>
      </w:r>
      <w:r>
        <w:t xml:space="preserve"> </w:t>
      </w:r>
      <w:r>
        <w:t xml:space="preserve">10.30</w:t>
      </w:r>
      <w:r>
        <w:t xml:space="preserve"> </w:t>
      </w:r>
      <w:r>
        <w:t xml:space="preserve">0.7%</w:t>
      </w:r>
      <w:r>
        <w:t xml:space="preserve"> </w:t>
      </w:r>
      <w:r>
        <w:t xml:space="preserve">0.6%</w:t>
      </w:r>
      <w:r>
        <w:t xml:space="preserve"> </w:t>
      </w:r>
      <w:r>
        <w:t xml:space="preserve">Hungary</w:t>
      </w:r>
      <w:r>
        <w:t xml:space="preserve"> </w:t>
      </w:r>
      <w:r>
        <w:t xml:space="preserve">9.77</w:t>
      </w:r>
      <w:r>
        <w:t xml:space="preserve"> </w:t>
      </w:r>
      <w:r>
        <w:t xml:space="preserve">9.70</w:t>
      </w:r>
      <w:r>
        <w:t xml:space="preserve"> </w:t>
      </w:r>
      <w:r>
        <w:t xml:space="preserve">9.62</w:t>
      </w:r>
      <w:r>
        <w:t xml:space="preserve"> </w:t>
      </w:r>
      <w:r>
        <w:t xml:space="preserve">1.8%</w:t>
      </w:r>
      <w:r>
        <w:t xml:space="preserve"> </w:t>
      </w:r>
      <w:r>
        <w:t xml:space="preserve">2.6%</w:t>
      </w:r>
      <w:r>
        <w:t xml:space="preserve"> </w:t>
      </w:r>
      <w:r>
        <w:t xml:space="preserve">Ireland</w:t>
      </w:r>
      <w:r>
        <w:t xml:space="preserve"> </w:t>
      </w:r>
      <w:r>
        <w:t xml:space="preserve">4.97</w:t>
      </w:r>
      <w:r>
        <w:t xml:space="preserve"> </w:t>
      </w:r>
      <w:r>
        <w:t xml:space="preserve">5.27</w:t>
      </w:r>
      <w:r>
        <w:t xml:space="preserve"> </w:t>
      </w:r>
      <w:r>
        <w:t xml:space="preserve">5.50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Italy</w:t>
      </w:r>
      <w:r>
        <w:t xml:space="preserve"> </w:t>
      </w:r>
      <w:r>
        <w:t xml:space="preserve">60.29</w:t>
      </w:r>
      <w:r>
        <w:t xml:space="preserve"> </w:t>
      </w:r>
      <w:r>
        <w:t xml:space="preserve">60.09</w:t>
      </w:r>
      <w:r>
        <w:t xml:space="preserve"> </w:t>
      </w:r>
      <w:r>
        <w:t xml:space="preserve">59.94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Latvia</w:t>
      </w:r>
      <w:r>
        <w:t xml:space="preserve"> </w:t>
      </w:r>
      <w:r>
        <w:t xml:space="preserve">1.91</w:t>
      </w:r>
      <w:r>
        <w:t xml:space="preserve"> </w:t>
      </w:r>
      <w:r>
        <w:t xml:space="preserve">1.82</w:t>
      </w:r>
      <w:r>
        <w:t xml:space="preserve"> </w:t>
      </w:r>
      <w:r>
        <w:t xml:space="preserve">1.71</w:t>
      </w:r>
      <w:r>
        <w:t xml:space="preserve"> </w:t>
      </w:r>
      <w:r>
        <w:t xml:space="preserve">1.4%</w:t>
      </w:r>
      <w:r>
        <w:t xml:space="preserve"> </w:t>
      </w:r>
      <w:r>
        <w:t xml:space="preserve">1.9%</w:t>
      </w:r>
      <w:r>
        <w:t xml:space="preserve"> </w:t>
      </w:r>
      <w:r>
        <w:t xml:space="preserve">Lithuania</w:t>
      </w:r>
      <w:r>
        <w:t xml:space="preserve"> </w:t>
      </w:r>
      <w:r>
        <w:t xml:space="preserve">2.79</w:t>
      </w:r>
      <w:r>
        <w:t xml:space="preserve"> </w:t>
      </w:r>
      <w:r>
        <w:t xml:space="preserve">2.71</w:t>
      </w:r>
      <w:r>
        <w:t xml:space="preserve"> </w:t>
      </w:r>
      <w:r>
        <w:t xml:space="preserve">2.58</w:t>
      </w:r>
      <w:r>
        <w:t xml:space="preserve"> </w:t>
      </w:r>
      <w:r>
        <w:t xml:space="preserve">1.7%</w:t>
      </w:r>
      <w:r>
        <w:t xml:space="preserve"> </w:t>
      </w:r>
      <w:r>
        <w:t xml:space="preserve">1.5%</w:t>
      </w:r>
      <w:r>
        <w:t xml:space="preserve"> </w:t>
      </w:r>
      <w:r>
        <w:t xml:space="preserve">Luxembourg</w:t>
      </w:r>
      <w:r>
        <w:t xml:space="preserve"> </w:t>
      </w:r>
      <w:r>
        <w:t xml:space="preserve">0.63</w:t>
      </w:r>
      <w:r>
        <w:t xml:space="preserve"> </w:t>
      </w:r>
      <w:r>
        <w:t xml:space="preserve">0.66</w:t>
      </w:r>
      <w:r>
        <w:t xml:space="preserve"> </w:t>
      </w:r>
      <w:r>
        <w:t xml:space="preserve">0.69</w:t>
      </w:r>
      <w:r>
        <w:t xml:space="preserve"> </w:t>
      </w:r>
      <w:r>
        <w:t xml:space="preserve">1.7%</w:t>
      </w:r>
      <w:r>
        <w:t xml:space="preserve"> </w:t>
      </w:r>
      <w:r>
        <w:t xml:space="preserve">2.0%</w:t>
      </w:r>
      <w:r>
        <w:t xml:space="preserve"> </w:t>
      </w:r>
      <w:r>
        <w:t xml:space="preserve">Malta</w:t>
      </w:r>
      <w:r>
        <w:t xml:space="preserve"> </w:t>
      </w:r>
      <w:r>
        <w:t xml:space="preserve">0.51</w:t>
      </w:r>
      <w:r>
        <w:t xml:space="preserve"> </w:t>
      </w:r>
      <w:r>
        <w:t xml:space="preserve">0.56</w:t>
      </w:r>
      <w:r>
        <w:t xml:space="preserve"> </w:t>
      </w:r>
      <w:r>
        <w:t xml:space="preserve">0.59</w:t>
      </w:r>
      <w:r>
        <w:t xml:space="preserve"> </w:t>
      </w:r>
      <w:r>
        <w:t xml:space="preserve">2.7%</w:t>
      </w:r>
      <w:r>
        <w:t xml:space="preserve"> </w:t>
      </w:r>
      <w:r>
        <w:t xml:space="preserve">4.1%</w:t>
      </w:r>
      <w:r>
        <w:t xml:space="preserve"> </w:t>
      </w:r>
      <w:r>
        <w:t xml:space="preserve">Netherlands</w:t>
      </w:r>
      <w:r>
        <w:t xml:space="preserve"> </w:t>
      </w:r>
      <w:r>
        <w:t xml:space="preserve">17.40</w:t>
      </w:r>
      <w:r>
        <w:t xml:space="preserve"> </w:t>
      </w:r>
      <w:r>
        <w:t xml:space="preserve">17.75</w:t>
      </w:r>
      <w:r>
        <w:t xml:space="preserve"> </w:t>
      </w:r>
      <w:r>
        <w:t xml:space="preserve">17.97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Poland</w:t>
      </w:r>
      <w:r>
        <w:t xml:space="preserve"> </w:t>
      </w:r>
      <w:r>
        <w:t xml:space="preserve">37.94</w:t>
      </w:r>
      <w:r>
        <w:t xml:space="preserve"> </w:t>
      </w:r>
      <w:r>
        <w:t xml:space="preserve">37.57</w:t>
      </w:r>
      <w:r>
        <w:t xml:space="preserve"> </w:t>
      </w:r>
      <w:r>
        <w:t xml:space="preserve">37.02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Portugal</w:t>
      </w:r>
      <w:r>
        <w:t xml:space="preserve"> </w:t>
      </w:r>
      <w:r>
        <w:t xml:space="preserve">10.29</w:t>
      </w:r>
      <w:r>
        <w:t xml:space="preserve"> </w:t>
      </w:r>
      <w:r>
        <w:t xml:space="preserve">10.22</w:t>
      </w:r>
      <w:r>
        <w:t xml:space="preserve"> </w:t>
      </w:r>
      <w:r>
        <w:t xml:space="preserve">10.09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Romania</w:t>
      </w:r>
      <w:r>
        <w:t xml:space="preserve"> </w:t>
      </w:r>
      <w:r>
        <w:t xml:space="preserve">19.28</w:t>
      </w:r>
      <w:r>
        <w:t xml:space="preserve"> </w:t>
      </w:r>
      <w:r>
        <w:t xml:space="preserve">18.51</w:t>
      </w:r>
      <w:r>
        <w:t xml:space="preserve"> </w:t>
      </w:r>
      <w:r>
        <w:t xml:space="preserve">17.81</w:t>
      </w:r>
      <w:r>
        <w:t xml:space="preserve"> </w:t>
      </w:r>
      <w:r>
        <w:t xml:space="preserve">2.7%</w:t>
      </w:r>
      <w:r>
        <w:t xml:space="preserve"> </w:t>
      </w:r>
      <w:r>
        <w:t xml:space="preserve">3.0%</w:t>
      </w:r>
      <w:r>
        <w:t xml:space="preserve"> </w:t>
      </w:r>
      <w:r>
        <w:t xml:space="preserve">Slovakia</w:t>
      </w:r>
      <w:r>
        <w:t xml:space="preserve"> </w:t>
      </w:r>
      <w:r>
        <w:t xml:space="preserve">5.46</w:t>
      </w:r>
      <w:r>
        <w:t xml:space="preserve"> </w:t>
      </w:r>
      <w:r>
        <w:t xml:space="preserve">5.47</w:t>
      </w:r>
      <w:r>
        <w:t xml:space="preserve"> </w:t>
      </w:r>
      <w:r>
        <w:t xml:space="preserve">5.44</w:t>
      </w:r>
      <w:r>
        <w:t xml:space="preserve"> </w:t>
      </w:r>
      <w:r>
        <w:t xml:space="preserve">1.1%</w:t>
      </w:r>
      <w:r>
        <w:t xml:space="preserve"> </w:t>
      </w:r>
      <w:r>
        <w:t xml:space="preserve">1.7%</w:t>
      </w:r>
      <w:r>
        <w:t xml:space="preserve"> </w:t>
      </w:r>
      <w:r>
        <w:t xml:space="preserve">Slovenia</w:t>
      </w:r>
      <w:r>
        <w:t xml:space="preserve"> </w:t>
      </w:r>
      <w:r>
        <w:t xml:space="preserve">2.10</w:t>
      </w:r>
      <w:r>
        <w:t xml:space="preserve"> </w:t>
      </w:r>
      <w:r>
        <w:t xml:space="preserve">2.11</w:t>
      </w:r>
      <w:r>
        <w:t xml:space="preserve"> </w:t>
      </w:r>
      <w:r>
        <w:t xml:space="preserve">2.11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Spain</w:t>
      </w:r>
      <w:r>
        <w:t xml:space="preserve"> </w:t>
      </w:r>
      <w:r>
        <w:t xml:space="preserve">47.32</w:t>
      </w:r>
      <w:r>
        <w:t xml:space="preserve"> </w:t>
      </w:r>
      <w:r>
        <w:t xml:space="preserve">48.31</w:t>
      </w:r>
      <w:r>
        <w:t xml:space="preserve"> </w:t>
      </w:r>
      <w:r>
        <w:t xml:space="preserve">48.75</w:t>
      </w:r>
      <w:r>
        <w:t xml:space="preserve"> </w:t>
      </w:r>
      <w:r>
        <w:t xml:space="preserve">0.9%</w:t>
      </w:r>
      <w:r>
        <w:t xml:space="preserve"> </w:t>
      </w:r>
      <w:r>
        <w:t xml:space="preserve">1.6%</w:t>
      </w:r>
      <w:r>
        <w:t xml:space="preserve"> </w:t>
      </w:r>
      <w:r>
        <w:t xml:space="preserve">Sweden</w:t>
      </w:r>
      <w:r>
        <w:t xml:space="preserve"> </w:t>
      </w:r>
      <w:r>
        <w:t xml:space="preserve">10.32</w:t>
      </w:r>
      <w:r>
        <w:t xml:space="preserve"> </w:t>
      </w:r>
      <w:r>
        <w:t xml:space="preserve">10.75</w:t>
      </w:r>
      <w:r>
        <w:t xml:space="preserve"> </w:t>
      </w:r>
      <w:r>
        <w:t xml:space="preserve">11.10</w:t>
      </w:r>
      <w:r>
        <w:t xml:space="preserve"> </w:t>
      </w:r>
      <w:r>
        <w:t xml:space="preserve">1.4%</w:t>
      </w:r>
      <w:r>
        <w:t xml:space="preserve"> </w:t>
      </w:r>
      <w:r>
        <w:t xml:space="preserve">2.2%</w:t>
      </w:r>
      <w:r>
        <w:t xml:space="preserve"> </w:t>
      </w:r>
      <w:r>
        <w:t xml:space="preserve">Beyond the update of the population and growth assumptions, an update of the projections on the sectoral</w:t>
      </w:r>
      <w:r>
        <w:t xml:space="preserve"> </w:t>
      </w:r>
      <w:r>
        <w:t xml:space="preserve">composition of GDP was also carried out using the GEM-E3 computable general equilibrium model. These</w:t>
      </w:r>
      <w:r>
        <w:t xml:space="preserve"> </w:t>
      </w:r>
      <w:r>
        <w:t xml:space="preserve">projections take into account the potential medium- to long-term impacts of the COVID-19 crisis on the</w:t>
      </w:r>
      <w:r>
        <w:t xml:space="preserve"> </w:t>
      </w:r>
      <w:r>
        <w:t xml:space="preserve">structure of the economy, even though there are inherent uncertainties related to its eventual impacts.</w:t>
      </w:r>
      <w:r>
        <w:t xml:space="preserve"> </w:t>
      </w:r>
      <w:r>
        <w:t xml:space="preserve">Overall, conservative assumptions were made regarding the medium-term impacts of the pandemic on the</w:t>
      </w:r>
      <w:r>
        <w:t xml:space="preserve"> </w:t>
      </w:r>
      <w:r>
        <w:t xml:space="preserve">re-localisation of global value chains, teleworking and teleconferencing and global tourism.</w:t>
      </w:r>
      <w:r>
        <w:t xml:space="preserve"> </w:t>
      </w:r>
      <w:r>
        <w:t xml:space="preserve">International energy prices assumptions</w:t>
      </w:r>
      <w:r>
        <w:br/>
      </w:r>
      <w:r>
        <w:t xml:space="preserve">Alongside socio-economic projections, transport modelling requires projections of international fuel prices.</w:t>
      </w:r>
      <w:r>
        <w:t xml:space="preserve"> </w:t>
      </w:r>
      <w:r>
        <w:t xml:space="preserve">The table below shows the oil prices assumptions of the baseline and policy options of this impact</w:t>
      </w:r>
      <w:r>
        <w:t xml:space="preserve"> </w:t>
      </w:r>
      <w:r>
        <w:t xml:space="preserve">assessment, that draw on the modelling underpinning the REPowerEU package156.</w:t>
      </w:r>
      <w:r>
        <w:br/>
      </w:r>
      <w:r>
        <w:t xml:space="preserve">Table 27: Oil prices assumptions</w:t>
      </w:r>
      <w:r>
        <w:br/>
      </w:r>
      <w:r>
        <w:t xml:space="preserve">Oil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in $’15 per boe</w:t>
      </w:r>
      <w:r>
        <w:t xml:space="preserve"> </w:t>
      </w:r>
      <w:r>
        <w:t xml:space="preserve">52.3</w:t>
      </w:r>
      <w:r>
        <w:t xml:space="preserve"> </w:t>
      </w:r>
      <w:r>
        <w:t xml:space="preserve">39.8</w:t>
      </w:r>
      <w:r>
        <w:t xml:space="preserve"> </w:t>
      </w:r>
      <w:r>
        <w:t xml:space="preserve">92.1</w:t>
      </w:r>
      <w:r>
        <w:t xml:space="preserve"> </w:t>
      </w:r>
      <w:r>
        <w:t xml:space="preserve">97.4</w:t>
      </w:r>
      <w:r>
        <w:t xml:space="preserve"> </w:t>
      </w:r>
      <w:r>
        <w:t xml:space="preserve">117.9</w:t>
      </w:r>
      <w:r>
        <w:t xml:space="preserve"> </w:t>
      </w:r>
      <w:r>
        <w:t xml:space="preserve">in €’15 per boe</w:t>
      </w:r>
      <w:r>
        <w:t xml:space="preserve"> </w:t>
      </w:r>
      <w:r>
        <w:t xml:space="preserve">47.2</w:t>
      </w:r>
      <w:r>
        <w:t xml:space="preserve"> </w:t>
      </w:r>
      <w:r>
        <w:t xml:space="preserve">35.8</w:t>
      </w:r>
      <w:r>
        <w:t xml:space="preserve"> </w:t>
      </w:r>
      <w:r>
        <w:t xml:space="preserve">83.0</w:t>
      </w:r>
      <w:r>
        <w:t xml:space="preserve"> </w:t>
      </w:r>
      <w:r>
        <w:t xml:space="preserve">87.8</w:t>
      </w:r>
      <w:r>
        <w:t xml:space="preserve"> </w:t>
      </w:r>
      <w:r>
        <w:t xml:space="preserve">106.3</w:t>
      </w:r>
    </w:p>
    <w:p>
      <w:pPr>
        <w:pStyle w:val="BodyText"/>
      </w:pPr>
      <w:r>
        <w:t xml:space="preserve">Technology assumptions</w:t>
      </w:r>
      <w:r>
        <w:t xml:space="preserve"> </w:t>
      </w:r>
      <w:r>
        <w:t xml:space="preserve">Modelling scenarios is highly dependent on the assumptions on the development of technologies, both in</w:t>
      </w:r>
      <w:r>
        <w:t xml:space="preserve"> </w:t>
      </w:r>
      <w:r>
        <w:t xml:space="preserve">terms of performance and costs. For the purpose of the impact assessments related to the “Climate Target</w:t>
      </w:r>
      <w:r>
        <w:t xml:space="preserve"> </w:t>
      </w:r>
      <w:r>
        <w:t xml:space="preserve">Plan” and the “Fit for 55” policy package, these assumptions have been updated based on a rigorous</w:t>
      </w:r>
      <w:r>
        <w:t xml:space="preserve"> </w:t>
      </w:r>
      <w:r>
        <w:t xml:space="preserve">literature review carried out by external consultants in collaboration with the JRC. Continuing the approach</w:t>
      </w:r>
      <w:r>
        <w:t xml:space="preserve"> </w:t>
      </w:r>
      <w:r>
        <w:t xml:space="preserve">adopted in the long-term strategy in 2018, the Commission consulted on the technology assumption with</w:t>
      </w:r>
      <w:r>
        <w:t xml:space="preserve"> </w:t>
      </w:r>
      <w:r>
        <w:t xml:space="preserve">stakeholders in 2019. In particular, the technology database of the PRIMES and PRIMES-TREMOVE models</w:t>
      </w:r>
      <w:r>
        <w:t xml:space="preserve"> </w:t>
      </w:r>
      <w:r>
        <w:t xml:space="preserve">(together with GAINS, GLOBIOM, and CAPRI) benefited from a dedicated consultation workshop held on 11</w:t>
      </w:r>
      <w:r>
        <w:t xml:space="preserve"> </w:t>
      </w:r>
      <w:r>
        <w:t xml:space="preserve">November 2019. EU Member States representatives also had the opportunity to comment on the costs</w:t>
      </w:r>
      <w:r>
        <w:t xml:space="preserve"> </w:t>
      </w:r>
      <w:r>
        <w:t xml:space="preserve">elements during a workshop held on 25 November 2019. The updated technology assumptions are</w:t>
      </w:r>
    </w:p>
    <w:p>
      <w:pPr>
        <w:pStyle w:val="BodyText"/>
      </w:pPr>
      <w:r>
        <w:t xml:space="preserve">156 SWD(2022) 230 final.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published together with the EU Reference Scenario 2020157. The same assumptions have been used in the</w:t>
      </w:r>
      <w:r>
        <w:t xml:space="preserve"> </w:t>
      </w:r>
      <w:r>
        <w:t xml:space="preserve">context of this impact assessment.</w:t>
      </w:r>
      <w:r>
        <w:t xml:space="preserve"> </w:t>
      </w:r>
      <w:r>
        <w:t xml:space="preserve">Other input data and assumptions for the base year</w:t>
      </w:r>
      <w:r>
        <w:br/>
      </w:r>
      <w:r>
        <w:t xml:space="preserve">Intermodal transport</w:t>
      </w:r>
      <w:r>
        <w:br/>
      </w:r>
      <w:r>
        <w:t xml:space="preserve">The size of the intermodal transport market in the EU27 is defined starting from the most recent</w:t>
      </w:r>
      <w:r>
        <w:t xml:space="preserve"> </w:t>
      </w:r>
      <w:r>
        <w:t xml:space="preserve">studies available on the topic. The 2017 study by ISL, KombiConsult158 indicates that in 2015 the</w:t>
      </w:r>
      <w:r>
        <w:t xml:space="preserve"> </w:t>
      </w:r>
      <w:r>
        <w:t xml:space="preserve">intermodal transport sector moved a total of 534 bn tkm, considering the EU27 only159. In terms of</w:t>
      </w:r>
      <w:r>
        <w:t xml:space="preserve"> </w:t>
      </w:r>
      <w:r>
        <w:t xml:space="preserve">volumes of container transported, the same study estimates that approximately 56 million TEU per</w:t>
      </w:r>
      <w:r>
        <w:t xml:space="preserve"> </w:t>
      </w:r>
      <w:r>
        <w:t xml:space="preserve">year were transported in the EU27. Most traffic is linked to maritime transport, followed by rail and</w:t>
      </w:r>
      <w:r>
        <w:t xml:space="preserve"> </w:t>
      </w:r>
      <w:r>
        <w:t xml:space="preserve">inland waterways. In particular, SSS represents 68% of EU27 intermodal transport activity, and 57%</w:t>
      </w:r>
      <w:r>
        <w:t xml:space="preserve"> </w:t>
      </w:r>
      <w:r>
        <w:t xml:space="preserve">of container traffic. RR covers instead 29% of all tonnes moved in EU27, and 32% of the volumes</w:t>
      </w:r>
      <w:r>
        <w:t xml:space="preserve"> </w:t>
      </w:r>
      <w:r>
        <w:t xml:space="preserve">of containers. Transport by IWW, which is relevant only within a limited number of river basins,</w:t>
      </w:r>
      <w:r>
        <w:t xml:space="preserve"> </w:t>
      </w:r>
      <w:r>
        <w:t xml:space="preserve">accounts for 3% of tonnes moved and 11% of container traffic, respectively (see Table 27).</w:t>
      </w:r>
      <w:r>
        <w:t xml:space="preserve"> </w:t>
      </w:r>
      <w:r>
        <w:t xml:space="preserve">Table 28: EU 27 freight transport activity (billion tkm) and volumes transported (mTEU) in the intermodal transport</w:t>
      </w:r>
      <w:r>
        <w:t xml:space="preserve"> </w:t>
      </w:r>
      <w:r>
        <w:t xml:space="preserve">sector (2015)</w:t>
      </w:r>
    </w:p>
    <w:p>
      <w:pPr>
        <w:pStyle w:val="BodyText"/>
      </w:pPr>
      <w:r>
        <w:t xml:space="preserve">Freight transport activity</w:t>
      </w:r>
      <w:r>
        <w:t xml:space="preserve"> </w:t>
      </w:r>
      <w:r>
        <w:t xml:space="preserve">Volumes</w:t>
      </w:r>
    </w:p>
    <w:p>
      <w:pPr>
        <w:pStyle w:val="BodyText"/>
      </w:pPr>
      <w:r>
        <w:t xml:space="preserve">Gtkm</w:t>
      </w:r>
      <w:r>
        <w:t xml:space="preserve"> </w:t>
      </w:r>
      <w:r>
        <w:t xml:space="preserve">%</w:t>
      </w:r>
      <w:r>
        <w:t xml:space="preserve"> </w:t>
      </w:r>
      <w:r>
        <w:t xml:space="preserve">mTEU*</w:t>
      </w:r>
      <w:r>
        <w:t xml:space="preserve"> </w:t>
      </w:r>
      <w:r>
        <w:t xml:space="preserve">%</w:t>
      </w:r>
      <w:r>
        <w:t xml:space="preserve"> </w:t>
      </w:r>
      <w:r>
        <w:t xml:space="preserve">Rail/road</w:t>
      </w:r>
      <w:r>
        <w:t xml:space="preserve"> </w:t>
      </w:r>
      <w:r>
        <w:t xml:space="preserve">152</w:t>
      </w:r>
      <w:r>
        <w:t xml:space="preserve"> </w:t>
      </w:r>
      <w:r>
        <w:t xml:space="preserve">29%</w:t>
      </w:r>
      <w:r>
        <w:t xml:space="preserve"> </w:t>
      </w:r>
      <w:r>
        <w:t xml:space="preserve">18</w:t>
      </w:r>
      <w:r>
        <w:t xml:space="preserve"> </w:t>
      </w:r>
      <w:r>
        <w:t xml:space="preserve">32%</w:t>
      </w:r>
      <w:r>
        <w:t xml:space="preserve"> </w:t>
      </w:r>
      <w:r>
        <w:t xml:space="preserve">IWW/road</w:t>
      </w:r>
      <w:r>
        <w:t xml:space="preserve"> </w:t>
      </w:r>
      <w:r>
        <w:t xml:space="preserve">16</w:t>
      </w:r>
      <w:r>
        <w:t xml:space="preserve"> </w:t>
      </w:r>
      <w:r>
        <w:t xml:space="preserve">3%</w:t>
      </w:r>
      <w:r>
        <w:t xml:space="preserve"> </w:t>
      </w:r>
      <w:r>
        <w:t xml:space="preserve">6</w:t>
      </w:r>
      <w:r>
        <w:t xml:space="preserve"> </w:t>
      </w:r>
      <w:r>
        <w:t xml:space="preserve">11%</w:t>
      </w:r>
      <w:r>
        <w:t xml:space="preserve"> </w:t>
      </w:r>
      <w:r>
        <w:t xml:space="preserve">SSS/road</w:t>
      </w:r>
      <w:r>
        <w:t xml:space="preserve"> </w:t>
      </w:r>
      <w:r>
        <w:t xml:space="preserve">366</w:t>
      </w:r>
      <w:r>
        <w:t xml:space="preserve"> </w:t>
      </w:r>
      <w:r>
        <w:t xml:space="preserve">68%</w:t>
      </w:r>
      <w:r>
        <w:t xml:space="preserve"> </w:t>
      </w:r>
      <w:r>
        <w:t xml:space="preserve">32</w:t>
      </w:r>
      <w:r>
        <w:t xml:space="preserve"> </w:t>
      </w:r>
      <w:r>
        <w:t xml:space="preserve">57%</w:t>
      </w:r>
      <w:r>
        <w:t xml:space="preserve"> </w:t>
      </w:r>
      <w:r>
        <w:t xml:space="preserve">Total</w:t>
      </w:r>
      <w:r>
        <w:t xml:space="preserve"> </w:t>
      </w:r>
      <w:r>
        <w:t xml:space="preserve">534</w:t>
      </w:r>
      <w:r>
        <w:t xml:space="preserve"> </w:t>
      </w:r>
      <w:r>
        <w:t xml:space="preserve">100%</w:t>
      </w:r>
      <w:r>
        <w:t xml:space="preserve"> </w:t>
      </w:r>
      <w:r>
        <w:t xml:space="preserve">56(1)</w:t>
      </w:r>
      <w:r>
        <w:t xml:space="preserve"> </w:t>
      </w:r>
      <w:r>
        <w:t xml:space="preserve">100%</w:t>
      </w:r>
      <w:r>
        <w:t xml:space="preserve"> </w:t>
      </w:r>
      <w:r>
        <w:t xml:space="preserve">Source: Ricardo et al. support study (2023); Note: * includes double counting of SSS-rail and SSS-IWW traffic (5%).</w:t>
      </w:r>
      <w:r>
        <w:t xml:space="preserve"> </w:t>
      </w:r>
      <w:r>
        <w:t xml:space="preserve">Compared against figures on the total freight transport activity provided in the Statistical</w:t>
      </w:r>
      <w:r>
        <w:t xml:space="preserve"> </w:t>
      </w:r>
      <w:r>
        <w:t xml:space="preserve">Pocketbook160 it is estimated that intermodal transport accounted for nearly 27% of all EU27 (non-</w:t>
      </w:r>
      <w:r>
        <w:t xml:space="preserve"> </w:t>
      </w:r>
      <w:r>
        <w:t xml:space="preserve">road) freight transport activity in 2015. Considering the various modes, in 2015 the share of transport</w:t>
      </w:r>
      <w:r>
        <w:t xml:space="preserve"> </w:t>
      </w:r>
      <w:r>
        <w:t xml:space="preserve">activity carried out with intermodal units was estimated to be 31% and 29% for rail and SSS</w:t>
      </w:r>
      <w:r>
        <w:t xml:space="preserve"> </w:t>
      </w:r>
      <w:r>
        <w:t xml:space="preserve">respectively, while for IWW this share was lower, at around 9%.</w:t>
      </w:r>
      <w:r>
        <w:t xml:space="preserve"> </w:t>
      </w:r>
      <w:r>
        <w:t xml:space="preserve">Taking into account the EU27 intermodal transport activities that meet the definition of CT of the</w:t>
      </w:r>
      <w:r>
        <w:t xml:space="preserve"> </w:t>
      </w:r>
      <w:r>
        <w:t xml:space="preserve">current CTD161, it can be estimated that the scope of application of the current CTD is limited to</w:t>
      </w:r>
      <w:r>
        <w:t xml:space="preserve"> </w:t>
      </w:r>
      <w:r>
        <w:t xml:space="preserve">about 12% of the total freight transport carried out by non-road modes. As shown in Table 28, the</w:t>
      </w:r>
      <w:r>
        <w:t xml:space="preserve"> </w:t>
      </w:r>
      <w:r>
        <w:t xml:space="preserve">scope of application ranges from 19% for rail to 10% and 6% respectively for SSS and IWW.</w:t>
      </w:r>
      <w:r>
        <w:br/>
      </w:r>
      <w:r>
        <w:t xml:space="preserve">Focusing on the scope of application of the CTD within the intermodal transport sector only, the CTD</w:t>
      </w:r>
      <w:r>
        <w:t xml:space="preserve"> </w:t>
      </w:r>
      <w:r>
        <w:t xml:space="preserve">covers approximately 45% of the overall EU27 intermodal (non-road) transport activity. The share for SSS is</w:t>
      </w:r>
      <w:r>
        <w:t xml:space="preserve"> </w:t>
      </w:r>
      <w:r>
        <w:t xml:space="preserve">estimated to be much lower than that of rail and IWW, as only 36% of SSS intermodal operations comply</w:t>
      </w:r>
      <w:r>
        <w:t xml:space="preserve"> </w:t>
      </w:r>
      <w:r>
        <w:t xml:space="preserve">with the CTD definition (compared to 60% and 68% for rail and IWW respectively). This is mainly due to the</w:t>
      </w:r>
      <w:r>
        <w:t xml:space="preserve"> </w:t>
      </w:r>
      <w:r>
        <w:t xml:space="preserve">fact that many SSS intermodal operations are domestic and that, for those that are international (intra-EU),</w:t>
      </w:r>
      <w:r>
        <w:t xml:space="preserve"> </w:t>
      </w:r>
      <w:r>
        <w:t xml:space="preserve">some involve a road leg of more than 150 km.</w:t>
      </w:r>
    </w:p>
    <w:p>
      <w:pPr>
        <w:pStyle w:val="BodyText"/>
      </w:pPr>
      <w:r>
        <w:t xml:space="preserve">157 EU Reference Scenario 2020 (europa.eu)</w:t>
      </w:r>
      <w:r>
        <w:t xml:space="preserve"> </w:t>
      </w:r>
      <w:r>
        <w:t xml:space="preserve">158 ISL, KombiConsult (2017), op.cit.</w:t>
      </w:r>
      <w:r>
        <w:t xml:space="preserve"> </w:t>
      </w:r>
      <w:r>
        <w:t xml:space="preserve">159 In this section, the intermodal transport market is defined considering only intermodal transport activity in EU27,</w:t>
      </w:r>
      <w:r>
        <w:t xml:space="preserve"> </w:t>
      </w:r>
      <w:r>
        <w:t xml:space="preserve">which as provided in ISL, KombiConsult (2017) includes domestic and intra-EU intermodal transport activities only.</w:t>
      </w:r>
      <w:r>
        <w:t xml:space="preserve"> </w:t>
      </w:r>
      <w:r>
        <w:t xml:space="preserve">International activities, including intermodal traffic between EU borders or ports and third countries such as deep-sea</w:t>
      </w:r>
      <w:r>
        <w:t xml:space="preserve"> </w:t>
      </w:r>
      <w:r>
        <w:t xml:space="preserve">maritime transport, are also provided in the study but have not been considered.</w:t>
      </w:r>
      <w:r>
        <w:br/>
      </w:r>
      <w:r>
        <w:t xml:space="preserve">160 Statistical Pocketbook (2022), Op. cit.</w:t>
      </w:r>
      <w:r>
        <w:t xml:space="preserve"> </w:t>
      </w:r>
      <w:r>
        <w:t xml:space="preserve">161 ISL, KombiConsult (2017), op.cit.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Table 29: Share of intermodal freight transport in total freight transport activity (billion tkm), and of intermodal</w:t>
      </w:r>
      <w:r>
        <w:t xml:space="preserve"> </w:t>
      </w:r>
      <w:r>
        <w:t xml:space="preserve">transport activity covered by the current CTD (EU27, 2015)</w:t>
      </w:r>
    </w:p>
    <w:p>
      <w:pPr>
        <w:pStyle w:val="BodyText"/>
      </w:pPr>
      <w:r>
        <w:t xml:space="preserve">Freight transport activity (Gtkm)</w:t>
      </w:r>
      <w:r>
        <w:t xml:space="preserve"> </w:t>
      </w:r>
      <w:r>
        <w:t xml:space="preserve">Shares (%)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Intermodal</w:t>
      </w:r>
      <w:r>
        <w:t xml:space="preserve"> </w:t>
      </w:r>
      <w:r>
        <w:t xml:space="preserve">(non-road legs)</w:t>
      </w:r>
      <w:r>
        <w:t xml:space="preserve"> </w:t>
      </w:r>
      <w:r>
        <w:t xml:space="preserve">Covered by</w:t>
      </w:r>
      <w:r>
        <w:t xml:space="preserve"> </w:t>
      </w:r>
      <w:r>
        <w:t xml:space="preserve">the CTD</w:t>
      </w:r>
      <w:r>
        <w:t xml:space="preserve"> </w:t>
      </w:r>
      <w:r>
        <w:t xml:space="preserve">Intermodal in</w:t>
      </w:r>
      <w:r>
        <w:t xml:space="preserve"> </w:t>
      </w:r>
      <w:r>
        <w:t xml:space="preserve">total activity</w:t>
      </w:r>
      <w:r>
        <w:t xml:space="preserve"> </w:t>
      </w:r>
      <w:r>
        <w:t xml:space="preserve">Covered by</w:t>
      </w:r>
      <w:r>
        <w:t xml:space="preserve"> </w:t>
      </w:r>
      <w:r>
        <w:t xml:space="preserve">CTD as % of</w:t>
      </w:r>
      <w:r>
        <w:t xml:space="preserve"> </w:t>
      </w:r>
      <w:r>
        <w:t xml:space="preserve">total activity</w:t>
      </w:r>
      <w:r>
        <w:t xml:space="preserve"> </w:t>
      </w:r>
      <w:r>
        <w:t xml:space="preserve">Covered by CTD</w:t>
      </w:r>
      <w:r>
        <w:t xml:space="preserve"> </w:t>
      </w:r>
      <w:r>
        <w:t xml:space="preserve">as % of</w:t>
      </w:r>
      <w:r>
        <w:t xml:space="preserve"> </w:t>
      </w:r>
      <w:r>
        <w:t xml:space="preserve">intermodal</w:t>
      </w:r>
    </w:p>
    <w:p>
      <w:pPr>
        <w:pStyle w:val="Compact"/>
        <w:numPr>
          <w:ilvl w:val="0"/>
          <w:numId w:val="1010"/>
        </w:numPr>
      </w:pPr>
      <w:r>
        <w:t xml:space="preserve">(b/a)</w:t>
      </w:r>
      <w:r>
        <w:t xml:space="preserve"> </w:t>
      </w:r>
      <w:r>
        <w:t xml:space="preserve">(c/a)</w:t>
      </w:r>
      <w:r>
        <w:t xml:space="preserve"> </w:t>
      </w:r>
      <w:r>
        <w:t xml:space="preserve">(c/b)</w:t>
      </w:r>
      <w:r>
        <w:t xml:space="preserve"> </w:t>
      </w:r>
      <w:r>
        <w:t xml:space="preserve">Rail</w:t>
      </w:r>
      <w:r>
        <w:t xml:space="preserve"> </w:t>
      </w:r>
      <w:r>
        <w:t xml:space="preserve">396</w:t>
      </w:r>
      <w:r>
        <w:t xml:space="preserve"> </w:t>
      </w:r>
      <w:r>
        <w:t xml:space="preserve">123</w:t>
      </w:r>
      <w:r>
        <w:t xml:space="preserve"> </w:t>
      </w:r>
      <w:r>
        <w:t xml:space="preserve">74</w:t>
      </w:r>
      <w:r>
        <w:t xml:space="preserve"> </w:t>
      </w:r>
      <w:r>
        <w:t xml:space="preserve">31%</w:t>
      </w:r>
      <w:r>
        <w:t xml:space="preserve"> </w:t>
      </w:r>
      <w:r>
        <w:t xml:space="preserve">19%</w:t>
      </w:r>
      <w:r>
        <w:t xml:space="preserve"> </w:t>
      </w:r>
      <w:r>
        <w:t xml:space="preserve">60%</w:t>
      </w:r>
      <w:r>
        <w:t xml:space="preserve"> </w:t>
      </w:r>
      <w:r>
        <w:t xml:space="preserve">IWW</w:t>
      </w:r>
      <w:r>
        <w:t xml:space="preserve"> </w:t>
      </w:r>
      <w:r>
        <w:t xml:space="preserve">147</w:t>
      </w:r>
      <w:r>
        <w:t xml:space="preserve"> </w:t>
      </w:r>
      <w:r>
        <w:t xml:space="preserve">14</w:t>
      </w:r>
      <w:r>
        <w:t xml:space="preserve"> </w:t>
      </w:r>
      <w:r>
        <w:t xml:space="preserve">9</w:t>
      </w:r>
      <w:r>
        <w:t xml:space="preserve"> </w:t>
      </w:r>
      <w:r>
        <w:t xml:space="preserve">9%</w:t>
      </w:r>
      <w:r>
        <w:t xml:space="preserve"> </w:t>
      </w:r>
      <w:r>
        <w:t xml:space="preserve">6%</w:t>
      </w:r>
      <w:r>
        <w:t xml:space="preserve"> </w:t>
      </w:r>
      <w:r>
        <w:t xml:space="preserve">68%</w:t>
      </w:r>
      <w:r>
        <w:t xml:space="preserve"> </w:t>
      </w:r>
      <w:r>
        <w:t xml:space="preserve">SSS *</w:t>
      </w:r>
      <w:r>
        <w:t xml:space="preserve"> </w:t>
      </w:r>
      <w:r>
        <w:t xml:space="preserve">864</w:t>
      </w:r>
      <w:r>
        <w:t xml:space="preserve"> </w:t>
      </w:r>
      <w:r>
        <w:t xml:space="preserve">248</w:t>
      </w:r>
      <w:r>
        <w:t xml:space="preserve"> </w:t>
      </w:r>
      <w:r>
        <w:t xml:space="preserve">89</w:t>
      </w:r>
      <w:r>
        <w:t xml:space="preserve"> </w:t>
      </w:r>
      <w:r>
        <w:t xml:space="preserve">29%</w:t>
      </w:r>
      <w:r>
        <w:t xml:space="preserve"> </w:t>
      </w:r>
      <w:r>
        <w:t xml:space="preserve">10%</w:t>
      </w:r>
      <w:r>
        <w:t xml:space="preserve"> </w:t>
      </w:r>
      <w:r>
        <w:t xml:space="preserve">36%</w:t>
      </w:r>
      <w:r>
        <w:t xml:space="preserve"> </w:t>
      </w:r>
      <w:r>
        <w:t xml:space="preserve">Total</w:t>
      </w:r>
      <w:r>
        <w:t xml:space="preserve"> </w:t>
      </w:r>
      <w:r>
        <w:t xml:space="preserve">1 407</w:t>
      </w:r>
      <w:r>
        <w:t xml:space="preserve"> </w:t>
      </w:r>
      <w:r>
        <w:t xml:space="preserve">385</w:t>
      </w:r>
      <w:r>
        <w:t xml:space="preserve"> </w:t>
      </w:r>
      <w:r>
        <w:t xml:space="preserve">172</w:t>
      </w:r>
      <w:r>
        <w:t xml:space="preserve"> </w:t>
      </w:r>
      <w:r>
        <w:t xml:space="preserve">27%</w:t>
      </w:r>
      <w:r>
        <w:t xml:space="preserve"> </w:t>
      </w:r>
      <w:r>
        <w:t xml:space="preserve">12%</w:t>
      </w:r>
      <w:r>
        <w:t xml:space="preserve"> </w:t>
      </w:r>
      <w:r>
        <w:t xml:space="preserve">45%</w:t>
      </w:r>
      <w:r>
        <w:t xml:space="preserve"> </w:t>
      </w:r>
      <w:r>
        <w:t xml:space="preserve">Source: Ricardo et al. support study (2023). Note: * includes only domestic and intra-EU27 transport</w:t>
      </w:r>
      <w:r>
        <w:t xml:space="preserve"> </w:t>
      </w:r>
      <w:r>
        <w:t xml:space="preserve">Transhipment</w:t>
      </w:r>
      <w:r>
        <w:t xml:space="preserve"> </w:t>
      </w:r>
      <w:r>
        <w:t xml:space="preserve">Transhipment between modes represent an additional key element in intermodal transport chains, and</w:t>
      </w:r>
      <w:r>
        <w:t xml:space="preserve"> </w:t>
      </w:r>
      <w:r>
        <w:t xml:space="preserve">various studies analyse the volume of operations and the performance of intermodal terminals in the</w:t>
      </w:r>
      <w:r>
        <w:t xml:space="preserve"> </w:t>
      </w:r>
      <w:r>
        <w:t xml:space="preserve">EU. In 2015, terminals in EU27 carried out an average of over 58 million transhipment operations</w:t>
      </w:r>
      <w:r>
        <w:t xml:space="preserve"> </w:t>
      </w:r>
      <w:r>
        <w:t xml:space="preserve">per year, of which approximately 38 million (65%) are at seaports, 28% at hinterland rail terminals,</w:t>
      </w:r>
      <w:r>
        <w:t xml:space="preserve"> </w:t>
      </w:r>
      <w:r>
        <w:t xml:space="preserve">and 6% in the IWW/road sector (see Table 29).</w:t>
      </w:r>
      <w:r>
        <w:br/>
      </w:r>
      <w:r>
        <w:t xml:space="preserve">Table 30: Transhipment operations in EU27 (2015)</w:t>
      </w:r>
    </w:p>
    <w:p>
      <w:pPr>
        <w:pStyle w:val="FirstParagraph"/>
      </w:pPr>
      <w:r>
        <w:t xml:space="preserve">Annual number of transhipments (million)</w:t>
      </w:r>
      <w:r>
        <w:t xml:space="preserve"> </w:t>
      </w:r>
      <w:r>
        <w:t xml:space="preserve">Share of total</w:t>
      </w:r>
      <w:r>
        <w:t xml:space="preserve"> </w:t>
      </w:r>
      <w:r>
        <w:t xml:space="preserve">Rail/road</w:t>
      </w:r>
      <w:r>
        <w:t xml:space="preserve"> </w:t>
      </w:r>
      <w:r>
        <w:t xml:space="preserve">17</w:t>
      </w:r>
      <w:r>
        <w:t xml:space="preserve"> </w:t>
      </w:r>
      <w:r>
        <w:t xml:space="preserve">28%</w:t>
      </w:r>
      <w:r>
        <w:t xml:space="preserve"> </w:t>
      </w:r>
      <w:r>
        <w:t xml:space="preserve">IWW/road</w:t>
      </w:r>
      <w:r>
        <w:t xml:space="preserve"> </w:t>
      </w:r>
      <w:r>
        <w:t xml:space="preserve">4</w:t>
      </w:r>
      <w:r>
        <w:t xml:space="preserve"> </w:t>
      </w:r>
      <w:r>
        <w:t xml:space="preserve">6%</w:t>
      </w:r>
      <w:r>
        <w:t xml:space="preserve"> </w:t>
      </w:r>
      <w:r>
        <w:t xml:space="preserve">SSS/road</w:t>
      </w:r>
      <w:r>
        <w:t xml:space="preserve"> </w:t>
      </w:r>
      <w:r>
        <w:t xml:space="preserve">38</w:t>
      </w:r>
      <w:r>
        <w:t xml:space="preserve"> </w:t>
      </w:r>
      <w:r>
        <w:t xml:space="preserve">65%</w:t>
      </w:r>
      <w:r>
        <w:t xml:space="preserve"> </w:t>
      </w:r>
      <w:r>
        <w:t xml:space="preserve">Total</w:t>
      </w:r>
      <w:r>
        <w:t xml:space="preserve"> </w:t>
      </w:r>
      <w:r>
        <w:t xml:space="preserve">58</w:t>
      </w:r>
      <w:r>
        <w:t xml:space="preserve"> </w:t>
      </w:r>
      <w:r>
        <w:t xml:space="preserve">100%</w:t>
      </w:r>
      <w:r>
        <w:t xml:space="preserve"> </w:t>
      </w:r>
      <w:r>
        <w:t xml:space="preserve">Source: Ricardo et al. support study (2023).</w:t>
      </w:r>
      <w:r>
        <w:t xml:space="preserve"> </w:t>
      </w:r>
      <w:r>
        <w:t xml:space="preserve">Cost of transport</w:t>
      </w:r>
      <w:r>
        <w:t xml:space="preserve"> </w:t>
      </w:r>
      <w:r>
        <w:t xml:space="preserve">The cost of rail transport is estimated based on a bottom-up approach combining the following categories</w:t>
      </w:r>
      <w:r>
        <w:t xml:space="preserve"> </w:t>
      </w:r>
      <w:r>
        <w:t xml:space="preserve">of costs: costs related to locomotives (including interest, depreciation, maintenance, etc.), driver costs,</w:t>
      </w:r>
      <w:r>
        <w:t xml:space="preserve"> </w:t>
      </w:r>
      <w:r>
        <w:t xml:space="preserve">other operation costs such as electricity costs and track access charges (TAC). In order to get comparable</w:t>
      </w:r>
      <w:r>
        <w:t xml:space="preserve"> </w:t>
      </w:r>
      <w:r>
        <w:t xml:space="preserve">data with the all-road transport, some assumptions had to made with respect to the composition of the</w:t>
      </w:r>
      <w:r>
        <w:t xml:space="preserve"> </w:t>
      </w:r>
      <w:r>
        <w:t xml:space="preserve">trains (number of wagons and locomotive), load factors, weight of tares (container, semi-trailer, swap</w:t>
      </w:r>
      <w:r>
        <w:t xml:space="preserve"> </w:t>
      </w:r>
      <w:r>
        <w:t xml:space="preserve">bodies), length and weight of the train, average speed (45-50 km/h), single trip/round trip. The cost per</w:t>
      </w:r>
      <w:r>
        <w:t xml:space="preserve"> </w:t>
      </w:r>
      <w:r>
        <w:t xml:space="preserve">intermodal train-km is estimated in the range of 12-15 EUR/train-km, also depending on the country (there</w:t>
      </w:r>
      <w:r>
        <w:t xml:space="preserve"> </w:t>
      </w:r>
      <w:r>
        <w:t xml:space="preserve">are differences with respect to driver wages, TAC and electricity costs). To this, shunting operations and</w:t>
      </w:r>
      <w:r>
        <w:t xml:space="preserve"> </w:t>
      </w:r>
      <w:r>
        <w:t xml:space="preserve">terminal handling (included in transhipment costs) need to be added. Over the past years, changes have</w:t>
      </w:r>
      <w:r>
        <w:t xml:space="preserve"> </w:t>
      </w:r>
      <w:r>
        <w:t xml:space="preserve">been observed in TAC (as in several countries they have been reduced to support the sector) and in</w:t>
      </w:r>
      <w:r>
        <w:t xml:space="preserve"> </w:t>
      </w:r>
      <w:r>
        <w:t xml:space="preserve">electricity prices (in particular current price are far higher compared to a year ago).</w:t>
      </w:r>
      <w:r>
        <w:t xml:space="preserve"> </w:t>
      </w:r>
      <w:r>
        <w:t xml:space="preserve">The average cost for container transport by inland waterway, taking into account a typical barge of 600</w:t>
      </w:r>
      <w:r>
        <w:t xml:space="preserve"> </w:t>
      </w:r>
      <w:r>
        <w:t xml:space="preserve">TEU over a navigation distance of 250 km is estimated to be around 0.03EUR/t-km. The cost does not</w:t>
      </w:r>
      <w:r>
        <w:t xml:space="preserve"> </w:t>
      </w:r>
      <w:r>
        <w:t xml:space="preserve">include terminal handling, which needs to be added.</w:t>
      </w:r>
      <w:r>
        <w:t xml:space="preserve"> </w:t>
      </w:r>
      <w:r>
        <w:t xml:space="preserve">The average cost for container transport by short sea shipping, taking into account typical ships between</w:t>
      </w:r>
      <w:r>
        <w:t xml:space="preserve"> </w:t>
      </w:r>
      <w:r>
        <w:t xml:space="preserve">600 and 2500 TEU mostly used for feeder services, is estimated to be around 0.13-0.14 EUR/TEU-km. In Ro-</w:t>
      </w:r>
      <w:r>
        <w:t xml:space="preserve"> </w:t>
      </w:r>
      <w:r>
        <w:t xml:space="preserve">Ro transport, the unit transported are trucks or semitrailer driven onto a ferry, which can be accompanied</w:t>
      </w:r>
      <w:r>
        <w:t xml:space="preserve"> </w:t>
      </w:r>
      <w:r>
        <w:t xml:space="preserve">or not accompanied. The semitrailers as units are more commonly shipped unaccompanied, and ships carry</w:t>
      </w:r>
      <w:r>
        <w:t xml:space="preserve"> </w:t>
      </w:r>
      <w:r>
        <w:t xml:space="preserve">between 150 and 200 units over an average distance of 500 km. The unit price is estimated to be around</w:t>
      </w:r>
      <w:r>
        <w:t xml:space="preserve"> </w:t>
      </w:r>
      <w:r>
        <w:t xml:space="preserve">0.6 EUR per unit per km. Since the semitrailer can be considered equivalent to 2 TEU, the cost per TEU is</w:t>
      </w:r>
      <w:r>
        <w:t xml:space="preserve"> </w:t>
      </w:r>
      <w:r>
        <w:t xml:space="preserve">estimated to be in the range of 0.3 EUR/TEU-km. For longer distances the unit price is decreasing. To this,</w:t>
      </w:r>
      <w:r>
        <w:t xml:space="preserve"> </w:t>
      </w:r>
      <w:r>
        <w:t xml:space="preserve">the container handling in port terminal needs to be added the cost of container handling.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For road legs, the main input data included the costs related to vehicles (purchase/lease, interest/capital</w:t>
      </w:r>
      <w:r>
        <w:t xml:space="preserve"> </w:t>
      </w:r>
      <w:r>
        <w:t xml:space="preserve">cost, taxes, maintenance), other operation costs (fuel and additives, tyres, lubricants), driver costs, tolls</w:t>
      </w:r>
      <w:r>
        <w:t xml:space="preserve"> </w:t>
      </w:r>
      <w:r>
        <w:t xml:space="preserve">and other costs such as overheads, based on the following assumptions:</w:t>
      </w:r>
      <w:r>
        <w:t xml:space="preserve"> </w:t>
      </w:r>
      <w:r>
        <w:t xml:space="preserve">1. Yearly mileage: typically, heavy goods vehicles used for long distance transport travel 100,000-</w:t>
      </w:r>
      <w:r>
        <w:t xml:space="preserve"> </w:t>
      </w:r>
      <w:r>
        <w:t xml:space="preserve">120,000 km per year162.</w:t>
      </w:r>
      <w:r>
        <w:br/>
      </w:r>
      <w:r>
        <w:t xml:space="preserve">2. The average speed, assumed in the 60-65 km/h range, is also affecting the unit cost as many cost</w:t>
      </w:r>
      <w:r>
        <w:t xml:space="preserve"> </w:t>
      </w:r>
      <w:r>
        <w:t xml:space="preserve">components depend on the time spent.</w:t>
      </w:r>
      <w:r>
        <w:t xml:space="preserve"> </w:t>
      </w:r>
      <w:r>
        <w:t xml:space="preserve">3. Fuel consumption: current consumption rate is assumed on long distance at around 32 litre/100</w:t>
      </w:r>
      <w:r>
        <w:t xml:space="preserve"> </w:t>
      </w:r>
      <w:r>
        <w:t xml:space="preserve">km163. This is assumed to decrease over time following the baseline projections results provided</w:t>
      </w:r>
      <w:r>
        <w:t xml:space="preserve"> </w:t>
      </w:r>
      <w:r>
        <w:t xml:space="preserve">by the PRIMES-TREMOVE model, taking into account the stricter limits set by emission standard</w:t>
      </w:r>
      <w:r>
        <w:t xml:space="preserve"> </w:t>
      </w:r>
      <w:r>
        <w:t xml:space="preserve">regulations and the use of alternative fuels. In the long term, the projected shift to electrified</w:t>
      </w:r>
      <w:r>
        <w:t xml:space="preserve"> </w:t>
      </w:r>
      <w:r>
        <w:t xml:space="preserve">powertrains is expected to reduce this cost component.</w:t>
      </w:r>
      <w:r>
        <w:br/>
      </w:r>
      <w:r>
        <w:t xml:space="preserve">4. Road transport assumptions for feeder services (pre and post haulage) see a higher unit cost per</w:t>
      </w:r>
      <w:r>
        <w:t xml:space="preserve"> </w:t>
      </w:r>
      <w:r>
        <w:t xml:space="preserve">km. This is because of the higher time dependency of the cost (waiting times), and consequently</w:t>
      </w:r>
      <w:r>
        <w:t xml:space="preserve"> </w:t>
      </w:r>
      <w:r>
        <w:t xml:space="preserve">on the shorter distance driven on a yearly basis.</w:t>
      </w:r>
      <w:r>
        <w:br/>
      </w:r>
      <w:r>
        <w:t xml:space="preserve">Finally, the cost of transhipments is based on input from a 2017 study by TRT164 and a more recent study on</w:t>
      </w:r>
      <w:r>
        <w:t xml:space="preserve"> </w:t>
      </w:r>
      <w:r>
        <w:t xml:space="preserve">transhipment technologies by PWC165. An average cost has been considered taking into account the weight</w:t>
      </w:r>
      <w:r>
        <w:t xml:space="preserve"> </w:t>
      </w:r>
      <w:r>
        <w:t xml:space="preserve">of the different type of units. In the former it was estimated e.g. that the costs per transhipment are on</w:t>
      </w:r>
      <w:r>
        <w:t xml:space="preserve"> </w:t>
      </w:r>
      <w:r>
        <w:t xml:space="preserve">average EUR 51 in the RR sector, EUR 42 for IWW/road, and EUR 67 for SSS/road. More granular</w:t>
      </w:r>
      <w:r>
        <w:t xml:space="preserve"> </w:t>
      </w:r>
      <w:r>
        <w:t xml:space="preserve">information on transhipment costs is provided in the latter, showing for instance how transhipment costs</w:t>
      </w:r>
      <w:r>
        <w:t xml:space="preserve"> </w:t>
      </w:r>
      <w:r>
        <w:t xml:space="preserve">vary depending on the technology used, the type of loading unit, as well as the transport modes</w:t>
      </w:r>
      <w:r>
        <w:t xml:space="preserve"> </w:t>
      </w:r>
      <w:r>
        <w:t xml:space="preserve">concerned. The study also provides information on the distribution of costs among different components</w:t>
      </w:r>
      <w:r>
        <w:t xml:space="preserve"> </w:t>
      </w:r>
      <w:r>
        <w:t xml:space="preserve">(i.e. investment, operation, and ground costs).</w:t>
      </w:r>
      <w:r>
        <w:br/>
      </w:r>
      <w:r>
        <w:t xml:space="preserve">Policies in the Baseline scenario</w:t>
      </w:r>
      <w:r>
        <w:br/>
      </w:r>
      <w:r>
        <w:t xml:space="preserve">Building on the EU Reference scenario 2020, the impact assessments accompanying the ‘Fit for 55’</w:t>
      </w:r>
      <w:r>
        <w:t xml:space="preserve"> </w:t>
      </w:r>
      <w:r>
        <w:t xml:space="preserve">initiatives proposed by the Commission on 14 July 2021166 considered several scenarios relying on</w:t>
      </w:r>
      <w:r>
        <w:t xml:space="preserve"> </w:t>
      </w:r>
      <w:r>
        <w:t xml:space="preserve">regulatory measures and carbon pricing. They took into account a broader range of policies (including this</w:t>
      </w:r>
      <w:r>
        <w:t xml:space="preserve"> </w:t>
      </w:r>
      <w:r>
        <w:t xml:space="preserve">initiative as well as the initiatives on rail capacity, the revision of the Weights and Dimensions Directive and</w:t>
      </w:r>
      <w:r>
        <w:t xml:space="preserve"> </w:t>
      </w:r>
      <w:r>
        <w:t xml:space="preserve">the CEEU), that were represented in a stylised way ahead of the actual proposals, to show the delivery of at</w:t>
      </w:r>
      <w:r>
        <w:t xml:space="preserve"> </w:t>
      </w:r>
      <w:r>
        <w:t xml:space="preserve">least 55% emissions reduction target by 2030 and to account for the interaction with the forthcoming</w:t>
      </w:r>
      <w:r>
        <w:t xml:space="preserve"> </w:t>
      </w:r>
      <w:r>
        <w:t xml:space="preserve">initiatives. The scenario reflecting the preferred policy options of the impact assessments accompanying</w:t>
      </w:r>
      <w:r>
        <w:t xml:space="preserve"> </w:t>
      </w:r>
      <w:r>
        <w:t xml:space="preserve">the proposals considered a balanced approach, showing a combined approach of carbon pricing</w:t>
      </w:r>
      <w:r>
        <w:t xml:space="preserve"> </w:t>
      </w:r>
      <w:r>
        <w:t xml:space="preserve">instruments and regulatory-based measures (including this initiative as well as the initiatives on rail</w:t>
      </w:r>
      <w:r>
        <w:t xml:space="preserve"> </w:t>
      </w:r>
      <w:r>
        <w:t xml:space="preserve">capacity, the revision of the Weights and Dimensions Directive and the CEEU) to deliver on the increased</w:t>
      </w:r>
      <w:r>
        <w:t xml:space="preserve"> </w:t>
      </w:r>
      <w:r>
        <w:t xml:space="preserve">climate ambition. The staff working document accompanying the REPowerEU initiatives167 took as a</w:t>
      </w:r>
      <w:r>
        <w:t xml:space="preserve"> </w:t>
      </w:r>
      <w:r>
        <w:t xml:space="preserve">starting point the scenario of the ‘Fit for 55’ package showing a combined approach of carbon pricing</w:t>
      </w:r>
      <w:r>
        <w:t xml:space="preserve"> </w:t>
      </w:r>
      <w:r>
        <w:t xml:space="preserve">instruments and regulatory-based measures and additionally included the proposed revision of the</w:t>
      </w:r>
      <w:r>
        <w:t xml:space="preserve"> </w:t>
      </w:r>
      <w:r>
        <w:t xml:space="preserve">Renewable Energy Directive and Energy Efficiency Directive. All these scenarios share the same macro-</w:t>
      </w:r>
    </w:p>
    <w:p>
      <w:pPr>
        <w:pStyle w:val="BodyText"/>
      </w:pPr>
      <w:r>
        <w:t xml:space="preserve">162 The value usually found in literature are between 100 and 130 thousand km. See for example the analysis performed</w:t>
      </w:r>
      <w:r>
        <w:t xml:space="preserve"> </w:t>
      </w:r>
      <w:r>
        <w:t xml:space="preserve">by the Comité national routier (https://www.cnr.fr/en/espace-europe).</w:t>
      </w:r>
      <w:r>
        <w:t xml:space="preserve"> </w:t>
      </w:r>
      <w:r>
        <w:t xml:space="preserve">163 This variable can be retrieved for example from CNR analyses, http://www.cnr.fr</w:t>
      </w:r>
      <w:r>
        <w:br/>
      </w:r>
      <w:r>
        <w:t xml:space="preserve">164 TRT (2017), op.cit.</w:t>
      </w:r>
      <w:r>
        <w:t xml:space="preserve"> </w:t>
      </w:r>
      <w:r>
        <w:t xml:space="preserve">165 PWC, KombiConsult (2022), op.cit.</w:t>
      </w:r>
      <w:r>
        <w:br/>
      </w:r>
      <w:r>
        <w:t xml:space="preserve">166 https://ec.europa.eu/info/strategy/priorities-2019-2024/european-green-deal/delivering-european-green-deal_en</w:t>
      </w:r>
      <w:r>
        <w:t xml:space="preserve"> </w:t>
      </w:r>
      <w:r>
        <w:t xml:space="preserve">167 SWD(2022) 230 final.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economic and technology assumptions and also include the policy measures part of the EU Reference</w:t>
      </w:r>
      <w:r>
        <w:t xml:space="preserve"> </w:t>
      </w:r>
      <w:r>
        <w:t xml:space="preserve">scenario 2020.</w:t>
      </w:r>
      <w:r>
        <w:t xml:space="preserve"> </w:t>
      </w:r>
      <w:r>
        <w:t xml:space="preserve">The baseline scenario for this impact assessment builds on the EU Reference scenario 2020 (similarly to the</w:t>
      </w:r>
      <w:r>
        <w:t xml:space="preserve"> </w:t>
      </w:r>
      <w:r>
        <w:t xml:space="preserve">‘Fit for 55’ and REPowerEU scenario) and thus share the same macro-economic and technology</w:t>
      </w:r>
      <w:r>
        <w:t xml:space="preserve"> </w:t>
      </w:r>
      <w:r>
        <w:t xml:space="preserve">assumptions. It also includes all the policy measures part of the EU Reference scenario 2020. In addition,</w:t>
      </w:r>
      <w:r>
        <w:t xml:space="preserve"> </w:t>
      </w:r>
      <w:r>
        <w:t xml:space="preserve">the baseline scenario has been designed to include the ‘Fit for 55’ initiatives and the REPowerEU initiatives</w:t>
      </w:r>
      <w:r>
        <w:t xml:space="preserve"> </w:t>
      </w:r>
      <w:r>
        <w:t xml:space="preserve">while excluding this initiative and other initiatives part of the forthcoming Greening Freight package</w:t>
      </w:r>
      <w:r>
        <w:t xml:space="preserve"> </w:t>
      </w:r>
      <w:r>
        <w:t xml:space="preserve">(initiatives on rail capacity, the revision of the Weights and Dimensions Directive and the CountEmissions</w:t>
      </w:r>
      <w:r>
        <w:t xml:space="preserve"> </w:t>
      </w:r>
      <w:r>
        <w:t xml:space="preserve">EU). In other words, the baseline scenario of this initiative does not include the proposed revision of the</w:t>
      </w:r>
      <w:r>
        <w:t xml:space="preserve"> </w:t>
      </w:r>
      <w:r>
        <w:t xml:space="preserve">CTD but only the current CTD.</w:t>
      </w:r>
      <w:r>
        <w:t xml:space="preserve"> </w:t>
      </w:r>
      <w:r>
        <w:t xml:space="preserve">The baseline also incorporates foresight megatrends168 and developments captured in the 2022 Strategic</w:t>
      </w:r>
      <w:r>
        <w:t xml:space="preserve"> </w:t>
      </w:r>
      <w:r>
        <w:t xml:space="preserve">Foresight Report169. Among others, it captures the trend of increasing demand for transport as population</w:t>
      </w:r>
      <w:r>
        <w:t xml:space="preserve"> </w:t>
      </w:r>
      <w:r>
        <w:t xml:space="preserve">and living standards grow as well as the links between the digital and green transition. In particular, the</w:t>
      </w:r>
      <w:r>
        <w:t xml:space="preserve"> </w:t>
      </w:r>
      <w:r>
        <w:t xml:space="preserve">projected transport activity draws on the long-term population projections from Eurostat and GDP growth</w:t>
      </w:r>
      <w:r>
        <w:t xml:space="preserve"> </w:t>
      </w:r>
      <w:r>
        <w:t xml:space="preserve">from the Ageing Report 2021170 by the Directorate General for Economic and Financial Affairs.</w:t>
      </w:r>
      <w:r>
        <w:t xml:space="preserve"> </w:t>
      </w:r>
      <w:r>
        <w:t xml:space="preserve">Baseline scenario results</w:t>
      </w:r>
      <w:r>
        <w:t xml:space="preserve"> </w:t>
      </w:r>
      <w:r>
        <w:t xml:space="preserve">EU transport activity is projected to grow post-2020, following the recovery from the COVID</w:t>
      </w:r>
      <w:r>
        <w:t xml:space="preserve"> </w:t>
      </w:r>
      <w:r>
        <w:t xml:space="preserve">pandemic. Road transport would maintain its dominant role, its activity going up by 29.1% by 2030</w:t>
      </w:r>
      <w:r>
        <w:t xml:space="preserve"> </w:t>
      </w:r>
      <w:r>
        <w:t xml:space="preserve">relative to 2015 (48.9% for 2015-2050). Rail transport activity is projected to grow significantly</w:t>
      </w:r>
      <w:r>
        <w:t xml:space="preserve"> </w:t>
      </w:r>
      <w:r>
        <w:t xml:space="preserve">faster than road, driven in particular by the gradual completion of the TEN-T network, supported by</w:t>
      </w:r>
      <w:r>
        <w:t xml:space="preserve"> </w:t>
      </w:r>
      <w:r>
        <w:t xml:space="preserve">the Connecting Europe Facility, Cohesion Fund and the European Regional Development Fund</w:t>
      </w:r>
      <w:r>
        <w:t xml:space="preserve"> </w:t>
      </w:r>
      <w:r>
        <w:t xml:space="preserve">funding. Measures of the ‘Fit for 55’ package also increase to some extent the competitiveness of</w:t>
      </w:r>
      <w:r>
        <w:t xml:space="preserve"> </w:t>
      </w:r>
      <w:r>
        <w:t xml:space="preserve">rail and of waterborne transport relative to road transport. Freight rail traffic would increase by 42.2%</w:t>
      </w:r>
      <w:r>
        <w:t xml:space="preserve"> </w:t>
      </w:r>
      <w:r>
        <w:t xml:space="preserve">by 2030 relative to 2015 (96% for 2015-2050), hence falling short of the milestone of the SSMS of</w:t>
      </w:r>
      <w:r>
        <w:t xml:space="preserve"> </w:t>
      </w:r>
      <w:r>
        <w:t xml:space="preserve">increasing the traffic by 50% by 2030 and doubling it by 2050. Inland waterways and short sea</w:t>
      </w:r>
      <w:r>
        <w:t xml:space="preserve"> </w:t>
      </w:r>
      <w:r>
        <w:t xml:space="preserve">shipping activity is projected to go up by 21.1% by 2030 relative to 2015 (49.5% for 2015-2050),</w:t>
      </w:r>
      <w:r>
        <w:t xml:space="preserve"> </w:t>
      </w:r>
      <w:r>
        <w:t xml:space="preserve">also falling short of the milestone of the SSMS, in particular for 2030 (i.e. increase inland waterways</w:t>
      </w:r>
      <w:r>
        <w:t xml:space="preserve"> </w:t>
      </w:r>
      <w:r>
        <w:t xml:space="preserve">and short sea shipping traffic by 25% by 2030 and by 50% by 2050).</w:t>
      </w:r>
      <w:r>
        <w:br/>
      </w:r>
      <w:r>
        <w:t xml:space="preserve">Congestion costs would increase by about 14% by 2030 and 32% by 2050, relative to 2015. Congestion on</w:t>
      </w:r>
      <w:r>
        <w:t xml:space="preserve"> </w:t>
      </w:r>
      <w:r>
        <w:t xml:space="preserve">the inter-urban network would be the result of growing freight transport activity along specific corridors, in</w:t>
      </w:r>
      <w:r>
        <w:t xml:space="preserve"> </w:t>
      </w:r>
      <w:r>
        <w:t xml:space="preserve">particular where these corridors cross urban areas with heavy local traffic.</w:t>
      </w:r>
      <w:r>
        <w:br/>
      </w:r>
      <w:r>
        <w:t xml:space="preserve">CO2 emissions from transport171 are projected to be 24% lower by 2030 compared to 2015, and 87% lower</w:t>
      </w:r>
      <w:r>
        <w:t xml:space="preserve"> </w:t>
      </w:r>
      <w:r>
        <w:t xml:space="preserve">by 2050. The baseline scenario shows that the emission reductions from the transport sector would</w:t>
      </w:r>
      <w:r>
        <w:t xml:space="preserve"> </w:t>
      </w:r>
      <w:r>
        <w:t xml:space="preserve">contribute towards the ambition of at least 55% emission reductions by 2030 and climate neutrality by</w:t>
      </w:r>
      <w:r>
        <w:t xml:space="preserve"> </w:t>
      </w:r>
      <w:r>
        <w:t xml:space="preserve">2050, while relying to a significant extent on technological solutions (i.e. the uptake of low- and zero-</w:t>
      </w:r>
      <w:r>
        <w:t xml:space="preserve"> </w:t>
      </w:r>
      <w:r>
        <w:t xml:space="preserve">emission vehicles and of renewable and low carbon fuels) and carbon pricing. This would depart from the</w:t>
      </w:r>
      <w:r>
        <w:t xml:space="preserve"> </w:t>
      </w:r>
      <w:r>
        <w:t xml:space="preserve">balanced approach underpinning the impact assessments accompanying the ‘Fit for 55’ package and the</w:t>
      </w:r>
      <w:r>
        <w:t xml:space="preserve"> </w:t>
      </w:r>
      <w:r>
        <w:t xml:space="preserve">staff working document accompanying the REPowerEU initiatives172, showing a combined approach of</w:t>
      </w:r>
      <w:r>
        <w:t xml:space="preserve"> </w:t>
      </w:r>
      <w:r>
        <w:t xml:space="preserve">carbon pricing instruments and regulatory-based measures to deliver on the increased climate ambition. It</w:t>
      </w:r>
      <w:r>
        <w:t xml:space="preserve"> </w:t>
      </w:r>
      <w:r>
        <w:t xml:space="preserve">should be noted that the scenarios underpinning the impact assessments accompanying the ‘Fit for 55’</w:t>
      </w:r>
      <w:r>
        <w:t xml:space="preserve"> </w:t>
      </w:r>
      <w:r>
        <w:t xml:space="preserve">initiatives and the staff working document accompanying the REPowerEU initiatives took into account a</w:t>
      </w:r>
      <w:r>
        <w:t xml:space="preserve"> </w:t>
      </w:r>
      <w:r>
        <w:t xml:space="preserve">broader range of policies (including this initiative) that were represented in a stylised way ahead of the</w:t>
      </w:r>
    </w:p>
    <w:p>
      <w:pPr>
        <w:pStyle w:val="BodyText"/>
      </w:pPr>
      <w:r>
        <w:t xml:space="preserve">168 https://knowledge4policy.ec.europa.eu/foresight/tool/megatrends-hub_en#explore</w:t>
      </w:r>
      <w:r>
        <w:br/>
      </w:r>
      <w:r>
        <w:t xml:space="preserve">169 COM(2022) 289 final of 29 June 2022.</w:t>
      </w:r>
      <w:r>
        <w:t xml:space="preserve"> </w:t>
      </w:r>
      <w:r>
        <w:t xml:space="preserve">170 The 2021 Ageing Report: Underlying assumptions and projection methodologies, The 2021 Ageing Report:</w:t>
      </w:r>
      <w:r>
        <w:t xml:space="preserve"> </w:t>
      </w:r>
      <w:r>
        <w:t xml:space="preserve">Underlying Assumptions and Projection Methodologies | European Commission (europa.eu).</w:t>
      </w:r>
      <w:r>
        <w:br/>
      </w:r>
      <w:r>
        <w:t xml:space="preserve">171 Including international aviation but excluding international maritime.</w:t>
      </w:r>
      <w:r>
        <w:t xml:space="preserve"> </w:t>
      </w:r>
      <w:r>
        <w:t xml:space="preserve">172 SWD(2022) 230 final.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actual proposals, to show the delivery of at least 55% emissions reduction target by 2030 and to account</w:t>
      </w:r>
      <w:r>
        <w:t xml:space="preserve"> </w:t>
      </w:r>
      <w:r>
        <w:t xml:space="preserve">for the interaction with the forthcoming initiatives. The scenario reflecting the ‘Fit for 55’ initiatives, the</w:t>
      </w:r>
      <w:r>
        <w:t xml:space="preserve"> </w:t>
      </w:r>
      <w:r>
        <w:t xml:space="preserve">REPowerEU initiatives and the forthcoming initiatives shows the need to reduce emissions from transport</w:t>
      </w:r>
      <w:r>
        <w:t xml:space="preserve"> </w:t>
      </w:r>
      <w:r>
        <w:t xml:space="preserve">by 26% by 2030 relative to 2015 and by 94% by 2050. Therefore, this initiative contributes towards the at</w:t>
      </w:r>
      <w:r>
        <w:t xml:space="preserve"> </w:t>
      </w:r>
      <w:r>
        <w:t xml:space="preserve">least 55% emissions reductions target by 2030 and achieving climate neutrality by 2050.</w:t>
      </w:r>
      <w:r>
        <w:t xml:space="preserve"> </w:t>
      </w:r>
      <w:r>
        <w:t xml:space="preserve">NOx emissions are projected to go down by 56% between 2015 and 2030 (85% by 2050), mainly driven by</w:t>
      </w:r>
      <w:r>
        <w:t xml:space="preserve"> </w:t>
      </w:r>
      <w:r>
        <w:t xml:space="preserve">the electrification of the road transport and in particular of the light duty vehicles segment. The decline in</w:t>
      </w:r>
      <w:r>
        <w:t xml:space="preserve"> </w:t>
      </w:r>
      <w:r>
        <w:t xml:space="preserve">particulate matter (PM2.5) would be slightly lower by 2030 at 52% relative to 2015 (90% by 2050).</w:t>
      </w:r>
      <w:r>
        <w:t xml:space="preserve"> </w:t>
      </w:r>
      <w:r>
        <w:t xml:space="preserve">Intermodal transport</w:t>
      </w:r>
      <w:r>
        <w:t xml:space="preserve"> </w:t>
      </w:r>
      <w:r>
        <w:t xml:space="preserve">Drawing on the baseline projections for the freight transport activity, other information available from the</w:t>
      </w:r>
      <w:r>
        <w:t xml:space="preserve"> </w:t>
      </w:r>
      <w:r>
        <w:t xml:space="preserve">literature and modelling inputs, Table 30 presents the projected evolution of the intermodal transport</w:t>
      </w:r>
      <w:r>
        <w:t xml:space="preserve"> </w:t>
      </w:r>
      <w:r>
        <w:t xml:space="preserve">activity for the different combinations of modes for EU27. Total intermodal transport activity is projected</w:t>
      </w:r>
      <w:r>
        <w:t xml:space="preserve"> </w:t>
      </w:r>
      <w:r>
        <w:t xml:space="preserve">to grow by around 34% between 2015 and 2030 and 95% between 2015 and 2050. The largest growth is</w:t>
      </w:r>
      <w:r>
        <w:t xml:space="preserve"> </w:t>
      </w:r>
      <w:r>
        <w:t xml:space="preserve">estimated to take place in the intermodal RR sector, which is expected to more than double between 2015</w:t>
      </w:r>
      <w:r>
        <w:t xml:space="preserve"> </w:t>
      </w:r>
      <w:r>
        <w:t xml:space="preserve">and 2050 (170% increase), while the increase in the SSS and IWW intermodal sectors is expected to be</w:t>
      </w:r>
      <w:r>
        <w:t xml:space="preserve"> </w:t>
      </w:r>
      <w:r>
        <w:t xml:space="preserve">lower, at around 60% and 37% respectively.</w:t>
      </w:r>
      <w:r>
        <w:t xml:space="preserve"> </w:t>
      </w:r>
      <w:r>
        <w:t xml:space="preserve">Table 31: EU27 freight transport activity (billion tkm) and percent changes (2015-2030 and 2015-2050) in the</w:t>
      </w:r>
      <w:r>
        <w:t xml:space="preserve"> </w:t>
      </w:r>
      <w:r>
        <w:t xml:space="preserve">intermodal transport sectors</w:t>
      </w:r>
      <w:r>
        <w:t xml:space="preserve"> </w:t>
      </w:r>
      <w:r>
        <w:t xml:space="preserve">Intermodal freight</w:t>
      </w:r>
      <w:r>
        <w:t xml:space="preserve"> </w:t>
      </w:r>
      <w:r>
        <w:t xml:space="preserve">transport activity</w:t>
      </w:r>
      <w:r>
        <w:t xml:space="preserve"> </w:t>
      </w:r>
      <w:r>
        <w:t xml:space="preserve">(non-road legs)</w:t>
      </w:r>
      <w:r>
        <w:br/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2015-</w:t>
      </w:r>
      <w:r>
        <w:t xml:space="preserve"> </w:t>
      </w:r>
      <w:r>
        <w:t xml:space="preserve">2030</w:t>
      </w:r>
      <w:r>
        <w:t xml:space="preserve"> </w:t>
      </w:r>
      <w:r>
        <w:t xml:space="preserve">2015-</w:t>
      </w:r>
      <w:r>
        <w:t xml:space="preserve"> </w:t>
      </w:r>
      <w:r>
        <w:t xml:space="preserve">2050</w:t>
      </w:r>
      <w:r>
        <w:t xml:space="preserve"> </w:t>
      </w:r>
      <w:r>
        <w:t xml:space="preserve">Rail/road</w:t>
      </w:r>
      <w:r>
        <w:t xml:space="preserve"> </w:t>
      </w:r>
      <w:r>
        <w:t xml:space="preserve">123</w:t>
      </w:r>
      <w:r>
        <w:t xml:space="preserve"> </w:t>
      </w:r>
      <w:r>
        <w:t xml:space="preserve">134</w:t>
      </w:r>
      <w:r>
        <w:t xml:space="preserve"> </w:t>
      </w:r>
      <w:r>
        <w:t xml:space="preserve">191</w:t>
      </w:r>
      <w:r>
        <w:t xml:space="preserve"> </w:t>
      </w:r>
      <w:r>
        <w:t xml:space="preserve">271</w:t>
      </w:r>
      <w:r>
        <w:t xml:space="preserve"> </w:t>
      </w:r>
      <w:r>
        <w:t xml:space="preserve">334</w:t>
      </w:r>
      <w:r>
        <w:t xml:space="preserve"> </w:t>
      </w:r>
      <w:r>
        <w:t xml:space="preserve">55.1%</w:t>
      </w:r>
      <w:r>
        <w:t xml:space="preserve"> </w:t>
      </w:r>
      <w:r>
        <w:t xml:space="preserve">170.5%</w:t>
      </w:r>
      <w:r>
        <w:t xml:space="preserve"> </w:t>
      </w:r>
      <w:r>
        <w:t xml:space="preserve">IWW/road</w:t>
      </w:r>
      <w:r>
        <w:t xml:space="preserve"> </w:t>
      </w:r>
      <w:r>
        <w:t xml:space="preserve">14</w:t>
      </w:r>
      <w:r>
        <w:t xml:space="preserve"> </w:t>
      </w:r>
      <w:r>
        <w:t xml:space="preserve">13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19</w:t>
      </w:r>
      <w:r>
        <w:t xml:space="preserve"> </w:t>
      </w:r>
      <w:r>
        <w:t xml:space="preserve">3.6%</w:t>
      </w:r>
      <w:r>
        <w:t xml:space="preserve"> </w:t>
      </w:r>
      <w:r>
        <w:t xml:space="preserve">37.4%</w:t>
      </w:r>
      <w:r>
        <w:t xml:space="preserve"> </w:t>
      </w:r>
      <w:r>
        <w:t xml:space="preserve">SSS/road</w:t>
      </w:r>
      <w:r>
        <w:t xml:space="preserve"> </w:t>
      </w:r>
      <w:r>
        <w:t xml:space="preserve">248</w:t>
      </w:r>
      <w:r>
        <w:t xml:space="preserve"> </w:t>
      </w:r>
      <w:r>
        <w:t xml:space="preserve">274</w:t>
      </w:r>
      <w:r>
        <w:t xml:space="preserve"> </w:t>
      </w:r>
      <w:r>
        <w:t xml:space="preserve">310</w:t>
      </w:r>
      <w:r>
        <w:t xml:space="preserve"> </w:t>
      </w:r>
      <w:r>
        <w:t xml:space="preserve">355</w:t>
      </w:r>
      <w:r>
        <w:t xml:space="preserve"> </w:t>
      </w:r>
      <w:r>
        <w:t xml:space="preserve">398</w:t>
      </w:r>
      <w:r>
        <w:t xml:space="preserve"> </w:t>
      </w:r>
      <w:r>
        <w:t xml:space="preserve">25.0%</w:t>
      </w:r>
      <w:r>
        <w:t xml:space="preserve"> </w:t>
      </w:r>
      <w:r>
        <w:t xml:space="preserve">60.2%</w:t>
      </w:r>
      <w:r>
        <w:t xml:space="preserve"> </w:t>
      </w:r>
      <w:r>
        <w:t xml:space="preserve">Total</w:t>
      </w:r>
      <w:r>
        <w:t xml:space="preserve"> </w:t>
      </w:r>
      <w:r>
        <w:t xml:space="preserve">385</w:t>
      </w:r>
      <w:r>
        <w:t xml:space="preserve"> </w:t>
      </w:r>
      <w:r>
        <w:t xml:space="preserve">420</w:t>
      </w:r>
      <w:r>
        <w:t xml:space="preserve"> </w:t>
      </w:r>
      <w:r>
        <w:t xml:space="preserve">516</w:t>
      </w:r>
      <w:r>
        <w:t xml:space="preserve"> </w:t>
      </w:r>
      <w:r>
        <w:t xml:space="preserve">642</w:t>
      </w:r>
      <w:r>
        <w:t xml:space="preserve"> </w:t>
      </w:r>
      <w:r>
        <w:t xml:space="preserve">750</w:t>
      </w:r>
      <w:r>
        <w:t xml:space="preserve"> </w:t>
      </w:r>
      <w:r>
        <w:t xml:space="preserve">33.9%</w:t>
      </w:r>
      <w:r>
        <w:t xml:space="preserve"> </w:t>
      </w:r>
      <w:r>
        <w:t xml:space="preserve">94.7%</w:t>
      </w:r>
      <w:r>
        <w:t xml:space="preserve"> </w:t>
      </w:r>
      <w:r>
        <w:t xml:space="preserve">Source: Ricardo et al. support study (2023)</w:t>
      </w:r>
      <w:r>
        <w:br/>
      </w:r>
      <w:r>
        <w:t xml:space="preserve">The projected growth in the different intermodal sectors is driven by two main factors: the increase over</w:t>
      </w:r>
      <w:r>
        <w:t xml:space="preserve"> </w:t>
      </w:r>
      <w:r>
        <w:t xml:space="preserve">time in the overall EU freight transport activity, and the increasing role that unitised transport is expected</w:t>
      </w:r>
      <w:r>
        <w:t xml:space="preserve"> </w:t>
      </w:r>
      <w:r>
        <w:t xml:space="preserve">to have within the EU freight market. There is a clear trend in the EU indicating that freight is increasingly</w:t>
      </w:r>
      <w:r>
        <w:t xml:space="preserve"> </w:t>
      </w:r>
      <w:r>
        <w:t xml:space="preserve">moved in unitised loads, making intermodal one of the fastest growing segments in the EU freight</w:t>
      </w:r>
      <w:r>
        <w:t xml:space="preserve"> </w:t>
      </w:r>
      <w:r>
        <w:t xml:space="preserve">transport market. A recent survey on the rail freight market suggests e.g. that between 2009-2019</w:t>
      </w:r>
      <w:r>
        <w:t xml:space="preserve"> </w:t>
      </w:r>
      <w:r>
        <w:t xml:space="preserve">intermodal rail transport grew by almost 50% (compared to 16% growth for the overall rail freight) and</w:t>
      </w:r>
      <w:r>
        <w:t xml:space="preserve"> </w:t>
      </w:r>
      <w:r>
        <w:t xml:space="preserve">predicts that this trend will consolidate in future years173.</w:t>
      </w:r>
      <w:r>
        <w:br/>
      </w:r>
      <w:r>
        <w:t xml:space="preserve">The baseline projections presented in Table 30 have been defined using a more conservative approach,</w:t>
      </w:r>
      <w:r>
        <w:t xml:space="preserve"> </w:t>
      </w:r>
      <w:r>
        <w:t xml:space="preserve">considering in particular that, despite the strong potential highlighted by industry players, constraints in</w:t>
      </w:r>
      <w:r>
        <w:t xml:space="preserve"> </w:t>
      </w:r>
      <w:r>
        <w:t xml:space="preserve">terminal capacity will likely remain an issue in future years especially in the rail sector174. As a result, the</w:t>
      </w:r>
      <w:r>
        <w:t xml:space="preserve"> </w:t>
      </w:r>
      <w:r>
        <w:t xml:space="preserve">baseline projections show that intermodal transport will reach a share of nearly 34% of the overall EU rail</w:t>
      </w:r>
      <w:r>
        <w:t xml:space="preserve"> </w:t>
      </w:r>
      <w:r>
        <w:t xml:space="preserve">freight market by 2030, and further up to 43% by 2050. Intermodal transport in the SSS sector is expected</w:t>
      </w:r>
      <w:r>
        <w:t xml:space="preserve"> </w:t>
      </w:r>
      <w:r>
        <w:t xml:space="preserve">to perform just above average compared to the overall short sea shipping market, going up from the</w:t>
      </w:r>
      <w:r>
        <w:t xml:space="preserve"> </w:t>
      </w:r>
      <w:r>
        <w:t xml:space="preserve">current market share (29%) to 31% in 2050. The growth for the IWW sector is projected to be more aligned</w:t>
      </w:r>
      <w:r>
        <w:t xml:space="preserve"> </w:t>
      </w:r>
      <w:r>
        <w:t xml:space="preserve">to that of total inland waterway freight transport, i.e. maintaining a constant market share of 9%.</w:t>
      </w:r>
    </w:p>
    <w:p>
      <w:pPr>
        <w:pStyle w:val="BodyText"/>
      </w:pPr>
      <w:r>
        <w:t xml:space="preserve">173 According to UIC-UIRR (2020), in the period 2009-2019 intermodal rail transport activity (tkm) has grown by almost</w:t>
      </w:r>
      <w:r>
        <w:t xml:space="preserve"> </w:t>
      </w:r>
      <w:r>
        <w:t xml:space="preserve">50% (compared to 16% of total rail freight transport). Such increasing trend is estimated to continue also in future years,</w:t>
      </w:r>
      <w:r>
        <w:t xml:space="preserve"> </w:t>
      </w:r>
      <w:r>
        <w:t xml:space="preserve">with intermodal rail freight volumes growing by an additional 47% by 2049, reaching an annual volume of over 278</w:t>
      </w:r>
      <w:r>
        <w:t xml:space="preserve"> </w:t>
      </w:r>
      <w:r>
        <w:t xml:space="preserve">Gtkm and a market share in the rail freight market of over 50%.</w:t>
      </w:r>
      <w:r>
        <w:t xml:space="preserve"> </w:t>
      </w:r>
      <w:r>
        <w:t xml:space="preserve">174 The PWC, KombiConsult study (2022) estimates that terminal capacity in the EU will increase by only 18% untill</w:t>
      </w:r>
      <w:r>
        <w:t xml:space="preserve"> </w:t>
      </w:r>
      <w:r>
        <w:t xml:space="preserve">2030, considering current plans for both terminal upgrades and new terminal constructions.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Finally, considering the share of activity covered by the current CTD as estimated by ISL, KombiConsult</w:t>
      </w:r>
      <w:r>
        <w:t xml:space="preserve"> </w:t>
      </w:r>
      <w:r>
        <w:t xml:space="preserve">(2017)175, the volumes falling within the scope of the current CTD in the baseline were estimated (see Table</w:t>
      </w:r>
      <w:r>
        <w:t xml:space="preserve"> </w:t>
      </w:r>
      <w:r>
        <w:t xml:space="preserve">31). Without EU level action, in the baseline scenario the scope of application of the current CTD is</w:t>
      </w:r>
      <w:r>
        <w:t xml:space="preserve"> </w:t>
      </w:r>
      <w:r>
        <w:t xml:space="preserve">assumed to remain unchanged until 2050, so that the shares of freight transport activity covered by the</w:t>
      </w:r>
      <w:r>
        <w:t xml:space="preserve"> </w:t>
      </w:r>
      <w:r>
        <w:t xml:space="preserve">CTD remain the same as reported in Table 28. This implies that the freight activity covered by CTD grows at</w:t>
      </w:r>
      <w:r>
        <w:t xml:space="preserve"> </w:t>
      </w:r>
      <w:r>
        <w:t xml:space="preserve">the same rate as the intermodal freight transport activity (i.e. 170% increase for rail, 60% for SSS, and 37%</w:t>
      </w:r>
      <w:r>
        <w:t xml:space="preserve"> </w:t>
      </w:r>
      <w:r>
        <w:t xml:space="preserve">for IWW).</w:t>
      </w:r>
      <w:r>
        <w:br/>
      </w:r>
      <w:r>
        <w:t xml:space="preserve">Table 32: EU27 intermodal freight transport activity (billion tkm) covered by the CTD, and percent changes (2015-</w:t>
      </w:r>
      <w:r>
        <w:t xml:space="preserve"> </w:t>
      </w:r>
      <w:r>
        <w:t xml:space="preserve">2030 and 2015-2050)</w:t>
      </w:r>
      <w:r>
        <w:br/>
      </w:r>
      <w:r>
        <w:t xml:space="preserve">Intermodal freight transport</w:t>
      </w:r>
      <w:r>
        <w:t xml:space="preserve"> </w:t>
      </w:r>
      <w:r>
        <w:t xml:space="preserve">activity (non-road legs)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2015-2030</w:t>
      </w:r>
      <w:r>
        <w:t xml:space="preserve"> </w:t>
      </w:r>
      <w:r>
        <w:t xml:space="preserve">2015-2050</w:t>
      </w:r>
      <w:r>
        <w:t xml:space="preserve"> </w:t>
      </w:r>
      <w:r>
        <w:t xml:space="preserve">Rail/road</w:t>
      </w:r>
      <w:r>
        <w:t xml:space="preserve"> </w:t>
      </w:r>
      <w:r>
        <w:t xml:space="preserve">74</w:t>
      </w:r>
      <w:r>
        <w:t xml:space="preserve"> </w:t>
      </w:r>
      <w:r>
        <w:t xml:space="preserve">80</w:t>
      </w:r>
      <w:r>
        <w:t xml:space="preserve"> </w:t>
      </w:r>
      <w:r>
        <w:t xml:space="preserve">115</w:t>
      </w:r>
      <w:r>
        <w:t xml:space="preserve"> </w:t>
      </w:r>
      <w:r>
        <w:t xml:space="preserve">163</w:t>
      </w:r>
      <w:r>
        <w:t xml:space="preserve"> </w:t>
      </w:r>
      <w:r>
        <w:t xml:space="preserve">201</w:t>
      </w:r>
      <w:r>
        <w:t xml:space="preserve"> </w:t>
      </w:r>
      <w:r>
        <w:t xml:space="preserve">55.1%</w:t>
      </w:r>
      <w:r>
        <w:t xml:space="preserve"> </w:t>
      </w:r>
      <w:r>
        <w:t xml:space="preserve">170.5%</w:t>
      </w:r>
      <w:r>
        <w:t xml:space="preserve"> </w:t>
      </w:r>
      <w:r>
        <w:t xml:space="preserve">IWW/road</w:t>
      </w:r>
      <w:r>
        <w:t xml:space="preserve"> </w:t>
      </w:r>
      <w:r>
        <w:t xml:space="preserve">9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11</w:t>
      </w:r>
      <w:r>
        <w:t xml:space="preserve"> </w:t>
      </w:r>
      <w:r>
        <w:t xml:space="preserve">13</w:t>
      </w:r>
      <w:r>
        <w:t xml:space="preserve"> </w:t>
      </w:r>
      <w:r>
        <w:t xml:space="preserve">3.6%</w:t>
      </w:r>
      <w:r>
        <w:t xml:space="preserve"> </w:t>
      </w:r>
      <w:r>
        <w:t xml:space="preserve">37.4%</w:t>
      </w:r>
      <w:r>
        <w:t xml:space="preserve"> </w:t>
      </w:r>
      <w:r>
        <w:t xml:space="preserve">SSS/road</w:t>
      </w:r>
      <w:r>
        <w:t xml:space="preserve"> </w:t>
      </w:r>
      <w:r>
        <w:t xml:space="preserve">89</w:t>
      </w:r>
      <w:r>
        <w:t xml:space="preserve"> </w:t>
      </w:r>
      <w:r>
        <w:t xml:space="preserve">98</w:t>
      </w:r>
      <w:r>
        <w:t xml:space="preserve"> </w:t>
      </w:r>
      <w:r>
        <w:t xml:space="preserve">111</w:t>
      </w:r>
      <w:r>
        <w:t xml:space="preserve"> </w:t>
      </w:r>
      <w:r>
        <w:t xml:space="preserve">127</w:t>
      </w:r>
      <w:r>
        <w:t xml:space="preserve"> </w:t>
      </w:r>
      <w:r>
        <w:t xml:space="preserve">142</w:t>
      </w:r>
      <w:r>
        <w:t xml:space="preserve"> </w:t>
      </w:r>
      <w:r>
        <w:t xml:space="preserve">25.0%</w:t>
      </w:r>
      <w:r>
        <w:t xml:space="preserve"> </w:t>
      </w:r>
      <w:r>
        <w:t xml:space="preserve">60.2%</w:t>
      </w:r>
      <w:r>
        <w:t xml:space="preserve"> </w:t>
      </w:r>
      <w:r>
        <w:t xml:space="preserve">Total</w:t>
      </w:r>
      <w:r>
        <w:t xml:space="preserve"> </w:t>
      </w:r>
      <w:r>
        <w:t xml:space="preserve">172</w:t>
      </w:r>
      <w:r>
        <w:t xml:space="preserve"> </w:t>
      </w:r>
      <w:r>
        <w:t xml:space="preserve">187</w:t>
      </w:r>
      <w:r>
        <w:t xml:space="preserve"> </w:t>
      </w:r>
      <w:r>
        <w:t xml:space="preserve">235</w:t>
      </w:r>
      <w:r>
        <w:t xml:space="preserve"> </w:t>
      </w:r>
      <w:r>
        <w:t xml:space="preserve">301</w:t>
      </w:r>
      <w:r>
        <w:t xml:space="preserve"> </w:t>
      </w:r>
      <w:r>
        <w:t xml:space="preserve">356</w:t>
      </w:r>
      <w:r>
        <w:t xml:space="preserve"> </w:t>
      </w:r>
      <w:r>
        <w:t xml:space="preserve">36.8%</w:t>
      </w:r>
      <w:r>
        <w:t xml:space="preserve"> </w:t>
      </w:r>
      <w:r>
        <w:t xml:space="preserve">106.6%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Cost comparison</w:t>
      </w:r>
      <w:r>
        <w:t xml:space="preserve"> </w:t>
      </w:r>
      <w:r>
        <w:t xml:space="preserve">In order to compare intermodal operations with road-only alternatives, costs were calculated for a</w:t>
      </w:r>
      <w:r>
        <w:t xml:space="preserve"> </w:t>
      </w:r>
      <w:r>
        <w:t xml:space="preserve">range of cases. Fixed road legs distances were assumed based on the median distances established in</w:t>
      </w:r>
      <w:r>
        <w:t xml:space="preserve"> </w:t>
      </w:r>
      <w:r>
        <w:t xml:space="preserve">the 2017 study by ISL, KombiConsult176:</w:t>
      </w:r>
      <w:r>
        <w:br/>
      </w:r>
      <w:r>
        <w:t xml:space="preserve">Figure 15 shows the distances at which such intermodal operations become price-competitive or</w:t>
      </w:r>
      <w:r>
        <w:t xml:space="preserve"> </w:t>
      </w:r>
      <w:r>
        <w:t xml:space="preserve">break even with road-only transport, by modal combination.</w:t>
      </w:r>
      <w:r>
        <w:br/>
      </w:r>
      <w:r>
        <w:t xml:space="preserve">Figure 15: Cost comparison of select intermodal operations with road-only alternative</w:t>
      </w:r>
    </w:p>
    <w:p>
      <w:pPr>
        <w:pStyle w:val="BodyText"/>
      </w:pPr>
      <w:r>
        <w:t xml:space="preserve">Source: Ricardo et al. support study (2023)</w:t>
      </w:r>
    </w:p>
    <w:p>
      <w:pPr>
        <w:pStyle w:val="BodyText"/>
      </w:pPr>
      <w:r>
        <w:t xml:space="preserve">175 KombiConsult (2017), op.cit.</w:t>
      </w:r>
      <w:r>
        <w:t xml:space="preserve"> </w:t>
      </w:r>
      <w:r>
        <w:t xml:space="preserve">176 Ibid.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3. IMPACTS ON COSTS AND COSTS SAVINGS PER POLICY MEASURE</w:t>
      </w:r>
      <w:r>
        <w:t xml:space="preserve"> </w:t>
      </w:r>
      <w:r>
        <w:t xml:space="preserve">This section provides an assessment of the impacts by policy measure or group of policy measures,</w:t>
      </w:r>
      <w:r>
        <w:t xml:space="preserve"> </w:t>
      </w:r>
      <w:r>
        <w:t xml:space="preserve">where relevant. The synergies between the policy measures included in the policy options are also</w:t>
      </w:r>
      <w:r>
        <w:t xml:space="preserve"> </w:t>
      </w:r>
      <w:r>
        <w:t xml:space="preserve">taken into account where relevant.</w:t>
      </w:r>
      <w:r>
        <w:br/>
      </w:r>
      <w:r>
        <w:t xml:space="preserve">3.1. Provide support to a wider range of operations under effective eligibility conditions (PM1-PM3)</w:t>
      </w:r>
      <w:r>
        <w:t xml:space="preserve"> </w:t>
      </w:r>
      <w:r>
        <w:t xml:space="preserve">3.1.1. Measures PM1 and PM2 – eligibility conditions</w:t>
      </w:r>
      <w:r>
        <w:t xml:space="preserve"> </w:t>
      </w:r>
      <w:r>
        <w:t xml:space="preserve">Under PM1 and PM2 the scope of eligibility for support is extended to all intermodal operations in</w:t>
      </w:r>
      <w:r>
        <w:t xml:space="preserve"> </w:t>
      </w:r>
      <w:r>
        <w:t xml:space="preserve">the EU that deliver a minimum level of savings of external costs compared to road-only transport.</w:t>
      </w:r>
      <w:r>
        <w:t xml:space="preserve"> </w:t>
      </w:r>
      <w:r>
        <w:t xml:space="preserve">Domestic, operations between Member States and the EU-part of international operations with third</w:t>
      </w:r>
      <w:r>
        <w:t xml:space="preserve"> </w:t>
      </w:r>
      <w:r>
        <w:t xml:space="preserve">countries would be covered as long as the operation taking place within EU delivers the required</w:t>
      </w:r>
      <w:r>
        <w:t xml:space="preserve"> </w:t>
      </w:r>
      <w:r>
        <w:t xml:space="preserve">savings. The eligibility for support is based only on actual socio-environmental merits avoiding the</w:t>
      </w:r>
      <w:r>
        <w:t xml:space="preserve"> </w:t>
      </w:r>
      <w:r>
        <w:t xml:space="preserve">abstract leg-distance definition for eligibility in the current CTD.</w:t>
      </w:r>
      <w:r>
        <w:t xml:space="preserve"> </w:t>
      </w:r>
      <w:r>
        <w:t xml:space="preserve">Socio-environmental merits</w:t>
      </w:r>
      <w:r>
        <w:t xml:space="preserve"> </w:t>
      </w:r>
      <w:r>
        <w:t xml:space="preserve">For defining the socio-environmental merits, three main criteria were analysed:</w:t>
      </w:r>
      <w:r>
        <w:t xml:space="preserve"> </w:t>
      </w:r>
      <w:r>
        <w:t xml:space="preserve">1.</w:t>
      </w:r>
      <w:r>
        <w:t xml:space="preserve"> </w:t>
      </w:r>
      <w:r>
        <w:t xml:space="preserve">establish which externalities ensure meaningful eligibility today but also in the future taking</w:t>
      </w:r>
      <w:r>
        <w:t xml:space="preserve"> </w:t>
      </w:r>
      <w:r>
        <w:t xml:space="preserve">into account the projected changes in transport externalities per mode up to 2050;</w:t>
      </w:r>
      <w:r>
        <w:br/>
      </w:r>
      <w:r>
        <w:t xml:space="preserve">2.</w:t>
      </w:r>
      <w:r>
        <w:t xml:space="preserve"> </w:t>
      </w:r>
      <w:r>
        <w:t xml:space="preserve">establish which level of external costs savings ensures that all three non-road modes (rail, inland</w:t>
      </w:r>
      <w:r>
        <w:t xml:space="preserve"> </w:t>
      </w:r>
      <w:r>
        <w:t xml:space="preserve">waterways, short sea shipping) would be eligible at a reasonable level;</w:t>
      </w:r>
      <w:r>
        <w:t xml:space="preserve"> </w:t>
      </w:r>
      <w:r>
        <w:t xml:space="preserve">3.</w:t>
      </w:r>
      <w:r>
        <w:t xml:space="preserve"> </w:t>
      </w:r>
      <w:r>
        <w:t xml:space="preserve">establish which level of external costs savings ensures that major part of operation is on non-</w:t>
      </w:r>
      <w:r>
        <w:t xml:space="preserve"> </w:t>
      </w:r>
      <w:r>
        <w:t xml:space="preserve">road.</w:t>
      </w:r>
      <w:r>
        <w:br/>
      </w:r>
      <w:r>
        <w:t xml:space="preserve">Two policy measures were assessed with regard to the socio-environmental merits: one looking at</w:t>
      </w:r>
      <w:r>
        <w:t xml:space="preserve"> </w:t>
      </w:r>
      <w:r>
        <w:t xml:space="preserve">the GHG emissions (PM1) and another one at a broader set of externalities including GHG emissions,</w:t>
      </w:r>
      <w:r>
        <w:t xml:space="preserve"> </w:t>
      </w:r>
      <w:r>
        <w:t xml:space="preserve">air pollution, congestion, accidents and noise (PM2) that an intermodal transport operation would</w:t>
      </w:r>
      <w:r>
        <w:t xml:space="preserve"> </w:t>
      </w:r>
      <w:r>
        <w:t xml:space="preserve">allow to save as compared to a corresponding unimodal road-only transport operation between the</w:t>
      </w:r>
      <w:r>
        <w:t xml:space="preserve"> </w:t>
      </w:r>
      <w:r>
        <w:t xml:space="preserve">same starting and ending points.</w:t>
      </w:r>
      <w:r>
        <w:br/>
      </w:r>
      <w:r>
        <w:t xml:space="preserve">The level of externalities and the potential socio-environmental advantages of an intermodal transport</w:t>
      </w:r>
      <w:r>
        <w:t xml:space="preserve"> </w:t>
      </w:r>
      <w:r>
        <w:t xml:space="preserve">operation vary depending on a wide range of factors, including transport-specific conditions (mode</w:t>
      </w:r>
      <w:r>
        <w:t xml:space="preserve"> </w:t>
      </w:r>
      <w:r>
        <w:t xml:space="preserve">combinations, distance covered, etc.) and environmental and location-specific factors (geographical</w:t>
      </w:r>
      <w:r>
        <w:t xml:space="preserve"> </w:t>
      </w:r>
      <w:r>
        <w:t xml:space="preserve">scope, level of congestion, etc.). As it is not possible to assess in detail the externalities related to all</w:t>
      </w:r>
      <w:r>
        <w:t xml:space="preserve"> </w:t>
      </w:r>
      <w:r>
        <w:t xml:space="preserve">different intermodal and road-only transport operations in EU, the impacts of PM1 and PM2 are</w:t>
      </w:r>
      <w:r>
        <w:t xml:space="preserve"> </w:t>
      </w:r>
      <w:r>
        <w:t xml:space="preserve">assessed based on average externality factors per unit of transport activity (e.g., GHG emissions per</w:t>
      </w:r>
      <w:r>
        <w:t xml:space="preserve"> </w:t>
      </w:r>
      <w:r>
        <w:t xml:space="preserve">ton-km travelled by a certain mode or combination of modes). More specifically:</w:t>
      </w:r>
      <w:r>
        <w:t xml:space="preserve"> </w:t>
      </w:r>
      <w:r>
        <w:t xml:space="preserve">a) As regards PM1, average GHG emission factors were estimated for each mode considering</w:t>
      </w:r>
      <w:r>
        <w:t xml:space="preserve"> </w:t>
      </w:r>
      <w:r>
        <w:t xml:space="preserve">the emissions per unit of transport activity (tkm) from the baseline scenario;</w:t>
      </w:r>
      <w:r>
        <w:t xml:space="preserve"> </w:t>
      </w:r>
      <w:r>
        <w:t xml:space="preserve">b) With respect to PM2, average externality factors beyond GHG emissions were derived from</w:t>
      </w:r>
      <w:r>
        <w:t xml:space="preserve"> </w:t>
      </w:r>
      <w:r>
        <w:t xml:space="preserve">the 2019 Handbook on the external costs of transport177. In particular, the average (monetary)</w:t>
      </w:r>
      <w:r>
        <w:t xml:space="preserve"> </w:t>
      </w:r>
      <w:r>
        <w:t xml:space="preserve">value of the external costs of freight transport can be used for a comprehensive comparison</w:t>
      </w:r>
      <w:r>
        <w:t xml:space="preserve"> </w:t>
      </w:r>
      <w:r>
        <w:t xml:space="preserve">of the level of externalities linked to different types of transport activities.</w:t>
      </w:r>
      <w:r>
        <w:t xml:space="preserve"> </w:t>
      </w:r>
      <w:r>
        <w:t xml:space="preserve">Table 33: Average external costs of freight transport (EUR-cent/tkm), 2016 values178</w:t>
      </w:r>
    </w:p>
    <w:p>
      <w:pPr>
        <w:pStyle w:val="BodyText"/>
      </w:pPr>
      <w:r>
        <w:t xml:space="preserve">177 CE Delft, 2019.</w:t>
      </w:r>
      <w:r>
        <w:t xml:space="preserve"> </w:t>
      </w:r>
      <w:r>
        <w:t xml:space="preserve">178 Noise costs for inland waterway transport and maritime transport are not considered in the 2019 Handbook on the</w:t>
      </w:r>
      <w:r>
        <w:t xml:space="preserve"> </w:t>
      </w:r>
      <w:r>
        <w:t xml:space="preserve">external costs of transport. The noise emission factors for these transport modes are relatively low as activity usually take</w:t>
      </w:r>
      <w:r>
        <w:t xml:space="preserve"> </w:t>
      </w:r>
      <w:r>
        <w:t xml:space="preserve">place in sparsely populated areas. Maritime transport can also have an impact on habitats. However, the habitat damage</w:t>
      </w:r>
      <w:r>
        <w:t xml:space="preserve"> </w:t>
      </w:r>
      <w:r>
        <w:t xml:space="preserve">costs have not been considered in the 2019 Handbook on the external costs of transport. Generally, there are limited</w:t>
      </w:r>
      <w:r>
        <w:t xml:space="preserve"> </w:t>
      </w:r>
      <w:r>
        <w:t xml:space="preserve">studies covering the external costs of habitat damage due to transport activities.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Cost category</w:t>
      </w:r>
      <w:r>
        <w:t xml:space="preserve"> </w:t>
      </w:r>
      <w:r>
        <w:t xml:space="preserve">HGV</w:t>
      </w:r>
      <w:r>
        <w:t xml:space="preserve"> </w:t>
      </w:r>
      <w:r>
        <w:t xml:space="preserve">Rail</w:t>
      </w:r>
      <w:r>
        <w:t xml:space="preserve"> </w:t>
      </w:r>
      <w:r>
        <w:t xml:space="preserve">IWW</w:t>
      </w:r>
      <w:r>
        <w:t xml:space="preserve"> </w:t>
      </w:r>
      <w:r>
        <w:t xml:space="preserve">Maritime</w:t>
      </w:r>
      <w:r>
        <w:t xml:space="preserve"> </w:t>
      </w:r>
      <w:r>
        <w:t xml:space="preserve">Accidents</w:t>
      </w:r>
      <w:r>
        <w:t xml:space="preserve"> </w:t>
      </w:r>
      <w:r>
        <w:t xml:space="preserve">1.3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Air Pollution</w:t>
      </w:r>
      <w:r>
        <w:t xml:space="preserve"> </w:t>
      </w:r>
      <w:r>
        <w:t xml:space="preserve">0.8</w:t>
      </w:r>
      <w:r>
        <w:t xml:space="preserve"> </w:t>
      </w:r>
      <w:r>
        <w:t xml:space="preserve">0.2</w:t>
      </w:r>
      <w:r>
        <w:t xml:space="preserve"> </w:t>
      </w:r>
      <w:r>
        <w:t xml:space="preserve">1.3</w:t>
      </w:r>
      <w:r>
        <w:t xml:space="preserve"> </w:t>
      </w:r>
      <w:r>
        <w:t xml:space="preserve">0.4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0.5</w:t>
      </w:r>
      <w:r>
        <w:t xml:space="preserve"> </w:t>
      </w:r>
      <w:r>
        <w:t xml:space="preserve">0.06</w:t>
      </w:r>
      <w:r>
        <w:t xml:space="preserve"> </w:t>
      </w:r>
      <w:r>
        <w:t xml:space="preserve">0.3</w:t>
      </w:r>
      <w:r>
        <w:t xml:space="preserve"> </w:t>
      </w:r>
      <w:r>
        <w:t xml:space="preserve">0.2</w:t>
      </w:r>
      <w:r>
        <w:t xml:space="preserve"> </w:t>
      </w:r>
      <w:r>
        <w:t xml:space="preserve">Noise</w:t>
      </w:r>
      <w:r>
        <w:t xml:space="preserve"> </w:t>
      </w:r>
      <w:r>
        <w:t xml:space="preserve">0.5</w:t>
      </w:r>
      <w:r>
        <w:t xml:space="preserve"> </w:t>
      </w:r>
      <w:r>
        <w:t xml:space="preserve">0.6</w:t>
      </w:r>
    </w:p>
    <w:p>
      <w:pPr>
        <w:pStyle w:val="BodyText"/>
      </w:pPr>
      <w:r>
        <w:t xml:space="preserve">Congestion</w:t>
      </w:r>
      <w:r>
        <w:t xml:space="preserve"> </w:t>
      </w:r>
      <w:r>
        <w:t xml:space="preserve">0.8</w:t>
      </w:r>
    </w:p>
    <w:p>
      <w:pPr>
        <w:pStyle w:val="BodyText"/>
      </w:pPr>
      <w:r>
        <w:t xml:space="preserve">Well-to-Tank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Habitat damage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4.2</w:t>
      </w:r>
      <w:r>
        <w:t xml:space="preserve"> </w:t>
      </w:r>
      <w:r>
        <w:t xml:space="preserve">1.3</w:t>
      </w:r>
      <w:r>
        <w:t xml:space="preserve"> </w:t>
      </w:r>
      <w:r>
        <w:t xml:space="preserve">1.9</w:t>
      </w:r>
      <w:r>
        <w:t xml:space="preserve"> </w:t>
      </w:r>
      <w:r>
        <w:t xml:space="preserve">0.7</w:t>
      </w:r>
      <w:r>
        <w:t xml:space="preserve"> </w:t>
      </w:r>
      <w:r>
        <w:t xml:space="preserve">Source: European Commission (2019)</w:t>
      </w:r>
      <w:r>
        <w:t xml:space="preserve"> </w:t>
      </w:r>
      <w:r>
        <w:t xml:space="preserve">For the analysis of the impacts until 2050, the baseline projections for the evolution of the level of</w:t>
      </w:r>
      <w:r>
        <w:t xml:space="preserve"> </w:t>
      </w:r>
      <w:r>
        <w:t xml:space="preserve">externalities produced by the different modes of transport were considered, which acccouts for the</w:t>
      </w:r>
      <w:r>
        <w:t xml:space="preserve"> </w:t>
      </w:r>
      <w:r>
        <w:t xml:space="preserve">use of less polluting and more energy efficient vehicles in EU freight transport operations. The</w:t>
      </w:r>
      <w:r>
        <w:t xml:space="preserve"> </w:t>
      </w:r>
      <w:r>
        <w:t xml:space="preserve">evolution of the well-to-wheel GHG intensity for each mode of transport in the baseline scenario for</w:t>
      </w:r>
      <w:r>
        <w:t xml:space="preserve"> </w:t>
      </w:r>
      <w:r>
        <w:t xml:space="preserve">2015-2050 is provided in Table 33179.</w:t>
      </w:r>
      <w:r>
        <w:br/>
      </w:r>
      <w:r>
        <w:t xml:space="preserve">Table 34: Evolution of GHG intensity by transport mode for 2015-2050 in the baseline scenario (2015=100)</w:t>
      </w:r>
      <w:r>
        <w:t xml:space="preserve"> </w:t>
      </w:r>
      <w:r>
        <w:t xml:space="preserve">Mode</w:t>
      </w:r>
      <w:r>
        <w:t xml:space="preserve"> </w:t>
      </w:r>
      <w:r>
        <w:t xml:space="preserve">2015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Road</w:t>
      </w:r>
      <w:r>
        <w:t xml:space="preserve"> </w:t>
      </w:r>
      <w:r>
        <w:t xml:space="preserve">100</w:t>
      </w:r>
      <w:r>
        <w:t xml:space="preserve"> </w:t>
      </w:r>
      <w:r>
        <w:t xml:space="preserve">64</w:t>
      </w:r>
      <w:r>
        <w:t xml:space="preserve"> </w:t>
      </w:r>
      <w:r>
        <w:t xml:space="preserve">39</w:t>
      </w:r>
      <w:r>
        <w:t xml:space="preserve"> </w:t>
      </w:r>
      <w:r>
        <w:t xml:space="preserve">17</w:t>
      </w:r>
      <w:r>
        <w:t xml:space="preserve"> </w:t>
      </w:r>
      <w:r>
        <w:t xml:space="preserve">Rail</w:t>
      </w:r>
      <w:r>
        <w:t xml:space="preserve"> </w:t>
      </w:r>
      <w:r>
        <w:t xml:space="preserve">100</w:t>
      </w:r>
      <w:r>
        <w:t xml:space="preserve"> </w:t>
      </w:r>
      <w:r>
        <w:t xml:space="preserve">36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Inland waterways</w:t>
      </w:r>
      <w:r>
        <w:t xml:space="preserve"> </w:t>
      </w:r>
      <w:r>
        <w:t xml:space="preserve">100</w:t>
      </w:r>
      <w:r>
        <w:t xml:space="preserve"> </w:t>
      </w:r>
      <w:r>
        <w:t xml:space="preserve">76</w:t>
      </w:r>
      <w:r>
        <w:t xml:space="preserve"> </w:t>
      </w:r>
      <w:r>
        <w:t xml:space="preserve">59</w:t>
      </w:r>
      <w:r>
        <w:t xml:space="preserve"> </w:t>
      </w:r>
      <w:r>
        <w:t xml:space="preserve">34</w:t>
      </w:r>
      <w:r>
        <w:t xml:space="preserve"> </w:t>
      </w:r>
      <w:r>
        <w:t xml:space="preserve">Short sea shipping</w:t>
      </w:r>
      <w:r>
        <w:t xml:space="preserve"> </w:t>
      </w:r>
      <w:r>
        <w:t xml:space="preserve">100</w:t>
      </w:r>
      <w:r>
        <w:t xml:space="preserve"> </w:t>
      </w:r>
      <w:r>
        <w:t xml:space="preserve">89</w:t>
      </w:r>
      <w:r>
        <w:t xml:space="preserve"> </w:t>
      </w:r>
      <w:r>
        <w:t xml:space="preserve">60</w:t>
      </w:r>
      <w:r>
        <w:t xml:space="preserve"> </w:t>
      </w:r>
      <w:r>
        <w:t xml:space="preserve">12</w:t>
      </w:r>
      <w:r>
        <w:t xml:space="preserve"> </w:t>
      </w:r>
      <w:r>
        <w:t xml:space="preserve">Source: Ricardo et al. support study (2023)</w:t>
      </w:r>
      <w:r>
        <w:br/>
      </w:r>
      <w:r>
        <w:t xml:space="preserve">Furthermore, the level of externalities of intermodal transport also varies depending on the</w:t>
      </w:r>
      <w:r>
        <w:t xml:space="preserve"> </w:t>
      </w:r>
      <w:r>
        <w:t xml:space="preserve">combination of modes used and on the share of distance covered with each mode within an operation.</w:t>
      </w:r>
      <w:r>
        <w:t xml:space="preserve"> </w:t>
      </w:r>
      <w:r>
        <w:t xml:space="preserve">The weighted average length of road transport within the intermodal operations in EU has been</w:t>
      </w:r>
      <w:r>
        <w:t xml:space="preserve"> </w:t>
      </w:r>
      <w:r>
        <w:t xml:space="preserve">defined based on average single road leg distances established in the study by ISL, KombiConsult180</w:t>
      </w:r>
      <w:r>
        <w:t xml:space="preserve"> </w:t>
      </w:r>
      <w:r>
        <w:t xml:space="preserve">and taking into account the different market segments and types of operations within modal</w:t>
      </w:r>
      <w:r>
        <w:t xml:space="preserve"> </w:t>
      </w:r>
      <w:r>
        <w:t xml:space="preserve">combinations as shown in Table 34.</w:t>
      </w:r>
      <w:r>
        <w:br/>
      </w:r>
      <w:r>
        <w:t xml:space="preserve">Table 35: Weighted median road distances in EU intermodal transport, in km</w:t>
      </w:r>
      <w:r>
        <w:t xml:space="preserve"> </w:t>
      </w:r>
      <w:r>
        <w:t xml:space="preserve">Type of operation</w:t>
      </w:r>
      <w:r>
        <w:t xml:space="preserve"> </w:t>
      </w:r>
      <w:r>
        <w:t xml:space="preserve">Assumptions</w:t>
      </w:r>
      <w:r>
        <w:t xml:space="preserve"> </w:t>
      </w:r>
      <w:r>
        <w:t xml:space="preserve">Weighted average road leg per operations*</w:t>
      </w:r>
      <w:r>
        <w:t xml:space="preserve"> </w:t>
      </w:r>
      <w:r>
        <w:t xml:space="preserve">Rail-road</w:t>
      </w:r>
      <w:r>
        <w:t xml:space="preserve"> </w:t>
      </w:r>
      <w:r>
        <w:t xml:space="preserve">55% of cases one road leg, 45% two road legs</w:t>
      </w:r>
      <w:r>
        <w:t xml:space="preserve"> </w:t>
      </w:r>
      <w:r>
        <w:t xml:space="preserve">116</w:t>
      </w:r>
      <w:r>
        <w:t xml:space="preserve"> </w:t>
      </w:r>
      <w:r>
        <w:t xml:space="preserve">IWW-road</w:t>
      </w:r>
      <w:r>
        <w:t xml:space="preserve"> </w:t>
      </w:r>
      <w:r>
        <w:t xml:space="preserve">one road leg</w:t>
      </w:r>
      <w:r>
        <w:t xml:space="preserve"> </w:t>
      </w:r>
      <w:r>
        <w:t xml:space="preserve">21</w:t>
      </w:r>
      <w:r>
        <w:t xml:space="preserve"> </w:t>
      </w:r>
      <w:r>
        <w:t xml:space="preserve">SSS-road</w:t>
      </w:r>
      <w:r>
        <w:t xml:space="preserve"> </w:t>
      </w:r>
      <w:r>
        <w:t xml:space="preserve">80% one road leg, 20% two road legs</w:t>
      </w:r>
      <w:r>
        <w:t xml:space="preserve"> </w:t>
      </w:r>
      <w:r>
        <w:t xml:space="preserve">156</w:t>
      </w:r>
      <w:r>
        <w:t xml:space="preserve"> </w:t>
      </w:r>
      <w:r>
        <w:t xml:space="preserve">Source: Ricardo et al. support study (2023); *Including average empty containers pick-up/delivery to/from depot.</w:t>
      </w:r>
      <w:r>
        <w:t xml:space="preserve"> </w:t>
      </w:r>
      <w:r>
        <w:t xml:space="preserve">Savings thresholds - level of external costs savings that ensure that all three non-road modes (rail,</w:t>
      </w:r>
      <w:r>
        <w:t xml:space="preserve"> </w:t>
      </w:r>
      <w:r>
        <w:t xml:space="preserve">inland waterways, short sea shipping) would be eligible</w:t>
      </w:r>
      <w:r>
        <w:br/>
      </w:r>
      <w:r>
        <w:t xml:space="preserve">An analysis was carried out to establish at which level of external cost savings would it be ensured</w:t>
      </w:r>
      <w:r>
        <w:t xml:space="preserve"> </w:t>
      </w:r>
      <w:r>
        <w:t xml:space="preserve">that all modal combinations are eligible for support. It was established that for PM1 (GHG</w:t>
      </w:r>
      <w:r>
        <w:t xml:space="preserve"> </w:t>
      </w:r>
      <w:r>
        <w:t xml:space="preserve">emissions), all modal combinations could be eligible up to a threshold of 25% in case of minimum</w:t>
      </w:r>
      <w:r>
        <w:t xml:space="preserve"> </w:t>
      </w:r>
      <w:r>
        <w:t xml:space="preserve">road transport, i.e. one road leg with median distance. In case of 2 median road legs, the non-road</w:t>
      </w:r>
      <w:r>
        <w:t xml:space="preserve"> </w:t>
      </w:r>
      <w:r>
        <w:t xml:space="preserve">distance would have to be double in order to be eligible. Above this threshold, IWW would not be</w:t>
      </w:r>
      <w:r>
        <w:t xml:space="preserve"> </w:t>
      </w:r>
      <w:r>
        <w:t xml:space="preserve">eligible taking into account the legislative framework included in the baseline181. SSS would still be</w:t>
      </w:r>
      <w:r>
        <w:t xml:space="preserve"> </w:t>
      </w:r>
      <w:r>
        <w:t xml:space="preserve">eligible at 40% and rail would be always eligibile even at shortest distances as rail transport already</w:t>
      </w:r>
    </w:p>
    <w:p>
      <w:pPr>
        <w:pStyle w:val="BodyText"/>
      </w:pPr>
      <w:r>
        <w:t xml:space="preserve">179 The indicator considers the ratio between total emissions and transport activity. For inland waterways, the average</w:t>
      </w:r>
      <w:r>
        <w:t xml:space="preserve"> </w:t>
      </w:r>
      <w:r>
        <w:t xml:space="preserve">emissions intensity of domestic navigation (inland waterways and national maritime) has been assumed.</w:t>
      </w:r>
      <w:r>
        <w:br/>
      </w:r>
      <w:r>
        <w:t xml:space="preserve">180 KombiConsult (2017), op. cit.</w:t>
      </w:r>
      <w:r>
        <w:t xml:space="preserve"> </w:t>
      </w:r>
      <w:r>
        <w:t xml:space="preserve">181 Non-eligibility applies to sector average. Operations where cleaner barges such as for example solar barges are used,</w:t>
      </w:r>
      <w:r>
        <w:t xml:space="preserve"> </w:t>
      </w:r>
      <w:r>
        <w:t xml:space="preserve">would be individually still eligible.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has lower GHG emissions than road (Table 32) and is expected to further reduce GHG emissions</w:t>
      </w:r>
      <w:r>
        <w:t xml:space="preserve"> </w:t>
      </w:r>
      <w:r>
        <w:t xml:space="preserve">quicker than road (Table 33). However, possibly as soon as of 2035, but certainly before 2040 the</w:t>
      </w:r>
      <w:r>
        <w:t xml:space="preserve"> </w:t>
      </w:r>
      <w:r>
        <w:t xml:space="preserve">waterborne transport and IWW in particular would not be eligible at any savings thresholds. The</w:t>
      </w:r>
      <w:r>
        <w:t xml:space="preserve"> </w:t>
      </w:r>
      <w:r>
        <w:t xml:space="preserve">eligibility of rail in the future would depend on the actual speed of decarbonisation of road transport</w:t>
      </w:r>
      <w:r>
        <w:t xml:space="preserve"> </w:t>
      </w:r>
      <w:r>
        <w:t xml:space="preserve">relative to other modes (on well-to-wheel basis).</w:t>
      </w:r>
      <w:r>
        <w:br/>
      </w:r>
      <w:r>
        <w:t xml:space="preserve">For PM2 (wider set of externalities including GHG emissions, air pollution, congestion, accidents</w:t>
      </w:r>
      <w:r>
        <w:t xml:space="preserve"> </w:t>
      </w:r>
      <w:r>
        <w:t xml:space="preserve">and noise), all modal combinations would be eligible up to a savings threshold of 50% based on the</w:t>
      </w:r>
      <w:r>
        <w:t xml:space="preserve"> </w:t>
      </w:r>
      <w:r>
        <w:t xml:space="preserve">baseline projections up to 2050 (in case of one road leg). At 55%, IWW would not be eligible</w:t>
      </w:r>
      <w:r>
        <w:t xml:space="preserve"> </w:t>
      </w:r>
      <w:r>
        <w:t xml:space="preserve">anymore, while reasonably long rail would lose eligibility at 65% and SSS at 75%.</w:t>
      </w:r>
      <w:r>
        <w:t xml:space="preserve"> </w:t>
      </w:r>
      <w:r>
        <w:t xml:space="preserve">Table 36: Door-to-door distance with one road leg necessary for eligibility under PM1 and PM2</w:t>
      </w:r>
      <w:r>
        <w:t xml:space="preserve"> </w:t>
      </w:r>
      <w:r>
        <w:t xml:space="preserve">GHG savings (PM1)</w:t>
      </w:r>
      <w:r>
        <w:t xml:space="preserve"> </w:t>
      </w:r>
      <w:r>
        <w:t xml:space="preserve">Wider externalities savings (PM2)</w:t>
      </w:r>
    </w:p>
    <w:p>
      <w:pPr>
        <w:pStyle w:val="BodyText"/>
      </w:pPr>
      <w:r>
        <w:t xml:space="preserve">Rail</w:t>
      </w:r>
      <w:r>
        <w:t xml:space="preserve"> </w:t>
      </w:r>
      <w:r>
        <w:t xml:space="preserve">IWW</w:t>
      </w:r>
      <w:r>
        <w:t xml:space="preserve"> </w:t>
      </w:r>
      <w:r>
        <w:t xml:space="preserve">SSS</w:t>
      </w:r>
    </w:p>
    <w:p>
      <w:pPr>
        <w:pStyle w:val="BodyText"/>
      </w:pPr>
      <w:r>
        <w:t xml:space="preserve">Rail</w:t>
      </w:r>
      <w:r>
        <w:t xml:space="preserve"> </w:t>
      </w:r>
      <w:r>
        <w:t xml:space="preserve">IWW</w:t>
      </w:r>
      <w:r>
        <w:t xml:space="preserve"> </w:t>
      </w:r>
      <w:r>
        <w:t xml:space="preserve">SSS</w:t>
      </w:r>
      <w:r>
        <w:t xml:space="preserve"> </w:t>
      </w:r>
      <w:r>
        <w:t xml:space="preserve">-20%</w:t>
      </w:r>
      <w:r>
        <w:t xml:space="preserve"> </w:t>
      </w:r>
      <w:r>
        <w:t xml:space="preserve">102</w:t>
      </w:r>
      <w:r>
        <w:t xml:space="preserve"> </w:t>
      </w:r>
      <w:r>
        <w:t xml:space="preserve">63</w:t>
      </w:r>
      <w:r>
        <w:t xml:space="preserve"> </w:t>
      </w:r>
      <w:r>
        <w:t xml:space="preserve">217</w:t>
      </w:r>
      <w:r>
        <w:t xml:space="preserve"> </w:t>
      </w:r>
      <w:r>
        <w:t xml:space="preserve">-20%</w:t>
      </w:r>
      <w:r>
        <w:t xml:space="preserve"> </w:t>
      </w:r>
      <w:r>
        <w:t xml:space="preserve">113</w:t>
      </w:r>
      <w:r>
        <w:t xml:space="preserve"> </w:t>
      </w:r>
      <w:r>
        <w:t xml:space="preserve">32</w:t>
      </w:r>
      <w:r>
        <w:t xml:space="preserve"> </w:t>
      </w:r>
      <w:r>
        <w:t xml:space="preserve">171</w:t>
      </w:r>
      <w:r>
        <w:t xml:space="preserve"> </w:t>
      </w:r>
      <w:r>
        <w:t xml:space="preserve">-25%</w:t>
      </w:r>
      <w:r>
        <w:t xml:space="preserve"> </w:t>
      </w:r>
      <w:r>
        <w:t xml:space="preserve">109</w:t>
      </w:r>
      <w:r>
        <w:t xml:space="preserve"> </w:t>
      </w:r>
      <w:r>
        <w:t xml:space="preserve">137</w:t>
      </w:r>
      <w:r>
        <w:t xml:space="preserve"> </w:t>
      </w:r>
      <w:r>
        <w:t xml:space="preserve">261</w:t>
      </w:r>
      <w:r>
        <w:t xml:space="preserve"> </w:t>
      </w:r>
      <w:r>
        <w:t xml:space="preserve">-25%</w:t>
      </w:r>
      <w:r>
        <w:t xml:space="preserve"> </w:t>
      </w:r>
      <w:r>
        <w:t xml:space="preserve">125</w:t>
      </w:r>
      <w:r>
        <w:t xml:space="preserve"> </w:t>
      </w:r>
      <w:r>
        <w:t xml:space="preserve">38</w:t>
      </w:r>
      <w:r>
        <w:t xml:space="preserve"> </w:t>
      </w:r>
      <w:r>
        <w:t xml:space="preserve">186</w:t>
      </w:r>
      <w:r>
        <w:t xml:space="preserve"> </w:t>
      </w:r>
      <w:r>
        <w:t xml:space="preserve">-30%</w:t>
      </w:r>
      <w:r>
        <w:t xml:space="preserve"> </w:t>
      </w:r>
      <w:r>
        <w:t xml:space="preserve">118</w:t>
      </w:r>
      <w:r>
        <w:t xml:space="preserve"> </w:t>
      </w:r>
      <w:r>
        <w:t xml:space="preserve">N</w:t>
      </w:r>
      <w:r>
        <w:t xml:space="preserve"> </w:t>
      </w:r>
      <w:r>
        <w:t xml:space="preserve">326</w:t>
      </w:r>
      <w:r>
        <w:t xml:space="preserve"> </w:t>
      </w:r>
      <w:r>
        <w:t xml:space="preserve">-30%</w:t>
      </w:r>
      <w:r>
        <w:t xml:space="preserve"> </w:t>
      </w:r>
      <w:r>
        <w:t xml:space="preserve">141</w:t>
      </w:r>
      <w:r>
        <w:t xml:space="preserve"> </w:t>
      </w:r>
      <w:r>
        <w:t xml:space="preserve">47</w:t>
      </w:r>
      <w:r>
        <w:t xml:space="preserve"> </w:t>
      </w:r>
      <w:r>
        <w:t xml:space="preserve">203</w:t>
      </w:r>
      <w:r>
        <w:t xml:space="preserve"> </w:t>
      </w:r>
      <w:r>
        <w:t xml:space="preserve">-35%</w:t>
      </w:r>
      <w:r>
        <w:t xml:space="preserve"> </w:t>
      </w:r>
      <w:r>
        <w:t xml:space="preserve">128</w:t>
      </w:r>
      <w:r>
        <w:t xml:space="preserve"> </w:t>
      </w:r>
      <w:r>
        <w:t xml:space="preserve">N</w:t>
      </w:r>
      <w:r>
        <w:t xml:space="preserve"> </w:t>
      </w:r>
      <w:r>
        <w:t xml:space="preserve">436</w:t>
      </w:r>
      <w:r>
        <w:t xml:space="preserve"> </w:t>
      </w:r>
      <w:r>
        <w:t xml:space="preserve">-35%</w:t>
      </w:r>
      <w:r>
        <w:t xml:space="preserve"> </w:t>
      </w:r>
      <w:r>
        <w:t xml:space="preserve">162</w:t>
      </w:r>
      <w:r>
        <w:t xml:space="preserve"> </w:t>
      </w:r>
      <w:r>
        <w:t xml:space="preserve">60</w:t>
      </w:r>
      <w:r>
        <w:t xml:space="preserve"> </w:t>
      </w:r>
      <w:r>
        <w:t xml:space="preserve">224</w:t>
      </w:r>
      <w:r>
        <w:t xml:space="preserve"> </w:t>
      </w:r>
      <w:r>
        <w:t xml:space="preserve">-40%</w:t>
      </w:r>
      <w:r>
        <w:t xml:space="preserve"> </w:t>
      </w:r>
      <w:r>
        <w:t xml:space="preserve">139</w:t>
      </w:r>
      <w:r>
        <w:t xml:space="preserve"> </w:t>
      </w:r>
      <w:r>
        <w:t xml:space="preserve">N</w:t>
      </w:r>
      <w:r>
        <w:t xml:space="preserve"> </w:t>
      </w:r>
      <w:r>
        <w:t xml:space="preserve">657</w:t>
      </w:r>
      <w:r>
        <w:t xml:space="preserve"> </w:t>
      </w:r>
      <w:r>
        <w:t xml:space="preserve">-40%</w:t>
      </w:r>
      <w:r>
        <w:t xml:space="preserve"> </w:t>
      </w:r>
      <w:r>
        <w:t xml:space="preserve">190</w:t>
      </w:r>
      <w:r>
        <w:t xml:space="preserve"> </w:t>
      </w:r>
      <w:r>
        <w:t xml:space="preserve">84</w:t>
      </w:r>
      <w:r>
        <w:t xml:space="preserve"> </w:t>
      </w:r>
      <w:r>
        <w:t xml:space="preserve">249</w:t>
      </w:r>
      <w:r>
        <w:t xml:space="preserve"> </w:t>
      </w:r>
      <w:r>
        <w:t xml:space="preserve">-45%</w:t>
      </w:r>
      <w:r>
        <w:t xml:space="preserve"> </w:t>
      </w:r>
      <w:r>
        <w:t xml:space="preserve">154</w:t>
      </w:r>
      <w:r>
        <w:t xml:space="preserve"> </w:t>
      </w:r>
      <w:r>
        <w:t xml:space="preserve">N</w:t>
      </w:r>
      <w:r>
        <w:t xml:space="preserve"> </w:t>
      </w:r>
      <w:r>
        <w:t xml:space="preserve">1333</w:t>
      </w:r>
      <w:r>
        <w:t xml:space="preserve"> </w:t>
      </w:r>
      <w:r>
        <w:t xml:space="preserve">-45%</w:t>
      </w:r>
      <w:r>
        <w:t xml:space="preserve"> </w:t>
      </w:r>
      <w:r>
        <w:t xml:space="preserve">229</w:t>
      </w:r>
      <w:r>
        <w:t xml:space="preserve"> </w:t>
      </w:r>
      <w:r>
        <w:t xml:space="preserve">140</w:t>
      </w:r>
      <w:r>
        <w:t xml:space="preserve"> </w:t>
      </w:r>
      <w:r>
        <w:t xml:space="preserve">282</w:t>
      </w:r>
      <w:r>
        <w:t xml:space="preserve"> </w:t>
      </w:r>
      <w:r>
        <w:t xml:space="preserve">-50%</w:t>
      </w:r>
      <w:r>
        <w:t xml:space="preserve"> </w:t>
      </w:r>
      <w:r>
        <w:t xml:space="preserve">171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-50%</w:t>
      </w:r>
      <w:r>
        <w:t xml:space="preserve"> </w:t>
      </w:r>
      <w:r>
        <w:t xml:space="preserve">289</w:t>
      </w:r>
      <w:r>
        <w:t xml:space="preserve"> </w:t>
      </w:r>
      <w:r>
        <w:t xml:space="preserve">416</w:t>
      </w:r>
      <w:r>
        <w:t xml:space="preserve"> </w:t>
      </w:r>
      <w:r>
        <w:t xml:space="preserve">324</w:t>
      </w:r>
      <w:r>
        <w:t xml:space="preserve"> </w:t>
      </w:r>
      <w:r>
        <w:t xml:space="preserve">-55%</w:t>
      </w:r>
      <w:r>
        <w:t xml:space="preserve"> </w:t>
      </w:r>
      <w:r>
        <w:t xml:space="preserve">193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-55%</w:t>
      </w:r>
      <w:r>
        <w:t xml:space="preserve"> </w:t>
      </w:r>
      <w:r>
        <w:t xml:space="preserve">392</w:t>
      </w:r>
      <w:r>
        <w:t xml:space="preserve"> </w:t>
      </w:r>
      <w:r>
        <w:t xml:space="preserve">N</w:t>
      </w:r>
      <w:r>
        <w:t xml:space="preserve"> </w:t>
      </w:r>
      <w:r>
        <w:t xml:space="preserve">381</w:t>
      </w:r>
      <w:r>
        <w:t xml:space="preserve"> </w:t>
      </w:r>
      <w:r>
        <w:t xml:space="preserve">-60%</w:t>
      </w:r>
      <w:r>
        <w:t xml:space="preserve"> </w:t>
      </w:r>
      <w:r>
        <w:t xml:space="preserve">222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-60%</w:t>
      </w:r>
      <w:r>
        <w:t xml:space="preserve"> </w:t>
      </w:r>
      <w:r>
        <w:t xml:space="preserve">608</w:t>
      </w:r>
      <w:r>
        <w:t xml:space="preserve"> </w:t>
      </w:r>
      <w:r>
        <w:t xml:space="preserve">N</w:t>
      </w:r>
      <w:r>
        <w:t xml:space="preserve"> </w:t>
      </w:r>
      <w:r>
        <w:t xml:space="preserve">461</w:t>
      </w:r>
      <w:r>
        <w:t xml:space="preserve"> </w:t>
      </w:r>
      <w:r>
        <w:t xml:space="preserve">-65%</w:t>
      </w:r>
      <w:r>
        <w:t xml:space="preserve"> </w:t>
      </w:r>
      <w:r>
        <w:t xml:space="preserve">260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-65%</w:t>
      </w:r>
      <w:r>
        <w:t xml:space="preserve"> </w:t>
      </w:r>
      <w:r>
        <w:t xml:space="preserve">1349</w:t>
      </w:r>
      <w:r>
        <w:t xml:space="preserve"> </w:t>
      </w:r>
      <w:r>
        <w:t xml:space="preserve">N</w:t>
      </w:r>
      <w:r>
        <w:t xml:space="preserve"> </w:t>
      </w:r>
      <w:r>
        <w:t xml:space="preserve">586</w:t>
      </w:r>
      <w:r>
        <w:t xml:space="preserve"> </w:t>
      </w:r>
      <w:r>
        <w:t xml:space="preserve">-70%</w:t>
      </w:r>
      <w:r>
        <w:t xml:space="preserve"> </w:t>
      </w:r>
      <w:r>
        <w:t xml:space="preserve">315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-70%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803</w:t>
      </w:r>
      <w:r>
        <w:t xml:space="preserve"> </w:t>
      </w:r>
      <w:r>
        <w:t xml:space="preserve">-75%</w:t>
      </w:r>
      <w:r>
        <w:t xml:space="preserve"> </w:t>
      </w:r>
      <w:r>
        <w:t xml:space="preserve">398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-75%</w:t>
      </w:r>
      <w:r>
        <w:t xml:space="preserve"> </w:t>
      </w:r>
      <w:r>
        <w:t xml:space="preserve">N</w:t>
      </w:r>
      <w:r>
        <w:t xml:space="preserve"> </w:t>
      </w:r>
      <w:r>
        <w:t xml:space="preserve">N</w:t>
      </w:r>
      <w:r>
        <w:t xml:space="preserve"> </w:t>
      </w:r>
      <w:r>
        <w:t xml:space="preserve">1273</w:t>
      </w:r>
      <w:r>
        <w:t xml:space="preserve"> </w:t>
      </w:r>
      <w:r>
        <w:t xml:space="preserve">Source: Ricardo et al. support study (2023). Note: The cells marked with “N” refer to savings thresholds at which</w:t>
      </w:r>
      <w:r>
        <w:t xml:space="preserve"> </w:t>
      </w:r>
      <w:r>
        <w:t xml:space="preserve">operations are not eligible at any distance</w:t>
      </w:r>
      <w:r>
        <w:t xml:space="preserve"> </w:t>
      </w:r>
      <w:r>
        <w:t xml:space="preserve">Level of external costs savings that ensures that major part of operation is on non-road</w:t>
      </w:r>
      <w:r>
        <w:t xml:space="preserve"> </w:t>
      </w:r>
      <w:r>
        <w:t xml:space="preserve">Taking into account the objective to shift major part of the operation away from road, the analysis</w:t>
      </w:r>
      <w:r>
        <w:t xml:space="preserve"> </w:t>
      </w:r>
      <w:r>
        <w:t xml:space="preserve">further established at which savings thresholds is it ensured that the non-road transport is indeed more</w:t>
      </w:r>
      <w:r>
        <w:t xml:space="preserve"> </w:t>
      </w:r>
      <w:r>
        <w:t xml:space="preserve">than 50% of the eligible operations door-to-door distance.</w:t>
      </w:r>
      <w:r>
        <w:br/>
      </w:r>
      <w:r>
        <w:t xml:space="preserve">For PM1 (GHG), this would be ensured only as of savings threshold of 50% for rail, but at that</w:t>
      </w:r>
      <w:r>
        <w:t xml:space="preserve"> </w:t>
      </w:r>
      <w:r>
        <w:t xml:space="preserve">threshold, IWW and SSS would not be eligible. At 25%, where IWW and SSS are eligible at least in</w:t>
      </w:r>
      <w:r>
        <w:t xml:space="preserve"> </w:t>
      </w:r>
      <w:r>
        <w:t xml:space="preserve">2030, rail legs could be as low as 27% of the total distance of the operation. PM2 (wider set of</w:t>
      </w:r>
      <w:r>
        <w:t xml:space="preserve"> </w:t>
      </w:r>
      <w:r>
        <w:t xml:space="preserve">externalities) would ensure that the non-road leg is always the major part of operation already at a</w:t>
      </w:r>
      <w:r>
        <w:t xml:space="preserve"> </w:t>
      </w:r>
      <w:r>
        <w:t xml:space="preserve">40% savings threshold for all modal combinations.</w:t>
      </w:r>
      <w:r>
        <w:br/>
      </w:r>
      <w:r>
        <w:t xml:space="preserve">Table 37: Percentage share of the non-road leg from total door-to-door intermodal operation distance at different</w:t>
      </w:r>
      <w:r>
        <w:t xml:space="preserve"> </w:t>
      </w:r>
      <w:r>
        <w:t xml:space="preserve">savings thresholds</w:t>
      </w:r>
    </w:p>
    <w:p>
      <w:pPr>
        <w:pStyle w:val="BodyText"/>
      </w:pP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35%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PM1 – GHG</w:t>
      </w:r>
      <w:r>
        <w:t xml:space="preserve"> </w:t>
      </w:r>
      <w:r>
        <w:t xml:space="preserve">Rail</w:t>
      </w:r>
      <w:r>
        <w:t xml:space="preserve"> </w:t>
      </w:r>
      <w:r>
        <w:t xml:space="preserve">27</w:t>
      </w:r>
      <w:r>
        <w:t xml:space="preserve"> </w:t>
      </w:r>
      <w:r>
        <w:t xml:space="preserve">32</w:t>
      </w:r>
      <w:r>
        <w:t xml:space="preserve"> </w:t>
      </w:r>
      <w:r>
        <w:t xml:space="preserve">37</w:t>
      </w:r>
      <w:r>
        <w:t xml:space="preserve"> </w:t>
      </w:r>
      <w:r>
        <w:t xml:space="preserve">43</w:t>
      </w:r>
      <w:r>
        <w:t xml:space="preserve"> </w:t>
      </w:r>
      <w:r>
        <w:t xml:space="preserve">53</w:t>
      </w:r>
      <w:r>
        <w:t xml:space="preserve"> </w:t>
      </w:r>
      <w:r>
        <w:t xml:space="preserve">IWW</w:t>
      </w:r>
      <w:r>
        <w:t xml:space="preserve"> </w:t>
      </w:r>
      <w:r>
        <w:t xml:space="preserve">85</w:t>
      </w:r>
      <w:r>
        <w:t xml:space="preserve"> </w:t>
      </w:r>
      <w:r>
        <w:t xml:space="preserve">never</w:t>
      </w:r>
      <w:r>
        <w:t xml:space="preserve"> </w:t>
      </w:r>
      <w:r>
        <w:t xml:space="preserve">never</w:t>
      </w:r>
      <w:r>
        <w:t xml:space="preserve"> </w:t>
      </w:r>
      <w:r>
        <w:t xml:space="preserve">never</w:t>
      </w:r>
      <w:r>
        <w:t xml:space="preserve"> </w:t>
      </w:r>
      <w:r>
        <w:t xml:space="preserve">never</w:t>
      </w:r>
      <w:r>
        <w:t xml:space="preserve"> </w:t>
      </w:r>
      <w:r>
        <w:t xml:space="preserve">SSS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never</w:t>
      </w:r>
      <w:r>
        <w:t xml:space="preserve"> </w:t>
      </w:r>
      <w:r>
        <w:t xml:space="preserve">PM2 - EXT</w:t>
      </w:r>
      <w:r>
        <w:t xml:space="preserve"> </w:t>
      </w:r>
      <w:r>
        <w:t xml:space="preserve">Rail</w:t>
      </w:r>
      <w:r>
        <w:t xml:space="preserve"> </w:t>
      </w:r>
      <w:r>
        <w:t xml:space="preserve">36</w:t>
      </w:r>
      <w:r>
        <w:t xml:space="preserve"> </w:t>
      </w:r>
      <w:r>
        <w:t xml:space="preserve">43</w:t>
      </w:r>
      <w:r>
        <w:t xml:space="preserve"> </w:t>
      </w:r>
      <w:r>
        <w:t xml:space="preserve">51</w:t>
      </w:r>
      <w:r>
        <w:t xml:space="preserve"> </w:t>
      </w:r>
      <w:r>
        <w:t xml:space="preserve">65</w:t>
      </w:r>
      <w:r>
        <w:t xml:space="preserve"> </w:t>
      </w:r>
      <w:r>
        <w:t xml:space="preserve">72</w:t>
      </w:r>
      <w:r>
        <w:t xml:space="preserve"> </w:t>
      </w:r>
      <w:r>
        <w:t xml:space="preserve">IWW</w:t>
      </w:r>
      <w:r>
        <w:t xml:space="preserve"> </w:t>
      </w:r>
      <w:r>
        <w:t xml:space="preserve">47</w:t>
      </w:r>
      <w:r>
        <w:t xml:space="preserve"> </w:t>
      </w:r>
      <w:r>
        <w:t xml:space="preserve">57</w:t>
      </w:r>
      <w:r>
        <w:t xml:space="preserve"> </w:t>
      </w:r>
      <w:r>
        <w:t xml:space="preserve">67</w:t>
      </w:r>
      <w:r>
        <w:t xml:space="preserve"> </w:t>
      </w:r>
      <w:r>
        <w:t xml:space="preserve">86</w:t>
      </w:r>
      <w:r>
        <w:t xml:space="preserve"> </w:t>
      </w:r>
      <w:r>
        <w:t xml:space="preserve">83</w:t>
      </w:r>
      <w:r>
        <w:t xml:space="preserve"> </w:t>
      </w:r>
      <w:r>
        <w:t xml:space="preserve">SSS</w:t>
      </w:r>
      <w:r>
        <w:t xml:space="preserve"> </w:t>
      </w:r>
      <w:r>
        <w:t xml:space="preserve">30</w:t>
      </w:r>
      <w:r>
        <w:t xml:space="preserve"> </w:t>
      </w:r>
      <w:r>
        <w:t xml:space="preserve">36</w:t>
      </w:r>
      <w:r>
        <w:t xml:space="preserve"> </w:t>
      </w:r>
      <w:r>
        <w:t xml:space="preserve">42</w:t>
      </w:r>
      <w:r>
        <w:t xml:space="preserve"> </w:t>
      </w:r>
      <w:r>
        <w:t xml:space="preserve">54</w:t>
      </w:r>
      <w:r>
        <w:t xml:space="preserve"> </w:t>
      </w:r>
      <w:r>
        <w:t xml:space="preserve">75</w:t>
      </w:r>
      <w:r>
        <w:t xml:space="preserve"> </w:t>
      </w:r>
      <w:r>
        <w:t xml:space="preserve">Source: Ricardo et al. support study (2023).</w:t>
      </w:r>
      <w:r>
        <w:br/>
      </w:r>
      <w:r>
        <w:t xml:space="preserve">Share of eligibility of total intermodal transport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The minimum reduction threshold of external costs that will be set will directly impact the share of</w:t>
      </w:r>
      <w:r>
        <w:t xml:space="preserve"> </w:t>
      </w:r>
      <w:r>
        <w:t xml:space="preserve">intermodal operations in the EU that would benefit from support. Roughly, the lower the reduction</w:t>
      </w:r>
      <w:r>
        <w:t xml:space="preserve"> </w:t>
      </w:r>
      <w:r>
        <w:t xml:space="preserve">required, the more intermodal operations will be eligible for support. Similarly, the higher the</w:t>
      </w:r>
      <w:r>
        <w:t xml:space="preserve"> </w:t>
      </w:r>
      <w:r>
        <w:t xml:space="preserve">reduction required, the longer distance the eligible operations have to be as saving comes from the</w:t>
      </w:r>
      <w:r>
        <w:t xml:space="preserve"> </w:t>
      </w:r>
      <w:r>
        <w:t xml:space="preserve">difference of socio-environmental merits between the non-road part of the operation and road</w:t>
      </w:r>
      <w:r>
        <w:t xml:space="preserve"> </w:t>
      </w:r>
      <w:r>
        <w:t xml:space="preserve">transport. By applying the above criteria and comparing the intermodal solutions with the road-only</w:t>
      </w:r>
      <w:r>
        <w:t xml:space="preserve"> </w:t>
      </w:r>
      <w:r>
        <w:t xml:space="preserve">solutions, the shortest eligible door-to-door distances were established as presented in Table 37.</w:t>
      </w:r>
      <w:r>
        <w:br/>
      </w:r>
      <w:r>
        <w:t xml:space="preserve">Table 38: Door-to-door distance thresholds for eligibility criteria (km)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Rail</w:t>
      </w:r>
      <w:r>
        <w:t xml:space="preserve"> </w:t>
      </w:r>
      <w:r>
        <w:t xml:space="preserve">IWW</w:t>
      </w:r>
      <w:r>
        <w:t xml:space="preserve"> </w:t>
      </w:r>
      <w:r>
        <w:t xml:space="preserve">SSS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PM1 (GHG - 25%)</w:t>
      </w:r>
      <w:r>
        <w:t xml:space="preserve"> </w:t>
      </w:r>
      <w:r>
        <w:t xml:space="preserve">184</w:t>
      </w:r>
      <w:r>
        <w:br/>
      </w:r>
      <w:r>
        <w:t xml:space="preserve">194</w:t>
      </w:r>
      <w:r>
        <w:br/>
      </w:r>
      <w:r>
        <w:t xml:space="preserve">244</w:t>
      </w:r>
      <w:r>
        <w:br/>
      </w:r>
      <w:r>
        <w:t xml:space="preserve">73</w:t>
      </w:r>
      <w:r>
        <w:br/>
      </w:r>
      <w:r>
        <w:t xml:space="preserve">never never 268</w:t>
      </w:r>
      <w:r>
        <w:br/>
      </w:r>
      <w:r>
        <w:t xml:space="preserve">273</w:t>
      </w:r>
      <w:r>
        <w:br/>
      </w:r>
      <w:r>
        <w:t xml:space="preserve">243</w:t>
      </w:r>
      <w:r>
        <w:br/>
      </w:r>
      <w:r>
        <w:t xml:space="preserve">PM2 (EXT - 40%)</w:t>
      </w:r>
      <w:r>
        <w:t xml:space="preserve"> </w:t>
      </w:r>
      <w:r>
        <w:t xml:space="preserve">275</w:t>
      </w:r>
      <w:r>
        <w:br/>
      </w:r>
      <w:r>
        <w:t xml:space="preserve">281</w:t>
      </w:r>
      <w:r>
        <w:br/>
      </w:r>
      <w:r>
        <w:t xml:space="preserve">287</w:t>
      </w:r>
      <w:r>
        <w:br/>
      </w:r>
      <w:r>
        <w:t xml:space="preserve">84</w:t>
      </w:r>
      <w:r>
        <w:br/>
      </w:r>
      <w:r>
        <w:t xml:space="preserve">87</w:t>
      </w:r>
      <w:r>
        <w:br/>
      </w:r>
      <w:r>
        <w:t xml:space="preserve">82</w:t>
      </w:r>
      <w:r>
        <w:br/>
      </w:r>
      <w:r>
        <w:t xml:space="preserve">299</w:t>
      </w:r>
      <w:r>
        <w:br/>
      </w:r>
      <w:r>
        <w:t xml:space="preserve">299</w:t>
      </w:r>
      <w:r>
        <w:br/>
      </w:r>
      <w:r>
        <w:t xml:space="preserve">292</w:t>
      </w:r>
      <w:r>
        <w:br/>
      </w:r>
      <w:r>
        <w:t xml:space="preserve">Source: Ricardo et al. support study (2023); Note: ‘GHG - 25%’ stands for extending the scope to all intermodal</w:t>
      </w:r>
      <w:r>
        <w:t xml:space="preserve"> </w:t>
      </w:r>
      <w:r>
        <w:t xml:space="preserve">operations in EU that save 25% GHG when shifting from road-only to intermodal; ‘EXT - 40%’ stands for extending the</w:t>
      </w:r>
      <w:r>
        <w:t xml:space="preserve"> </w:t>
      </w:r>
      <w:r>
        <w:t xml:space="preserve">scope to all intermodal operations in EU that save 40% external cost when shifting from road-only to intermodal.</w:t>
      </w:r>
      <w:r>
        <w:t xml:space="preserve"> </w:t>
      </w:r>
      <w:r>
        <w:t xml:space="preserve">It must be noted that the figures presented are the theoretical shortest eligible operation distances</w:t>
      </w:r>
      <w:r>
        <w:t xml:space="preserve"> </w:t>
      </w:r>
      <w:r>
        <w:t xml:space="preserve">notwithstanding whether intermodal operations of such distances exist in reality. The simulations</w:t>
      </w:r>
      <w:r>
        <w:t xml:space="preserve"> </w:t>
      </w:r>
      <w:r>
        <w:t xml:space="preserve">have been carried out taking into account existing non-road transport operations in general and not</w:t>
      </w:r>
      <w:r>
        <w:t xml:space="preserve"> </w:t>
      </w:r>
      <w:r>
        <w:t xml:space="preserve">specifically intermodal operations for which such granular data does not exist. The break-even</w:t>
      </w:r>
      <w:r>
        <w:t xml:space="preserve"> </w:t>
      </w:r>
      <w:r>
        <w:t xml:space="preserve">distances of intermodal transport with respect to costs are normally higher than those for unimodal</w:t>
      </w:r>
      <w:r>
        <w:t xml:space="preserve"> </w:t>
      </w:r>
      <w:r>
        <w:t xml:space="preserve">rail, inland waterways or short sea shipping, do not involve transhipment costs, high organisational</w:t>
      </w:r>
      <w:r>
        <w:t xml:space="preserve"> </w:t>
      </w:r>
      <w:r>
        <w:t xml:space="preserve">costs nor road-legs that are priced often per time and not per distance and have considerably higher</w:t>
      </w:r>
      <w:r>
        <w:t xml:space="preserve"> </w:t>
      </w:r>
      <w:r>
        <w:t xml:space="preserve">costs per tkm than non-road transport. As a matter of fact, when comparing with the break-even</w:t>
      </w:r>
      <w:r>
        <w:t xml:space="preserve"> </w:t>
      </w:r>
      <w:r>
        <w:t xml:space="preserve">distances presented in Figure 15 above, it can be assumed that the operations below the break-even</w:t>
      </w:r>
      <w:r>
        <w:t xml:space="preserve"> </w:t>
      </w:r>
      <w:r>
        <w:t xml:space="preserve">distances even if saving a sufficient amount of externalities would not widely take place today as</w:t>
      </w:r>
      <w:r>
        <w:t xml:space="preserve"> </w:t>
      </w:r>
      <w:r>
        <w:t xml:space="preserve">they would not be cost-efficient.</w:t>
      </w:r>
      <w:r>
        <w:t xml:space="preserve"> </w:t>
      </w:r>
      <w:r>
        <w:t xml:space="preserve">For the same reasons, it is not possible to empirically establish with precision the share of intermodal</w:t>
      </w:r>
      <w:r>
        <w:t xml:space="preserve"> </w:t>
      </w:r>
      <w:r>
        <w:t xml:space="preserve">operations that would be eligible due to PM1 and PM2. However, by using the data on distance bands</w:t>
      </w:r>
      <w:r>
        <w:t xml:space="preserve"> </w:t>
      </w:r>
      <w:r>
        <w:t xml:space="preserve">from the TRUST model, it is possible to establish how much of rail, IWW and SSS operations in</w:t>
      </w:r>
      <w:r>
        <w:t xml:space="preserve"> </w:t>
      </w:r>
      <w:r>
        <w:t xml:space="preserve">general are longer than the calculated minimum eligible distance. The minimum eligible distances</w:t>
      </w:r>
      <w:r>
        <w:t xml:space="preserve"> </w:t>
      </w:r>
      <w:r>
        <w:t xml:space="preserve">were calculated using weighted average road-leg distances. No exact data exists on the distribution</w:t>
      </w:r>
      <w:r>
        <w:t xml:space="preserve"> </w:t>
      </w:r>
      <w:r>
        <w:t xml:space="preserve">of road leg distances in intermodal transport, but it is clear that a certain amount of operations within</w:t>
      </w:r>
      <w:r>
        <w:t xml:space="preserve"> </w:t>
      </w:r>
      <w:r>
        <w:t xml:space="preserve">the above shares would not fulfil the saving threshold as the road legs would be too long compared</w:t>
      </w:r>
      <w:r>
        <w:t xml:space="preserve"> </w:t>
      </w:r>
      <w:r>
        <w:t xml:space="preserve">to the non-road leg. Taking into account that the non-road legs of economically viable intermodal</w:t>
      </w:r>
      <w:r>
        <w:t xml:space="preserve"> </w:t>
      </w:r>
      <w:r>
        <w:t xml:space="preserve">operations are normally longer on average than unimodal rail, inland waterways and short sea</w:t>
      </w:r>
      <w:r>
        <w:t xml:space="preserve"> </w:t>
      </w:r>
      <w:r>
        <w:t xml:space="preserve">shipping operations as they also involve transhipment costs, and using normal (Gaussian) distribution</w:t>
      </w:r>
      <w:r>
        <w:t xml:space="preserve"> </w:t>
      </w:r>
      <w:r>
        <w:t xml:space="preserve">for establishing the share of road legs that are above the weighted average road leg distances and</w:t>
      </w:r>
      <w:r>
        <w:t xml:space="preserve"> </w:t>
      </w:r>
      <w:r>
        <w:t xml:space="preserve">would thus in combination with minimum calculated non-road leg distances not deliver the required</w:t>
      </w:r>
      <w:r>
        <w:t xml:space="preserve"> </w:t>
      </w:r>
      <w:r>
        <w:t xml:space="preserve">savings, the estimated share of intermodal operations that would be eligible under PM1 and PM2 are</w:t>
      </w:r>
      <w:r>
        <w:t xml:space="preserve"> </w:t>
      </w:r>
      <w:r>
        <w:t xml:space="preserve">presented in the Table 38.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Table 39: Estimated share of intermodal operations eligible per mode for PM1 and PM2</w:t>
      </w:r>
      <w:r>
        <w:br/>
      </w:r>
      <w:r>
        <w:t xml:space="preserve">Policy measure</w:t>
      </w:r>
      <w:r>
        <w:t xml:space="preserve"> </w:t>
      </w:r>
      <w:r>
        <w:t xml:space="preserve">Rail</w:t>
      </w:r>
      <w:r>
        <w:t xml:space="preserve"> </w:t>
      </w:r>
      <w:r>
        <w:t xml:space="preserve">IWW</w:t>
      </w:r>
      <w:r>
        <w:t xml:space="preserve"> </w:t>
      </w:r>
      <w:r>
        <w:t xml:space="preserve">SSS</w:t>
      </w:r>
    </w:p>
    <w:p>
      <w:pPr>
        <w:pStyle w:val="BodyText"/>
      </w:pPr>
      <w:r>
        <w:t xml:space="preserve">2030 2040 2050 2030 2040 2050 2030 2040 2050</w:t>
      </w:r>
      <w:r>
        <w:t xml:space="preserve"> </w:t>
      </w:r>
      <w:r>
        <w:t xml:space="preserve">PM1 (GHG - 25%)</w:t>
      </w:r>
      <w:r>
        <w:t xml:space="preserve"> </w:t>
      </w:r>
      <w:r>
        <w:t xml:space="preserve">88%</w:t>
      </w:r>
      <w:r>
        <w:t xml:space="preserve"> </w:t>
      </w:r>
      <w:r>
        <w:t xml:space="preserve">87%</w:t>
      </w:r>
      <w:r>
        <w:t xml:space="preserve"> </w:t>
      </w:r>
      <w:r>
        <w:t xml:space="preserve">83%</w:t>
      </w:r>
      <w:r>
        <w:t xml:space="preserve"> </w:t>
      </w:r>
      <w:r>
        <w:t xml:space="preserve">57%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PM2 (EXT - 40%)</w:t>
      </w:r>
      <w:r>
        <w:t xml:space="preserve"> </w:t>
      </w:r>
      <w:r>
        <w:t xml:space="preserve">81%</w:t>
      </w:r>
      <w:r>
        <w:t xml:space="preserve"> </w:t>
      </w:r>
      <w:r>
        <w:t xml:space="preserve">81%</w:t>
      </w:r>
      <w:r>
        <w:t xml:space="preserve"> </w:t>
      </w:r>
      <w:r>
        <w:t xml:space="preserve">80%</w:t>
      </w:r>
      <w:r>
        <w:t xml:space="preserve"> </w:t>
      </w:r>
      <w:r>
        <w:t xml:space="preserve">56%</w:t>
      </w:r>
      <w:r>
        <w:t xml:space="preserve"> </w:t>
      </w:r>
      <w:r>
        <w:t xml:space="preserve">56%</w:t>
      </w:r>
      <w:r>
        <w:t xml:space="preserve"> </w:t>
      </w:r>
      <w:r>
        <w:t xml:space="preserve">56%</w:t>
      </w:r>
      <w:r>
        <w:t xml:space="preserve"> </w:t>
      </w:r>
      <w:r>
        <w:t xml:space="preserve">73%</w:t>
      </w:r>
      <w:r>
        <w:t xml:space="preserve"> </w:t>
      </w:r>
      <w:r>
        <w:t xml:space="preserve">73%</w:t>
      </w:r>
      <w:r>
        <w:t xml:space="preserve"> </w:t>
      </w:r>
      <w:r>
        <w:t xml:space="preserve">73%</w:t>
      </w:r>
      <w:r>
        <w:t xml:space="preserve"> </w:t>
      </w:r>
      <w:r>
        <w:t xml:space="preserve">Source: Ricardo et al. support study (2023); Note: ‘GHG - 25%’ stands for extending the scope to all intermodal</w:t>
      </w:r>
      <w:r>
        <w:t xml:space="preserve"> </w:t>
      </w:r>
      <w:r>
        <w:t xml:space="preserve">operations in EU that save 25% GHG when shifting from road-only to intermodal; ‘EXT - 40%’ stands for extending the</w:t>
      </w:r>
      <w:r>
        <w:t xml:space="preserve"> </w:t>
      </w:r>
      <w:r>
        <w:t xml:space="preserve">scope to all intermodal operations in EU that save 40% external cost when shifting from road-only to intermodal.</w:t>
      </w:r>
      <w:r>
        <w:t xml:space="preserve"> </w:t>
      </w:r>
      <w:r>
        <w:t xml:space="preserve">Taking into account the shares of different modal combinations in total intermodal transport and the</w:t>
      </w:r>
      <w:r>
        <w:t xml:space="preserve"> </w:t>
      </w:r>
      <w:r>
        <w:t xml:space="preserve">eligibility from total intermodal transport under the current CTD, it can be established that the policy</w:t>
      </w:r>
      <w:r>
        <w:t xml:space="preserve"> </w:t>
      </w:r>
      <w:r>
        <w:t xml:space="preserve">measures would result in an overall extension of the eligibility of 33.4% in 2030 for PM1 and 33.5%</w:t>
      </w:r>
      <w:r>
        <w:t xml:space="preserve"> </w:t>
      </w:r>
      <w:r>
        <w:t xml:space="preserve">for PM2, and 30.2% in 2050 for PM1 and 33.3% under PM2.</w:t>
      </w:r>
      <w:r>
        <w:br/>
      </w:r>
      <w:r>
        <w:t xml:space="preserve">PM1 and PM2 alone are not expected to result in an increase in the total intermodal traffic volumes.</w:t>
      </w:r>
      <w:r>
        <w:t xml:space="preserve"> </w:t>
      </w:r>
      <w:r>
        <w:t xml:space="preserve">In theory if no other changes would be made to current CTD, PM1 and PM2 would result in wider</w:t>
      </w:r>
      <w:r>
        <w:t xml:space="preserve"> </w:t>
      </w:r>
      <w:r>
        <w:t xml:space="preserve">application of today’s support and current schemes for support (Article 4 and 6) would have to be</w:t>
      </w:r>
      <w:r>
        <w:t xml:space="preserve"> </w:t>
      </w:r>
      <w:r>
        <w:t xml:space="preserve">extended to wider set of operations as shown above. However, as Article 6 is ineffective no impact</w:t>
      </w:r>
      <w:r>
        <w:t xml:space="preserve"> </w:t>
      </w:r>
      <w:r>
        <w:t xml:space="preserve">on the total intermodal traffic volumes is expected. In addition, a very small increase in the intermodal</w:t>
      </w:r>
      <w:r>
        <w:t xml:space="preserve"> </w:t>
      </w:r>
      <w:r>
        <w:t xml:space="preserve">traffic volume has been observed due to the extended scope of today’s regulatory measures,</w:t>
      </w:r>
      <w:r>
        <w:t xml:space="preserve"> </w:t>
      </w:r>
      <w:r>
        <w:t xml:space="preserve">essentially Article 4 (equivalent treatment of road hauliers carrying out road legs with road-only</w:t>
      </w:r>
      <w:r>
        <w:t xml:space="preserve"> </w:t>
      </w:r>
      <w:r>
        <w:t xml:space="preserve">transport).</w:t>
      </w:r>
      <w:r>
        <w:br/>
      </w:r>
      <w:r>
        <w:t xml:space="preserve">The costs for national public administrations linked to the extended eligibility are reflected in the cost</w:t>
      </w:r>
      <w:r>
        <w:t xml:space="preserve"> </w:t>
      </w:r>
      <w:r>
        <w:t xml:space="preserve">calculations for PM7-PM12 below, due to the synergies between the measures. There are no costs</w:t>
      </w:r>
      <w:r>
        <w:t xml:space="preserve"> </w:t>
      </w:r>
      <w:r>
        <w:t xml:space="preserve">attributed to the industry (i.e. there is no obligation on the industry to use the CTD).</w:t>
      </w:r>
      <w:r>
        <w:t xml:space="preserve"> </w:t>
      </w:r>
      <w:r>
        <w:t xml:space="preserve">3.1.2. Measure PM3 – proof of eligibility</w:t>
      </w:r>
      <w:r>
        <w:t xml:space="preserve"> </w:t>
      </w:r>
      <w:r>
        <w:t xml:space="preserve">PM3 establishes new and adequate data set obligations for proof of eligibility with implementation</w:t>
      </w:r>
      <w:r>
        <w:t xml:space="preserve"> </w:t>
      </w:r>
      <w:r>
        <w:t xml:space="preserve">via eFTI platforms. This measure will update which data needs to be provided and how proof of</w:t>
      </w:r>
      <w:r>
        <w:t xml:space="preserve"> </w:t>
      </w:r>
      <w:r>
        <w:t xml:space="preserve">eligibility by the industry who wants to benefit from the support measures should be provided. It is</w:t>
      </w:r>
      <w:r>
        <w:t xml:space="preserve"> </w:t>
      </w:r>
      <w:r>
        <w:t xml:space="preserve">important to acknowledge that as today, this measure will not imply obligations or adjustment costs</w:t>
      </w:r>
      <w:r>
        <w:t xml:space="preserve"> </w:t>
      </w:r>
      <w:r>
        <w:t xml:space="preserve">on all economic operators in the intermodal transport sector, but only on those that are eligible under</w:t>
      </w:r>
      <w:r>
        <w:t xml:space="preserve"> </w:t>
      </w:r>
      <w:r>
        <w:t xml:space="preserve">respective Member States schemes and choose to benefit from the support measures. Overall, the</w:t>
      </w:r>
      <w:r>
        <w:t xml:space="preserve"> </w:t>
      </w:r>
      <w:r>
        <w:t xml:space="preserve">impact of PM3 will be mainly linked to the proof of eligibility required to hauliers at road checks.</w:t>
      </w:r>
      <w:r>
        <w:br/>
      </w:r>
      <w:r>
        <w:t xml:space="preserve">PM3 will make it mandatory to use an eFTI platform in case the organiser wants to benefit from</w:t>
      </w:r>
      <w:r>
        <w:t xml:space="preserve"> </w:t>
      </w:r>
      <w:r>
        <w:t xml:space="preserve">support measures. The eFTI Regulation182 entered into force in August 2020 and will apply from</w:t>
      </w:r>
      <w:r>
        <w:t xml:space="preserve"> </w:t>
      </w:r>
      <w:r>
        <w:t xml:space="preserve">2025. The eFTI platforms will already cover the current CTD dataset. However, using eFTI is not</w:t>
      </w:r>
      <w:r>
        <w:t xml:space="preserve"> </w:t>
      </w:r>
      <w:r>
        <w:t xml:space="preserve">mandatory in general nor for CTD today. In PM3, the updated dataset will be integrated into the eFTI</w:t>
      </w:r>
      <w:r>
        <w:t xml:space="preserve"> </w:t>
      </w:r>
      <w:r>
        <w:t xml:space="preserve">platforms and a dedicated functionality will be added so that the platform can automatically calculate</w:t>
      </w:r>
      <w:r>
        <w:t xml:space="preserve"> </w:t>
      </w:r>
      <w:r>
        <w:t xml:space="preserve">the eligibility. Thus, the organisers will enter into the eFTI platform usual transport data, required by</w:t>
      </w:r>
      <w:r>
        <w:t xml:space="preserve"> </w:t>
      </w:r>
      <w:r>
        <w:t xml:space="preserve">other modal EU and national legislation as well as some limited additional data specific for CT, in</w:t>
      </w:r>
      <w:r>
        <w:t xml:space="preserve"> </w:t>
      </w:r>
      <w:r>
        <w:t xml:space="preserve">particular linking the different legs of one operation and adding vehicle or vessel and fuel data. The</w:t>
      </w:r>
      <w:r>
        <w:t xml:space="preserve"> </w:t>
      </w:r>
      <w:r>
        <w:t xml:space="preserve">dedicated functionality will pull together the data needed to establish eligibility from different</w:t>
      </w:r>
      <w:r>
        <w:t xml:space="preserve"> </w:t>
      </w:r>
      <w:r>
        <w:t xml:space="preserve">datasets and inform both the organiser as well as controlling authorities in case of road-side checks</w:t>
      </w:r>
      <w:r>
        <w:t xml:space="preserve"> </w:t>
      </w:r>
      <w:r>
        <w:t xml:space="preserve">whether an operation is eligible or not. The eFTI platform can also be used to assemble information</w:t>
      </w:r>
      <w:r>
        <w:t xml:space="preserve"> </w:t>
      </w:r>
      <w:r>
        <w:t xml:space="preserve">or reports of all eligible operations carried out, for submitting to authorities for application of</w:t>
      </w:r>
      <w:r>
        <w:t xml:space="preserve"> </w:t>
      </w:r>
      <w:r>
        <w:t xml:space="preserve">economic support. The impact of the latter is covered under PM7-PM11.</w:t>
      </w:r>
    </w:p>
    <w:p>
      <w:pPr>
        <w:pStyle w:val="BodyText"/>
      </w:pPr>
      <w:r>
        <w:t xml:space="preserve">182 Regulation (EU) 2020/1056.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The exact methodology and input data for externalities needs to be established separately by other</w:t>
      </w:r>
      <w:r>
        <w:t xml:space="preserve"> </w:t>
      </w:r>
      <w:r>
        <w:t xml:space="preserve">legal acts (CEEU and its implementing acts in case of PM1) or by implementing or delegated acts</w:t>
      </w:r>
      <w:r>
        <w:t xml:space="preserve"> </w:t>
      </w:r>
      <w:r>
        <w:t xml:space="preserve">for PM2 based on the Handbook of the external costs of transport183. In case of PM2, it would be</w:t>
      </w:r>
      <w:r>
        <w:t xml:space="preserve"> </w:t>
      </w:r>
      <w:r>
        <w:t xml:space="preserve">necessary to continue updating the Handbook on a regular basis, taking into account the latest</w:t>
      </w:r>
      <w:r>
        <w:t xml:space="preserve"> </w:t>
      </w:r>
      <w:r>
        <w:t xml:space="preserve">scientific evidence as well as integrating the results of CEEU.</w:t>
      </w:r>
      <w:r>
        <w:br/>
      </w:r>
      <w:r>
        <w:t xml:space="preserve">Adjustment costs for the private sector</w:t>
      </w:r>
      <w:r>
        <w:t xml:space="preserve"> </w:t>
      </w:r>
      <w:r>
        <w:t xml:space="preserve">The costs for the private sector are mostly covered by the implementation of the eFTI Regulation and thus</w:t>
      </w:r>
      <w:r>
        <w:t xml:space="preserve"> </w:t>
      </w:r>
      <w:r>
        <w:t xml:space="preserve">part of the baseline. Additional adjustment costs are expected due to PM3 for the eFTI platform providers</w:t>
      </w:r>
      <w:r>
        <w:t xml:space="preserve"> </w:t>
      </w:r>
      <w:r>
        <w:t xml:space="preserve">in the form of initial investments for developing the required dedicated functionality (one-off adjustment</w:t>
      </w:r>
      <w:r>
        <w:t xml:space="preserve"> </w:t>
      </w:r>
      <w:r>
        <w:t xml:space="preserve">costs). They are estimated at EUR 0.05 million in 2025 relative to the baseline.</w:t>
      </w:r>
      <w:r>
        <w:br/>
      </w:r>
      <w:r>
        <w:t xml:space="preserve">Table 40: Adjustment costs for the private sector due to PM3 relative to the baseline (in million EUR, 2021 prices)</w:t>
      </w:r>
    </w:p>
    <w:p>
      <w:pPr>
        <w:pStyle w:val="BodyText"/>
      </w:pPr>
      <w:r>
        <w:t xml:space="preserve">Costs (in million EUR)</w:t>
      </w:r>
      <w:r>
        <w:t xml:space="preserve"> </w:t>
      </w:r>
      <w:r>
        <w:t xml:space="preserve">Adjustment costs for eFTI platform providers (one-off costs in 2025)</w:t>
      </w:r>
      <w:r>
        <w:t xml:space="preserve"> </w:t>
      </w:r>
      <w:r>
        <w:t xml:space="preserve">0.05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Administrative costs savings for the private sector</w:t>
      </w:r>
      <w:r>
        <w:t xml:space="preserve"> </w:t>
      </w:r>
      <w:r>
        <w:t xml:space="preserve">As in PM3 the proof of eligibility is implemented via the eFTI platforms, the operators engaged in</w:t>
      </w:r>
      <w:r>
        <w:t xml:space="preserve"> </w:t>
      </w:r>
      <w:r>
        <w:t xml:space="preserve">intermodal transport will benefit from not having to manage paper-based transport documents, in</w:t>
      </w:r>
      <w:r>
        <w:t xml:space="preserve"> </w:t>
      </w:r>
      <w:r>
        <w:t xml:space="preserve">particular for road-side checks. In addition, the operators will benefit from updated data requirements</w:t>
      </w:r>
      <w:r>
        <w:t xml:space="preserve"> </w:t>
      </w:r>
      <w:r>
        <w:t xml:space="preserve">that allow to check the eligibility faster at road-side checks. The costs savings due to the use of electronic</w:t>
      </w:r>
      <w:r>
        <w:t xml:space="preserve"> </w:t>
      </w:r>
      <w:r>
        <w:t xml:space="preserve">data and appropriate data requirements are estimated to be on average 5 EUR per shipment184. This also</w:t>
      </w:r>
      <w:r>
        <w:t xml:space="preserve"> </w:t>
      </w:r>
      <w:r>
        <w:t xml:space="preserve">takes into account the eFTI platform fees for platform users. In order to derive the total administrative</w:t>
      </w:r>
      <w:r>
        <w:t xml:space="preserve"> </w:t>
      </w:r>
      <w:r>
        <w:t xml:space="preserve">costs savings for the private sector, the unit cost savings are multiplied by the number of intermodal</w:t>
      </w:r>
      <w:r>
        <w:t xml:space="preserve"> </w:t>
      </w:r>
      <w:r>
        <w:t xml:space="preserve">operations carried out under the different policy options. The costs savings for the private sector for 2025,</w:t>
      </w:r>
      <w:r>
        <w:t xml:space="preserve"> </w:t>
      </w:r>
      <w:r>
        <w:t xml:space="preserve">2030 and 2035 relative to the baseline are provided in Table 40. It must be noted that costs savings are</w:t>
      </w:r>
      <w:r>
        <w:t xml:space="preserve"> </w:t>
      </w:r>
      <w:r>
        <w:t xml:space="preserve">assumed to occur until 2035 as post-2035 eFTI platforms are expected to be widely in use among EU</w:t>
      </w:r>
      <w:r>
        <w:t xml:space="preserve"> </w:t>
      </w:r>
      <w:r>
        <w:t xml:space="preserve">operators; so there will be little case for PM3 to induce costs savings compared to the baseline.</w:t>
      </w:r>
      <w:r>
        <w:t xml:space="preserve"> </w:t>
      </w:r>
      <w:r>
        <w:t xml:space="preserve">Expressed as present value over 2025-2050, the administrative costs savings are estimated at EUR 3.35 bn</w:t>
      </w:r>
      <w:r>
        <w:t xml:space="preserve"> </w:t>
      </w:r>
      <w:r>
        <w:t xml:space="preserve">in PO-A, EUR 4.08 bn in PO-B1, EUR 4.12 bn in PO-B2a, EUR 3.16 bn in PO-B2b and EUR 5.31 bn in PO-C.</w:t>
      </w:r>
      <w:r>
        <w:br/>
      </w:r>
      <w:r>
        <w:t xml:space="preserve">For the purpose of the application of the ‘one in, one out’ approach, the average number of eligible</w:t>
      </w:r>
      <w:r>
        <w:t xml:space="preserve"> </w:t>
      </w:r>
      <w:r>
        <w:t xml:space="preserve">operations per year during the 2025-2035 period is estimated at 0.071 bn in PO-A, 0.086 bn in PO-B1,</w:t>
      </w:r>
      <w:r>
        <w:t xml:space="preserve"> </w:t>
      </w:r>
      <w:r>
        <w:t xml:space="preserve">0.087 bn in PO-B2a, 0.067 bn in PO-B2b, and 0.112 bn in PO-C. Applying the unit costs savings of 5 EUR per</w:t>
      </w:r>
      <w:r>
        <w:t xml:space="preserve"> </w:t>
      </w:r>
      <w:r>
        <w:t xml:space="preserve">shipment, the administrative costs savings per year for the ‘one in, one out’ are estimated at EUR 0.35 bn</w:t>
      </w:r>
      <w:r>
        <w:t xml:space="preserve"> </w:t>
      </w:r>
      <w:r>
        <w:t xml:space="preserve">in PO-A, EUR 0.43 bn in PO-B1 and PO-B2a, EUR 0.33 bn in PO-B2b, and EUR 0.56 bn in PO-C.</w:t>
      </w:r>
      <w:r>
        <w:br/>
      </w:r>
      <w:r>
        <w:t xml:space="preserve">Table 41: Administrative cost savings for the private sector due to PM3 in different policy options, relative to the</w:t>
      </w:r>
      <w:r>
        <w:t xml:space="preserve"> </w:t>
      </w:r>
      <w:r>
        <w:t xml:space="preserve">baseline (in billion EUR, 2021 prices)</w:t>
      </w:r>
      <w:r>
        <w:t xml:space="preserve"> </w:t>
      </w:r>
      <w:r>
        <w:t xml:space="preserve">Cost elements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EUR saved/check for operators (A)</w:t>
      </w:r>
      <w:r>
        <w:t xml:space="preserve"> </w:t>
      </w:r>
      <w:r>
        <w:t xml:space="preserve">5</w:t>
      </w:r>
      <w:r>
        <w:br/>
      </w:r>
      <w:r>
        <w:t xml:space="preserve">5</w:t>
      </w:r>
      <w:r>
        <w:br/>
      </w:r>
      <w:r>
        <w:t xml:space="preserve">5</w:t>
      </w:r>
      <w:r>
        <w:br/>
      </w:r>
      <w:r>
        <w:t xml:space="preserve">PO-A</w:t>
      </w:r>
    </w:p>
    <w:p>
      <w:pPr>
        <w:pStyle w:val="BodyText"/>
      </w:pPr>
      <w:r>
        <w:t xml:space="preserve">Number of intermodal operations, in billion (C1)</w:t>
      </w:r>
      <w:r>
        <w:t xml:space="preserve"> </w:t>
      </w:r>
      <w:r>
        <w:t xml:space="preserve">0.065</w:t>
      </w:r>
      <w:r>
        <w:t xml:space="preserve"> </w:t>
      </w:r>
      <w:r>
        <w:t xml:space="preserve">0.071</w:t>
      </w:r>
      <w:r>
        <w:t xml:space="preserve"> </w:t>
      </w:r>
      <w:r>
        <w:t xml:space="preserve">0.076</w:t>
      </w:r>
      <w:r>
        <w:t xml:space="preserve"> </w:t>
      </w:r>
      <w:r>
        <w:t xml:space="preserve">Total cost saving per year (A*C1)</w:t>
      </w:r>
      <w:r>
        <w:br/>
      </w:r>
      <w:r>
        <w:t xml:space="preserve">0.32</w:t>
      </w:r>
      <w:r>
        <w:t xml:space="preserve"> </w:t>
      </w:r>
      <w:r>
        <w:t xml:space="preserve">0.36</w:t>
      </w:r>
      <w:r>
        <w:t xml:space="preserve"> </w:t>
      </w:r>
      <w:r>
        <w:t xml:space="preserve">0.38</w:t>
      </w:r>
      <w:r>
        <w:t xml:space="preserve"> </w:t>
      </w:r>
      <w:r>
        <w:t xml:space="preserve">PO-B1</w:t>
      </w:r>
    </w:p>
    <w:p>
      <w:pPr>
        <w:pStyle w:val="BodyText"/>
      </w:pPr>
      <w:r>
        <w:t xml:space="preserve">Number of intermodal operations, in billion (C2)</w:t>
      </w:r>
      <w:r>
        <w:t xml:space="preserve"> </w:t>
      </w:r>
      <w:r>
        <w:t xml:space="preserve">0.078</w:t>
      </w:r>
      <w:r>
        <w:t xml:space="preserve"> </w:t>
      </w:r>
      <w:r>
        <w:t xml:space="preserve">0.086</w:t>
      </w:r>
      <w:r>
        <w:t xml:space="preserve"> </w:t>
      </w:r>
      <w:r>
        <w:t xml:space="preserve">0.094</w:t>
      </w:r>
      <w:r>
        <w:t xml:space="preserve"> </w:t>
      </w:r>
      <w:r>
        <w:t xml:space="preserve">Total cost saving per year (A*C2)</w:t>
      </w:r>
      <w:r>
        <w:br/>
      </w:r>
      <w:r>
        <w:t xml:space="preserve">0.39</w:t>
      </w:r>
      <w:r>
        <w:t xml:space="preserve"> </w:t>
      </w:r>
      <w:r>
        <w:t xml:space="preserve">0.43</w:t>
      </w:r>
      <w:r>
        <w:t xml:space="preserve"> </w:t>
      </w:r>
      <w:r>
        <w:t xml:space="preserve">0.47</w:t>
      </w:r>
      <w:r>
        <w:t xml:space="preserve"> </w:t>
      </w:r>
      <w:r>
        <w:t xml:space="preserve">PO-B2a</w:t>
      </w:r>
    </w:p>
    <w:p>
      <w:pPr>
        <w:pStyle w:val="BodyText"/>
      </w:pPr>
      <w:r>
        <w:t xml:space="preserve">Number of intermodal operations, in billion (C3)</w:t>
      </w:r>
      <w:r>
        <w:t xml:space="preserve"> </w:t>
      </w:r>
      <w:r>
        <w:t xml:space="preserve">0.078</w:t>
      </w:r>
      <w:r>
        <w:t xml:space="preserve"> </w:t>
      </w:r>
      <w:r>
        <w:t xml:space="preserve">0.086</w:t>
      </w:r>
      <w:r>
        <w:t xml:space="preserve"> </w:t>
      </w:r>
      <w:r>
        <w:t xml:space="preserve">0.097</w:t>
      </w:r>
      <w:r>
        <w:t xml:space="preserve"> </w:t>
      </w:r>
      <w:r>
        <w:t xml:space="preserve">Total cost saving per year (A*C3)</w:t>
      </w:r>
      <w:r>
        <w:br/>
      </w:r>
      <w:r>
        <w:t xml:space="preserve">0.39</w:t>
      </w:r>
      <w:r>
        <w:t xml:space="preserve"> </w:t>
      </w:r>
      <w:r>
        <w:t xml:space="preserve">0.43</w:t>
      </w:r>
      <w:r>
        <w:t xml:space="preserve"> </w:t>
      </w:r>
      <w:r>
        <w:t xml:space="preserve">0.48</w:t>
      </w:r>
    </w:p>
    <w:p>
      <w:pPr>
        <w:pStyle w:val="BodyText"/>
      </w:pPr>
      <w:r>
        <w:t xml:space="preserve">183 CE Delft (2019).</w:t>
      </w:r>
      <w:r>
        <w:t xml:space="preserve"> </w:t>
      </w:r>
      <w:r>
        <w:t xml:space="preserve">184 SWD (2017) 194 final.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Cost elements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PO-B2b</w:t>
      </w:r>
    </w:p>
    <w:p>
      <w:pPr>
        <w:pStyle w:val="BodyText"/>
      </w:pPr>
      <w:r>
        <w:t xml:space="preserve">Number of intermodal operations, in billion (C4)</w:t>
      </w:r>
      <w:r>
        <w:t xml:space="preserve"> </w:t>
      </w:r>
      <w:r>
        <w:t xml:space="preserve">0.060</w:t>
      </w:r>
      <w:r>
        <w:br/>
      </w:r>
      <w:r>
        <w:t xml:space="preserve">0.067</w:t>
      </w:r>
      <w:r>
        <w:br/>
      </w:r>
      <w:r>
        <w:t xml:space="preserve">0.073</w:t>
      </w:r>
      <w:r>
        <w:br/>
      </w:r>
      <w:r>
        <w:t xml:space="preserve">Total cost saving per year (A*C4)</w:t>
      </w:r>
      <w:r>
        <w:br/>
      </w:r>
      <w:r>
        <w:t xml:space="preserve">0.30</w:t>
      </w:r>
      <w:r>
        <w:br/>
      </w:r>
      <w:r>
        <w:t xml:space="preserve">0.33</w:t>
      </w:r>
      <w:r>
        <w:br/>
      </w:r>
      <w:r>
        <w:t xml:space="preserve">0.37</w:t>
      </w:r>
      <w:r>
        <w:br/>
      </w:r>
      <w:r>
        <w:t xml:space="preserve">PO-C</w:t>
      </w:r>
    </w:p>
    <w:p>
      <w:pPr>
        <w:pStyle w:val="BodyText"/>
      </w:pPr>
      <w:r>
        <w:t xml:space="preserve">Number of intermodal operations, in billion (C5)</w:t>
      </w:r>
      <w:r>
        <w:t xml:space="preserve"> </w:t>
      </w:r>
      <w:r>
        <w:t xml:space="preserve">0.101</w:t>
      </w:r>
      <w:r>
        <w:t xml:space="preserve"> </w:t>
      </w:r>
      <w:r>
        <w:t xml:space="preserve">0.111</w:t>
      </w:r>
      <w:r>
        <w:t xml:space="preserve"> </w:t>
      </w:r>
      <w:r>
        <w:t xml:space="preserve">0.124</w:t>
      </w:r>
      <w:r>
        <w:t xml:space="preserve"> </w:t>
      </w:r>
      <w:r>
        <w:t xml:space="preserve">Total cost saving per year (A*C5)</w:t>
      </w:r>
      <w:r>
        <w:br/>
      </w:r>
      <w:r>
        <w:t xml:space="preserve">0.51</w:t>
      </w:r>
      <w:r>
        <w:t xml:space="preserve"> </w:t>
      </w:r>
      <w:r>
        <w:t xml:space="preserve">0.56</w:t>
      </w:r>
      <w:r>
        <w:t xml:space="preserve"> </w:t>
      </w:r>
      <w:r>
        <w:t xml:space="preserve">0.62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Administrative costs savings for national public authorities</w:t>
      </w:r>
      <w:r>
        <w:t xml:space="preserve"> </w:t>
      </w:r>
      <w:r>
        <w:t xml:space="preserve">As regards public authorities, no additional adjustment costs for using the eFTI platforms are expected as</w:t>
      </w:r>
      <w:r>
        <w:t xml:space="preserve"> </w:t>
      </w:r>
      <w:r>
        <w:t xml:space="preserve">the use and acceptance of eFTI platforms is already mandatory for all public authorities under the eFTI</w:t>
      </w:r>
      <w:r>
        <w:t xml:space="preserve"> </w:t>
      </w:r>
      <w:r>
        <w:t xml:space="preserve">Regulation and thus part of the baseline.</w:t>
      </w:r>
      <w:r>
        <w:br/>
      </w:r>
      <w:r>
        <w:t xml:space="preserve">On the other hand, due to PM3 the national authorities will benefit from faster procedures for road-</w:t>
      </w:r>
      <w:r>
        <w:t xml:space="preserve"> </w:t>
      </w:r>
      <w:r>
        <w:t xml:space="preserve">side checks in case road-hauliers are using one of the regulatory benefits established by the CTD.</w:t>
      </w:r>
      <w:r>
        <w:t xml:space="preserve"> </w:t>
      </w:r>
      <w:r>
        <w:t xml:space="preserve">The availability of digital transport information will significantly reduce the time spent by officers</w:t>
      </w:r>
      <w:r>
        <w:t xml:space="preserve"> </w:t>
      </w:r>
      <w:r>
        <w:t xml:space="preserve">for inspections. For authorities, these benefits can be quantified based on the number of road checks</w:t>
      </w:r>
      <w:r>
        <w:t xml:space="preserve"> </w:t>
      </w:r>
      <w:r>
        <w:t xml:space="preserve">carried out in the EU (the number of checks is considered fixed, i.e. it is not affected by the CTD</w:t>
      </w:r>
      <w:r>
        <w:t xml:space="preserve"> </w:t>
      </w:r>
      <w:r>
        <w:t xml:space="preserve">provisions), and the fact that the use of digital transport data allows to cut the duration of road-side</w:t>
      </w:r>
      <w:r>
        <w:t xml:space="preserve"> </w:t>
      </w:r>
      <w:r>
        <w:t xml:space="preserve">check by 10% (a time savings valued on average at 2.4 EUR per check)185. Considering that pre/post</w:t>
      </w:r>
      <w:r>
        <w:t xml:space="preserve"> </w:t>
      </w:r>
      <w:r>
        <w:t xml:space="preserve">haulage operations (i.e. road legs of intermodal transport) represent nearly 10% of road transport</w:t>
      </w:r>
      <w:r>
        <w:t xml:space="preserve"> </w:t>
      </w:r>
      <w:r>
        <w:t xml:space="preserve">operation in EU27, the administrative cost savings for public authorities are estimated at EUR 0.24</w:t>
      </w:r>
      <w:r>
        <w:t xml:space="preserve"> </w:t>
      </w:r>
      <w:r>
        <w:t xml:space="preserve">million per year from 2025 onwards. Expressed as present value over 2025-2050, they are estimated</w:t>
      </w:r>
      <w:r>
        <w:t xml:space="preserve"> </w:t>
      </w:r>
      <w:r>
        <w:t xml:space="preserve">at EUR 2.29 million relative to the baseline.</w:t>
      </w:r>
      <w:r>
        <w:br/>
      </w:r>
      <w:r>
        <w:t xml:space="preserve">Table 42: Administrative cost savings for public authorities due to PM3, relative to the baseline (EUR million, 2021</w:t>
      </w:r>
      <w:r>
        <w:t xml:space="preserve"> </w:t>
      </w:r>
      <w:r>
        <w:t xml:space="preserve">prices)</w:t>
      </w:r>
    </w:p>
    <w:p>
      <w:pPr>
        <w:pStyle w:val="BodyText"/>
      </w:pPr>
      <w:r>
        <w:t xml:space="preserve">Annual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 savings (recurrent)</w:t>
      </w:r>
      <w:r>
        <w:t xml:space="preserve"> </w:t>
      </w:r>
      <w:r>
        <w:t xml:space="preserve">0.24</w:t>
      </w:r>
      <w:r>
        <w:t xml:space="preserve"> </w:t>
      </w:r>
      <w:r>
        <w:t xml:space="preserve">2.29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It must be noted that costs savings are assumed to occur only until 2035 as post-2035 eFTI and the</w:t>
      </w:r>
      <w:r>
        <w:t xml:space="preserve"> </w:t>
      </w:r>
      <w:r>
        <w:t xml:space="preserve">digitalisation of transport information is expected to be widely in use among EU operators; so there</w:t>
      </w:r>
      <w:r>
        <w:t xml:space="preserve"> </w:t>
      </w:r>
      <w:r>
        <w:t xml:space="preserve">will be little case for PM3 to induce costs savings compared to the baseline.</w:t>
      </w:r>
      <w:r>
        <w:t xml:space="preserve"> </w:t>
      </w:r>
      <w:r>
        <w:t xml:space="preserve">No impact is expected on intermodal traffic volumes due to PM3.</w:t>
      </w:r>
      <w:r>
        <w:t xml:space="preserve"> </w:t>
      </w:r>
      <w:r>
        <w:t xml:space="preserve">3.2. Ensure better support by improving reporting on the multimodal/ intermodal transport</w:t>
      </w:r>
      <w:r>
        <w:t xml:space="preserve"> </w:t>
      </w:r>
      <w:r>
        <w:t xml:space="preserve">(PM4-PM6)</w:t>
      </w:r>
      <w:r>
        <w:t xml:space="preserve"> </w:t>
      </w:r>
      <w:r>
        <w:t xml:space="preserve">3.2.1. Measure PM4 – Replace the Commission reporting with Member States’ voluntary analysis</w:t>
      </w:r>
      <w:r>
        <w:t xml:space="preserve"> </w:t>
      </w:r>
      <w:r>
        <w:t xml:space="preserve">and strategic planning for sustainable freight transport</w:t>
      </w:r>
      <w:r>
        <w:t xml:space="preserve"> </w:t>
      </w:r>
      <w:r>
        <w:t xml:space="preserve">Adjustment costs for national public authorities</w:t>
      </w:r>
      <w:r>
        <w:t xml:space="preserve"> </w:t>
      </w:r>
      <w:r>
        <w:t xml:space="preserve">In PM4 the existing reporting mechanism is replaced with a new system where Member States carry</w:t>
      </w:r>
      <w:r>
        <w:t xml:space="preserve"> </w:t>
      </w:r>
      <w:r>
        <w:t xml:space="preserve">out analysis and strategic planning on sustainable freight transport on a voluntary basis while the</w:t>
      </w:r>
      <w:r>
        <w:t xml:space="preserve"> </w:t>
      </w:r>
      <w:r>
        <w:t xml:space="preserve">Commission reporting is abolished. The voluntary system proposed under PM4 is expected to bring</w:t>
      </w:r>
      <w:r>
        <w:t xml:space="preserve"> </w:t>
      </w:r>
      <w:r>
        <w:t xml:space="preserve">limited adjustment costs for authorities. More specifically, it is expected that five Member States who</w:t>
      </w:r>
    </w:p>
    <w:p>
      <w:pPr>
        <w:pStyle w:val="BodyText"/>
      </w:pPr>
      <w:r>
        <w:t xml:space="preserve">185 The Mobility Package I IA study (https://transport.ec.europa.eu/system/files/2017-06/2017-04-support-study-ia-</w:t>
      </w:r>
      <w:r>
        <w:t xml:space="preserve"> </w:t>
      </w:r>
      <w:r>
        <w:t xml:space="preserve">revision-haulage.pdf; page 120) indicates expected cabotage checks under the baseline scenario of 1.35 million/year and</w:t>
      </w:r>
      <w:r>
        <w:t xml:space="preserve"> </w:t>
      </w:r>
      <w:r>
        <w:t xml:space="preserve">savings of EUR 3.2 million/year from the use of the e-CRM (linked to a 10% time reduction).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today do not carry out such analysis (AT, CZ, NL, PT and SE) would do so in the future. The one-</w:t>
      </w:r>
      <w:r>
        <w:t xml:space="preserve"> </w:t>
      </w:r>
      <w:r>
        <w:t xml:space="preserve">off effort in 2025 is estimated at 98 to 198 man-days per country, depending on the number of</w:t>
      </w:r>
      <w:r>
        <w:t xml:space="preserve"> </w:t>
      </w:r>
      <w:r>
        <w:t xml:space="preserve">transport modes and on the size of the freight transport sector of the country. In addition, every five</w:t>
      </w:r>
      <w:r>
        <w:t xml:space="preserve"> </w:t>
      </w:r>
      <w:r>
        <w:t xml:space="preserve">years the effort required is estimated at 147 to 297 man-days per country. To estimate the costs, the</w:t>
      </w:r>
      <w:r>
        <w:t xml:space="preserve"> </w:t>
      </w:r>
      <w:r>
        <w:t xml:space="preserve">tariffs per hour from the Eurostat Structure of earnings survey, Labour Force Survey data for Non-</w:t>
      </w:r>
      <w:r>
        <w:t xml:space="preserve"> </w:t>
      </w:r>
      <w:r>
        <w:t xml:space="preserve">Wage Labour Costs (i.e. ISCO 2 – professionals) have been used. The total one-off costs in 2025 are</w:t>
      </w:r>
      <w:r>
        <w:t xml:space="preserve"> </w:t>
      </w:r>
      <w:r>
        <w:t xml:space="preserve">estimated at EUR 0.2 million, while the recurrent costs from 2025 onwards at EUR 0.3 million every</w:t>
      </w:r>
      <w:r>
        <w:t xml:space="preserve"> </w:t>
      </w:r>
      <w:r>
        <w:t xml:space="preserve">five years (see Table 42). Expressed as present value over the 2025-2050 horizon, the total adjustment</w:t>
      </w:r>
      <w:r>
        <w:t xml:space="preserve"> </w:t>
      </w:r>
      <w:r>
        <w:t xml:space="preserve">costs for national authorities are estimated at EUR 1.4 million, of which one-off costs of EUR 0.2</w:t>
      </w:r>
      <w:r>
        <w:t xml:space="preserve"> </w:t>
      </w:r>
      <w:r>
        <w:t xml:space="preserve">million.</w:t>
      </w:r>
      <w:r>
        <w:t xml:space="preserve"> </w:t>
      </w:r>
      <w:r>
        <w:t xml:space="preserve">3.2.2. Measure PM5 – Replace the Commission reporting with Member States’ mandatory</w:t>
      </w:r>
      <w:r>
        <w:br/>
      </w:r>
      <w:r>
        <w:t xml:space="preserve">analysis and strategic planning for all freight transport system (cross-modal). An obligation to</w:t>
      </w:r>
      <w:r>
        <w:t xml:space="preserve"> </w:t>
      </w:r>
      <w:r>
        <w:t xml:space="preserve">regularly review the measures will be included.</w:t>
      </w:r>
      <w:r>
        <w:br/>
      </w:r>
      <w:r>
        <w:t xml:space="preserve">Adjustment costs for national public authorities</w:t>
      </w:r>
      <w:r>
        <w:t xml:space="preserve"> </w:t>
      </w:r>
      <w:r>
        <w:t xml:space="preserve">PM5 introduces an obligation on MSs to prepare on a regular basis, e.g. every 5 years, an analysis</w:t>
      </w:r>
      <w:r>
        <w:t xml:space="preserve"> </w:t>
      </w:r>
      <w:r>
        <w:t xml:space="preserve">and strategic planning covering the entire freight transport system (i.e. covering both road and non-</w:t>
      </w:r>
      <w:r>
        <w:t xml:space="preserve"> </w:t>
      </w:r>
      <w:r>
        <w:t xml:space="preserve">road modes). This new mechanism will allow a systematic assessment of the effectiveness and</w:t>
      </w:r>
      <w:r>
        <w:t xml:space="preserve"> </w:t>
      </w:r>
      <w:r>
        <w:t xml:space="preserve">efficiency of the CTD and a review of the economic support measures according to the evolution of</w:t>
      </w:r>
      <w:r>
        <w:t xml:space="preserve"> </w:t>
      </w:r>
      <w:r>
        <w:t xml:space="preserve">framework conditions in the transport sector. PM5 is expected to lead to adjustment costs for national</w:t>
      </w:r>
      <w:r>
        <w:t xml:space="preserve"> </w:t>
      </w:r>
      <w:r>
        <w:t xml:space="preserve">authorities, as Member States will be required to collect data and transport statistics on a regular basis</w:t>
      </w:r>
      <w:r>
        <w:t xml:space="preserve"> </w:t>
      </w:r>
      <w:r>
        <w:t xml:space="preserve">and prepare or commission a report to be published.</w:t>
      </w:r>
      <w:r>
        <w:br/>
      </w:r>
      <w:r>
        <w:t xml:space="preserve">For the quantification of the adjustment costs for Member States, it has been assumed that each</w:t>
      </w:r>
      <w:r>
        <w:t xml:space="preserve"> </w:t>
      </w:r>
      <w:r>
        <w:t xml:space="preserve">Member State will incur an initial effort to set-up the data collection system estimated at 40 to 264</w:t>
      </w:r>
      <w:r>
        <w:t xml:space="preserve"> </w:t>
      </w:r>
      <w:r>
        <w:t xml:space="preserve">man-days for 2025, and between 60 and 396 man-days every 5 years for data consolidation and report</w:t>
      </w:r>
      <w:r>
        <w:t xml:space="preserve"> </w:t>
      </w:r>
      <w:r>
        <w:t xml:space="preserve">preparation, with efforts varying depending on the number of transport modes and on the size of the</w:t>
      </w:r>
      <w:r>
        <w:t xml:space="preserve"> </w:t>
      </w:r>
      <w:r>
        <w:t xml:space="preserve">freight transport sector of the country. To estimate the costs, the tariffs per hour from the Eurostat</w:t>
      </w:r>
      <w:r>
        <w:t xml:space="preserve"> </w:t>
      </w:r>
      <w:r>
        <w:t xml:space="preserve">Structure of earnings survey, Labour Force Survey data for Non-Wage Labour Costs (i.e. ISCO 2 –</w:t>
      </w:r>
      <w:r>
        <w:t xml:space="preserve"> </w:t>
      </w:r>
      <w:r>
        <w:t xml:space="preserve">professionals) have been used186.</w:t>
      </w:r>
      <w:r>
        <w:br/>
      </w:r>
      <w:r>
        <w:t xml:space="preserve">The total one-off adjustment costs are estimated at EUR 1.1 million, and the recurrent adjustment</w:t>
      </w:r>
      <w:r>
        <w:t xml:space="preserve"> </w:t>
      </w:r>
      <w:r>
        <w:t xml:space="preserve">costs at EUR 1.6 million every 5 years from 2025 onwards compared to the baseline (in 2021 prices).</w:t>
      </w:r>
      <w:r>
        <w:t xml:space="preserve"> </w:t>
      </w:r>
      <w:r>
        <w:t xml:space="preserve">Expressed as present value over 2025-2050, total adjustment costs for public authorities are estimated</w:t>
      </w:r>
      <w:r>
        <w:t xml:space="preserve"> </w:t>
      </w:r>
      <w:r>
        <w:t xml:space="preserve">at EUR 7.8 million, of which one-off costs of EUR 1.1 million (see Table 42).</w:t>
      </w:r>
      <w:r>
        <w:br/>
      </w:r>
      <w:r>
        <w:t xml:space="preserve">3.2.3. Measure PM6 – Revise the Commission reporting obligation. Include a review clause and</w:t>
      </w:r>
      <w:r>
        <w:t xml:space="preserve"> </w:t>
      </w:r>
      <w:r>
        <w:t xml:space="preserve">ex-ante notification and publication of Member States support schemes.</w:t>
      </w:r>
      <w:r>
        <w:t xml:space="preserve"> </w:t>
      </w:r>
      <w:r>
        <w:t xml:space="preserve">Adjustment costs for national public authorities</w:t>
      </w:r>
      <w:r>
        <w:t xml:space="preserve"> </w:t>
      </w:r>
      <w:r>
        <w:t xml:space="preserve">PM6 proposes a more limited revision of the monitoring and reporting obligations defined in Article</w:t>
      </w:r>
      <w:r>
        <w:t xml:space="preserve"> </w:t>
      </w:r>
      <w:r>
        <w:t xml:space="preserve">5 of the current CTD. The reporting will be done by the Commission as today, but the revision will</w:t>
      </w:r>
      <w:r>
        <w:t xml:space="preserve"> </w:t>
      </w:r>
      <w:r>
        <w:t xml:space="preserve">involve a review of the list of data to be reported, in particular as regards outdated provisions, as well</w:t>
      </w:r>
      <w:r>
        <w:t xml:space="preserve"> </w:t>
      </w:r>
      <w:r>
        <w:t xml:space="preserve">as an extension of the reporting from 2 to 5 years. Less frequent analyses allows a more meaningful</w:t>
      </w:r>
      <w:r>
        <w:t xml:space="preserve"> </w:t>
      </w:r>
      <w:r>
        <w:t xml:space="preserve">analysis of the effects of the support measures and also leaves the time needed to adjust measures</w:t>
      </w:r>
      <w:r>
        <w:t xml:space="preserve"> </w:t>
      </w:r>
      <w:r>
        <w:t xml:space="preserve">based on the evidence collected and the analysis produced.</w:t>
      </w:r>
      <w:r>
        <w:t xml:space="preserve"> </w:t>
      </w:r>
      <w:r>
        <w:t xml:space="preserve">In order to ensure transparency of support schemes to industry, PM6 also includes an ex-ante</w:t>
      </w:r>
      <w:r>
        <w:t xml:space="preserve"> </w:t>
      </w:r>
      <w:r>
        <w:t xml:space="preserve">notification requirement for Member States to share with the Commission information on upcoming</w:t>
      </w:r>
    </w:p>
    <w:p>
      <w:pPr>
        <w:pStyle w:val="BodyText"/>
      </w:pPr>
      <w:r>
        <w:t xml:space="preserve">186 For EU-27 these are estimated at EUR 37.5 per hour in 2021 prices.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support schemes so that the Commission could make this information public on a central Commission</w:t>
      </w:r>
      <w:r>
        <w:t xml:space="preserve"> </w:t>
      </w:r>
      <w:r>
        <w:t xml:space="preserve">gateway (linked to Member States own published information). The notification should be made</w:t>
      </w:r>
      <w:r>
        <w:t xml:space="preserve"> </w:t>
      </w:r>
      <w:r>
        <w:t xml:space="preserve">sufficiently early to allow the Commission to publish the information prior to opening of the scheme</w:t>
      </w:r>
      <w:r>
        <w:t xml:space="preserve"> </w:t>
      </w:r>
      <w:r>
        <w:t xml:space="preserve">and to allow operators to prepare, where appropriate, their applications before the scheme’s opening,</w:t>
      </w:r>
      <w:r>
        <w:t xml:space="preserve"> </w:t>
      </w:r>
      <w:r>
        <w:t xml:space="preserve">in particular if application is time or budget limited (may run out of budget in short time). This</w:t>
      </w:r>
      <w:r>
        <w:t xml:space="preserve"> </w:t>
      </w:r>
      <w:r>
        <w:t xml:space="preserve">notification requirement is not expected to bring along any additional costs relative to the baseline as</w:t>
      </w:r>
      <w:r>
        <w:t xml:space="preserve"> </w:t>
      </w:r>
      <w:r>
        <w:t xml:space="preserve">it is expected that Member States by default publish information about upcoming support schemes.</w:t>
      </w:r>
      <w:r>
        <w:br/>
      </w:r>
      <w:r>
        <w:t xml:space="preserve">The current provision in Article 5 already requires Member States to assist the Commission in</w:t>
      </w:r>
      <w:r>
        <w:t xml:space="preserve"> </w:t>
      </w:r>
      <w:r>
        <w:t xml:space="preserve">preparing the report. Thus no new obligations on Member States are established under PM6. A</w:t>
      </w:r>
      <w:r>
        <w:t xml:space="preserve"> </w:t>
      </w:r>
      <w:r>
        <w:t xml:space="preserve">summary of the adjustment costs for the national public authorities due to PM4-PM6 compared to</w:t>
      </w:r>
      <w:r>
        <w:t xml:space="preserve"> </w:t>
      </w:r>
      <w:r>
        <w:t xml:space="preserve">the baseline is provided in Table 42.</w:t>
      </w:r>
      <w:r>
        <w:t xml:space="preserve"> </w:t>
      </w:r>
      <w:r>
        <w:t xml:space="preserve">Table 43: Summary of adjustment costs for national public authorities due to PM4-PM6 compared to the baseline</w:t>
      </w:r>
      <w:r>
        <w:t xml:space="preserve"> </w:t>
      </w:r>
      <w:r>
        <w:t xml:space="preserve">(million, 2021 prices)</w:t>
      </w:r>
      <w:r>
        <w:t xml:space="preserve"> </w:t>
      </w:r>
      <w:r>
        <w:t xml:space="preserve">Cost element</w:t>
      </w:r>
      <w:r>
        <w:t xml:space="preserve"> </w:t>
      </w:r>
      <w:r>
        <w:t xml:space="preserve">PM4</w:t>
      </w:r>
      <w:r>
        <w:t xml:space="preserve"> </w:t>
      </w:r>
      <w:r>
        <w:t xml:space="preserve">PM5</w:t>
      </w:r>
      <w:r>
        <w:t xml:space="preserve"> </w:t>
      </w:r>
      <w:r>
        <w:t xml:space="preserve">PM6</w:t>
      </w:r>
      <w:r>
        <w:t xml:space="preserve"> </w:t>
      </w:r>
      <w:r>
        <w:t xml:space="preserve">One-off costs</w:t>
      </w:r>
      <w:r>
        <w:br/>
      </w:r>
      <w:r>
        <w:t xml:space="preserve">0.2</w:t>
      </w:r>
      <w:r>
        <w:t xml:space="preserve"> </w:t>
      </w:r>
      <w:r>
        <w:t xml:space="preserve">1.1</w:t>
      </w:r>
      <w:r>
        <w:br/>
      </w:r>
      <w:r>
        <w:t xml:space="preserve">0</w:t>
      </w:r>
      <w:r>
        <w:t xml:space="preserve"> </w:t>
      </w:r>
      <w:r>
        <w:t xml:space="preserve">Recurrent costs (every 5 year)</w:t>
      </w:r>
      <w:r>
        <w:t xml:space="preserve"> </w:t>
      </w:r>
      <w:r>
        <w:t xml:space="preserve">0.3</w:t>
      </w:r>
      <w:r>
        <w:t xml:space="preserve"> </w:t>
      </w:r>
      <w:r>
        <w:t xml:space="preserve">1.6</w:t>
      </w:r>
      <w:r>
        <w:t xml:space="preserve"> </w:t>
      </w:r>
      <w:r>
        <w:t xml:space="preserve">0</w:t>
      </w:r>
      <w:r>
        <w:t xml:space="preserve"> </w:t>
      </w:r>
      <w:r>
        <w:t xml:space="preserve">Present value over 2025-2050</w:t>
      </w:r>
      <w:r>
        <w:t xml:space="preserve"> </w:t>
      </w:r>
      <w:r>
        <w:t xml:space="preserve">1.4</w:t>
      </w:r>
      <w:r>
        <w:t xml:space="preserve"> </w:t>
      </w:r>
      <w:r>
        <w:t xml:space="preserve">7.8</w:t>
      </w:r>
      <w:r>
        <w:t xml:space="preserve"> </w:t>
      </w:r>
      <w:r>
        <w:t xml:space="preserve">0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Adjustment costs for the European Commission</w:t>
      </w:r>
      <w:r>
        <w:t xml:space="preserve"> </w:t>
      </w:r>
      <w:r>
        <w:t xml:space="preserve">The cost for the European Commission to commission a dedicated study to gather and analyse the</w:t>
      </w:r>
      <w:r>
        <w:t xml:space="preserve"> </w:t>
      </w:r>
      <w:r>
        <w:t xml:space="preserve">intermodal transport market is estimated at around EUR 300,000 per report. Expressed as present</w:t>
      </w:r>
      <w:r>
        <w:t xml:space="preserve"> </w:t>
      </w:r>
      <w:r>
        <w:t xml:space="preserve">value over 2025-2050, total adjustment costs for the European Commission are estimated at EUR 1.7</w:t>
      </w:r>
      <w:r>
        <w:t xml:space="preserve"> </w:t>
      </w:r>
      <w:r>
        <w:t xml:space="preserve">million.</w:t>
      </w:r>
      <w:r>
        <w:br/>
      </w:r>
      <w:r>
        <w:t xml:space="preserve">Administrative cost savings for the private sector</w:t>
      </w:r>
      <w:r>
        <w:t xml:space="preserve"> </w:t>
      </w:r>
      <w:r>
        <w:t xml:space="preserve">Operators are expected to enjoy administrative costs savings under PM6 (included in PO-B1, PO-</w:t>
      </w:r>
      <w:r>
        <w:t xml:space="preserve"> </w:t>
      </w:r>
      <w:r>
        <w:t xml:space="preserve">B2a and PO-B2b) thanks to Commission centrally publishing the information on upcoming support</w:t>
      </w:r>
      <w:r>
        <w:t xml:space="preserve"> </w:t>
      </w:r>
      <w:r>
        <w:t xml:space="preserve">schemes and thus saving operators time to monitor Member States plans in this regard. These savings</w:t>
      </w:r>
      <w:r>
        <w:t xml:space="preserve"> </w:t>
      </w:r>
      <w:r>
        <w:t xml:space="preserve">come in addition to the costs savings for the preparation of the applications discussed under PM7-</w:t>
      </w:r>
      <w:r>
        <w:t xml:space="preserve"> </w:t>
      </w:r>
      <w:r>
        <w:t xml:space="preserve">PM9 (see section 3.3.5 of Annex 4) and are estimated to represent 20% of these costs savings. The</w:t>
      </w:r>
      <w:r>
        <w:t xml:space="preserve"> </w:t>
      </w:r>
      <w:r>
        <w:t xml:space="preserve">administrative costs savings depend on the number of applications for support in PO-B1, PO-B2a</w:t>
      </w:r>
      <w:r>
        <w:t xml:space="preserve"> </w:t>
      </w:r>
      <w:r>
        <w:t xml:space="preserve">and PO-B2b. The total administrative cost savings for the private sector are estimated at EUR 23.1</w:t>
      </w:r>
      <w:r>
        <w:t xml:space="preserve"> </w:t>
      </w:r>
      <w:r>
        <w:t xml:space="preserve">million in PO-B1, EUR 23.9 million in PO-B2a and EUR 10.3 million in PO-B2b relative to baseline,</w:t>
      </w:r>
      <w:r>
        <w:t xml:space="preserve"> </w:t>
      </w:r>
      <w:r>
        <w:t xml:space="preserve">expressed as present value over 2025-2050.</w:t>
      </w:r>
      <w:r>
        <w:br/>
      </w:r>
      <w:r>
        <w:t xml:space="preserve">Table 44: Administrative cost savings for the private sector due to PM6, relative to the baseline (EUR million, 2021</w:t>
      </w:r>
      <w:r>
        <w:t xml:space="preserve"> </w:t>
      </w:r>
      <w:r>
        <w:t xml:space="preserve">prices)</w:t>
      </w:r>
      <w:r>
        <w:t xml:space="preserve"> </w:t>
      </w:r>
      <w:r>
        <w:t xml:space="preserve">Policy option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Present value over</w:t>
      </w:r>
      <w:r>
        <w:t xml:space="preserve"> </w:t>
      </w:r>
      <w:r>
        <w:t xml:space="preserve">2025-2050</w:t>
      </w:r>
      <w:r>
        <w:t xml:space="preserve"> </w:t>
      </w:r>
      <w:r>
        <w:t xml:space="preserve">PO-B1</w:t>
      </w:r>
      <w:r>
        <w:t xml:space="preserve"> </w:t>
      </w:r>
      <w:r>
        <w:t xml:space="preserve">1.1</w:t>
      </w:r>
      <w:r>
        <w:t xml:space="preserve"> </w:t>
      </w:r>
      <w:r>
        <w:t xml:space="preserve">1.6</w:t>
      </w:r>
      <w:r>
        <w:t xml:space="preserve"> </w:t>
      </w:r>
      <w:r>
        <w:t xml:space="preserve">23.1</w:t>
      </w:r>
      <w:r>
        <w:t xml:space="preserve"> </w:t>
      </w:r>
      <w:r>
        <w:t xml:space="preserve">PO-B2a</w:t>
      </w:r>
      <w:r>
        <w:t xml:space="preserve"> </w:t>
      </w:r>
      <w:r>
        <w:t xml:space="preserve">1.1</w:t>
      </w:r>
      <w:r>
        <w:t xml:space="preserve"> </w:t>
      </w:r>
      <w:r>
        <w:t xml:space="preserve">1.7</w:t>
      </w:r>
      <w:r>
        <w:t xml:space="preserve"> </w:t>
      </w:r>
      <w:r>
        <w:t xml:space="preserve">23.9</w:t>
      </w:r>
      <w:r>
        <w:t xml:space="preserve"> </w:t>
      </w:r>
      <w:r>
        <w:t xml:space="preserve">PO-B2b</w:t>
      </w:r>
      <w:r>
        <w:t xml:space="preserve"> </w:t>
      </w:r>
      <w:r>
        <w:t xml:space="preserve">0.5</w:t>
      </w:r>
      <w:r>
        <w:t xml:space="preserve"> </w:t>
      </w:r>
      <w:r>
        <w:t xml:space="preserve">0.8</w:t>
      </w:r>
      <w:r>
        <w:t xml:space="preserve"> </w:t>
      </w:r>
      <w:r>
        <w:t xml:space="preserve">10.3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No impact is expected on intermodal traffic volumes due to PM4-PM6.</w:t>
      </w:r>
      <w:r>
        <w:br/>
      </w:r>
      <w:r>
        <w:t xml:space="preserve">3.3. Support measures to increase the competitiveness of intermodal transport (PM7-PM13)</w:t>
      </w:r>
      <w:r>
        <w:t xml:space="preserve"> </w:t>
      </w:r>
      <w:r>
        <w:t xml:space="preserve">Measures included in this category aim to provide a direct operational and other direct economic</w:t>
      </w:r>
      <w:r>
        <w:t xml:space="preserve"> </w:t>
      </w:r>
      <w:r>
        <w:t xml:space="preserve">support to favour the uptake of more intermodal operations. The main effect of PM7-PM9 is through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a reduction of costs and thus a reduction of the average distance at which it becomes profitable to use</w:t>
      </w:r>
      <w:r>
        <w:t xml:space="preserve"> </w:t>
      </w:r>
      <w:r>
        <w:t xml:space="preserve">intermodal solutions as compared to road-only transport (break-even distances). PM12 is a top-up</w:t>
      </w:r>
      <w:r>
        <w:t xml:space="preserve"> </w:t>
      </w:r>
      <w:r>
        <w:t xml:space="preserve">measure reflecting the State aid rules to ensure the efficiency of both PM7 and PM9 and is thus</w:t>
      </w:r>
      <w:r>
        <w:t xml:space="preserve"> </w:t>
      </w:r>
      <w:r>
        <w:t xml:space="preserve">analysed together with these policy measures. PM10, PM11 and PM13 are enabling measures</w:t>
      </w:r>
      <w:r>
        <w:t xml:space="preserve"> </w:t>
      </w:r>
      <w:r>
        <w:t xml:space="preserve">addressing specific issues in the sector and creating preconditions for intermodal operations to grow.</w:t>
      </w:r>
      <w:r>
        <w:br/>
      </w:r>
      <w:r>
        <w:t xml:space="preserve">Beneficiaries of the economic support can be either the transport organisers, connection organisers</w:t>
      </w:r>
      <w:r>
        <w:t xml:space="preserve"> </w:t>
      </w:r>
      <w:r>
        <w:t xml:space="preserve">or carriers (for explanations see Annex 3). In order to maximise the leverage of the measures, the</w:t>
      </w:r>
      <w:r>
        <w:t xml:space="preserve"> </w:t>
      </w:r>
      <w:r>
        <w:t xml:space="preserve">direct contribution should go to those economic operators who take the decision for modal choice</w:t>
      </w:r>
      <w:r>
        <w:t xml:space="preserve"> </w:t>
      </w:r>
      <w:r>
        <w:t xml:space="preserve">and bear the related commercial risk. For PM7-PM9, it is the shippers or freight forwarders who</w:t>
      </w:r>
      <w:r>
        <w:t xml:space="preserve"> </w:t>
      </w:r>
      <w:r>
        <w:t xml:space="preserve">decide on which mode to use and are thus seen as more effective beneficiaries than contributions to</w:t>
      </w:r>
      <w:r>
        <w:t xml:space="preserve"> </w:t>
      </w:r>
      <w:r>
        <w:t xml:space="preserve">carriers. For PM10, the commercial risk is taken by economic agents who arrange a new connection</w:t>
      </w:r>
      <w:r>
        <w:t xml:space="preserve"> </w:t>
      </w:r>
      <w:r>
        <w:t xml:space="preserve">for the non-road leg. Depending on the circumstances, these “connection operators” can be the</w:t>
      </w:r>
      <w:r>
        <w:t xml:space="preserve"> </w:t>
      </w:r>
      <w:r>
        <w:t xml:space="preserve">carriers, the shippers, logistics companies or their consortiums or dedicated companies organising</w:t>
      </w:r>
      <w:r>
        <w:t xml:space="preserve"> </w:t>
      </w:r>
      <w:r>
        <w:t xml:space="preserve">intermodal connections on non-road legs, but not carrying them out themselves. For PM11, the</w:t>
      </w:r>
      <w:r>
        <w:t xml:space="preserve"> </w:t>
      </w:r>
      <w:r>
        <w:t xml:space="preserve">beneficiaries will depend on the specific support tool to be used.</w:t>
      </w:r>
      <w:r>
        <w:br/>
      </w:r>
      <w:r>
        <w:t xml:space="preserve">3.3.1. PM7-PM9 - direct operational support’s impact on traffic volumes</w:t>
      </w:r>
      <w:r>
        <w:t xml:space="preserve"> </w:t>
      </w:r>
      <w:r>
        <w:t xml:space="preserve">PM7-PM9 entail an operational support to intermodal transport operators in the form of a</w:t>
      </w:r>
      <w:r>
        <w:t xml:space="preserve"> </w:t>
      </w:r>
      <w:r>
        <w:t xml:space="preserve">reduction/reimbursement of the cost. The application of the PM7 would be mandatory and</w:t>
      </w:r>
      <w:r>
        <w:t xml:space="preserve"> </w:t>
      </w:r>
      <w:r>
        <w:t xml:space="preserve">harmonised across all Member States. In PM8 it would be voluntary and in PM9 it would be</w:t>
      </w:r>
      <w:r>
        <w:t xml:space="preserve"> </w:t>
      </w:r>
      <w:r>
        <w:t xml:space="preserve">mandatory for Member States to apply operational support, but design of support tool would not be</w:t>
      </w:r>
      <w:r>
        <w:t xml:space="preserve"> </w:t>
      </w:r>
      <w:r>
        <w:t xml:space="preserve">harmonised. Both for the purposes of PM8 as well as PM9 (but also for PM10-PM11), a Toolbox</w:t>
      </w:r>
      <w:r>
        <w:t xml:space="preserve"> </w:t>
      </w:r>
      <w:r>
        <w:t xml:space="preserve">with a list of possible support tools with more detailed minimum conditions would be included. A</w:t>
      </w:r>
      <w:r>
        <w:t xml:space="preserve"> </w:t>
      </w:r>
      <w:r>
        <w:t xml:space="preserve">preliminary example of the measures in the Toolbox is included in Annex 9.</w:t>
      </w:r>
      <w:r>
        <w:br/>
      </w:r>
      <w:r>
        <w:t xml:space="preserve">The change in the relative costs beween transport operations by transport mode is estimated to lead</w:t>
      </w:r>
      <w:r>
        <w:t xml:space="preserve"> </w:t>
      </w:r>
      <w:r>
        <w:t xml:space="preserve">to higher uptake of intermodal transport, as assessed with the help of TRUST model. As explained</w:t>
      </w:r>
      <w:r>
        <w:t xml:space="preserve"> </w:t>
      </w:r>
      <w:r>
        <w:t xml:space="preserve">in section 1 of Annex 4, TRUST is a European scale transport network model developed and</w:t>
      </w:r>
      <w:r>
        <w:t xml:space="preserve"> </w:t>
      </w:r>
      <w:r>
        <w:t xml:space="preserve">maintained by TRT and simulating the road, rail, inland waterways and maritime transport activity.</w:t>
      </w:r>
      <w:r>
        <w:t xml:space="preserve"> </w:t>
      </w:r>
      <w:r>
        <w:t xml:space="preserve">TRUST covers the whole Europe and its neighbouring countries and it allows for the assignment of</w:t>
      </w:r>
      <w:r>
        <w:t xml:space="preserve"> </w:t>
      </w:r>
      <w:r>
        <w:t xml:space="preserve">passenger and freight origin-destination (OD) matrices at NUTS3 level of detail (about 1,600 zones)</w:t>
      </w:r>
      <w:r>
        <w:t xml:space="preserve"> </w:t>
      </w:r>
      <w:r>
        <w:t xml:space="preserve">on the multimodal transport network. Evidence of the effectiveness of financial support measures on</w:t>
      </w:r>
      <w:r>
        <w:t xml:space="preserve"> </w:t>
      </w:r>
      <w:r>
        <w:t xml:space="preserve">the uptake of intermodal transport and modal shift can be found in various applications across EU.</w:t>
      </w:r>
      <w:r>
        <w:t xml:space="preserve"> </w:t>
      </w:r>
      <w:r>
        <w:t xml:space="preserve">More explanations are provided in Annex 14.</w:t>
      </w:r>
      <w:r>
        <w:t xml:space="preserve"> </w:t>
      </w:r>
      <w:r>
        <w:t xml:space="preserve">Modelling assumptions</w:t>
      </w:r>
      <w:r>
        <w:t xml:space="preserve"> </w:t>
      </w:r>
      <w:r>
        <w:t xml:space="preserve">The support is to be provided as a percentage of the door-to-door transport cost. As the first step, the</w:t>
      </w:r>
      <w:r>
        <w:t xml:space="preserve"> </w:t>
      </w:r>
      <w:r>
        <w:t xml:space="preserve">analysis had to establish the percentage of cost reduction that would induce sufficient modal shift.</w:t>
      </w:r>
      <w:r>
        <w:t xml:space="preserve"> </w:t>
      </w:r>
      <w:r>
        <w:t xml:space="preserve">Consultation with the stakeholders, desk research and model simulations identified that on average</w:t>
      </w:r>
      <w:r>
        <w:t xml:space="preserve"> </w:t>
      </w:r>
      <w:r>
        <w:t xml:space="preserve">10% reduction of door-to-door costs to the operator who decides which mode to use (the organisers)</w:t>
      </w:r>
      <w:r>
        <w:t xml:space="preserve"> </w:t>
      </w:r>
      <w:r>
        <w:t xml:space="preserve">would make intermodal options attractive to them187.</w:t>
      </w:r>
      <w:r>
        <w:br/>
      </w:r>
      <w:r>
        <w:t xml:space="preserve">A limited cost-benefit analysis was carried out to establish what levels of support would provide</w:t>
      </w:r>
      <w:r>
        <w:t xml:space="preserve"> </w:t>
      </w:r>
      <w:r>
        <w:t xml:space="preserve">which decrease in the break-even distances and which impact on volumes of modal shift, while</w:t>
      </w:r>
      <w:r>
        <w:t xml:space="preserve"> </w:t>
      </w:r>
      <w:r>
        <w:t xml:space="preserve">keeping also in mind that increased support means higher budgetary burden to Member States.</w:t>
      </w:r>
      <w:r>
        <w:t xml:space="preserve"> </w:t>
      </w:r>
      <w:r>
        <w:t xml:space="preserve">TRUST model simulations were used to estimate the stand-alone impact of reducing the costs on the</w:t>
      </w:r>
      <w:r>
        <w:t xml:space="preserve"> </w:t>
      </w:r>
      <w:r>
        <w:t xml:space="preserve">break-even distance and on modal shift (i.e. without considering any eligibility condition). The first</w:t>
      </w:r>
      <w:r>
        <w:t xml:space="preserve"> </w:t>
      </w:r>
      <w:r>
        <w:t xml:space="preserve">analysis was carried out on reducing the door-to-door costs by 5%, 10%, 15% and 20%, and their</w:t>
      </w:r>
    </w:p>
    <w:p>
      <w:pPr>
        <w:pStyle w:val="BodyText"/>
      </w:pPr>
      <w:r>
        <w:t xml:space="preserve">187 Industry stakeholders suggested reductions depend mostly on the modal combination, with rail lowest (5 out of 10</w:t>
      </w:r>
      <w:r>
        <w:t xml:space="preserve"> </w:t>
      </w:r>
      <w:r>
        <w:t xml:space="preserve">suggested less than 10%) and IWW the highest (3 out 5 suggested more than 25%). SSS was in the middle with 2 out of</w:t>
      </w:r>
      <w:r>
        <w:t xml:space="preserve"> </w:t>
      </w:r>
      <w:r>
        <w:t xml:space="preserve">4 respondents suggesting less than 20%.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impact on the distances at which the intermodal operation would become cost-competitive with road-</w:t>
      </w:r>
      <w:r>
        <w:t xml:space="preserve"> </w:t>
      </w:r>
      <w:r>
        <w:t xml:space="preserve">only transport. For the analysis, the weighted average road leg distances (see Table 34) and average</w:t>
      </w:r>
      <w:r>
        <w:t xml:space="preserve"> </w:t>
      </w:r>
      <w:r>
        <w:t xml:space="preserve">transhipment costs were used as fixed costs and organisational costs for multimodal chain where not</w:t>
      </w:r>
      <w:r>
        <w:t xml:space="preserve"> </w:t>
      </w:r>
      <w:r>
        <w:t xml:space="preserve">taken into account. It is important to keep in mind that in real life the price conditions and operational</w:t>
      </w:r>
      <w:r>
        <w:t xml:space="preserve"> </w:t>
      </w:r>
      <w:r>
        <w:t xml:space="preserve">characteristics can be very different and thus the relative shares of cost components diverge quite</w:t>
      </w:r>
      <w:r>
        <w:t xml:space="preserve"> </w:t>
      </w:r>
      <w:r>
        <w:t xml:space="preserve">widely depending on the market segment, geographical areas, number of road legs and number of</w:t>
      </w:r>
      <w:r>
        <w:t xml:space="preserve"> </w:t>
      </w:r>
      <w:r>
        <w:t xml:space="preserve">transhipments, type of loading unit and several other technical characteristics188.</w:t>
      </w:r>
      <w:r>
        <w:br/>
      </w:r>
      <w:r>
        <w:t xml:space="preserve">Figure 16: Impacts of different levels of door-to-door cost reduction (% increase in intermodal transport activity</w:t>
      </w:r>
      <w:r>
        <w:t xml:space="preserve"> </w:t>
      </w:r>
      <w:r>
        <w:t xml:space="preserve">compared to the baseline)</w:t>
      </w:r>
    </w:p>
    <w:p>
      <w:pPr>
        <w:pStyle w:val="BodyText"/>
      </w:pPr>
      <w:r>
        <w:t xml:space="preserve">Source: Ricardo et al. support study (2023)</w:t>
      </w:r>
      <w:r>
        <w:t xml:space="preserve"> </w:t>
      </w:r>
      <w:r>
        <w:t xml:space="preserve">This modelling supported stakeholders’ view that aid intensity level between 10% and 15% would</w:t>
      </w:r>
      <w:r>
        <w:t xml:space="preserve"> </w:t>
      </w:r>
      <w:r>
        <w:t xml:space="preserve">induce reasonable level of modal shift as can be seen in Figure 16. A lower level of support would</w:t>
      </w:r>
      <w:r>
        <w:t xml:space="preserve"> </w:t>
      </w:r>
      <w:r>
        <w:t xml:space="preserve">not result in sufficient price reduction to motivate large number of shippers (organisers) to shift their</w:t>
      </w:r>
      <w:r>
        <w:t xml:space="preserve"> </w:t>
      </w:r>
      <w:r>
        <w:t xml:space="preserve">operations to intermodal transport or would only make a very small number of operations attractive.</w:t>
      </w:r>
      <w:r>
        <w:t xml:space="preserve"> </w:t>
      </w:r>
      <w:r>
        <w:t xml:space="preserve">The remaining high break-even distance would mean that large number of operations that are still</w:t>
      </w:r>
      <w:r>
        <w:t xml:space="preserve"> </w:t>
      </w:r>
      <w:r>
        <w:t xml:space="preserve">below the new break-even distance would continue to rely on road-only transport. A higher level of</w:t>
      </w:r>
      <w:r>
        <w:t xml:space="preserve"> </w:t>
      </w:r>
      <w:r>
        <w:t xml:space="preserve">support will bring the break-even distances down and ensure more modal shift, but it also needs to</w:t>
      </w:r>
      <w:r>
        <w:t xml:space="preserve"> </w:t>
      </w:r>
      <w:r>
        <w:t xml:space="preserve">be kept in mind that the higher the support level the higher the budgetary costs for Member States.</w:t>
      </w:r>
      <w:r>
        <w:t xml:space="preserve"> </w:t>
      </w:r>
      <w:r>
        <w:t xml:space="preserve">Furthermore, at certain shorter distances the intermodal operations are not competitive for reasons</w:t>
      </w:r>
      <w:r>
        <w:t xml:space="preserve"> </w:t>
      </w:r>
      <w:r>
        <w:t xml:space="preserve">other than price. In particular transit time and inconvenience of organising and following a multiparty</w:t>
      </w:r>
      <w:r>
        <w:t xml:space="preserve"> </w:t>
      </w:r>
      <w:r>
        <w:t xml:space="preserve">operation outweigh the pure cost-competitiveness, meaning that it may result in a situation where</w:t>
      </w:r>
      <w:r>
        <w:t xml:space="preserve"> </w:t>
      </w:r>
      <w:r>
        <w:t xml:space="preserve">higher support is available, but operators are nevertheless not interested in shifting to intermodal.</w:t>
      </w:r>
      <w:r>
        <w:t xml:space="preserve"> </w:t>
      </w:r>
      <w:r>
        <w:t xml:space="preserve">Thus increasing the support to make also very short operations cost- competitive is not effective.</w:t>
      </w:r>
      <w:r>
        <w:br/>
      </w:r>
      <w:r>
        <w:t xml:space="preserve">Considering that higher support levels also bring along higher budgetary costs for Member States,</w:t>
      </w:r>
      <w:r>
        <w:t xml:space="preserve"> </w:t>
      </w:r>
      <w:r>
        <w:t xml:space="preserve">10% has been chosen for the purpose of this impact assessment. The following graph illustrates how</w:t>
      </w:r>
      <w:r>
        <w:t xml:space="preserve"> </w:t>
      </w:r>
      <w:r>
        <w:t xml:space="preserve">a 10% support granted under PM7-PM9 to intermodal transport reduces the break-even distances of</w:t>
      </w:r>
      <w:r>
        <w:t xml:space="preserve"> </w:t>
      </w:r>
      <w:r>
        <w:t xml:space="preserve">the different modal combinations. Without operational support the break-even distances are on</w:t>
      </w:r>
      <w:r>
        <w:t xml:space="preserve"> </w:t>
      </w:r>
      <w:r>
        <w:t xml:space="preserve">average (door-to-door) 740 km for rail, 260 km for IWW and 775 km for SSS. With a 10% support</w:t>
      </w:r>
      <w:r>
        <w:t xml:space="preserve"> </w:t>
      </w:r>
      <w:r>
        <w:t xml:space="preserve">for door-to-door costs, the break-even distances are reduced to 535 km for rail, 200 km for IWW and</w:t>
      </w:r>
    </w:p>
    <w:p>
      <w:pPr>
        <w:pStyle w:val="BodyText"/>
      </w:pPr>
      <w:r>
        <w:t xml:space="preserve">188 Detailed analysis on cost comparison of different types of intermodal operations has been carried on PWC.</w:t>
      </w:r>
      <w:r>
        <w:t xml:space="preserve"> </w:t>
      </w:r>
      <w:r>
        <w:t xml:space="preserve">KombiConsult (2022). However, this study did not take into account geographic differences and assumed also fixed</w:t>
      </w:r>
      <w:r>
        <w:t xml:space="preserve"> </w:t>
      </w:r>
      <w:r>
        <w:t xml:space="preserve">distance road legs.</w:t>
      </w:r>
      <w:r>
        <w:br/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Rail</w:t>
      </w:r>
      <w:r>
        <w:t xml:space="preserve"> </w:t>
      </w:r>
      <w:r>
        <w:t xml:space="preserve">IWW</w:t>
      </w:r>
      <w:r>
        <w:t xml:space="preserve"> </w:t>
      </w:r>
      <w:r>
        <w:t xml:space="preserve">SSS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610 km for SSS (Figure 17). This demonstrates the effectiveness of these measures in terms of</w:t>
      </w:r>
      <w:r>
        <w:t xml:space="preserve"> </w:t>
      </w:r>
      <w:r>
        <w:t xml:space="preserve">making more (shorter) operations economically competitive with road-only transport and thus</w:t>
      </w:r>
      <w:r>
        <w:t xml:space="preserve"> </w:t>
      </w:r>
      <w:r>
        <w:t xml:space="preserve">increasing the potential for modal shift.</w:t>
      </w:r>
      <w:r>
        <w:br/>
      </w:r>
      <w:r>
        <w:t xml:space="preserve">Figure 17: Average price-competitive door-to-door distances in intermodal transport without and with the economic</w:t>
      </w:r>
      <w:r>
        <w:t xml:space="preserve"> </w:t>
      </w:r>
      <w:r>
        <w:t xml:space="preserve">support of 10%, per modal combination (cost in EUR and distance in km)</w:t>
      </w:r>
    </w:p>
    <w:p>
      <w:pPr>
        <w:pStyle w:val="BodyText"/>
      </w:pPr>
      <w:r>
        <w:t xml:space="preserve">Source: Ricardo et al. support study (2023)</w:t>
      </w:r>
      <w:r>
        <w:t xml:space="preserve"> </w:t>
      </w:r>
      <w:r>
        <w:t xml:space="preserve">For modelling purposes, the 10% reduction of door-to-door costs was translated into a reduction of</w:t>
      </w:r>
      <w:r>
        <w:t xml:space="preserve"> </w:t>
      </w:r>
      <w:r>
        <w:t xml:space="preserve">different cost components of the intermodal operation; in particular non-road leg costs as road leg</w:t>
      </w:r>
      <w:r>
        <w:t xml:space="preserve"> </w:t>
      </w:r>
      <w:r>
        <w:t xml:space="preserve">and transhipment costs do not depend on the total door-to-door distance – it is the length of the non-</w:t>
      </w:r>
      <w:r>
        <w:t xml:space="preserve"> </w:t>
      </w:r>
      <w:r>
        <w:t xml:space="preserve">road leg that is variable. Transport chain organisation costs were not included in the modelling as</w:t>
      </w:r>
      <w:r>
        <w:t xml:space="preserve"> </w:t>
      </w:r>
      <w:r>
        <w:t xml:space="preserve">they vary widely from sector and operator. For rail, the 10% door-to-door reduction translates into a</w:t>
      </w:r>
      <w:r>
        <w:t xml:space="preserve"> </w:t>
      </w:r>
      <w:r>
        <w:t xml:space="preserve">non-road leg cost reduction of 15-25%, for IWW into a cost reduction of 21-33% and for SSS of 23-</w:t>
      </w:r>
      <w:r>
        <w:t xml:space="preserve"> </w:t>
      </w:r>
      <w:r>
        <w:t xml:space="preserve">35% depending on the distance of operation ceteris paribus. Variability can be greater when other</w:t>
      </w:r>
      <w:r>
        <w:t xml:space="preserve"> </w:t>
      </w:r>
      <w:r>
        <w:t xml:space="preserve">characteristics are included. As regards transhipment cost reduction, the range can be quite large as</w:t>
      </w:r>
      <w:r>
        <w:t xml:space="preserve"> </w:t>
      </w:r>
      <w:r>
        <w:t xml:space="preserve">transhipment costs vary greatly between modes and geograpic locations. A 10% reduction of door-</w:t>
      </w:r>
      <w:r>
        <w:t xml:space="preserve"> </w:t>
      </w:r>
      <w:r>
        <w:t xml:space="preserve">to-door costs can thus vary between 35-70% of transhipment costs, but in most cases remains between</w:t>
      </w:r>
      <w:r>
        <w:t xml:space="preserve"> </w:t>
      </w:r>
      <w:r>
        <w:t xml:space="preserve">45-55%.</w:t>
      </w:r>
      <w:r>
        <w:t xml:space="preserve"> </w:t>
      </w:r>
      <w:r>
        <w:t xml:space="preserve">For the mandatory harmonised approach in PM7, in order to reflect the harmonisation, a reduction of</w:t>
      </w:r>
      <w:r>
        <w:t xml:space="preserve"> </w:t>
      </w:r>
      <w:r>
        <w:t xml:space="preserve">non-road cost was considered that translates into 10% reduction of the door-to-door price. The exact</w:t>
      </w:r>
      <w:r>
        <w:t xml:space="preserve"> </w:t>
      </w:r>
      <w:r>
        <w:t xml:space="preserve">reduction of the non-road cost varies depending on modal combination, distance of non-road leg,</w:t>
      </w:r>
      <w:r>
        <w:t xml:space="preserve"> </w:t>
      </w:r>
      <w:r>
        <w:t xml:space="preserve">type of technology used and geographic location as well as who are the beneficiaries. For this impact</w:t>
      </w:r>
      <w:r>
        <w:t xml:space="preserve"> </w:t>
      </w:r>
      <w:r>
        <w:t xml:space="preserve">assessment, it was assumed that the organiser who decides on modal choice will receive the 10%</w:t>
      </w:r>
      <w:r>
        <w:t xml:space="preserve"> </w:t>
      </w:r>
      <w:r>
        <w:t xml:space="preserve">reduction. For modelling purposes, the reduction of non-road transport costs was used as proxy,</w:t>
      </w:r>
      <w:r>
        <w:t xml:space="preserve"> </w:t>
      </w:r>
      <w:r>
        <w:t xml:space="preserve">assuming a reduction of 20% of rail costs and 30% of waterborne costs.</w:t>
      </w:r>
      <w:r>
        <w:t xml:space="preserve"> </w:t>
      </w:r>
      <w:r>
        <w:t xml:space="preserve">For the mandatory but flexible support in PM9, it is also assumed that the organisers who choose the</w:t>
      </w:r>
      <w:r>
        <w:t xml:space="preserve"> </w:t>
      </w:r>
      <w:r>
        <w:t xml:space="preserve">mode of transport will benefit directly from support, at the more-or-less same aid intensity. However,</w:t>
      </w:r>
      <w:r>
        <w:t xml:space="preserve"> </w:t>
      </w:r>
      <w:r>
        <w:t xml:space="preserve">as Member States will have the possibility to design their own schemes, the modelling assumptions</w:t>
      </w:r>
      <w:r>
        <w:t xml:space="preserve"> </w:t>
      </w:r>
      <w:r>
        <w:t xml:space="preserve">were adapted to reflect the possibility that not all support is paid to organisers and not all support is</w:t>
      </w:r>
      <w:r>
        <w:t xml:space="preserve"> </w:t>
      </w:r>
      <w:r>
        <w:t xml:space="preserve">thus passed through to decision makers. For modelling purposes, a mix of reductions of non-variable</w:t>
      </w:r>
      <w:r>
        <w:t xml:space="preserve"> </w:t>
      </w:r>
      <w:r>
        <w:t xml:space="preserve">transhipment cost and variable non-road leg costs was considered based on Member States current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practices resulting in approximately 81% of intermodal transport activity being supported through</w:t>
      </w:r>
      <w:r>
        <w:t xml:space="preserve"> </w:t>
      </w:r>
      <w:r>
        <w:t xml:space="preserve">variable costs’ reduction and the remaining 19% through a reduction of transhipment costs. For the</w:t>
      </w:r>
      <w:r>
        <w:t xml:space="preserve"> </w:t>
      </w:r>
      <w:r>
        <w:t xml:space="preserve">non-road cost reduction, same assumptions were used as for PM7, while for the reduction of</w:t>
      </w:r>
      <w:r>
        <w:t xml:space="preserve"> </w:t>
      </w:r>
      <w:r>
        <w:t xml:space="preserve">transhipment costs, 50% reduction was used.</w:t>
      </w:r>
      <w:r>
        <w:br/>
      </w:r>
      <w:r>
        <w:t xml:space="preserve">In case support is voluntary, as in PM8, Member States are unlikely to change much the current</w:t>
      </w:r>
      <w:r>
        <w:t xml:space="preserve"> </w:t>
      </w:r>
      <w:r>
        <w:t xml:space="preserve">approach, maintaining the support provided to the intermodal transport sector around the level</w:t>
      </w:r>
      <w:r>
        <w:t xml:space="preserve"> </w:t>
      </w:r>
      <w:r>
        <w:t xml:space="preserve">currently provided. Thus, no specific modelling assumptions were made for PM8.</w:t>
      </w:r>
      <w:r>
        <w:br/>
      </w:r>
      <w:r>
        <w:t xml:space="preserve">Limiting operational support to market failure/necessity condition</w:t>
      </w:r>
      <w:r>
        <w:t xml:space="preserve"> </w:t>
      </w:r>
      <w:r>
        <w:t xml:space="preserve">PM12 aims to ensure that the operational support given in relation to PM8/PM9 is not provided to</w:t>
      </w:r>
      <w:r>
        <w:t xml:space="preserve"> </w:t>
      </w:r>
      <w:r>
        <w:t xml:space="preserve">operations that are already financially self-sustained to reflect more clearly the State aid rules and in</w:t>
      </w:r>
      <w:r>
        <w:t xml:space="preserve"> </w:t>
      </w:r>
      <w:r>
        <w:t xml:space="preserve">particular the condition of necessity in relation to a specific market failure189. PM12 is not applied in</w:t>
      </w:r>
      <w:r>
        <w:t xml:space="preserve"> </w:t>
      </w:r>
      <w:r>
        <w:t xml:space="preserve">combination with PM7 as the support in PM7 is harmonised. For PM10, PM11 and PM13, the limit is not</w:t>
      </w:r>
      <w:r>
        <w:t xml:space="preserve"> </w:t>
      </w:r>
      <w:r>
        <w:t xml:space="preserve">applied directly, but where these measures result in additional eligible operations to be supported under</w:t>
      </w:r>
      <w:r>
        <w:t xml:space="preserve"> </w:t>
      </w:r>
      <w:r>
        <w:t xml:space="preserve">PM8/PM9, the limit applies the same way it applies to all other eligible operations.</w:t>
      </w:r>
      <w:r>
        <w:br/>
      </w:r>
      <w:r>
        <w:t xml:space="preserve">For the modelling purposes, PM12 limits the direct economic support to operations with door-to-door</w:t>
      </w:r>
      <w:r>
        <w:t xml:space="preserve"> </w:t>
      </w:r>
      <w:r>
        <w:t xml:space="preserve">distance below average mode-specific break-even point. The TRUST model output was used to assess the</w:t>
      </w:r>
      <w:r>
        <w:t xml:space="preserve"> </w:t>
      </w:r>
      <w:r>
        <w:t xml:space="preserve">share of traffic which would be eligible for support under PM8-PM11 but would not benefit of economic</w:t>
      </w:r>
      <w:r>
        <w:t xml:space="preserve"> </w:t>
      </w:r>
      <w:r>
        <w:t xml:space="preserve">support due to PM12. Specifically, the share of transport activity (in tkm) operated on distances longer</w:t>
      </w:r>
      <w:r>
        <w:t xml:space="preserve"> </w:t>
      </w:r>
      <w:r>
        <w:t xml:space="preserve">than break-even points was estimated considering analogous transport activity by distance bands extracted</w:t>
      </w:r>
      <w:r>
        <w:t xml:space="preserve"> </w:t>
      </w:r>
      <w:r>
        <w:t xml:space="preserve">from the TRUST model.</w:t>
      </w:r>
      <w:r>
        <w:t xml:space="preserve"> </w:t>
      </w:r>
      <w:r>
        <w:t xml:space="preserve">Based on the TRUST model data, the support was modelled to be limited to operations that for rail</w:t>
      </w:r>
      <w:r>
        <w:t xml:space="preserve"> </w:t>
      </w:r>
      <w:r>
        <w:t xml:space="preserve">and SSS imply a travel distance shorter than 900 km door-to-door while for IWW this threshold is</w:t>
      </w:r>
      <w:r>
        <w:t xml:space="preserve"> </w:t>
      </w:r>
      <w:r>
        <w:t xml:space="preserve">fixed at 400 km door-to-door. The weighted average road legs length were assumed. The</w:t>
      </w:r>
      <w:r>
        <w:t xml:space="preserve"> </w:t>
      </w:r>
      <w:r>
        <w:t xml:space="preserve">corresponding share of operations that would not meet the necessity condition is 20% for rail-road</w:t>
      </w:r>
      <w:r>
        <w:t xml:space="preserve"> </w:t>
      </w:r>
      <w:r>
        <w:t xml:space="preserve">intermodal, 48% for IWW and 64% for SSS. The overall contribution modelled for Member States</w:t>
      </w:r>
      <w:r>
        <w:t xml:space="preserve"> </w:t>
      </w:r>
      <w:r>
        <w:t xml:space="preserve">budgets to support PM8/PM9 was consequently lowered proportionally to the demand that exceeds</w:t>
      </w:r>
      <w:r>
        <w:t xml:space="preserve"> </w:t>
      </w:r>
      <w:r>
        <w:t xml:space="preserve">the distance threshold.</w:t>
      </w:r>
      <w:r>
        <w:br/>
      </w:r>
      <w:r>
        <w:t xml:space="preserve">Impact on modal shift and intermodal transport volumes</w:t>
      </w:r>
      <w:r>
        <w:t xml:space="preserve"> </w:t>
      </w:r>
      <w:r>
        <w:t xml:space="preserve">As PM7 ensures uniform harmonised application on all eligible operations, the impact of this measure</w:t>
      </w:r>
      <w:r>
        <w:t xml:space="preserve"> </w:t>
      </w:r>
      <w:r>
        <w:t xml:space="preserve">is assessed to be the highest while the impact of voluntary support under PM8 is the lowest. The</w:t>
      </w:r>
      <w:r>
        <w:t xml:space="preserve"> </w:t>
      </w:r>
      <w:r>
        <w:t xml:space="preserve">elasticity of support is higher for rail than for the waterborne modes, partly because of accessibility</w:t>
      </w:r>
      <w:r>
        <w:t xml:space="preserve"> </w:t>
      </w:r>
      <w:r>
        <w:t xml:space="preserve">of rail-road operations across EU and partly due to other factors such as delivery time.</w:t>
      </w:r>
      <w:r>
        <w:br/>
      </w:r>
      <w:r>
        <w:t xml:space="preserve">The estimated stand-alone impact of PM7 in terms of additional intermodal transport activity</w:t>
      </w:r>
      <w:r>
        <w:t xml:space="preserve"> </w:t>
      </w:r>
      <w:r>
        <w:t xml:space="preserve">(without considering the limitation due to eligibility criteria or other measures included in PO-C) is</w:t>
      </w:r>
      <w:r>
        <w:t xml:space="preserve"> </w:t>
      </w:r>
      <w:r>
        <w:t xml:space="preserve">in the range of +4.2% for rail, +0.9% for IWW and +1.3% for SSS in 2030, and +8.2%, +1.4% and</w:t>
      </w:r>
      <w:r>
        <w:t xml:space="preserve"> </w:t>
      </w:r>
      <w:r>
        <w:t xml:space="preserve">+2.1% respectively in 2050, and amounts to a 2.8% increase for 2025-2050 compared to baseline.</w:t>
      </w:r>
    </w:p>
    <w:p>
      <w:pPr>
        <w:pStyle w:val="BodyText"/>
      </w:pPr>
      <w:r>
        <w:t xml:space="preserve">189 Condition of necessity of State aid is assessed in all State aid cases. Respective State aid rules establish the conditions</w:t>
      </w:r>
      <w:r>
        <w:t xml:space="preserve"> </w:t>
      </w:r>
      <w:r>
        <w:t xml:space="preserve">at which aid is considered necessary to tackle the identified market failure.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Table 45: Impacts of PM7 on intermodal transport (door-to-door) activity (billion tkm and percentage change</w:t>
      </w:r>
      <w:r>
        <w:t xml:space="preserve"> </w:t>
      </w:r>
      <w:r>
        <w:t xml:space="preserve">compared to baseline)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% change</w:t>
      </w:r>
      <w:r>
        <w:t xml:space="preserve"> </w:t>
      </w:r>
      <w:r>
        <w:t xml:space="preserve">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2050</w:t>
      </w:r>
      <w:r>
        <w:t xml:space="preserve"> </w:t>
      </w:r>
      <w:r>
        <w:t xml:space="preserve">% change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2025-2050</w:t>
      </w:r>
      <w:r>
        <w:t xml:space="preserve"> </w:t>
      </w:r>
      <w:r>
        <w:t xml:space="preserve">%</w:t>
      </w:r>
      <w:r>
        <w:t xml:space="preserve"> </w:t>
      </w:r>
      <w:r>
        <w:t xml:space="preserve">change</w:t>
      </w:r>
      <w:r>
        <w:t xml:space="preserve"> </w:t>
      </w:r>
      <w:r>
        <w:t xml:space="preserve">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Rail</w:t>
      </w:r>
      <w:r>
        <w:t xml:space="preserve"> </w:t>
      </w:r>
      <w:r>
        <w:t xml:space="preserve">9.9</w:t>
      </w:r>
      <w:r>
        <w:t xml:space="preserve"> </w:t>
      </w:r>
      <w:r>
        <w:t xml:space="preserve">+4.2%</w:t>
      </w:r>
      <w:r>
        <w:t xml:space="preserve"> </w:t>
      </w:r>
      <w:r>
        <w:t xml:space="preserve">33.7</w:t>
      </w:r>
      <w:r>
        <w:t xml:space="preserve"> </w:t>
      </w:r>
      <w:r>
        <w:t xml:space="preserve">+8.2%</w:t>
      </w:r>
      <w:r>
        <w:t xml:space="preserve"> </w:t>
      </w:r>
      <w:r>
        <w:t xml:space="preserve">570.8</w:t>
      </w:r>
      <w:r>
        <w:t xml:space="preserve"> </w:t>
      </w:r>
      <w:r>
        <w:t xml:space="preserve">+7.1%</w:t>
      </w:r>
      <w:r>
        <w:t xml:space="preserve"> </w:t>
      </w:r>
      <w:r>
        <w:t xml:space="preserve">IWW</w:t>
      </w:r>
      <w:r>
        <w:t xml:space="preserve"> </w:t>
      </w:r>
      <w:r>
        <w:t xml:space="preserve">0.2</w:t>
      </w:r>
      <w:r>
        <w:t xml:space="preserve"> </w:t>
      </w:r>
      <w:r>
        <w:t xml:space="preserve">+0.9%</w:t>
      </w:r>
      <w:r>
        <w:t xml:space="preserve"> </w:t>
      </w:r>
      <w:r>
        <w:t xml:space="preserve">0.3</w:t>
      </w:r>
      <w:r>
        <w:t xml:space="preserve"> </w:t>
      </w:r>
      <w:r>
        <w:t xml:space="preserve">+1.4%</w:t>
      </w:r>
      <w:r>
        <w:t xml:space="preserve"> </w:t>
      </w:r>
      <w:r>
        <w:t xml:space="preserve">5.1</w:t>
      </w:r>
      <w:r>
        <w:t xml:space="preserve"> </w:t>
      </w:r>
      <w:r>
        <w:t xml:space="preserve">+1.1%</w:t>
      </w:r>
      <w:r>
        <w:t xml:space="preserve"> </w:t>
      </w:r>
      <w:r>
        <w:t xml:space="preserve">SSS</w:t>
      </w:r>
      <w:r>
        <w:t xml:space="preserve"> </w:t>
      </w:r>
      <w:r>
        <w:t xml:space="preserve">6.1</w:t>
      </w:r>
      <w:r>
        <w:t xml:space="preserve"> </w:t>
      </w:r>
      <w:r>
        <w:t xml:space="preserve">+1.3%</w:t>
      </w:r>
      <w:r>
        <w:t xml:space="preserve"> </w:t>
      </w:r>
      <w:r>
        <w:t xml:space="preserve">12.4</w:t>
      </w:r>
      <w:r>
        <w:t xml:space="preserve"> </w:t>
      </w:r>
      <w:r>
        <w:t xml:space="preserve">+2.1%</w:t>
      </w:r>
      <w:r>
        <w:t xml:space="preserve"> </w:t>
      </w:r>
      <w:r>
        <w:t xml:space="preserve">221.2</w:t>
      </w:r>
      <w:r>
        <w:t xml:space="preserve"> </w:t>
      </w:r>
      <w:r>
        <w:t xml:space="preserve">+1.7%</w:t>
      </w:r>
      <w:r>
        <w:t xml:space="preserve"> </w:t>
      </w:r>
      <w:r>
        <w:t xml:space="preserve">Total</w:t>
      </w:r>
      <w:r>
        <w:t xml:space="preserve"> </w:t>
      </w:r>
      <w:r>
        <w:t xml:space="preserve">16.1</w:t>
      </w:r>
      <w:r>
        <w:t xml:space="preserve"> </w:t>
      </w:r>
      <w:r>
        <w:t xml:space="preserve">+2.3%</w:t>
      </w:r>
      <w:r>
        <w:t xml:space="preserve"> </w:t>
      </w:r>
      <w:r>
        <w:t xml:space="preserve">35.9</w:t>
      </w:r>
      <w:r>
        <w:t xml:space="preserve"> </w:t>
      </w:r>
      <w:r>
        <w:t xml:space="preserve">+3.5%</w:t>
      </w:r>
      <w:r>
        <w:t xml:space="preserve"> </w:t>
      </w:r>
      <w:r>
        <w:t xml:space="preserve">616.8</w:t>
      </w:r>
      <w:r>
        <w:t xml:space="preserve"> </w:t>
      </w:r>
      <w:r>
        <w:t xml:space="preserve">+2.8%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The stand-alone impact of PM9 in terms of additional intermodal freight transport activity is</w:t>
      </w:r>
      <w:r>
        <w:t xml:space="preserve"> </w:t>
      </w:r>
      <w:r>
        <w:t xml:space="preserve">estimated at approximately +4% for rail, +1% for IWW and +1.7% for SSS in 2030, and +7.8% for</w:t>
      </w:r>
      <w:r>
        <w:t xml:space="preserve"> </w:t>
      </w:r>
      <w:r>
        <w:t xml:space="preserve">rail, +1.5% for IWW and +1.8% for SSS in 2050.</w:t>
      </w:r>
      <w:r>
        <w:br/>
      </w:r>
      <w:r>
        <w:t xml:space="preserve">Table 46: Impacts of PM9 on intermodal transport (door-to-door) activity (billion tkm and percentage change</w:t>
      </w:r>
      <w:r>
        <w:t xml:space="preserve"> </w:t>
      </w:r>
      <w:r>
        <w:t xml:space="preserve">compared to baseline)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%</w:t>
      </w:r>
      <w:r>
        <w:t xml:space="preserve"> </w:t>
      </w:r>
      <w:r>
        <w:t xml:space="preserve">change</w:t>
      </w:r>
      <w:r>
        <w:t xml:space="preserve"> </w:t>
      </w:r>
      <w:r>
        <w:t xml:space="preserve">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2050</w:t>
      </w:r>
      <w:r>
        <w:t xml:space="preserve"> </w:t>
      </w:r>
      <w:r>
        <w:t xml:space="preserve">%</w:t>
      </w:r>
      <w:r>
        <w:t xml:space="preserve"> </w:t>
      </w:r>
      <w:r>
        <w:t xml:space="preserve">change</w:t>
      </w:r>
      <w:r>
        <w:t xml:space="preserve"> </w:t>
      </w:r>
      <w:r>
        <w:t xml:space="preserve">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2025-2050</w:t>
      </w:r>
      <w:r>
        <w:t xml:space="preserve"> </w:t>
      </w:r>
      <w:r>
        <w:t xml:space="preserve">%</w:t>
      </w:r>
      <w:r>
        <w:t xml:space="preserve"> </w:t>
      </w:r>
      <w:r>
        <w:t xml:space="preserve">change</w:t>
      </w:r>
      <w:r>
        <w:t xml:space="preserve"> </w:t>
      </w:r>
      <w:r>
        <w:t xml:space="preserve">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Rail</w:t>
      </w:r>
      <w:r>
        <w:t xml:space="preserve"> </w:t>
      </w:r>
      <w:r>
        <w:t xml:space="preserve">9.4</w:t>
      </w:r>
      <w:r>
        <w:t xml:space="preserve"> </w:t>
      </w:r>
      <w:r>
        <w:t xml:space="preserve">+4%</w:t>
      </w:r>
      <w:r>
        <w:t xml:space="preserve"> </w:t>
      </w:r>
      <w:r>
        <w:t xml:space="preserve">32.3</w:t>
      </w:r>
      <w:r>
        <w:t xml:space="preserve"> </w:t>
      </w:r>
      <w:r>
        <w:t xml:space="preserve">+7.8%</w:t>
      </w:r>
      <w:r>
        <w:t xml:space="preserve"> </w:t>
      </w:r>
      <w:r>
        <w:t xml:space="preserve">550.4</w:t>
      </w:r>
      <w:r>
        <w:t xml:space="preserve"> </w:t>
      </w:r>
      <w:r>
        <w:t xml:space="preserve">+6.9%</w:t>
      </w:r>
      <w:r>
        <w:t xml:space="preserve"> </w:t>
      </w:r>
      <w:r>
        <w:t xml:space="preserve">IWW</w:t>
      </w:r>
      <w:r>
        <w:t xml:space="preserve"> </w:t>
      </w:r>
      <w:r>
        <w:t xml:space="preserve">0.2</w:t>
      </w:r>
      <w:r>
        <w:t xml:space="preserve"> </w:t>
      </w:r>
      <w:r>
        <w:t xml:space="preserve">+1%</w:t>
      </w:r>
      <w:r>
        <w:t xml:space="preserve"> </w:t>
      </w:r>
      <w:r>
        <w:t xml:space="preserve">0.3</w:t>
      </w:r>
      <w:r>
        <w:t xml:space="preserve"> </w:t>
      </w:r>
      <w:r>
        <w:t xml:space="preserve">+1.5%</w:t>
      </w:r>
      <w:r>
        <w:t xml:space="preserve"> </w:t>
      </w:r>
      <w:r>
        <w:t xml:space="preserve">5.7</w:t>
      </w:r>
      <w:r>
        <w:t xml:space="preserve"> </w:t>
      </w:r>
      <w:r>
        <w:t xml:space="preserve">+1.2%</w:t>
      </w:r>
      <w:r>
        <w:t xml:space="preserve"> </w:t>
      </w:r>
      <w:r>
        <w:t xml:space="preserve">SSS</w:t>
      </w:r>
      <w:r>
        <w:t xml:space="preserve"> </w:t>
      </w:r>
      <w:r>
        <w:t xml:space="preserve">7.7</w:t>
      </w:r>
      <w:r>
        <w:t xml:space="preserve"> </w:t>
      </w:r>
      <w:r>
        <w:t xml:space="preserve">+1.7%</w:t>
      </w:r>
      <w:r>
        <w:t xml:space="preserve"> </w:t>
      </w:r>
      <w:r>
        <w:t xml:space="preserve">10.3</w:t>
      </w:r>
      <w:r>
        <w:t xml:space="preserve"> </w:t>
      </w:r>
      <w:r>
        <w:t xml:space="preserve">+1.8%</w:t>
      </w:r>
      <w:r>
        <w:t xml:space="preserve"> </w:t>
      </w:r>
      <w:r>
        <w:t xml:space="preserve">231.4</w:t>
      </w:r>
      <w:r>
        <w:t xml:space="preserve"> </w:t>
      </w:r>
      <w:r>
        <w:t xml:space="preserve">+1.8%</w:t>
      </w:r>
      <w:r>
        <w:t xml:space="preserve"> </w:t>
      </w:r>
      <w:r>
        <w:t xml:space="preserve">Total</w:t>
      </w:r>
      <w:r>
        <w:t xml:space="preserve"> </w:t>
      </w:r>
      <w:r>
        <w:t xml:space="preserve">17.2</w:t>
      </w:r>
      <w:r>
        <w:t xml:space="preserve"> </w:t>
      </w:r>
      <w:r>
        <w:t xml:space="preserve">+2.4%</w:t>
      </w:r>
      <w:r>
        <w:t xml:space="preserve"> </w:t>
      </w:r>
      <w:r>
        <w:t xml:space="preserve">42.9</w:t>
      </w:r>
      <w:r>
        <w:t xml:space="preserve"> </w:t>
      </w:r>
      <w:r>
        <w:t xml:space="preserve">+4.2%</w:t>
      </w:r>
      <w:r>
        <w:t xml:space="preserve"> </w:t>
      </w:r>
      <w:r>
        <w:t xml:space="preserve">607.7</w:t>
      </w:r>
      <w:r>
        <w:t xml:space="preserve"> </w:t>
      </w:r>
      <w:r>
        <w:t xml:space="preserve">+2.8%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The stand-alone impact of PM8 on the intermodal transport competitiveness and on the modal share</w:t>
      </w:r>
      <w:r>
        <w:t xml:space="preserve"> </w:t>
      </w:r>
      <w:r>
        <w:t xml:space="preserve">of intermodal transport is expected to be negligible.</w:t>
      </w:r>
      <w:r>
        <w:br/>
      </w:r>
      <w:r>
        <w:t xml:space="preserve">3.3.2. PM10 – start-up support</w:t>
      </w:r>
      <w:r>
        <w:t xml:space="preserve"> </w:t>
      </w:r>
      <w:r>
        <w:t xml:space="preserve">PM10 and PM11 are enabling measures creating pre-conditions for intermodal transport to take place</w:t>
      </w:r>
      <w:r>
        <w:t xml:space="preserve"> </w:t>
      </w:r>
      <w:r>
        <w:t xml:space="preserve">and accelerating supply-side investments.</w:t>
      </w:r>
      <w:r>
        <w:br/>
      </w:r>
      <w:r>
        <w:t xml:space="preserve">PM10 foresees start-up support for establishing new non-road connections between points where</w:t>
      </w:r>
      <w:r>
        <w:t xml:space="preserve"> </w:t>
      </w:r>
      <w:r>
        <w:t xml:space="preserve">such connections do not yet exist (see section 2 in Toolbox, Annex 9). This is particularly necessary</w:t>
      </w:r>
      <w:r>
        <w:t xml:space="preserve"> </w:t>
      </w:r>
      <w:r>
        <w:t xml:space="preserve">to support the objective of new terminal creation under the proposed revision of TEN-T Regulation.</w:t>
      </w:r>
      <w:r>
        <w:t xml:space="preserve"> </w:t>
      </w:r>
      <w:r>
        <w:t xml:space="preserve">New intermodal non-road connections/services often do not have sufficient client base to fill the train</w:t>
      </w:r>
      <w:r>
        <w:t xml:space="preserve"> </w:t>
      </w:r>
      <w:r>
        <w:t xml:space="preserve">or vessel to allow it to be profitable, which creates a considerable hindrance to start new services.</w:t>
      </w:r>
      <w:r>
        <w:t xml:space="preserve"> </w:t>
      </w:r>
      <w:r>
        <w:t xml:space="preserve">However, over time services become established and fill-ratio increases and thus such support should</w:t>
      </w:r>
      <w:r>
        <w:t xml:space="preserve"> </w:t>
      </w:r>
      <w:r>
        <w:t xml:space="preserve">be temporary and diminishing where necessary. Such a support is particularly important in areas</w:t>
      </w:r>
      <w:r>
        <w:t xml:space="preserve"> </w:t>
      </w:r>
      <w:r>
        <w:t xml:space="preserve">where intermodal links are less dense and/or demand and financial risk are higher. However, new</w:t>
      </w:r>
      <w:r>
        <w:t xml:space="preserve"> </w:t>
      </w:r>
      <w:r>
        <w:t xml:space="preserve">connections/services are not required everywhere and thus this measure cannot be mandatory, but</w:t>
      </w:r>
      <w:r>
        <w:t xml:space="preserve"> </w:t>
      </w:r>
      <w:r>
        <w:t xml:space="preserve">should rather be optional.</w:t>
      </w:r>
      <w:r>
        <w:br/>
      </w:r>
      <w:r>
        <w:t xml:space="preserve">Previous studies clearly indicate that the costs of setting up new intermodal routes or services</w:t>
      </w:r>
      <w:r>
        <w:t xml:space="preserve"> </w:t>
      </w:r>
      <w:r>
        <w:t xml:space="preserve">(including costs of new equipment, market analysis, transactions, additional management/staff time,</w:t>
      </w:r>
      <w:r>
        <w:t xml:space="preserve"> </w:t>
      </w:r>
      <w:r>
        <w:t xml:space="preserve">etc.) can be significant, and influence both the willingness of market operators to expand the market</w:t>
      </w:r>
      <w:r>
        <w:t xml:space="preserve"> </w:t>
      </w:r>
      <w:r>
        <w:t xml:space="preserve">supply and also indirectly the overall competitiveness of intermodal vs. road-only transport190.</w:t>
      </w:r>
    </w:p>
    <w:p>
      <w:pPr>
        <w:pStyle w:val="BodyText"/>
      </w:pPr>
      <w:r>
        <w:t xml:space="preserve">190 A study by TRT (2017) estimates e.g. that the average cost of setting up a new scheduled service to a new destination</w:t>
      </w:r>
      <w:r>
        <w:t xml:space="preserve"> </w:t>
      </w:r>
      <w:r>
        <w:t xml:space="preserve">is on average in the range of EUR 20,000 and EUR 173,000, while the cost of organising a new CT route (i.e. a service</w:t>
      </w:r>
      <w:r>
        <w:t xml:space="preserve"> </w:t>
      </w:r>
      <w:r>
        <w:t xml:space="preserve">to a new destination not previously covered) is on average between EUR 200 and EUR 1,000, with values that can of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Various examples exist in the EU of start-up support measures for new intermodal services and modal</w:t>
      </w:r>
      <w:r>
        <w:t xml:space="preserve"> </w:t>
      </w:r>
      <w:r>
        <w:t xml:space="preserve">shift actions, including e.g. the Marco Polo programme(s), and other aids established for example in</w:t>
      </w:r>
      <w:r>
        <w:t xml:space="preserve"> </w:t>
      </w:r>
      <w:r>
        <w:t xml:space="preserve">Italy, Germany and the Netherlands191. Those existing schemes have different features in terms of</w:t>
      </w:r>
      <w:r>
        <w:t xml:space="preserve"> </w:t>
      </w:r>
      <w:r>
        <w:t xml:space="preserve">budget available, targeted sector, conditions and aid intensity levels. The current practice seems to</w:t>
      </w:r>
      <w:r>
        <w:t xml:space="preserve"> </w:t>
      </w:r>
      <w:r>
        <w:t xml:space="preserve">suggest that Member States tend to provide start-up support proportional to operational cost per tkm</w:t>
      </w:r>
      <w:r>
        <w:t xml:space="preserve"> </w:t>
      </w:r>
      <w:r>
        <w:t xml:space="preserve">or units transported per new services, rather than providing direct financing of start-up capital</w:t>
      </w:r>
      <w:r>
        <w:t xml:space="preserve"> </w:t>
      </w:r>
      <w:r>
        <w:t xml:space="preserve">investments (e.g. one-off capital financing). The current examples suggest that the intensity of</w:t>
      </w:r>
      <w:r>
        <w:t xml:space="preserve"> </w:t>
      </w:r>
      <w:r>
        <w:t xml:space="preserve">support provided to establish new intermodal services is typically in the range of EUR 0.3-0.8 million</w:t>
      </w:r>
      <w:r>
        <w:t xml:space="preserve"> </w:t>
      </w:r>
      <w:r>
        <w:t xml:space="preserve">per service. This amount should be sufficient to cover not only start-up costs but also the operational</w:t>
      </w:r>
      <w:r>
        <w:t xml:space="preserve"> </w:t>
      </w:r>
      <w:r>
        <w:t xml:space="preserve">losses during the first years of operation (i.e. before demand fully materialise) and could be</w:t>
      </w:r>
      <w:r>
        <w:t xml:space="preserve"> </w:t>
      </w:r>
      <w:r>
        <w:t xml:space="preserve">considered a reference value for the voluntary application of PM10.</w:t>
      </w:r>
      <w:r>
        <w:t xml:space="preserve"> </w:t>
      </w:r>
      <w:r>
        <w:t xml:space="preserve">Table 47: Examples of start-up programmes in EU-27</w:t>
      </w:r>
      <w:r>
        <w:t xml:space="preserve"> </w:t>
      </w:r>
      <w:r>
        <w:t xml:space="preserve">Start-up</w:t>
      </w:r>
      <w:r>
        <w:t xml:space="preserve"> </w:t>
      </w:r>
      <w:r>
        <w:t xml:space="preserve">programme</w:t>
      </w:r>
      <w:r>
        <w:t xml:space="preserve"> </w:t>
      </w:r>
      <w:r>
        <w:t xml:space="preserve">Country</w:t>
      </w:r>
      <w:r>
        <w:t xml:space="preserve"> </w:t>
      </w:r>
      <w:r>
        <w:t xml:space="preserve">Sector</w:t>
      </w:r>
      <w:r>
        <w:t xml:space="preserve"> </w:t>
      </w:r>
      <w:r>
        <w:t xml:space="preserve">Budget</w:t>
      </w:r>
      <w:r>
        <w:br/>
      </w:r>
      <w:r>
        <w:t xml:space="preserve">Economic support</w:t>
      </w:r>
      <w:r>
        <w:t xml:space="preserve"> </w:t>
      </w:r>
      <w:r>
        <w:t xml:space="preserve">Marco Polo II</w:t>
      </w:r>
      <w:r>
        <w:t xml:space="preserve"> </w:t>
      </w:r>
      <w:r>
        <w:t xml:space="preserve">EU27</w:t>
      </w:r>
      <w:r>
        <w:t xml:space="preserve"> </w:t>
      </w:r>
      <w:r>
        <w:t xml:space="preserve">plus UK</w:t>
      </w:r>
      <w:r>
        <w:t xml:space="preserve"> </w:t>
      </w:r>
      <w:r>
        <w:t xml:space="preserve">Rail, IWW,</w:t>
      </w:r>
      <w:r>
        <w:t xml:space="preserve"> </w:t>
      </w:r>
      <w:r>
        <w:t xml:space="preserve">SSS</w:t>
      </w:r>
      <w:r>
        <w:t xml:space="preserve"> </w:t>
      </w:r>
      <w:r>
        <w:t xml:space="preserve">35 EUR million/year,</w:t>
      </w:r>
      <w:r>
        <w:t xml:space="preserve"> </w:t>
      </w:r>
      <w:r>
        <w:t xml:space="preserve">260-800 EUR million per</w:t>
      </w:r>
      <w:r>
        <w:t xml:space="preserve"> </w:t>
      </w:r>
      <w:r>
        <w:t xml:space="preserve">modal shift action funded</w:t>
      </w:r>
      <w:r>
        <w:t xml:space="preserve"> </w:t>
      </w:r>
      <w:r>
        <w:t xml:space="preserve">2 EUR per 500 tkm shifted</w:t>
      </w:r>
      <w:r>
        <w:br/>
      </w:r>
      <w:r>
        <w:t xml:space="preserve">(i.e. 0.004 per tkm)</w:t>
      </w:r>
      <w:r>
        <w:t xml:space="preserve"> </w:t>
      </w:r>
      <w:r>
        <w:t xml:space="preserve">Marebonus</w:t>
      </w:r>
      <w:r>
        <w:t xml:space="preserve"> </w:t>
      </w:r>
      <w:r>
        <w:t xml:space="preserve">IT</w:t>
      </w:r>
      <w:r>
        <w:t xml:space="preserve"> </w:t>
      </w:r>
      <w:r>
        <w:t xml:space="preserve">SSS</w:t>
      </w:r>
      <w:r>
        <w:t xml:space="preserve"> </w:t>
      </w:r>
      <w:r>
        <w:t xml:space="preserve">56 EUR million/year</w:t>
      </w:r>
      <w:r>
        <w:t xml:space="preserve"> </w:t>
      </w:r>
      <w:r>
        <w:t xml:space="preserve">30% of operating cost</w:t>
      </w:r>
      <w:r>
        <w:t xml:space="preserve"> </w:t>
      </w:r>
      <w:r>
        <w:t xml:space="preserve">Ferrobonus</w:t>
      </w:r>
      <w:r>
        <w:t xml:space="preserve"> </w:t>
      </w:r>
      <w:r>
        <w:t xml:space="preserve">IT</w:t>
      </w:r>
      <w:r>
        <w:t xml:space="preserve"> </w:t>
      </w:r>
      <w:r>
        <w:t xml:space="preserve">Rail</w:t>
      </w:r>
      <w:r>
        <w:t xml:space="preserve"> </w:t>
      </w:r>
      <w:r>
        <w:t xml:space="preserve">25 EUR million/year</w:t>
      </w:r>
      <w:r>
        <w:t xml:space="preserve"> </w:t>
      </w:r>
      <w:r>
        <w:t xml:space="preserve">2.5 EUR per train-km</w:t>
      </w:r>
      <w:r>
        <w:t xml:space="preserve"> </w:t>
      </w:r>
      <w:r>
        <w:t xml:space="preserve">Twin Hub rail</w:t>
      </w:r>
      <w:r>
        <w:t xml:space="preserve"> </w:t>
      </w:r>
      <w:r>
        <w:t xml:space="preserve">network</w:t>
      </w:r>
      <w:r>
        <w:t xml:space="preserve"> </w:t>
      </w:r>
      <w:r>
        <w:t xml:space="preserve">NL</w:t>
      </w:r>
      <w:r>
        <w:t xml:space="preserve"> </w:t>
      </w:r>
      <w:r>
        <w:t xml:space="preserve">Rail</w:t>
      </w:r>
      <w:r>
        <w:t xml:space="preserve"> </w:t>
      </w:r>
      <w:r>
        <w:t xml:space="preserve">Total 1.06 EUR billion,</w:t>
      </w:r>
      <w:r>
        <w:t xml:space="preserve"> </w:t>
      </w:r>
      <w:r>
        <w:t xml:space="preserve">0.3-0.4 EUR million</w:t>
      </w:r>
      <w:r>
        <w:t xml:space="preserve"> </w:t>
      </w:r>
      <w:r>
        <w:t xml:space="preserve">transferred to each rail</w:t>
      </w:r>
      <w:r>
        <w:t xml:space="preserve"> </w:t>
      </w:r>
      <w:r>
        <w:t xml:space="preserve">operator</w:t>
      </w:r>
      <w:r>
        <w:t xml:space="preserve"> </w:t>
      </w:r>
      <w:r>
        <w:t xml:space="preserve">Financing for new pilot train</w:t>
      </w:r>
      <w:r>
        <w:t xml:space="preserve"> </w:t>
      </w:r>
      <w:r>
        <w:t xml:space="preserve">services</w:t>
      </w:r>
      <w:r>
        <w:t xml:space="preserve"> </w:t>
      </w:r>
      <w:r>
        <w:t xml:space="preserve">(50% coverage of losses)</w:t>
      </w:r>
      <w:r>
        <w:t xml:space="preserve"> </w:t>
      </w:r>
      <w:r>
        <w:t xml:space="preserve">Modal shift aid</w:t>
      </w:r>
      <w:r>
        <w:t xml:space="preserve"> </w:t>
      </w:r>
      <w:r>
        <w:t xml:space="preserve">NL</w:t>
      </w:r>
      <w:r>
        <w:t xml:space="preserve"> </w:t>
      </w:r>
      <w:r>
        <w:t xml:space="preserve">Rail, IWW</w:t>
      </w:r>
      <w:r>
        <w:t xml:space="preserve"> </w:t>
      </w:r>
      <w:r>
        <w:t xml:space="preserve">EUR 5.6 million/year</w:t>
      </w:r>
      <w:r>
        <w:t xml:space="preserve"> </w:t>
      </w:r>
      <w:r>
        <w:t xml:space="preserve">EUR 20 per TEU</w:t>
      </w:r>
      <w:r>
        <w:t xml:space="preserve"> </w:t>
      </w:r>
      <w:r>
        <w:t xml:space="preserve">Eco-incentive to</w:t>
      </w:r>
      <w:r>
        <w:t xml:space="preserve"> </w:t>
      </w:r>
      <w:r>
        <w:t xml:space="preserve">SSS</w:t>
      </w:r>
      <w:r>
        <w:t xml:space="preserve"> </w:t>
      </w:r>
      <w:r>
        <w:t xml:space="preserve">ES</w:t>
      </w:r>
      <w:r>
        <w:t xml:space="preserve"> </w:t>
      </w:r>
      <w:r>
        <w:t xml:space="preserve">SSS</w:t>
      </w:r>
      <w:r>
        <w:t xml:space="preserve"> </w:t>
      </w:r>
      <w:r>
        <w:t xml:space="preserve">EUR 20 million/year</w:t>
      </w:r>
      <w:r>
        <w:t xml:space="preserve"> </w:t>
      </w:r>
      <w:r>
        <w:t xml:space="preserve">100% of external cost savings</w:t>
      </w:r>
      <w:r>
        <w:t xml:space="preserve"> </w:t>
      </w:r>
      <w:r>
        <w:t xml:space="preserve">by using SSS instead of road</w:t>
      </w:r>
      <w:r>
        <w:t xml:space="preserve"> </w:t>
      </w:r>
      <w:r>
        <w:t xml:space="preserve">(EUR/HGV shifted)</w:t>
      </w:r>
      <w:r>
        <w:t xml:space="preserve"> </w:t>
      </w:r>
      <w:r>
        <w:t xml:space="preserve">Source: INEA (2020) Marco Polo II Programme; 2022 IA study on State aids for railways undertakings.</w:t>
      </w:r>
      <w:r>
        <w:t xml:space="preserve"> </w:t>
      </w:r>
      <w:r>
        <w:t xml:space="preserve">Different outcomes have been observed e.g. with respect to the response of market operators to the</w:t>
      </w:r>
      <w:r>
        <w:t xml:space="preserve"> </w:t>
      </w:r>
      <w:r>
        <w:t xml:space="preserve">available subsidies. As shown in the table below, the Marcopolo II programme evidence that each</w:t>
      </w:r>
      <w:r>
        <w:t xml:space="preserve"> </w:t>
      </w:r>
      <w:r>
        <w:t xml:space="preserve">new intermodal service can shift between 815,000 and 846,000 tkm off the road (to rail and SSS</w:t>
      </w:r>
      <w:r>
        <w:t xml:space="preserve"> </w:t>
      </w:r>
      <w:r>
        <w:t xml:space="preserve">services), and about 260,000 tkm in the case of IWW services.</w:t>
      </w:r>
      <w:r>
        <w:br/>
      </w:r>
      <w:r>
        <w:t xml:space="preserve">Table 48: Marco Polo II – modal shift impacts</w:t>
      </w:r>
      <w:r>
        <w:t xml:space="preserve"> </w:t>
      </w:r>
      <w:r>
        <w:t xml:space="preserve">Sector</w:t>
      </w:r>
      <w:r>
        <w:t xml:space="preserve"> </w:t>
      </w:r>
      <w:r>
        <w:t xml:space="preserve">Average tkm shifted per action</w:t>
      </w:r>
      <w:r>
        <w:br/>
      </w:r>
      <w:r>
        <w:t xml:space="preserve">Tkm per EUR funded</w:t>
      </w:r>
      <w:r>
        <w:t xml:space="preserve"> </w:t>
      </w:r>
      <w:r>
        <w:t xml:space="preserve">Rail</w:t>
      </w:r>
      <w:r>
        <w:t xml:space="preserve"> </w:t>
      </w:r>
      <w:r>
        <w:t xml:space="preserve">815,176</w:t>
      </w:r>
      <w:r>
        <w:t xml:space="preserve"> </w:t>
      </w:r>
      <w:r>
        <w:t xml:space="preserve">309</w:t>
      </w:r>
      <w:r>
        <w:t xml:space="preserve"> </w:t>
      </w:r>
      <w:r>
        <w:t xml:space="preserve">IWW</w:t>
      </w:r>
      <w:r>
        <w:t xml:space="preserve"> </w:t>
      </w:r>
      <w:r>
        <w:t xml:space="preserve">260,862</w:t>
      </w:r>
      <w:r>
        <w:t xml:space="preserve"> </w:t>
      </w:r>
      <w:r>
        <w:t xml:space="preserve">360</w:t>
      </w:r>
      <w:r>
        <w:t xml:space="preserve"> </w:t>
      </w:r>
      <w:r>
        <w:t xml:space="preserve">SSS</w:t>
      </w:r>
      <w:r>
        <w:t xml:space="preserve"> </w:t>
      </w:r>
      <w:r>
        <w:t xml:space="preserve">845,993</w:t>
      </w:r>
      <w:r>
        <w:t xml:space="preserve"> </w:t>
      </w:r>
      <w:r>
        <w:t xml:space="preserve">552</w:t>
      </w:r>
      <w:r>
        <w:t xml:space="preserve"> </w:t>
      </w:r>
      <w:r>
        <w:t xml:space="preserve">Total</w:t>
      </w:r>
      <w:r>
        <w:t xml:space="preserve"> </w:t>
      </w:r>
      <w:r>
        <w:t xml:space="preserve">792,571</w:t>
      </w:r>
      <w:r>
        <w:t xml:space="preserve"> </w:t>
      </w:r>
      <w:r>
        <w:t xml:space="preserve">364</w:t>
      </w:r>
      <w:r>
        <w:t xml:space="preserve"> </w:t>
      </w:r>
      <w:r>
        <w:t xml:space="preserve">Source: INEA (2020) Marco Polo II Programme, Final report</w:t>
      </w:r>
    </w:p>
    <w:p>
      <w:pPr>
        <w:pStyle w:val="BodyText"/>
      </w:pPr>
      <w:r>
        <w:t xml:space="preserve">course vary largely depending on the specific case and context considered (quality and scale of operations to be arranged,</w:t>
      </w:r>
      <w:r>
        <w:t xml:space="preserve"> </w:t>
      </w:r>
      <w:r>
        <w:t xml:space="preserve">operator’s capacity, mode sector, etc.). The same study indicates that such capital costs indirectly impact on the relative</w:t>
      </w:r>
      <w:r>
        <w:t xml:space="preserve"> </w:t>
      </w:r>
      <w:r>
        <w:t xml:space="preserve">competitiveness of intermodal services, estimating an additional cost of EUR 50-100 of organising an intermodal</w:t>
      </w:r>
      <w:r>
        <w:t xml:space="preserve"> </w:t>
      </w:r>
      <w:r>
        <w:t xml:space="preserve">compared to road-only transport. Source: TRT (2017), op.cit.</w:t>
      </w:r>
      <w:r>
        <w:t xml:space="preserve"> </w:t>
      </w:r>
      <w:r>
        <w:t xml:space="preserve">191 For instance, scheme N 640/08 offered in Saxony (Germany) from 2009 to 2015, offering start-up aid for new</w:t>
      </w:r>
      <w:r>
        <w:t xml:space="preserve"> </w:t>
      </w:r>
      <w:r>
        <w:t xml:space="preserve">combined transport services for a maximum of 3 years; the scheme N449/2008 offered in Italy subsidizing road-rail</w:t>
      </w:r>
      <w:r>
        <w:t xml:space="preserve"> </w:t>
      </w:r>
      <w:r>
        <w:t xml:space="preserve">transport of containers in between Naples and the Nola freight village; the SA.54990 aid made available recently in Italy</w:t>
      </w:r>
      <w:r>
        <w:t xml:space="preserve"> </w:t>
      </w:r>
      <w:r>
        <w:t xml:space="preserve">by the Emilia-Romagna region, subsidising logistics undertakings and multimodal transport operators by compensating</w:t>
      </w:r>
      <w:r>
        <w:t xml:space="preserve"> </w:t>
      </w:r>
      <w:r>
        <w:t xml:space="preserve">the difference in external costs of road transport; and the SA.38639 aid providing financing for pilot train services within</w:t>
      </w:r>
      <w:r>
        <w:t xml:space="preserve"> </w:t>
      </w:r>
      <w:r>
        <w:t xml:space="preserve">the “Twin hub” railway network. Also in the Netherlands, a new aid scheme has been recently adopted to promote modal</w:t>
      </w:r>
      <w:r>
        <w:t xml:space="preserve"> </w:t>
      </w:r>
      <w:r>
        <w:t xml:space="preserve">shift from road to rail and inland waterways.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Although uncertainties related to the adoption by Member States (in terms of intensity and duration of the</w:t>
      </w:r>
      <w:r>
        <w:t xml:space="preserve"> </w:t>
      </w:r>
      <w:r>
        <w:t xml:space="preserve">support) do not allow a consistent quantification of its effects on the level of intermodal transport activity,</w:t>
      </w:r>
      <w:r>
        <w:t xml:space="preserve"> </w:t>
      </w:r>
      <w:r>
        <w:t xml:space="preserve">possible outcomes from the application of PM10 were analysed based on the evidence/examples</w:t>
      </w:r>
      <w:r>
        <w:t xml:space="preserve"> </w:t>
      </w:r>
      <w:r>
        <w:t xml:space="preserve">previously described and assuming that a specific group of Member States decides to adopt PM10. The</w:t>
      </w:r>
      <w:r>
        <w:t xml:space="preserve"> </w:t>
      </w:r>
      <w:r>
        <w:t xml:space="preserve">assumptions are based on the experience and the statistics collected during the Marco Polo II programme,</w:t>
      </w:r>
      <w:r>
        <w:t xml:space="preserve"> </w:t>
      </w:r>
      <w:r>
        <w:t xml:space="preserve">as reported by INEA192.</w:t>
      </w:r>
      <w:r>
        <w:t xml:space="preserve"> </w:t>
      </w:r>
      <w:r>
        <w:t xml:space="preserve">For the purpose of the assessment, it is assumed that a start-up programme has a duration of 5 years, and</w:t>
      </w:r>
      <w:r>
        <w:t xml:space="preserve"> </w:t>
      </w:r>
      <w:r>
        <w:t xml:space="preserve">that every 6th year either same country or a new country starts a new start-up programme cycle. The start-</w:t>
      </w:r>
      <w:r>
        <w:t xml:space="preserve"> </w:t>
      </w:r>
      <w:r>
        <w:t xml:space="preserve">up measure is used between 2025 and 2039193. Reference countries have been selected focusing mostly on</w:t>
      </w:r>
      <w:r>
        <w:t xml:space="preserve"> </w:t>
      </w:r>
      <w:r>
        <w:t xml:space="preserve">middle-size countries and aiming for a diverse sample in terms of transport modes coverage194.</w:t>
      </w:r>
      <w:r>
        <w:br/>
      </w:r>
      <w:r>
        <w:t xml:space="preserve">It is then assumed that each programme cycle leads to the activation of 10 new services in the rail sector</w:t>
      </w:r>
      <w:r>
        <w:t xml:space="preserve"> </w:t>
      </w:r>
      <w:r>
        <w:t xml:space="preserve">(i.e. 10 for each country covering rail), 5 new services for IWW, and 7 new services for SSS. In total, 427</w:t>
      </w:r>
      <w:r>
        <w:t xml:space="preserve"> </w:t>
      </w:r>
      <w:r>
        <w:t xml:space="preserve">new services would be created between 2025 and 2039.</w:t>
      </w:r>
      <w:r>
        <w:t xml:space="preserve"> </w:t>
      </w:r>
      <w:r>
        <w:t xml:space="preserve">Moreover, the average traffic operated by the start-up services has been determined based on Marco Polo</w:t>
      </w:r>
      <w:r>
        <w:t xml:space="preserve"> </w:t>
      </w:r>
      <w:r>
        <w:t xml:space="preserve">II statistics on the operational performance of the “modal shift” actions, which is considered a reference</w:t>
      </w:r>
      <w:r>
        <w:t xml:space="preserve"> </w:t>
      </w:r>
      <w:r>
        <w:t xml:space="preserve">for the operation of new intermodal services in EU-27195. As explained later, closed actions should be</w:t>
      </w:r>
      <w:r>
        <w:t xml:space="preserve"> </w:t>
      </w:r>
      <w:r>
        <w:t xml:space="preserve">representative of successful start-up services, while terminated actions are considered in order to reflect</w:t>
      </w:r>
      <w:r>
        <w:t xml:space="preserve"> </w:t>
      </w:r>
      <w:r>
        <w:t xml:space="preserve">the inefficiencies actually characterizing the ramp-up phase of new services.</w:t>
      </w:r>
      <w:r>
        <w:t xml:space="preserve"> </w:t>
      </w:r>
      <w:r>
        <w:t xml:space="preserve">For the quantification of impacts until 2050, the following additional assumptions are used:</w:t>
      </w:r>
      <w:r>
        <w:t xml:space="preserve"> </w:t>
      </w:r>
      <w:r>
        <w:t xml:space="preserve">•</w:t>
      </w:r>
      <w:r>
        <w:t xml:space="preserve"> </w:t>
      </w:r>
      <w:r>
        <w:t xml:space="preserve">In the first 5 years of existence (ramp-up phase), these services are assumed to operate only a share of</w:t>
      </w:r>
      <w:r>
        <w:t xml:space="preserve"> </w:t>
      </w:r>
      <w:r>
        <w:t xml:space="preserve">the average traffic estimated from Marco Polo II statistics, namely 60% in the first year, 70% in the</w:t>
      </w:r>
      <w:r>
        <w:t xml:space="preserve"> </w:t>
      </w:r>
      <w:r>
        <w:t xml:space="preserve">second year, and 80% from the third to the fifth year.</w:t>
      </w:r>
      <w:r>
        <w:t xml:space="preserve"> </w:t>
      </w:r>
      <w:r>
        <w:t xml:space="preserve">•</w:t>
      </w:r>
      <w:r>
        <w:t xml:space="preserve"> </w:t>
      </w:r>
      <w:r>
        <w:t xml:space="preserve">When a program cycle ends, a share of the activated services is assumed to terminate (to account for</w:t>
      </w:r>
      <w:r>
        <w:t xml:space="preserve"> </w:t>
      </w:r>
      <w:r>
        <w:t xml:space="preserve">the risk that services may not prove successful or economically feasible), while the ones that survive will</w:t>
      </w:r>
      <w:r>
        <w:t xml:space="preserve"> </w:t>
      </w:r>
      <w:r>
        <w:t xml:space="preserve">continue to operate at normal volume levels. Also based on Marco Polo II statistics, the survival rate is</w:t>
      </w:r>
      <w:r>
        <w:t xml:space="preserve"> </w:t>
      </w:r>
      <w:r>
        <w:t xml:space="preserve">assumed to be 70% for rail and SSS services, and 50% for IWW services. Finally, it is assumed that a part</w:t>
      </w:r>
      <w:r>
        <w:t xml:space="preserve"> </w:t>
      </w:r>
      <w:r>
        <w:t xml:space="preserve">of new connections would be created under market conditions in any case, only at a later stage. The</w:t>
      </w:r>
      <w:r>
        <w:t xml:space="preserve"> </w:t>
      </w:r>
      <w:r>
        <w:t xml:space="preserve">start-up support accelerates the opening of new connections and thereby the additional uptake of</w:t>
      </w:r>
      <w:r>
        <w:t xml:space="preserve"> </w:t>
      </w:r>
      <w:r>
        <w:t xml:space="preserve">intermodal transport. The share of traffic on the new connections assumed to have been accelerated</w:t>
      </w:r>
      <w:r>
        <w:t xml:space="preserve"> </w:t>
      </w:r>
      <w:r>
        <w:t xml:space="preserve">corresponds to 50% for rail and SSS, and 100% for IWW.</w:t>
      </w:r>
      <w:r>
        <w:t xml:space="preserve"> </w:t>
      </w:r>
      <w:r>
        <w:t xml:space="preserve">The stand-alone impacts of start-up support are comparable in magnitude to direct operational support</w:t>
      </w:r>
      <w:r>
        <w:t xml:space="preserve"> </w:t>
      </w:r>
      <w:r>
        <w:t xml:space="preserve">under PM7/PM9 in 2030 but are considerably lower for 2025-2050 as the impact is mainly observed at the</w:t>
      </w:r>
      <w:r>
        <w:t xml:space="preserve"> </w:t>
      </w:r>
      <w:r>
        <w:t xml:space="preserve">introduction of new routes, in the beginning of the period. The impact of start-up support over 2025-2050</w:t>
      </w:r>
      <w:r>
        <w:t xml:space="preserve"> </w:t>
      </w:r>
      <w:r>
        <w:t xml:space="preserve">is estimated at 1.9% increase in the intermodal transport activity relative to the baseline.</w:t>
      </w:r>
    </w:p>
    <w:p>
      <w:pPr>
        <w:pStyle w:val="BodyText"/>
      </w:pPr>
      <w:r>
        <w:t xml:space="preserve">192 INEA (2020), Marco Polo II Programme, Final report.</w:t>
      </w:r>
      <w:r>
        <w:t xml:space="preserve"> </w:t>
      </w:r>
      <w:r>
        <w:t xml:space="preserve">193 The assumption that programmes last until 2039 is driven by planned expansion of terminal capacity, which,</w:t>
      </w:r>
      <w:r>
        <w:t xml:space="preserve"> </w:t>
      </w:r>
      <w:r>
        <w:t xml:space="preserve">consistently with TEN-T plans, should occur mainly over the next decade (implying that demand for new links and</w:t>
      </w:r>
      <w:r>
        <w:t xml:space="preserve"> </w:t>
      </w:r>
      <w:r>
        <w:t xml:space="preserve">services to/from terminals will likely concentrate in the years before 2040).</w:t>
      </w:r>
      <w:r>
        <w:t xml:space="preserve"> </w:t>
      </w:r>
      <w:r>
        <w:t xml:space="preserve">194 The overall assessment does not involve country-specific assumptions related e.g. to funding capacity or service</w:t>
      </w:r>
      <w:r>
        <w:t xml:space="preserve"> </w:t>
      </w:r>
      <w:r>
        <w:t xml:space="preserve">parameters (start-up costs, traffic volumes, etc.). The selection of reference middle-size countries (covering nearly a third</w:t>
      </w:r>
      <w:r>
        <w:t xml:space="preserve"> </w:t>
      </w:r>
      <w:r>
        <w:t xml:space="preserve">of EU27) is made merely for the purpose of building a hypothetical scenario where different shares of intermodal services</w:t>
      </w:r>
      <w:r>
        <w:t xml:space="preserve"> </w:t>
      </w:r>
      <w:r>
        <w:t xml:space="preserve">in rail, IWW and SSS receive start-up support. The reference countries selected are the following: In 2025, DK, ES, HR,</w:t>
      </w:r>
      <w:r>
        <w:t xml:space="preserve"> </w:t>
      </w:r>
      <w:r>
        <w:t xml:space="preserve">IT, NL for rail, NL for IWW and DK, ES, HR, IT, NL for SSS. In 2030, the same countries are assumed to continue the</w:t>
      </w:r>
      <w:r>
        <w:t xml:space="preserve"> </w:t>
      </w:r>
      <w:r>
        <w:t xml:space="preserve">scheme and the following additional countries are expected to introduce the measure: CZ, FR, PL, SI, SK for rail, FR for</w:t>
      </w:r>
      <w:r>
        <w:t xml:space="preserve"> </w:t>
      </w:r>
      <w:r>
        <w:t xml:space="preserve">IWW and FR, PL, SI for SSS. In 2035, all the countries using the measure in 2030 are expected to continue with the</w:t>
      </w:r>
      <w:r>
        <w:t xml:space="preserve"> </w:t>
      </w:r>
      <w:r>
        <w:t xml:space="preserve">measure.</w:t>
      </w:r>
      <w:r>
        <w:br/>
      </w:r>
      <w:r>
        <w:t xml:space="preserve">195 In particular, the average traffic operated per year corresponds to the weighted average of the ton-km operated by</w:t>
      </w:r>
      <w:r>
        <w:t xml:space="preserve"> </w:t>
      </w:r>
      <w:r>
        <w:t xml:space="preserve">terminated and closed modal shift actions, while the maximum traffic corresponds to the average ton-km operated by</w:t>
      </w:r>
      <w:r>
        <w:t xml:space="preserve"> </w:t>
      </w:r>
      <w:r>
        <w:t xml:space="preserve">closed actions only.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Table 49: Impacts of PM10 on the intermodal transport (door-to-door) activity (billion tkm and percentage change</w:t>
      </w:r>
      <w:r>
        <w:t xml:space="preserve"> </w:t>
      </w:r>
      <w:r>
        <w:t xml:space="preserve">compared to the baseline)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%</w:t>
      </w:r>
      <w:r>
        <w:t xml:space="preserve"> </w:t>
      </w:r>
      <w:r>
        <w:t xml:space="preserve">change</w:t>
      </w:r>
      <w:r>
        <w:t xml:space="preserve"> </w:t>
      </w:r>
      <w:r>
        <w:t xml:space="preserve">from</w:t>
      </w:r>
      <w:r>
        <w:t xml:space="preserve"> </w:t>
      </w:r>
      <w:r>
        <w:t xml:space="preserve">baseline</w:t>
      </w:r>
      <w:r>
        <w:t xml:space="preserve"> </w:t>
      </w:r>
      <w:r>
        <w:t xml:space="preserve">2050</w:t>
      </w:r>
      <w:r>
        <w:t xml:space="preserve"> </w:t>
      </w:r>
      <w:r>
        <w:t xml:space="preserve">%</w:t>
      </w:r>
      <w:r>
        <w:t xml:space="preserve"> </w:t>
      </w:r>
      <w:r>
        <w:t xml:space="preserve">change</w:t>
      </w:r>
      <w:r>
        <w:t xml:space="preserve"> </w:t>
      </w:r>
      <w:r>
        <w:t xml:space="preserve">from</w:t>
      </w:r>
      <w:r>
        <w:t xml:space="preserve"> </w:t>
      </w:r>
      <w:r>
        <w:t xml:space="preserve">baseline</w:t>
      </w:r>
      <w:r>
        <w:t xml:space="preserve"> </w:t>
      </w:r>
      <w:r>
        <w:t xml:space="preserve">2025-2050</w:t>
      </w:r>
      <w:r>
        <w:t xml:space="preserve"> </w:t>
      </w:r>
      <w:r>
        <w:t xml:space="preserve">%</w:t>
      </w:r>
      <w:r>
        <w:t xml:space="preserve"> </w:t>
      </w:r>
      <w:r>
        <w:t xml:space="preserve">change</w:t>
      </w:r>
      <w:r>
        <w:t xml:space="preserve"> </w:t>
      </w:r>
      <w:r>
        <w:t xml:space="preserve">from</w:t>
      </w:r>
      <w:r>
        <w:t xml:space="preserve"> </w:t>
      </w:r>
      <w:r>
        <w:t xml:space="preserve">baseline</w:t>
      </w:r>
      <w:r>
        <w:t xml:space="preserve"> </w:t>
      </w:r>
      <w:r>
        <w:t xml:space="preserve">Rail</w:t>
      </w:r>
      <w:r>
        <w:t xml:space="preserve"> </w:t>
      </w:r>
      <w:r>
        <w:t xml:space="preserve">8.2</w:t>
      </w:r>
      <w:r>
        <w:t xml:space="preserve"> </w:t>
      </w:r>
      <w:r>
        <w:t xml:space="preserve">+3.5%</w:t>
      </w:r>
      <w:r>
        <w:t xml:space="preserve"> </w:t>
      </w:r>
      <w:r>
        <w:t xml:space="preserve">10.7</w:t>
      </w:r>
      <w:r>
        <w:t xml:space="preserve"> </w:t>
      </w:r>
      <w:r>
        <w:t xml:space="preserve">2.6%</w:t>
      </w:r>
      <w:r>
        <w:t xml:space="preserve"> </w:t>
      </w:r>
      <w:r>
        <w:t xml:space="preserve">254.5</w:t>
      </w:r>
      <w:r>
        <w:t xml:space="preserve"> </w:t>
      </w:r>
      <w:r>
        <w:t xml:space="preserve">+3.2%</w:t>
      </w:r>
      <w:r>
        <w:t xml:space="preserve"> </w:t>
      </w:r>
      <w:r>
        <w:t xml:space="preserve">IWW</w:t>
      </w:r>
      <w:r>
        <w:t xml:space="preserve"> </w:t>
      </w:r>
      <w:r>
        <w:t xml:space="preserve">0.1</w:t>
      </w:r>
      <w:r>
        <w:t xml:space="preserve"> </w:t>
      </w:r>
      <w:r>
        <w:t xml:space="preserve">+0.9%</w:t>
      </w:r>
      <w:r>
        <w:t xml:space="preserve"> </w:t>
      </w:r>
      <w:r>
        <w:t xml:space="preserve">0.5</w:t>
      </w:r>
      <w:r>
        <w:t xml:space="preserve"> </w:t>
      </w:r>
      <w:r>
        <w:t xml:space="preserve">2.1%</w:t>
      </w:r>
      <w:r>
        <w:t xml:space="preserve"> </w:t>
      </w:r>
      <w:r>
        <w:t xml:space="preserve">11.2</w:t>
      </w:r>
      <w:r>
        <w:t xml:space="preserve"> </w:t>
      </w:r>
      <w:r>
        <w:t xml:space="preserve">+2.3%</w:t>
      </w:r>
      <w:r>
        <w:t xml:space="preserve"> </w:t>
      </w:r>
      <w:r>
        <w:t xml:space="preserve">SSS</w:t>
      </w:r>
      <w:r>
        <w:t xml:space="preserve"> </w:t>
      </w:r>
      <w:r>
        <w:t xml:space="preserve">4.9</w:t>
      </w:r>
      <w:r>
        <w:t xml:space="preserve"> </w:t>
      </w:r>
      <w:r>
        <w:t xml:space="preserve">+1.1%</w:t>
      </w:r>
      <w:r>
        <w:t xml:space="preserve"> </w:t>
      </w:r>
      <w:r>
        <w:t xml:space="preserve">5.9</w:t>
      </w:r>
      <w:r>
        <w:t xml:space="preserve"> </w:t>
      </w:r>
      <w:r>
        <w:t xml:space="preserve">1%</w:t>
      </w:r>
      <w:r>
        <w:t xml:space="preserve"> </w:t>
      </w:r>
      <w:r>
        <w:t xml:space="preserve">146.2</w:t>
      </w:r>
      <w:r>
        <w:t xml:space="preserve"> </w:t>
      </w:r>
      <w:r>
        <w:t xml:space="preserve">+1.1%</w:t>
      </w:r>
      <w:r>
        <w:t xml:space="preserve"> </w:t>
      </w:r>
      <w:r>
        <w:t xml:space="preserve">Total</w:t>
      </w:r>
      <w:r>
        <w:t xml:space="preserve"> </w:t>
      </w:r>
      <w:r>
        <w:t xml:space="preserve">13.2</w:t>
      </w:r>
      <w:r>
        <w:t xml:space="preserve"> </w:t>
      </w:r>
      <w:r>
        <w:t xml:space="preserve">+1.9%</w:t>
      </w:r>
      <w:r>
        <w:t xml:space="preserve"> </w:t>
      </w:r>
      <w:r>
        <w:t xml:space="preserve">17.1</w:t>
      </w:r>
      <w:r>
        <w:t xml:space="preserve"> </w:t>
      </w:r>
      <w:r>
        <w:t xml:space="preserve">1.7%</w:t>
      </w:r>
      <w:r>
        <w:t xml:space="preserve"> </w:t>
      </w:r>
      <w:r>
        <w:t xml:space="preserve">411.8</w:t>
      </w:r>
      <w:r>
        <w:t xml:space="preserve"> </w:t>
      </w:r>
      <w:r>
        <w:t xml:space="preserve">+1.9%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The modal shift effects of start-up support can vary depending on the intensity and the duration of</w:t>
      </w:r>
      <w:r>
        <w:t xml:space="preserve"> </w:t>
      </w:r>
      <w:r>
        <w:t xml:space="preserve">the support as well as on context-specific factors, in particular the structure of the road transport</w:t>
      </w:r>
      <w:r>
        <w:t xml:space="preserve"> </w:t>
      </w:r>
      <w:r>
        <w:t xml:space="preserve">activity potentially shifting, the competitiveness of intermodal market operators, prevailing road</w:t>
      </w:r>
      <w:r>
        <w:t xml:space="preserve"> </w:t>
      </w:r>
      <w:r>
        <w:t xml:space="preserve">transport prices etc.196. It is thus important to reiterate that PM10 is not designed as an alternative to</w:t>
      </w:r>
      <w:r>
        <w:t xml:space="preserve"> </w:t>
      </w:r>
      <w:r>
        <w:t xml:space="preserve">PM7-PM9, but rather as a complementary measure for specific situations. The beneficiaries of PM10</w:t>
      </w:r>
      <w:r>
        <w:t xml:space="preserve"> </w:t>
      </w:r>
      <w:r>
        <w:t xml:space="preserve">would not be the same as in PM7-PM9. The aim of this support tool is not to reduce the market price</w:t>
      </w:r>
      <w:r>
        <w:t xml:space="preserve"> </w:t>
      </w:r>
      <w:r>
        <w:t xml:space="preserve">to shippers, but rather to compensate the new connection’s provider for lower load factors/operational</w:t>
      </w:r>
      <w:r>
        <w:t xml:space="preserve"> </w:t>
      </w:r>
      <w:r>
        <w:t xml:space="preserve">losses allowing thus the service to operate at market prices. Any shippers and transport organisers</w:t>
      </w:r>
      <w:r>
        <w:t xml:space="preserve"> </w:t>
      </w:r>
      <w:r>
        <w:t xml:space="preserve">using the new services would be nevertheless eligible for operational support under PM7-PM9. This</w:t>
      </w:r>
      <w:r>
        <w:t xml:space="preserve"> </w:t>
      </w:r>
      <w:r>
        <w:t xml:space="preserve">is particularly important to ensure that the modal shift effects are not temporary and transport</w:t>
      </w:r>
      <w:r>
        <w:t xml:space="preserve"> </w:t>
      </w:r>
      <w:r>
        <w:t xml:space="preserve">organisers continue to use the intermodal services after the temporary start-up support expires, thus</w:t>
      </w:r>
      <w:r>
        <w:t xml:space="preserve"> </w:t>
      </w:r>
      <w:r>
        <w:t xml:space="preserve">not forcing the connection operators to terminate the connection that previously received support.</w:t>
      </w:r>
      <w:r>
        <w:t xml:space="preserve"> </w:t>
      </w:r>
      <w:r>
        <w:t xml:space="preserve">3.3.3. PM11 – technological upgrade support’s impact on traffic volume</w:t>
      </w:r>
      <w:r>
        <w:t xml:space="preserve"> </w:t>
      </w:r>
      <w:r>
        <w:t xml:space="preserve">PM11 foresees additional support tools for providing support to technological upgrade investments</w:t>
      </w:r>
      <w:r>
        <w:t xml:space="preserve"> </w:t>
      </w:r>
      <w:r>
        <w:t xml:space="preserve">and actions that enable the take-up of intermodal transport. The measure aims to influence the uptake</w:t>
      </w:r>
      <w:r>
        <w:t xml:space="preserve"> </w:t>
      </w:r>
      <w:r>
        <w:t xml:space="preserve">of modern equipment across different stakeholders in intermodal transport chain (see section 3 in</w:t>
      </w:r>
      <w:r>
        <w:t xml:space="preserve"> </w:t>
      </w:r>
      <w:r>
        <w:t xml:space="preserve">Toolbox, Annex 9). For example, transport organisers and operators could benefit from State aid to</w:t>
      </w:r>
      <w:r>
        <w:t xml:space="preserve"> </w:t>
      </w:r>
      <w:r>
        <w:t xml:space="preserve">upgrade their loading units, support for integrating connected systems and for acquiring devices for</w:t>
      </w:r>
      <w:r>
        <w:t xml:space="preserve"> </w:t>
      </w:r>
      <w:r>
        <w:t xml:space="preserve">automation and digital logistics.</w:t>
      </w:r>
      <w:r>
        <w:br/>
      </w:r>
      <w:r>
        <w:t xml:space="preserve">The limited competitiveness of intermodal vs. road-only transport represents a hindering factor for</w:t>
      </w:r>
      <w:r>
        <w:t xml:space="preserve"> </w:t>
      </w:r>
      <w:r>
        <w:t xml:space="preserve">operators to invest in new equipment and innovative solutions, since compensating for the investment</w:t>
      </w:r>
      <w:r>
        <w:t xml:space="preserve"> </w:t>
      </w:r>
      <w:r>
        <w:t xml:space="preserve">through a price increase for final users would expose them to the risk of losing demand and market</w:t>
      </w:r>
      <w:r>
        <w:t xml:space="preserve"> </w:t>
      </w:r>
      <w:r>
        <w:t xml:space="preserve">share. Providing economic support can thus be essential for unlocking investments in innovative</w:t>
      </w:r>
      <w:r>
        <w:t xml:space="preserve"> </w:t>
      </w:r>
      <w:r>
        <w:t xml:space="preserve">solutions and upgrade of the equipment used in the intermodal transport sector. Such investments can</w:t>
      </w:r>
      <w:r>
        <w:t xml:space="preserve"> </w:t>
      </w:r>
      <w:r>
        <w:t xml:space="preserve">in turn create the conditions for a potential increase in the efficiency and productivity of different</w:t>
      </w:r>
      <w:r>
        <w:t xml:space="preserve"> </w:t>
      </w:r>
      <w:r>
        <w:t xml:space="preserve">parts of the intermodal transport chain, with relevant knock-on effects on the overall competitiveness</w:t>
      </w:r>
      <w:r>
        <w:t xml:space="preserve"> </w:t>
      </w:r>
      <w:r>
        <w:t xml:space="preserve">of intermodal transport vs. road-only alternatives both in terms of services costs and quality and</w:t>
      </w:r>
      <w:r>
        <w:t xml:space="preserve"> </w:t>
      </w:r>
      <w:r>
        <w:t xml:space="preserve">reliability. PM11 will not cover any support to investment into infrastructure.</w:t>
      </w:r>
      <w:r>
        <w:br/>
      </w:r>
      <w:r>
        <w:t xml:space="preserve">Support tools of this type have been established in various MSs, receiving a relatively strong demand</w:t>
      </w:r>
      <w:r>
        <w:t xml:space="preserve"> </w:t>
      </w:r>
      <w:r>
        <w:t xml:space="preserve">from the industry and being among the support actions with the higher share of budget absorption197.</w:t>
      </w:r>
    </w:p>
    <w:p>
      <w:pPr>
        <w:pStyle w:val="BodyText"/>
      </w:pPr>
      <w:r>
        <w:t xml:space="preserve">196 In some cases, financial support contributed only partially to attract new investments or induce modal shift, particularly</w:t>
      </w:r>
      <w:r>
        <w:t xml:space="preserve"> </w:t>
      </w:r>
      <w:r>
        <w:t xml:space="preserve">when operators are confronted with high risks and/or constraints at infrastructure level (rail network, terminal, etc.). The</w:t>
      </w:r>
      <w:r>
        <w:t xml:space="preserve"> </w:t>
      </w:r>
      <w:r>
        <w:t xml:space="preserve">way the support is designed is another relevant aspect to consider, with flexible schemes generally more effective thanks</w:t>
      </w:r>
      <w:r>
        <w:t xml:space="preserve"> </w:t>
      </w:r>
      <w:r>
        <w:t xml:space="preserve">to the possibility of adjusting the support according to the specific capacity of the beneficiary and to changes in the</w:t>
      </w:r>
      <w:r>
        <w:t xml:space="preserve"> </w:t>
      </w:r>
      <w:r>
        <w:t xml:space="preserve">economic and transport market outlook.</w:t>
      </w:r>
      <w:r>
        <w:t xml:space="preserve"> </w:t>
      </w:r>
      <w:r>
        <w:t xml:space="preserve">197 An example is the Austrian Programme of Aid for Innovative Combined Transport (SA.60132), which is in place</w:t>
      </w:r>
      <w:r>
        <w:t xml:space="preserve"> </w:t>
      </w:r>
      <w:r>
        <w:t xml:space="preserve">since 1999 and proved as an efficient instrument to unlock investments that otherwise would have probably not occurred,</w:t>
      </w:r>
      <w:r>
        <w:t xml:space="preserve"> </w:t>
      </w:r>
      <w:r>
        <w:t xml:space="preserve">thanks to well-designed eligibility criteria and a strong capacity at the level of the granting authority. In Germany the aid</w:t>
      </w:r>
      <w:r>
        <w:t xml:space="preserve"> </w:t>
      </w:r>
      <w:r>
        <w:t xml:space="preserve">programme to support innovation in rail freight transport (SA.55353) has been established to support the development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Considering that an increase in the overall efficiency of intermodal transport is to be expected as a</w:t>
      </w:r>
      <w:r>
        <w:t xml:space="preserve"> </w:t>
      </w:r>
      <w:r>
        <w:t xml:space="preserve">result of the provision of economic support for different technological upgrades, but that quantifiable</w:t>
      </w:r>
      <w:r>
        <w:t xml:space="preserve"> </w:t>
      </w:r>
      <w:r>
        <w:t xml:space="preserve">evidence is very limited as regards the effectiveness of the PM11 list of measures and the impacts</w:t>
      </w:r>
      <w:r>
        <w:t xml:space="preserve"> </w:t>
      </w:r>
      <w:r>
        <w:t xml:space="preserve">that such innovations can produce on modal shift, it has been assumed that the stand-alone impact of</w:t>
      </w:r>
      <w:r>
        <w:t xml:space="preserve"> </w:t>
      </w:r>
      <w:r>
        <w:t xml:space="preserve">PM11 would be in the order of a 4.5-5.9% increase of the effect of PM9, with impacts varying</w:t>
      </w:r>
      <w:r>
        <w:t xml:space="preserve"> </w:t>
      </w:r>
      <w:r>
        <w:t xml:space="preserve">depending on the mode and period considered. The impact of PM11 over 2025-2050 is estimated at</w:t>
      </w:r>
      <w:r>
        <w:t xml:space="preserve"> </w:t>
      </w:r>
      <w:r>
        <w:t xml:space="preserve">0.1% increase in the intermodal transport activity relative to the baseline.</w:t>
      </w:r>
      <w:r>
        <w:br/>
      </w:r>
      <w:r>
        <w:t xml:space="preserve">Table 50: Impacts of PM11 on the intermodal transport (door-to-door) activity (billion tkm and percentage change</w:t>
      </w:r>
      <w:r>
        <w:t xml:space="preserve"> </w:t>
      </w:r>
      <w:r>
        <w:t xml:space="preserve">compared to the baseline)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%</w:t>
      </w:r>
      <w:r>
        <w:t xml:space="preserve"> </w:t>
      </w:r>
      <w:r>
        <w:t xml:space="preserve">change</w:t>
      </w:r>
      <w:r>
        <w:t xml:space="preserve"> </w:t>
      </w:r>
      <w:r>
        <w:t xml:space="preserve">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2050</w:t>
      </w:r>
      <w:r>
        <w:t xml:space="preserve"> </w:t>
      </w:r>
      <w:r>
        <w:t xml:space="preserve">%</w:t>
      </w:r>
      <w:r>
        <w:t xml:space="preserve"> </w:t>
      </w:r>
      <w:r>
        <w:t xml:space="preserve">change</w:t>
      </w:r>
      <w:r>
        <w:t xml:space="preserve"> </w:t>
      </w:r>
      <w:r>
        <w:t xml:space="preserve">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2025-2050</w:t>
      </w:r>
      <w:r>
        <w:t xml:space="preserve"> </w:t>
      </w:r>
      <w:r>
        <w:t xml:space="preserve">%</w:t>
      </w:r>
      <w:r>
        <w:t xml:space="preserve"> </w:t>
      </w:r>
      <w:r>
        <w:t xml:space="preserve">change</w:t>
      </w:r>
      <w:r>
        <w:t xml:space="preserve"> </w:t>
      </w:r>
      <w:r>
        <w:t xml:space="preserve">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Rail</w:t>
      </w:r>
      <w:r>
        <w:t xml:space="preserve"> </w:t>
      </w:r>
      <w:r>
        <w:t xml:space="preserve">0.5</w:t>
      </w:r>
      <w:r>
        <w:t xml:space="preserve"> </w:t>
      </w:r>
      <w:r>
        <w:t xml:space="preserve">+0.2%</w:t>
      </w:r>
      <w:r>
        <w:t xml:space="preserve"> </w:t>
      </w:r>
      <w:r>
        <w:t xml:space="preserve">1.6</w:t>
      </w:r>
      <w:r>
        <w:t xml:space="preserve"> </w:t>
      </w:r>
      <w:r>
        <w:t xml:space="preserve">+0.4%</w:t>
      </w:r>
      <w:r>
        <w:t xml:space="preserve"> </w:t>
      </w:r>
      <w:r>
        <w:t xml:space="preserve">27.9</w:t>
      </w:r>
      <w:r>
        <w:t xml:space="preserve"> </w:t>
      </w:r>
      <w:r>
        <w:t xml:space="preserve">+0.3%</w:t>
      </w:r>
      <w:r>
        <w:t xml:space="preserve"> </w:t>
      </w:r>
      <w:r>
        <w:t xml:space="preserve">IWW</w:t>
      </w:r>
      <w:r>
        <w:t xml:space="preserve"> </w:t>
      </w:r>
      <w:r>
        <w:t xml:space="preserve">0.01</w:t>
      </w:r>
      <w:r>
        <w:t xml:space="preserve"> </w:t>
      </w:r>
      <w:r>
        <w:t xml:space="preserve">+0.1%</w:t>
      </w:r>
      <w:r>
        <w:t xml:space="preserve"> </w:t>
      </w:r>
      <w:r>
        <w:t xml:space="preserve">0.01</w:t>
      </w:r>
      <w:r>
        <w:t xml:space="preserve"> </w:t>
      </w:r>
      <w:r>
        <w:t xml:space="preserve">+0.1%</w:t>
      </w:r>
      <w:r>
        <w:t xml:space="preserve"> </w:t>
      </w:r>
      <w:r>
        <w:t xml:space="preserve">0.3</w:t>
      </w:r>
      <w:r>
        <w:t xml:space="preserve"> </w:t>
      </w:r>
      <w:r>
        <w:t xml:space="preserve">+0.1%</w:t>
      </w:r>
      <w:r>
        <w:t xml:space="preserve"> </w:t>
      </w:r>
      <w:r>
        <w:t xml:space="preserve">SSS</w:t>
      </w:r>
      <w:r>
        <w:t xml:space="preserve"> </w:t>
      </w:r>
      <w:r>
        <w:t xml:space="preserve">0.4</w:t>
      </w:r>
      <w:r>
        <w:t xml:space="preserve"> </w:t>
      </w:r>
      <w:r>
        <w:t xml:space="preserve">+0.1%</w:t>
      </w:r>
      <w:r>
        <w:t xml:space="preserve"> </w:t>
      </w:r>
      <w:r>
        <w:t xml:space="preserve">0.5</w:t>
      </w:r>
      <w:r>
        <w:t xml:space="preserve"> </w:t>
      </w:r>
      <w:r>
        <w:t xml:space="preserve">+0.1%</w:t>
      </w:r>
      <w:r>
        <w:t xml:space="preserve"> </w:t>
      </w:r>
      <w:r>
        <w:t xml:space="preserve">12.9</w:t>
      </w:r>
      <w:r>
        <w:t xml:space="preserve"> </w:t>
      </w:r>
      <w:r>
        <w:t xml:space="preserve">+0.1%</w:t>
      </w:r>
      <w:r>
        <w:t xml:space="preserve"> </w:t>
      </w:r>
      <w:r>
        <w:t xml:space="preserve">Total</w:t>
      </w:r>
      <w:r>
        <w:t xml:space="preserve"> </w:t>
      </w:r>
      <w:r>
        <w:t xml:space="preserve">0.9</w:t>
      </w:r>
      <w:r>
        <w:t xml:space="preserve"> </w:t>
      </w:r>
      <w:r>
        <w:t xml:space="preserve">+0.1%</w:t>
      </w:r>
      <w:r>
        <w:t xml:space="preserve"> </w:t>
      </w:r>
      <w:r>
        <w:t xml:space="preserve">2.2</w:t>
      </w:r>
      <w:r>
        <w:t xml:space="preserve"> </w:t>
      </w:r>
      <w:r>
        <w:t xml:space="preserve">+0.2%</w:t>
      </w:r>
      <w:r>
        <w:t xml:space="preserve"> </w:t>
      </w:r>
      <w:r>
        <w:t xml:space="preserve">41.1</w:t>
      </w:r>
      <w:r>
        <w:t xml:space="preserve"> </w:t>
      </w:r>
      <w:r>
        <w:t xml:space="preserve">+0.1%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Similarly to PM10, the additional volumes, to the extend they are eligible, would also receive the</w:t>
      </w:r>
      <w:r>
        <w:t xml:space="preserve"> </w:t>
      </w:r>
      <w:r>
        <w:t xml:space="preserve">operational economic support under PM7-PM9.</w:t>
      </w:r>
      <w:r>
        <w:t xml:space="preserve"> </w:t>
      </w:r>
      <w:r>
        <w:t xml:space="preserve">3.3.4. PM13 – exemptions from driving bans</w:t>
      </w:r>
      <w:r>
        <w:t xml:space="preserve"> </w:t>
      </w:r>
      <w:r>
        <w:t xml:space="preserve">PM13 establishes an exemption from fixed weekend, night and holidays driving bans for intermodal</w:t>
      </w:r>
      <w:r>
        <w:t xml:space="preserve"> </w:t>
      </w:r>
      <w:r>
        <w:t xml:space="preserve">transport road legs. For this reason, it applies only in those MS where driving bans exist. At least 13</w:t>
      </w:r>
      <w:r>
        <w:t xml:space="preserve"> </w:t>
      </w:r>
      <w:r>
        <w:t xml:space="preserve">Member States198 are using some types of driving bans for HGVs, with public holidays driving ban used</w:t>
      </w:r>
      <w:r>
        <w:t xml:space="preserve"> </w:t>
      </w:r>
      <w:r>
        <w:t xml:space="preserve">most commonly, followed by weekend driving bans. Several Member States already apply exemptions for</w:t>
      </w:r>
      <w:r>
        <w:t xml:space="preserve"> </w:t>
      </w:r>
      <w:r>
        <w:t xml:space="preserve">CT road-legs. However, these exemptions are very heterogeneous, and some are discriminatory. They do</w:t>
      </w:r>
      <w:r>
        <w:t xml:space="preserve"> </w:t>
      </w:r>
      <w:r>
        <w:t xml:space="preserve">not follow the definition established in the CTD. Five Member States do not have any exemptions for</w:t>
      </w:r>
      <w:r>
        <w:t xml:space="preserve"> </w:t>
      </w:r>
      <w:r>
        <w:t xml:space="preserve">intermodal road legs from driving bans.</w:t>
      </w:r>
      <w:r>
        <w:br/>
      </w:r>
      <w:r>
        <w:t xml:space="preserve">While driving bans for road-only transport may be justified, they are creating – on top of ineffective</w:t>
      </w:r>
      <w:r>
        <w:t xml:space="preserve"> </w:t>
      </w:r>
      <w:r>
        <w:t xml:space="preserve">logistics chain management for shippers – considerable problems for intermodal transport both as</w:t>
      </w:r>
      <w:r>
        <w:t xml:space="preserve"> </w:t>
      </w:r>
      <w:r>
        <w:t xml:space="preserve">regards terminal yard congestion (and road congestion in areas around terminals before and after</w:t>
      </w:r>
      <w:r>
        <w:t xml:space="preserve"> </w:t>
      </w:r>
      <w:r>
        <w:t xml:space="preserve">driving ban periods) as well as ineffective use of non-road transport. Removing driving bans for road</w:t>
      </w:r>
      <w:r>
        <w:t xml:space="preserve"> </w:t>
      </w:r>
      <w:r>
        <w:t xml:space="preserve">vehicles carrying intermodal units and part of an intermodal solution would allow to exploit unused</w:t>
      </w:r>
      <w:r>
        <w:t xml:space="preserve"> </w:t>
      </w:r>
      <w:r>
        <w:t xml:space="preserve">capacity during the period of driving ban for running more services. For example, an intermodal rail</w:t>
      </w:r>
      <w:r>
        <w:t xml:space="preserve"> </w:t>
      </w:r>
      <w:r>
        <w:t xml:space="preserve">service running 5 times per week can benefit from the driving ban exemption to add an additional</w:t>
      </w:r>
      <w:r>
        <w:t xml:space="preserve"> </w:t>
      </w:r>
      <w:r>
        <w:t xml:space="preserve">run during the weekend. Currently this is hindered in many areas due to terminal yard congestion –</w:t>
      </w:r>
      <w:r>
        <w:t xml:space="preserve"> </w:t>
      </w:r>
      <w:r>
        <w:t xml:space="preserve">the terminal would need space to store during the duration of the driving ban both the arriving loading</w:t>
      </w:r>
      <w:r>
        <w:t xml:space="preserve"> </w:t>
      </w:r>
      <w:r>
        <w:t xml:space="preserve">units that need to be first unloaded to storing area as well as waiting loading units that need to be</w:t>
      </w:r>
      <w:r>
        <w:t xml:space="preserve"> </w:t>
      </w:r>
      <w:r>
        <w:t xml:space="preserve">loaded onto departing service. Due to lack of such storing space, this results today in HGVs waiting</w:t>
      </w:r>
      <w:r>
        <w:t xml:space="preserve"> </w:t>
      </w:r>
      <w:r>
        <w:t xml:space="preserve">outside and around the terminal, creating the need for building additional safe and secure parking</w:t>
      </w:r>
      <w:r>
        <w:t xml:space="preserve"> </w:t>
      </w:r>
      <w:r>
        <w:t xml:space="preserve">areas for trucks.</w:t>
      </w:r>
      <w:r>
        <w:br/>
      </w:r>
      <w:r>
        <w:t xml:space="preserve">The estimate of additional intermodal traffic generated by the measure is obtained by considering the</w:t>
      </w:r>
      <w:r>
        <w:t xml:space="preserve"> </w:t>
      </w:r>
      <w:r>
        <w:t xml:space="preserve">number of terminals operating in countries where driving bans exist, and assuming that for each of them</w:t>
      </w:r>
    </w:p>
    <w:p>
      <w:pPr>
        <w:pStyle w:val="BodyText"/>
      </w:pPr>
      <w:r>
        <w:t xml:space="preserve">and testing of innovative, including for automated cargo handling. Innovation in intermodal transport is supported as well</w:t>
      </w:r>
      <w:r>
        <w:t xml:space="preserve"> </w:t>
      </w:r>
      <w:r>
        <w:t xml:space="preserve">within broader support programmes for investment in freight terminals, rolling stock renovation, etc. showing that varied</w:t>
      </w:r>
      <w:r>
        <w:t xml:space="preserve"> </w:t>
      </w:r>
      <w:r>
        <w:t xml:space="preserve">innovation and efficiency gains can be triggered in rail, IWW, SSS and road legs of intermodal transport when financial</w:t>
      </w:r>
      <w:r>
        <w:t xml:space="preserve"> </w:t>
      </w:r>
      <w:r>
        <w:t xml:space="preserve">support are available to potential investors.</w:t>
      </w:r>
      <w:r>
        <w:t xml:space="preserve"> </w:t>
      </w:r>
      <w:r>
        <w:t xml:space="preserve">198 AT, CZ, DE, LU, SI, PL, HU, SK, FR, EL, IT, RO, ES.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one additional run per week can be created. The effect of the measure is expected to be observed from</w:t>
      </w:r>
      <w:r>
        <w:t xml:space="preserve"> </w:t>
      </w:r>
      <w:r>
        <w:t xml:space="preserve">2027 onwards because the adaptation of processes to get additional slots may take some time. The impact</w:t>
      </w:r>
      <w:r>
        <w:t xml:space="preserve"> </w:t>
      </w:r>
      <w:r>
        <w:t xml:space="preserve">of PM13 over 2025-2050 is estimated at 0.4% increase in the intermodal transport activity relative to the</w:t>
      </w:r>
      <w:r>
        <w:t xml:space="preserve"> </w:t>
      </w:r>
      <w:r>
        <w:t xml:space="preserve">baseline.</w:t>
      </w:r>
      <w:r>
        <w:br/>
      </w:r>
      <w:r>
        <w:t xml:space="preserve">Table 51: Impacts of PM13 on the intermodal transport (door-to-door) activity (billion tkm and percentage change</w:t>
      </w:r>
      <w:r>
        <w:t xml:space="preserve"> </w:t>
      </w:r>
      <w:r>
        <w:t xml:space="preserve">compared to the baseline)</w:t>
      </w:r>
      <w:r>
        <w:t xml:space="preserve"> </w:t>
      </w:r>
      <w:r>
        <w:t xml:space="preserve">2030</w:t>
      </w:r>
      <w:r>
        <w:t xml:space="preserve"> </w:t>
      </w:r>
      <w:r>
        <w:t xml:space="preserve">%</w:t>
      </w:r>
      <w:r>
        <w:t xml:space="preserve"> </w:t>
      </w:r>
      <w:r>
        <w:t xml:space="preserve">change</w:t>
      </w:r>
      <w:r>
        <w:t xml:space="preserve"> </w:t>
      </w:r>
      <w:r>
        <w:t xml:space="preserve">to the</w:t>
      </w:r>
      <w:r>
        <w:t xml:space="preserve"> </w:t>
      </w:r>
      <w:r>
        <w:t xml:space="preserve">baseline</w:t>
      </w:r>
      <w:r>
        <w:br/>
      </w:r>
      <w:r>
        <w:t xml:space="preserve">2050</w:t>
      </w:r>
      <w:r>
        <w:t xml:space="preserve"> </w:t>
      </w:r>
      <w:r>
        <w:t xml:space="preserve">%</w:t>
      </w:r>
      <w:r>
        <w:t xml:space="preserve"> </w:t>
      </w:r>
      <w:r>
        <w:t xml:space="preserve">change</w:t>
      </w:r>
      <w:r>
        <w:t xml:space="preserve"> </w:t>
      </w:r>
      <w:r>
        <w:t xml:space="preserve">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2025-2050</w:t>
      </w:r>
      <w:r>
        <w:t xml:space="preserve"> </w:t>
      </w:r>
      <w:r>
        <w:t xml:space="preserve">%</w:t>
      </w:r>
      <w:r>
        <w:t xml:space="preserve"> </w:t>
      </w:r>
      <w:r>
        <w:t xml:space="preserve">change</w:t>
      </w:r>
      <w:r>
        <w:t xml:space="preserve"> </w:t>
      </w:r>
      <w:r>
        <w:t xml:space="preserve">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Rail</w:t>
      </w:r>
      <w:r>
        <w:t xml:space="preserve"> </w:t>
      </w:r>
      <w:r>
        <w:t xml:space="preserve">1.4</w:t>
      </w:r>
      <w:r>
        <w:t xml:space="preserve"> </w:t>
      </w:r>
      <w:r>
        <w:t xml:space="preserve">+0.6%</w:t>
      </w:r>
      <w:r>
        <w:t xml:space="preserve"> </w:t>
      </w:r>
      <w:r>
        <w:t xml:space="preserve">2.2</w:t>
      </w:r>
      <w:r>
        <w:t xml:space="preserve"> </w:t>
      </w:r>
      <w:r>
        <w:t xml:space="preserve">+0.5%</w:t>
      </w:r>
      <w:r>
        <w:t xml:space="preserve"> </w:t>
      </w:r>
      <w:r>
        <w:t xml:space="preserve">45.4</w:t>
      </w:r>
      <w:r>
        <w:t xml:space="preserve"> </w:t>
      </w:r>
      <w:r>
        <w:t xml:space="preserve">+0.6%</w:t>
      </w:r>
      <w:r>
        <w:t xml:space="preserve"> </w:t>
      </w:r>
      <w:r>
        <w:t xml:space="preserve">IWW</w:t>
      </w:r>
      <w:r>
        <w:t xml:space="preserve"> </w:t>
      </w:r>
      <w:r>
        <w:t xml:space="preserve">0.1</w:t>
      </w:r>
      <w:r>
        <w:t xml:space="preserve"> </w:t>
      </w:r>
      <w:r>
        <w:t xml:space="preserve">+0.3%</w:t>
      </w:r>
      <w:r>
        <w:t xml:space="preserve"> </w:t>
      </w:r>
      <w:r>
        <w:t xml:space="preserve">0.1</w:t>
      </w:r>
      <w:r>
        <w:t xml:space="preserve"> </w:t>
      </w:r>
      <w:r>
        <w:t xml:space="preserve">+0.2%</w:t>
      </w:r>
      <w:r>
        <w:t xml:space="preserve"> </w:t>
      </w:r>
      <w:r>
        <w:t xml:space="preserve">0.1</w:t>
      </w:r>
      <w:r>
        <w:t xml:space="preserve"> </w:t>
      </w:r>
      <w:r>
        <w:t xml:space="preserve">+0.01%</w:t>
      </w:r>
      <w:r>
        <w:t xml:space="preserve"> </w:t>
      </w:r>
      <w:r>
        <w:t xml:space="preserve">SSS</w:t>
      </w:r>
      <w:r>
        <w:t xml:space="preserve"> </w:t>
      </w:r>
      <w:r>
        <w:t xml:space="preserve">1.2</w:t>
      </w:r>
      <w:r>
        <w:t xml:space="preserve"> </w:t>
      </w:r>
      <w:r>
        <w:t xml:space="preserve">+0.3%</w:t>
      </w:r>
      <w:r>
        <w:t xml:space="preserve"> </w:t>
      </w:r>
      <w:r>
        <w:t xml:space="preserve">1.5</w:t>
      </w:r>
      <w:r>
        <w:t xml:space="preserve"> </w:t>
      </w:r>
      <w:r>
        <w:t xml:space="preserve">+0.3%</w:t>
      </w:r>
      <w:r>
        <w:t xml:space="preserve"> </w:t>
      </w:r>
      <w:r>
        <w:t xml:space="preserve">33</w:t>
      </w:r>
      <w:r>
        <w:t xml:space="preserve"> </w:t>
      </w:r>
      <w:r>
        <w:t xml:space="preserve">+0.3%</w:t>
      </w:r>
      <w:r>
        <w:t xml:space="preserve"> </w:t>
      </w:r>
      <w:r>
        <w:t xml:space="preserve">Total</w:t>
      </w:r>
      <w:r>
        <w:t xml:space="preserve"> </w:t>
      </w:r>
      <w:r>
        <w:t xml:space="preserve">2.6</w:t>
      </w:r>
      <w:r>
        <w:t xml:space="preserve"> </w:t>
      </w:r>
      <w:r>
        <w:t xml:space="preserve">+0.4%</w:t>
      </w:r>
      <w:r>
        <w:t xml:space="preserve"> </w:t>
      </w:r>
      <w:r>
        <w:t xml:space="preserve">3.7</w:t>
      </w:r>
      <w:r>
        <w:t xml:space="preserve"> </w:t>
      </w:r>
      <w:r>
        <w:t xml:space="preserve">+0.4%</w:t>
      </w:r>
      <w:r>
        <w:t xml:space="preserve"> </w:t>
      </w:r>
      <w:r>
        <w:t xml:space="preserve">78.5</w:t>
      </w:r>
      <w:r>
        <w:t xml:space="preserve"> </w:t>
      </w:r>
      <w:r>
        <w:t xml:space="preserve">+0.4%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These additional volumes, if eligible, would also receive the operational economic support under PM7-</w:t>
      </w:r>
      <w:r>
        <w:t xml:space="preserve"> </w:t>
      </w:r>
      <w:r>
        <w:t xml:space="preserve">PM11.</w:t>
      </w:r>
      <w:r>
        <w:t xml:space="preserve"> </w:t>
      </w:r>
      <w:r>
        <w:t xml:space="preserve">3.3.5. Impacts of PM7-PM13 on costs</w:t>
      </w:r>
      <w:r>
        <w:t xml:space="preserve"> </w:t>
      </w:r>
      <w:r>
        <w:t xml:space="preserve">PM7-PM13 result in three types of effects: additional intermodal transport (modal shift), updated or</w:t>
      </w:r>
      <w:r>
        <w:t xml:space="preserve"> </w:t>
      </w:r>
      <w:r>
        <w:t xml:space="preserve">new minimum aid requirements for existing operations that are already supported voluntarily by</w:t>
      </w:r>
      <w:r>
        <w:t xml:space="preserve"> </w:t>
      </w:r>
      <w:r>
        <w:t xml:space="preserve">Member States (included in the baseline) and new support in Member States that do not currently</w:t>
      </w:r>
      <w:r>
        <w:t xml:space="preserve"> </w:t>
      </w:r>
      <w:r>
        <w:t xml:space="preserve">support intermodal operations. This is expected to translate into increased budget expenditures for</w:t>
      </w:r>
      <w:r>
        <w:t xml:space="preserve"> </w:t>
      </w:r>
      <w:r>
        <w:t xml:space="preserve">Member States, for providing economic support.</w:t>
      </w:r>
      <w:r>
        <w:br/>
      </w:r>
      <w:r>
        <w:t xml:space="preserve">In addition, administrative costs for operators who wish to apply for economic support (application</w:t>
      </w:r>
      <w:r>
        <w:t xml:space="preserve"> </w:t>
      </w:r>
      <w:r>
        <w:t xml:space="preserve">preparation and ex-post reporting) are expected. These costs are only relevant for the additional</w:t>
      </w:r>
      <w:r>
        <w:t xml:space="preserve"> </w:t>
      </w:r>
      <w:r>
        <w:t xml:space="preserve">applicants relative to the baseline scenario. At the same time, as explained under PM3, costs savings</w:t>
      </w:r>
      <w:r>
        <w:t xml:space="preserve"> </w:t>
      </w:r>
      <w:r>
        <w:t xml:space="preserve">are expected thanks to the use of eFTI platforms.</w:t>
      </w:r>
      <w:r>
        <w:t xml:space="preserve"> </w:t>
      </w:r>
      <w:r>
        <w:t xml:space="preserve">Costs for PM7-PM9</w:t>
      </w:r>
      <w:r>
        <w:t xml:space="preserve"> </w:t>
      </w:r>
      <w:r>
        <w:t xml:space="preserve">Budget expenditures for public authorities, for providing economic support</w:t>
      </w:r>
      <w:r>
        <w:br/>
      </w:r>
      <w:r>
        <w:t xml:space="preserve">For PM7-PM9, the additional intermodal transport activity created by these measures as stand-alone</w:t>
      </w:r>
      <w:r>
        <w:t xml:space="preserve"> </w:t>
      </w:r>
      <w:r>
        <w:t xml:space="preserve">measures is provided in sections 3.3.1-3.3.4 above. However, PM10, PM11 and PM13 also lead to</w:t>
      </w:r>
      <w:r>
        <w:t xml:space="preserve"> </w:t>
      </w:r>
      <w:r>
        <w:t xml:space="preserve">additional volumes of intermodal transport that would be supported under PM7-PM9. Furthermore,</w:t>
      </w:r>
      <w:r>
        <w:t xml:space="preserve"> </w:t>
      </w:r>
      <w:r>
        <w:t xml:space="preserve">as support is not limited only to newly created operations, but has to be applied to all eligible</w:t>
      </w:r>
      <w:r>
        <w:t xml:space="preserve"> </w:t>
      </w:r>
      <w:r>
        <w:t xml:space="preserve">operations, the volume supported needs to take into account the extension of eligibility resulting from</w:t>
      </w:r>
      <w:r>
        <w:t xml:space="preserve"> </w:t>
      </w:r>
      <w:r>
        <w:t xml:space="preserve">PM1/PM2. At the same time, PM12 will reduce the operations actually receiving economic support.</w:t>
      </w:r>
      <w:r>
        <w:t xml:space="preserve"> </w:t>
      </w:r>
      <w:r>
        <w:t xml:space="preserve">Furthermore, it is expected that the vast majority of theoretically eligible operations that are shorter</w:t>
      </w:r>
      <w:r>
        <w:t xml:space="preserve"> </w:t>
      </w:r>
      <w:r>
        <w:t xml:space="preserve">than the break-even distance will in reality not take place and thus will not apply for support. Figure</w:t>
      </w:r>
      <w:r>
        <w:t xml:space="preserve"> </w:t>
      </w:r>
      <w:r>
        <w:t xml:space="preserve">18 shows the process of arriving to total volume of intermodal operations supported under PM7-</w:t>
      </w:r>
      <w:r>
        <w:t xml:space="preserve"> </w:t>
      </w:r>
      <w:r>
        <w:t xml:space="preserve">PM9.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Figure 18: Process of establishing the volume of traffic supported under PM7-PM9</w:t>
      </w:r>
    </w:p>
    <w:p>
      <w:pPr>
        <w:pStyle w:val="BodyText"/>
      </w:pPr>
      <w:r>
        <w:t xml:space="preserve">The TRUST model was used to establish the amount of support to be paid under PM7 and PM9,</w:t>
      </w:r>
      <w:r>
        <w:t xml:space="preserve"> </w:t>
      </w:r>
      <w:r>
        <w:t xml:space="preserve">considering the synergies with other support measures included in the policy options. The economic</w:t>
      </w:r>
      <w:r>
        <w:t xml:space="preserve"> </w:t>
      </w:r>
      <w:r>
        <w:t xml:space="preserve">support for 2030 and 2050 relative to the baseline by policy measure and policy option, as well as</w:t>
      </w:r>
      <w:r>
        <w:t xml:space="preserve"> </w:t>
      </w:r>
      <w:r>
        <w:t xml:space="preserve">the present value over 2025-2050 relative to the baseline are provided in Table 51.</w:t>
      </w:r>
      <w:r>
        <w:br/>
      </w:r>
      <w:r>
        <w:t xml:space="preserve">Table 52: Economic support provided by public authorities due to PM7 and PM9, by policy option compared to the</w:t>
      </w:r>
      <w:r>
        <w:t xml:space="preserve"> </w:t>
      </w:r>
      <w:r>
        <w:t xml:space="preserve">baseline (million EUR, in 2021 prices)</w:t>
      </w:r>
      <w:r>
        <w:t xml:space="preserve"> </w:t>
      </w:r>
      <w:r>
        <w:t xml:space="preserve">Policy option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Present value over</w:t>
      </w:r>
      <w:r>
        <w:t xml:space="preserve"> </w:t>
      </w:r>
      <w:r>
        <w:t xml:space="preserve">2025-2050</w:t>
      </w:r>
      <w:r>
        <w:t xml:space="preserve"> </w:t>
      </w:r>
      <w:r>
        <w:t xml:space="preserve">PO-B1 (PM9)</w:t>
      </w:r>
      <w:r>
        <w:t xml:space="preserve"> </w:t>
      </w:r>
      <w:r>
        <w:t xml:space="preserve">246.7</w:t>
      </w:r>
      <w:r>
        <w:t xml:space="preserve"> </w:t>
      </w:r>
      <w:r>
        <w:t xml:space="preserve">352.2</w:t>
      </w:r>
      <w:r>
        <w:t xml:space="preserve"> </w:t>
      </w:r>
      <w:r>
        <w:t xml:space="preserve">5,924.1</w:t>
      </w:r>
      <w:r>
        <w:t xml:space="preserve"> </w:t>
      </w:r>
      <w:r>
        <w:t xml:space="preserve">PO-B2a (PM9)</w:t>
      </w:r>
      <w:r>
        <w:t xml:space="preserve"> </w:t>
      </w:r>
      <w:r>
        <w:t xml:space="preserve">262.0</w:t>
      </w:r>
      <w:r>
        <w:t xml:space="preserve"> </w:t>
      </w:r>
      <w:r>
        <w:t xml:space="preserve">437.9</w:t>
      </w:r>
      <w:r>
        <w:t xml:space="preserve"> </w:t>
      </w:r>
      <w:r>
        <w:t xml:space="preserve">6,177.1</w:t>
      </w:r>
      <w:r>
        <w:t xml:space="preserve"> </w:t>
      </w:r>
      <w:r>
        <w:t xml:space="preserve">PO-B2b (PM9)</w:t>
      </w:r>
      <w:r>
        <w:t xml:space="preserve"> </w:t>
      </w:r>
      <w:r>
        <w:t xml:space="preserve">200.3</w:t>
      </w:r>
      <w:r>
        <w:t xml:space="preserve"> </w:t>
      </w:r>
      <w:r>
        <w:t xml:space="preserve">269.0</w:t>
      </w:r>
      <w:r>
        <w:t xml:space="preserve"> </w:t>
      </w:r>
      <w:r>
        <w:t xml:space="preserve">3,995.2</w:t>
      </w:r>
      <w:r>
        <w:t xml:space="preserve"> </w:t>
      </w:r>
      <w:r>
        <w:t xml:space="preserve">PO-C (PM7)</w:t>
      </w:r>
      <w:r>
        <w:t xml:space="preserve"> </w:t>
      </w:r>
      <w:r>
        <w:t xml:space="preserve">1,665.3</w:t>
      </w:r>
      <w:r>
        <w:t xml:space="preserve"> </w:t>
      </w:r>
      <w:r>
        <w:t xml:space="preserve">2,394.1</w:t>
      </w:r>
      <w:r>
        <w:t xml:space="preserve"> </w:t>
      </w:r>
      <w:r>
        <w:t xml:space="preserve">34,825.2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For PM8, as no significant increase in the intermodal transport activity is expected relative to the</w:t>
      </w:r>
      <w:r>
        <w:t xml:space="preserve"> </w:t>
      </w:r>
      <w:r>
        <w:t xml:space="preserve">baseline there is no impact on economic support provided by the public authorities.</w:t>
      </w:r>
      <w:r>
        <w:br/>
      </w:r>
      <w:r>
        <w:t xml:space="preserve">The cost of support by policy measure and Member State, relative to the baseline, expressed in</w:t>
      </w:r>
      <w:r>
        <w:t xml:space="preserve"> </w:t>
      </w:r>
      <w:r>
        <w:t xml:space="preserve">million EUR and as percent of GDP, is provided in the tables below. As explained in section 6.1.2,</w:t>
      </w:r>
      <w:r>
        <w:t xml:space="preserve"> </w:t>
      </w:r>
      <w:r>
        <w:t xml:space="preserve">it should be noted that due to the nature of the Combined Transport Directive, where the support</w:t>
      </w:r>
      <w:r>
        <w:t xml:space="preserve"> </w:t>
      </w:r>
      <w:r>
        <w:t xml:space="preserve">provided also depends on the applications for support by transport operators, the outcome by Member</w:t>
      </w:r>
      <w:r>
        <w:t xml:space="preserve"> </w:t>
      </w:r>
      <w:r>
        <w:t xml:space="preserve">State may turn out to be different than estimated in this impact assessment. However, the estimates</w:t>
      </w:r>
      <w:r>
        <w:t xml:space="preserve"> </w:t>
      </w:r>
      <w:r>
        <w:t xml:space="preserve">below provide an indication of the order of magnitude of the cost of support.</w:t>
      </w:r>
      <w:r>
        <w:t xml:space="preserve"> </w:t>
      </w:r>
      <w:r>
        <w:t xml:space="preserve">Table 53: Estimated economic costs (cost of support) for public authorities due to PM7 in PO-C in 2030 and 2050,</w:t>
      </w:r>
      <w:r>
        <w:t xml:space="preserve"> </w:t>
      </w:r>
      <w:r>
        <w:t xml:space="preserve">by Member State, compared to the baseline (million EUR, in 2021 prices, and percent of GDP)</w:t>
      </w:r>
    </w:p>
    <w:p>
      <w:pPr>
        <w:pStyle w:val="BodyText"/>
      </w:pPr>
      <w:r>
        <w:t xml:space="preserve">Economic support (EUR million)</w:t>
      </w:r>
      <w:r>
        <w:t xml:space="preserve"> </w:t>
      </w:r>
      <w:r>
        <w:t xml:space="preserve">Economic support as percent of GDP</w:t>
      </w:r>
      <w:r>
        <w:t xml:space="preserve"> </w:t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AT</w:t>
      </w:r>
      <w:r>
        <w:t xml:space="preserve"> </w:t>
      </w:r>
      <w:r>
        <w:t xml:space="preserve">36.9</w:t>
      </w:r>
      <w:r>
        <w:t xml:space="preserve"> </w:t>
      </w:r>
      <w:r>
        <w:t xml:space="preserve">69.5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BE</w:t>
      </w:r>
      <w:r>
        <w:t xml:space="preserve"> </w:t>
      </w:r>
      <w:r>
        <w:t xml:space="preserve">100.4</w:t>
      </w:r>
      <w:r>
        <w:t xml:space="preserve"> </w:t>
      </w:r>
      <w:r>
        <w:t xml:space="preserve">136.4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BG</w:t>
      </w:r>
      <w:r>
        <w:t xml:space="preserve"> </w:t>
      </w:r>
      <w:r>
        <w:t xml:space="preserve">31.4</w:t>
      </w:r>
      <w:r>
        <w:t xml:space="preserve"> </w:t>
      </w:r>
      <w:r>
        <w:t xml:space="preserve">38.4</w:t>
      </w:r>
      <w:r>
        <w:t xml:space="preserve"> </w:t>
      </w:r>
      <w:r>
        <w:t xml:space="preserve">0.05%</w:t>
      </w:r>
      <w:r>
        <w:t xml:space="preserve"> </w:t>
      </w:r>
      <w:r>
        <w:t xml:space="preserve">0.05%</w:t>
      </w:r>
      <w:r>
        <w:t xml:space="preserve"> </w:t>
      </w:r>
      <w:r>
        <w:t xml:space="preserve">CZ</w:t>
      </w:r>
      <w:r>
        <w:t xml:space="preserve"> </w:t>
      </w:r>
      <w:r>
        <w:t xml:space="preserve">11.0</w:t>
      </w:r>
      <w:r>
        <w:t xml:space="preserve"> </w:t>
      </w:r>
      <w:r>
        <w:t xml:space="preserve">27.0</w:t>
      </w:r>
      <w:r>
        <w:t xml:space="preserve"> </w:t>
      </w:r>
      <w:r>
        <w:t xml:space="preserve">0.00%</w:t>
      </w:r>
      <w:r>
        <w:t xml:space="preserve"> </w:t>
      </w:r>
      <w:r>
        <w:t xml:space="preserve">0.01%</w:t>
      </w:r>
      <w:r>
        <w:t xml:space="preserve"> </w:t>
      </w:r>
      <w:r>
        <w:t xml:space="preserve">CY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247.7</w:t>
      </w:r>
      <w:r>
        <w:t xml:space="preserve"> </w:t>
      </w:r>
      <w:r>
        <w:t xml:space="preserve">387.1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DK</w:t>
      </w:r>
      <w:r>
        <w:t xml:space="preserve"> </w:t>
      </w:r>
      <w:r>
        <w:t xml:space="preserve">30.7</w:t>
      </w:r>
      <w:r>
        <w:t xml:space="preserve"> </w:t>
      </w:r>
      <w:r>
        <w:t xml:space="preserve">51.5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EE</w:t>
      </w:r>
      <w:r>
        <w:t xml:space="preserve"> </w:t>
      </w:r>
      <w:r>
        <w:t xml:space="preserve">4.4</w:t>
      </w:r>
      <w:r>
        <w:t xml:space="preserve"> </w:t>
      </w:r>
      <w:r>
        <w:t xml:space="preserve">7.1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ES</w:t>
      </w:r>
      <w:r>
        <w:t xml:space="preserve"> </w:t>
      </w:r>
      <w:r>
        <w:t xml:space="preserve">130.7</w:t>
      </w:r>
      <w:r>
        <w:t xml:space="preserve"> </w:t>
      </w:r>
      <w:r>
        <w:t xml:space="preserve">200.0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EL</w:t>
      </w:r>
      <w:r>
        <w:t xml:space="preserve"> </w:t>
      </w:r>
      <w:r>
        <w:t xml:space="preserve">47.2</w:t>
      </w:r>
      <w:r>
        <w:t xml:space="preserve"> </w:t>
      </w:r>
      <w:r>
        <w:t xml:space="preserve">63.1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FI</w:t>
      </w:r>
      <w:r>
        <w:t xml:space="preserve"> </w:t>
      </w:r>
      <w:r>
        <w:t xml:space="preserve">66.1</w:t>
      </w:r>
      <w:r>
        <w:t xml:space="preserve"> </w:t>
      </w:r>
      <w:r>
        <w:t xml:space="preserve">80.2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FR</w:t>
      </w:r>
      <w:r>
        <w:t xml:space="preserve"> </w:t>
      </w:r>
      <w:r>
        <w:t xml:space="preserve">177.3</w:t>
      </w:r>
      <w:r>
        <w:t xml:space="preserve"> </w:t>
      </w:r>
      <w:r>
        <w:t xml:space="preserve">259.1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Total volume to</w:t>
      </w:r>
      <w:r>
        <w:t xml:space="preserve"> </w:t>
      </w:r>
      <w:r>
        <w:t xml:space="preserve">be supported</w:t>
      </w:r>
      <w:r>
        <w:t xml:space="preserve"> </w:t>
      </w:r>
      <w:r>
        <w:t xml:space="preserve">under PM7-PM9</w:t>
      </w:r>
      <w:r>
        <w:t xml:space="preserve"> </w:t>
      </w:r>
      <w:r>
        <w:t xml:space="preserve">Subtraction of</w:t>
      </w:r>
      <w:r>
        <w:t xml:space="preserve"> </w:t>
      </w:r>
      <w:r>
        <w:t xml:space="preserve">operations that</w:t>
      </w:r>
      <w:r>
        <w:t xml:space="preserve"> </w:t>
      </w:r>
      <w:r>
        <w:t xml:space="preserve">are unlikely to</w:t>
      </w:r>
      <w:r>
        <w:t xml:space="preserve"> </w:t>
      </w:r>
      <w:r>
        <w:t xml:space="preserve">take place (under</w:t>
      </w:r>
      <w:r>
        <w:t xml:space="preserve"> </w:t>
      </w:r>
      <w:r>
        <w:t xml:space="preserve">new break-even</w:t>
      </w:r>
      <w:r>
        <w:t xml:space="preserve"> </w:t>
      </w:r>
      <w:r>
        <w:t xml:space="preserve">cost)</w:t>
      </w:r>
      <w:r>
        <w:t xml:space="preserve"> </w:t>
      </w:r>
      <w:r>
        <w:t xml:space="preserve">Subtraction of</w:t>
      </w:r>
      <w:r>
        <w:t xml:space="preserve"> </w:t>
      </w:r>
      <w:r>
        <w:t xml:space="preserve">not supported</w:t>
      </w:r>
      <w:r>
        <w:t xml:space="preserve"> </w:t>
      </w:r>
      <w:r>
        <w:t xml:space="preserve">operations based</w:t>
      </w:r>
      <w:r>
        <w:t xml:space="preserve"> </w:t>
      </w:r>
      <w:r>
        <w:t xml:space="preserve">on PM12</w:t>
      </w:r>
      <w:r>
        <w:t xml:space="preserve"> </w:t>
      </w:r>
      <w:r>
        <w:t xml:space="preserve">Addition of new</w:t>
      </w:r>
      <w:r>
        <w:t xml:space="preserve"> </w:t>
      </w:r>
      <w:r>
        <w:t xml:space="preserve">volumes due to</w:t>
      </w:r>
      <w:r>
        <w:t xml:space="preserve"> </w:t>
      </w:r>
      <w:r>
        <w:t xml:space="preserve">PM7-PM9,</w:t>
      </w:r>
      <w:r>
        <w:t xml:space="preserve"> </w:t>
      </w:r>
      <w:r>
        <w:t xml:space="preserve">PM10, PM11</w:t>
      </w:r>
      <w:r>
        <w:t xml:space="preserve"> </w:t>
      </w:r>
      <w:r>
        <w:t xml:space="preserve">and PM13</w:t>
      </w:r>
      <w:r>
        <w:t xml:space="preserve"> </w:t>
      </w:r>
      <w:r>
        <w:t xml:space="preserve">Eligible volumes</w:t>
      </w:r>
      <w:r>
        <w:t xml:space="preserve"> </w:t>
      </w:r>
      <w:r>
        <w:t xml:space="preserve">under PM1/PM2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Economic support (EUR million)</w:t>
      </w:r>
      <w:r>
        <w:t xml:space="preserve"> </w:t>
      </w:r>
      <w:r>
        <w:t xml:space="preserve">Economic support as percent of GDP</w:t>
      </w:r>
      <w:r>
        <w:t xml:space="preserve"> </w:t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HR</w:t>
      </w:r>
      <w:r>
        <w:t xml:space="preserve"> </w:t>
      </w:r>
      <w:r>
        <w:t xml:space="preserve">25.7</w:t>
      </w:r>
      <w:r>
        <w:t xml:space="preserve"> </w:t>
      </w:r>
      <w:r>
        <w:t xml:space="preserve">26.5</w:t>
      </w:r>
      <w:r>
        <w:t xml:space="preserve"> </w:t>
      </w:r>
      <w:r>
        <w:t xml:space="preserve">0.05%</w:t>
      </w:r>
      <w:r>
        <w:t xml:space="preserve"> </w:t>
      </w:r>
      <w:r>
        <w:t xml:space="preserve">0.04%</w:t>
      </w:r>
      <w:r>
        <w:t xml:space="preserve"> </w:t>
      </w:r>
      <w:r>
        <w:t xml:space="preserve">HU</w:t>
      </w:r>
      <w:r>
        <w:t xml:space="preserve"> </w:t>
      </w:r>
      <w:r>
        <w:t xml:space="preserve">33.1</w:t>
      </w:r>
      <w:r>
        <w:t xml:space="preserve"> </w:t>
      </w:r>
      <w:r>
        <w:t xml:space="preserve">53.1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IE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149.1</w:t>
      </w:r>
      <w:r>
        <w:t xml:space="preserve"> </w:t>
      </w:r>
      <w:r>
        <w:t xml:space="preserve">208.0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LV</w:t>
      </w:r>
      <w:r>
        <w:t xml:space="preserve"> </w:t>
      </w:r>
      <w:r>
        <w:t xml:space="preserve">16.1</w:t>
      </w:r>
      <w:r>
        <w:t xml:space="preserve"> </w:t>
      </w:r>
      <w:r>
        <w:t xml:space="preserve">38.0</w:t>
      </w:r>
      <w:r>
        <w:t xml:space="preserve"> </w:t>
      </w:r>
      <w:r>
        <w:t xml:space="preserve">0.04%</w:t>
      </w:r>
      <w:r>
        <w:t xml:space="preserve"> </w:t>
      </w:r>
      <w:r>
        <w:t xml:space="preserve">0.08%</w:t>
      </w:r>
      <w:r>
        <w:t xml:space="preserve"> </w:t>
      </w:r>
      <w:r>
        <w:t xml:space="preserve">LT</w:t>
      </w:r>
      <w:r>
        <w:t xml:space="preserve"> </w:t>
      </w:r>
      <w:r>
        <w:t xml:space="preserve">17.7</w:t>
      </w:r>
      <w:r>
        <w:t xml:space="preserve"> </w:t>
      </w:r>
      <w:r>
        <w:t xml:space="preserve">25.6</w:t>
      </w:r>
      <w:r>
        <w:t xml:space="preserve"> </w:t>
      </w:r>
      <w:r>
        <w:t xml:space="preserve">0.03%</w:t>
      </w:r>
      <w:r>
        <w:t xml:space="preserve"> </w:t>
      </w:r>
      <w:r>
        <w:t xml:space="preserve">0.04%</w:t>
      </w:r>
      <w:r>
        <w:t xml:space="preserve"> </w:t>
      </w:r>
      <w:r>
        <w:t xml:space="preserve">LU</w:t>
      </w:r>
      <w:r>
        <w:t xml:space="preserve"> </w:t>
      </w:r>
      <w:r>
        <w:t xml:space="preserve">0.4</w:t>
      </w:r>
      <w:r>
        <w:t xml:space="preserve"> </w:t>
      </w:r>
      <w:r>
        <w:t xml:space="preserve">1.0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MT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293.3</w:t>
      </w:r>
      <w:r>
        <w:t xml:space="preserve"> </w:t>
      </w:r>
      <w:r>
        <w:t xml:space="preserve">345.3</w:t>
      </w:r>
      <w:r>
        <w:t xml:space="preserve"> </w:t>
      </w:r>
      <w:r>
        <w:t xml:space="preserve">0.03%</w:t>
      </w:r>
      <w:r>
        <w:t xml:space="preserve"> </w:t>
      </w:r>
      <w:r>
        <w:t xml:space="preserve">0.03%</w:t>
      </w:r>
      <w:r>
        <w:t xml:space="preserve"> </w:t>
      </w:r>
      <w:r>
        <w:t xml:space="preserve">PL</w:t>
      </w:r>
      <w:r>
        <w:t xml:space="preserve"> </w:t>
      </w:r>
      <w:r>
        <w:t xml:space="preserve">64.9</w:t>
      </w:r>
      <w:r>
        <w:t xml:space="preserve"> </w:t>
      </w:r>
      <w:r>
        <w:t xml:space="preserve">115.9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PT</w:t>
      </w:r>
      <w:r>
        <w:t xml:space="preserve"> </w:t>
      </w:r>
      <w:r>
        <w:t xml:space="preserve">46.8</w:t>
      </w:r>
      <w:r>
        <w:t xml:space="preserve"> </w:t>
      </w:r>
      <w:r>
        <w:t xml:space="preserve">62.5</w:t>
      </w:r>
      <w:r>
        <w:t xml:space="preserve"> </w:t>
      </w:r>
      <w:r>
        <w:t xml:space="preserve">0.02%</w:t>
      </w:r>
      <w:r>
        <w:t xml:space="preserve"> </w:t>
      </w:r>
      <w:r>
        <w:t xml:space="preserve">0.02%</w:t>
      </w:r>
      <w:r>
        <w:t xml:space="preserve"> </w:t>
      </w:r>
      <w:r>
        <w:t xml:space="preserve">RO</w:t>
      </w:r>
      <w:r>
        <w:t xml:space="preserve"> </w:t>
      </w:r>
      <w:r>
        <w:t xml:space="preserve">39.2</w:t>
      </w:r>
      <w:r>
        <w:t xml:space="preserve"> </w:t>
      </w:r>
      <w:r>
        <w:t xml:space="preserve">57.8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SE</w:t>
      </w:r>
      <w:r>
        <w:t xml:space="preserve"> </w:t>
      </w:r>
      <w:r>
        <w:t xml:space="preserve">62.7</w:t>
      </w:r>
      <w:r>
        <w:t xml:space="preserve"> </w:t>
      </w:r>
      <w:r>
        <w:t xml:space="preserve">97.7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SI</w:t>
      </w:r>
      <w:r>
        <w:t xml:space="preserve"> </w:t>
      </w:r>
      <w:r>
        <w:t xml:space="preserve">22.6</w:t>
      </w:r>
      <w:r>
        <w:t xml:space="preserve"> </w:t>
      </w:r>
      <w:r>
        <w:t xml:space="preserve">27.4</w:t>
      </w:r>
      <w:r>
        <w:t xml:space="preserve"> </w:t>
      </w:r>
      <w:r>
        <w:t xml:space="preserve">0.04%</w:t>
      </w:r>
      <w:r>
        <w:t xml:space="preserve"> </w:t>
      </w:r>
      <w:r>
        <w:t xml:space="preserve">0.03%</w:t>
      </w:r>
      <w:r>
        <w:t xml:space="preserve"> </w:t>
      </w:r>
      <w:r>
        <w:t xml:space="preserve">SK</w:t>
      </w:r>
      <w:r>
        <w:t xml:space="preserve"> </w:t>
      </w:r>
      <w:r>
        <w:t xml:space="preserve">9.6</w:t>
      </w:r>
      <w:r>
        <w:t xml:space="preserve"> </w:t>
      </w:r>
      <w:r>
        <w:t xml:space="preserve">15.6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EU-27</w:t>
      </w:r>
      <w:r>
        <w:t xml:space="preserve"> </w:t>
      </w:r>
      <w:r>
        <w:t xml:space="preserve">1665.3</w:t>
      </w:r>
      <w:r>
        <w:t xml:space="preserve"> </w:t>
      </w:r>
      <w:r>
        <w:t xml:space="preserve">2394.1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Table 54: Estimated economic costs (cost of support) for public authorities due to PM9 in PO-B1 in 2030 and 2050,</w:t>
      </w:r>
      <w:r>
        <w:t xml:space="preserve"> </w:t>
      </w:r>
      <w:r>
        <w:t xml:space="preserve">by Member State, compared to the baseline (million EUR, in 2021 prices, and percent of GDP)</w:t>
      </w:r>
    </w:p>
    <w:p>
      <w:pPr>
        <w:pStyle w:val="BodyText"/>
      </w:pPr>
      <w:r>
        <w:t xml:space="preserve">Economic support (EUR million)</w:t>
      </w:r>
      <w:r>
        <w:t xml:space="preserve"> </w:t>
      </w:r>
      <w:r>
        <w:t xml:space="preserve">Economic support as percent of GDP</w:t>
      </w:r>
      <w:r>
        <w:t xml:space="preserve"> </w:t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AT</w:t>
      </w:r>
      <w:r>
        <w:t xml:space="preserve"> </w:t>
      </w:r>
      <w:r>
        <w:t xml:space="preserve">7.2</w:t>
      </w:r>
      <w:r>
        <w:t xml:space="preserve"> </w:t>
      </w:r>
      <w:r>
        <w:t xml:space="preserve">13.3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BE</w:t>
      </w:r>
      <w:r>
        <w:t xml:space="preserve"> </w:t>
      </w:r>
      <w:r>
        <w:t xml:space="preserve">13.4</w:t>
      </w:r>
      <w:r>
        <w:t xml:space="preserve"> </w:t>
      </w:r>
      <w:r>
        <w:t xml:space="preserve">17.8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BG</w:t>
      </w:r>
      <w:r>
        <w:t xml:space="preserve"> </w:t>
      </w:r>
      <w:r>
        <w:t xml:space="preserve">4.3</w:t>
      </w:r>
      <w:r>
        <w:t xml:space="preserve"> </w:t>
      </w:r>
      <w:r>
        <w:t xml:space="preserve">4.8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CZ</w:t>
      </w:r>
      <w:r>
        <w:t xml:space="preserve"> </w:t>
      </w:r>
      <w:r>
        <w:t xml:space="preserve">2.2</w:t>
      </w:r>
      <w:r>
        <w:t xml:space="preserve"> </w:t>
      </w:r>
      <w:r>
        <w:t xml:space="preserve">5.2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41.9</w:t>
      </w:r>
      <w:r>
        <w:t xml:space="preserve"> </w:t>
      </w:r>
      <w:r>
        <w:t xml:space="preserve">62.9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4.1</w:t>
      </w:r>
      <w:r>
        <w:t xml:space="preserve"> </w:t>
      </w:r>
      <w:r>
        <w:t xml:space="preserve">6.8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0.7</w:t>
      </w:r>
      <w:r>
        <w:t xml:space="preserve"> </w:t>
      </w:r>
      <w:r>
        <w:t xml:space="preserve">1.3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17.4</w:t>
      </w:r>
      <w:r>
        <w:t xml:space="preserve"> </w:t>
      </w:r>
      <w:r>
        <w:t xml:space="preserve">26.1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EL</w:t>
      </w:r>
      <w:r>
        <w:t xml:space="preserve"> </w:t>
      </w:r>
      <w:r>
        <w:t xml:space="preserve">5.7</w:t>
      </w:r>
      <w:r>
        <w:t xml:space="preserve"> </w:t>
      </w:r>
      <w:r>
        <w:t xml:space="preserve">7.4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9.0</w:t>
      </w:r>
      <w:r>
        <w:t xml:space="preserve"> </w:t>
      </w:r>
      <w:r>
        <w:t xml:space="preserve">10.8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FR</w:t>
      </w:r>
      <w:r>
        <w:t xml:space="preserve"> </w:t>
      </w:r>
      <w:r>
        <w:t xml:space="preserve">26.5</w:t>
      </w:r>
      <w:r>
        <w:t xml:space="preserve"> </w:t>
      </w:r>
      <w:r>
        <w:t xml:space="preserve">39.8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3.7</w:t>
      </w:r>
      <w:r>
        <w:t xml:space="preserve"> </w:t>
      </w:r>
      <w:r>
        <w:t xml:space="preserve">3.9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HU</w:t>
      </w:r>
      <w:r>
        <w:t xml:space="preserve"> </w:t>
      </w:r>
      <w:r>
        <w:t xml:space="preserve">6.4</w:t>
      </w:r>
      <w:r>
        <w:t xml:space="preserve"> </w:t>
      </w:r>
      <w:r>
        <w:t xml:space="preserve">10.1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21.7</w:t>
      </w:r>
      <w:r>
        <w:t xml:space="preserve"> </w:t>
      </w:r>
      <w:r>
        <w:t xml:space="preserve">29.5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2.7</w:t>
      </w:r>
      <w:r>
        <w:t xml:space="preserve"> </w:t>
      </w:r>
      <w:r>
        <w:t xml:space="preserve">6.6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LT</w:t>
      </w:r>
      <w:r>
        <w:t xml:space="preserve"> </w:t>
      </w:r>
      <w:r>
        <w:t xml:space="preserve">3.4</w:t>
      </w:r>
      <w:r>
        <w:t xml:space="preserve"> </w:t>
      </w:r>
      <w:r>
        <w:t xml:space="preserve">4.9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LU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MT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37.5</w:t>
      </w:r>
      <w:r>
        <w:t xml:space="preserve"> </w:t>
      </w:r>
      <w:r>
        <w:t xml:space="preserve">41.7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10.2</w:t>
      </w:r>
      <w:r>
        <w:t xml:space="preserve"> </w:t>
      </w:r>
      <w:r>
        <w:t xml:space="preserve">17.8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6.0</w:t>
      </w:r>
      <w:r>
        <w:t xml:space="preserve"> </w:t>
      </w:r>
      <w:r>
        <w:t xml:space="preserve">7.8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7.0</w:t>
      </w:r>
      <w:r>
        <w:t xml:space="preserve"> </w:t>
      </w:r>
      <w:r>
        <w:t xml:space="preserve">9.9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9.9</w:t>
      </w:r>
      <w:r>
        <w:t xml:space="preserve"> </w:t>
      </w:r>
      <w:r>
        <w:t xml:space="preserve">15.9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3.5</w:t>
      </w:r>
      <w:r>
        <w:t xml:space="preserve"> </w:t>
      </w:r>
      <w:r>
        <w:t xml:space="preserve">4.7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SK</w:t>
      </w:r>
      <w:r>
        <w:t xml:space="preserve"> </w:t>
      </w:r>
      <w:r>
        <w:t xml:space="preserve">1.9</w:t>
      </w:r>
      <w:r>
        <w:t xml:space="preserve"> </w:t>
      </w:r>
      <w:r>
        <w:t xml:space="preserve">3.0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EU-27</w:t>
      </w:r>
      <w:r>
        <w:t xml:space="preserve"> </w:t>
      </w:r>
      <w:r>
        <w:t xml:space="preserve">246.7</w:t>
      </w:r>
      <w:r>
        <w:t xml:space="preserve"> </w:t>
      </w:r>
      <w:r>
        <w:t xml:space="preserve">352.2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et al. support study (2023)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Table 55: Estimated economic costs (cost of support) for public authorities due to PM9 in PO-B2a in 2030 and</w:t>
      </w:r>
      <w:r>
        <w:t xml:space="preserve"> </w:t>
      </w:r>
      <w:r>
        <w:t xml:space="preserve">2050, by Member State, compared to the baseline (million EUR, in 2021 prices, and percent of GDP)</w:t>
      </w:r>
    </w:p>
    <w:p>
      <w:pPr>
        <w:pStyle w:val="BodyText"/>
      </w:pPr>
      <w:r>
        <w:t xml:space="preserve">Economic support (EUR million)</w:t>
      </w:r>
      <w:r>
        <w:t xml:space="preserve"> </w:t>
      </w:r>
      <w:r>
        <w:t xml:space="preserve">Economic support as percent of GDP</w:t>
      </w:r>
      <w:r>
        <w:t xml:space="preserve"> </w:t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AT</w:t>
      </w:r>
      <w:r>
        <w:t xml:space="preserve"> </w:t>
      </w:r>
      <w:r>
        <w:t xml:space="preserve">7.7</w:t>
      </w:r>
      <w:r>
        <w:t xml:space="preserve"> </w:t>
      </w:r>
      <w:r>
        <w:t xml:space="preserve">16.4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BE</w:t>
      </w:r>
      <w:r>
        <w:t xml:space="preserve"> </w:t>
      </w:r>
      <w:r>
        <w:t xml:space="preserve">14.3</w:t>
      </w:r>
      <w:r>
        <w:t xml:space="preserve"> </w:t>
      </w:r>
      <w:r>
        <w:t xml:space="preserve">22.3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BG</w:t>
      </w:r>
      <w:r>
        <w:t xml:space="preserve"> </w:t>
      </w:r>
      <w:r>
        <w:t xml:space="preserve">4.6</w:t>
      </w:r>
      <w:r>
        <w:t xml:space="preserve"> </w:t>
      </w:r>
      <w:r>
        <w:t xml:space="preserve">6.2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CZ</w:t>
      </w:r>
      <w:r>
        <w:t xml:space="preserve"> </w:t>
      </w:r>
      <w:r>
        <w:t xml:space="preserve">2.3</w:t>
      </w:r>
      <w:r>
        <w:t xml:space="preserve"> </w:t>
      </w:r>
      <w:r>
        <w:t xml:space="preserve">6.4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44.4</w:t>
      </w:r>
      <w:r>
        <w:t xml:space="preserve"> </w:t>
      </w:r>
      <w:r>
        <w:t xml:space="preserve">79.6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4.4</w:t>
      </w:r>
      <w:r>
        <w:t xml:space="preserve"> </w:t>
      </w:r>
      <w:r>
        <w:t xml:space="preserve">8.3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0.8</w:t>
      </w:r>
      <w:r>
        <w:t xml:space="preserve"> </w:t>
      </w:r>
      <w:r>
        <w:t xml:space="preserve">1.6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18.5</w:t>
      </w:r>
      <w:r>
        <w:t xml:space="preserve"> </w:t>
      </w:r>
      <w:r>
        <w:t xml:space="preserve">31.9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EL</w:t>
      </w:r>
      <w:r>
        <w:t xml:space="preserve"> </w:t>
      </w:r>
      <w:r>
        <w:t xml:space="preserve">6.1</w:t>
      </w:r>
      <w:r>
        <w:t xml:space="preserve"> </w:t>
      </w:r>
      <w:r>
        <w:t xml:space="preserve">8.9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9.6</w:t>
      </w:r>
      <w:r>
        <w:t xml:space="preserve"> </w:t>
      </w:r>
      <w:r>
        <w:t xml:space="preserve">13.2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FR</w:t>
      </w:r>
      <w:r>
        <w:t xml:space="preserve"> </w:t>
      </w:r>
      <w:r>
        <w:t xml:space="preserve">28.2</w:t>
      </w:r>
      <w:r>
        <w:t xml:space="preserve"> </w:t>
      </w:r>
      <w:r>
        <w:t xml:space="preserve">49.1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3.9</w:t>
      </w:r>
      <w:r>
        <w:t xml:space="preserve"> </w:t>
      </w:r>
      <w:r>
        <w:t xml:space="preserve">4.8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HU</w:t>
      </w:r>
      <w:r>
        <w:t xml:space="preserve"> </w:t>
      </w:r>
      <w:r>
        <w:t xml:space="preserve">6.8</w:t>
      </w:r>
      <w:r>
        <w:t xml:space="preserve"> </w:t>
      </w:r>
      <w:r>
        <w:t xml:space="preserve">12.4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23.0</w:t>
      </w:r>
      <w:r>
        <w:t xml:space="preserve"> </w:t>
      </w:r>
      <w:r>
        <w:t xml:space="preserve">36.4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2.9</w:t>
      </w:r>
      <w:r>
        <w:t xml:space="preserve"> </w:t>
      </w:r>
      <w:r>
        <w:t xml:space="preserve">8.1</w:t>
      </w:r>
      <w:r>
        <w:t xml:space="preserve"> </w:t>
      </w:r>
      <w:r>
        <w:t xml:space="preserve">0.01%</w:t>
      </w:r>
      <w:r>
        <w:t xml:space="preserve"> </w:t>
      </w:r>
      <w:r>
        <w:t xml:space="preserve">0.02%</w:t>
      </w:r>
      <w:r>
        <w:t xml:space="preserve"> </w:t>
      </w:r>
      <w:r>
        <w:t xml:space="preserve">LT</w:t>
      </w:r>
      <w:r>
        <w:t xml:space="preserve"> </w:t>
      </w:r>
      <w:r>
        <w:t xml:space="preserve">3.6</w:t>
      </w:r>
      <w:r>
        <w:t xml:space="preserve"> </w:t>
      </w:r>
      <w:r>
        <w:t xml:space="preserve">5.9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LU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MT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40.0</w:t>
      </w:r>
      <w:r>
        <w:t xml:space="preserve"> </w:t>
      </w:r>
      <w:r>
        <w:t xml:space="preserve">52.9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10.8</w:t>
      </w:r>
      <w:r>
        <w:t xml:space="preserve"> </w:t>
      </w:r>
      <w:r>
        <w:t xml:space="preserve">22.0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6.4</w:t>
      </w:r>
      <w:r>
        <w:t xml:space="preserve"> </w:t>
      </w:r>
      <w:r>
        <w:t xml:space="preserve">9.5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7.4</w:t>
      </w:r>
      <w:r>
        <w:t xml:space="preserve"> </w:t>
      </w:r>
      <w:r>
        <w:t xml:space="preserve">12.8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10.6</w:t>
      </w:r>
      <w:r>
        <w:t xml:space="preserve"> </w:t>
      </w:r>
      <w:r>
        <w:t xml:space="preserve">19.4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3.8</w:t>
      </w:r>
      <w:r>
        <w:t xml:space="preserve"> </w:t>
      </w:r>
      <w:r>
        <w:t xml:space="preserve">5.7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SK</w:t>
      </w:r>
      <w:r>
        <w:t xml:space="preserve"> </w:t>
      </w:r>
      <w:r>
        <w:t xml:space="preserve">2.0</w:t>
      </w:r>
      <w:r>
        <w:t xml:space="preserve"> </w:t>
      </w:r>
      <w:r>
        <w:t xml:space="preserve">3.7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EU-27</w:t>
      </w:r>
      <w:r>
        <w:t xml:space="preserve"> </w:t>
      </w:r>
      <w:r>
        <w:t xml:space="preserve">262.0</w:t>
      </w:r>
      <w:r>
        <w:t xml:space="preserve"> </w:t>
      </w:r>
      <w:r>
        <w:t xml:space="preserve">437.9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Table 56: Estimated economic costs (cost of support) for public authorities due to PM9 in PO-B2b in 2030 and</w:t>
      </w:r>
      <w:r>
        <w:t xml:space="preserve"> </w:t>
      </w:r>
      <w:r>
        <w:t xml:space="preserve">2050, by Member State, compared to the baseline (million EUR, in 2021 prices, and percent of GDP)</w:t>
      </w:r>
    </w:p>
    <w:p>
      <w:pPr>
        <w:pStyle w:val="BodyText"/>
      </w:pPr>
      <w:r>
        <w:t xml:space="preserve">Economic support (EUR million)</w:t>
      </w:r>
      <w:r>
        <w:t xml:space="preserve"> </w:t>
      </w:r>
      <w:r>
        <w:t xml:space="preserve">Economic support as percent of GDP</w:t>
      </w:r>
      <w:r>
        <w:t xml:space="preserve"> </w:t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AT</w:t>
      </w:r>
      <w:r>
        <w:t xml:space="preserve"> </w:t>
      </w:r>
      <w:r>
        <w:t xml:space="preserve">4.6</w:t>
      </w:r>
      <w:r>
        <w:t xml:space="preserve"> </w:t>
      </w:r>
      <w:r>
        <w:t xml:space="preserve">6.7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BE</w:t>
      </w:r>
      <w:r>
        <w:t xml:space="preserve"> </w:t>
      </w:r>
      <w:r>
        <w:t xml:space="preserve">13.5</w:t>
      </w:r>
      <w:r>
        <w:t xml:space="preserve"> </w:t>
      </w:r>
      <w:r>
        <w:t xml:space="preserve">16.7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BG</w:t>
      </w:r>
      <w:r>
        <w:t xml:space="preserve"> </w:t>
      </w:r>
      <w:r>
        <w:t xml:space="preserve">3.7</w:t>
      </w:r>
      <w:r>
        <w:t xml:space="preserve"> </w:t>
      </w:r>
      <w:r>
        <w:t xml:space="preserve">4.3</w:t>
      </w:r>
      <w:r>
        <w:t xml:space="preserve"> </w:t>
      </w:r>
      <w:r>
        <w:t xml:space="preserve">0.01%</w:t>
      </w:r>
      <w:r>
        <w:t xml:space="preserve"> </w:t>
      </w:r>
      <w:r>
        <w:t xml:space="preserve">0.01%</w:t>
      </w:r>
      <w:r>
        <w:t xml:space="preserve"> </w:t>
      </w:r>
      <w:r>
        <w:t xml:space="preserve">CZ</w:t>
      </w:r>
      <w:r>
        <w:t xml:space="preserve"> </w:t>
      </w:r>
      <w:r>
        <w:t xml:space="preserve">1.2</w:t>
      </w:r>
      <w:r>
        <w:t xml:space="preserve"> </w:t>
      </w:r>
      <w:r>
        <w:t xml:space="preserve">3.2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31.9</w:t>
      </w:r>
      <w:r>
        <w:t xml:space="preserve"> </w:t>
      </w:r>
      <w:r>
        <w:t xml:space="preserve">48.6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3.6</w:t>
      </w:r>
      <w:r>
        <w:t xml:space="preserve"> </w:t>
      </w:r>
      <w:r>
        <w:t xml:space="preserve">6.8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0.4</w:t>
      </w:r>
      <w:r>
        <w:t xml:space="preserve"> </w:t>
      </w:r>
      <w:r>
        <w:t xml:space="preserve">0.6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16.3</w:t>
      </w:r>
      <w:r>
        <w:t xml:space="preserve"> </w:t>
      </w:r>
      <w:r>
        <w:t xml:space="preserve">21.1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EL</w:t>
      </w:r>
      <w:r>
        <w:t xml:space="preserve"> </w:t>
      </w:r>
      <w:r>
        <w:t xml:space="preserve">5.2</w:t>
      </w:r>
      <w:r>
        <w:t xml:space="preserve"> </w:t>
      </w:r>
      <w:r>
        <w:t xml:space="preserve">7.3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8.0</w:t>
      </w:r>
      <w:r>
        <w:t xml:space="preserve"> </w:t>
      </w:r>
      <w:r>
        <w:t xml:space="preserve">8.9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FR</w:t>
      </w:r>
      <w:r>
        <w:t xml:space="preserve"> </w:t>
      </w:r>
      <w:r>
        <w:t xml:space="preserve">21.3</w:t>
      </w:r>
      <w:r>
        <w:t xml:space="preserve"> </w:t>
      </w:r>
      <w:r>
        <w:t xml:space="preserve">32.1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2.8</w:t>
      </w:r>
      <w:r>
        <w:t xml:space="preserve"> </w:t>
      </w:r>
      <w:r>
        <w:t xml:space="preserve">3.0</w:t>
      </w:r>
      <w:r>
        <w:t xml:space="preserve"> </w:t>
      </w:r>
      <w:r>
        <w:t xml:space="preserve">0.01%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2.7</w:t>
      </w:r>
      <w:r>
        <w:t xml:space="preserve"> </w:t>
      </w:r>
      <w:r>
        <w:t xml:space="preserve">4.5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20.9</w:t>
      </w:r>
      <w:r>
        <w:t xml:space="preserve"> </w:t>
      </w:r>
      <w:r>
        <w:t xml:space="preserve">24.4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Economic support (EUR million)</w:t>
      </w:r>
      <w:r>
        <w:t xml:space="preserve"> </w:t>
      </w:r>
      <w:r>
        <w:t xml:space="preserve">Economic support as percent of GDP</w:t>
      </w:r>
      <w:r>
        <w:t xml:space="preserve"> </w:t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LV</w:t>
      </w:r>
      <w:r>
        <w:t xml:space="preserve"> </w:t>
      </w:r>
      <w:r>
        <w:t xml:space="preserve">1.5</w:t>
      </w:r>
      <w:r>
        <w:t xml:space="preserve"> </w:t>
      </w:r>
      <w:r>
        <w:t xml:space="preserve">1.9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LT</w:t>
      </w:r>
      <w:r>
        <w:t xml:space="preserve"> </w:t>
      </w:r>
      <w:r>
        <w:t xml:space="preserve">0.6</w:t>
      </w:r>
      <w:r>
        <w:t xml:space="preserve"> </w:t>
      </w:r>
      <w:r>
        <w:t xml:space="preserve">1.0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MT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38.9</w:t>
      </w:r>
      <w:r>
        <w:t xml:space="preserve"> </w:t>
      </w:r>
      <w:r>
        <w:t xml:space="preserve">45.1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7.0</w:t>
      </w:r>
      <w:r>
        <w:t xml:space="preserve"> </w:t>
      </w:r>
      <w:r>
        <w:t xml:space="preserve">10.6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6.3</w:t>
      </w:r>
      <w:r>
        <w:t xml:space="preserve"> </w:t>
      </w:r>
      <w:r>
        <w:t xml:space="preserve">8.1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2.0</w:t>
      </w:r>
      <w:r>
        <w:t xml:space="preserve"> </w:t>
      </w:r>
      <w:r>
        <w:t xml:space="preserve">3.1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3.8</w:t>
      </w:r>
      <w:r>
        <w:t xml:space="preserve"> </w:t>
      </w:r>
      <w:r>
        <w:t xml:space="preserve">5.9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2.7</w:t>
      </w:r>
      <w:r>
        <w:t xml:space="preserve"> </w:t>
      </w:r>
      <w:r>
        <w:t xml:space="preserve">3.1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1.3</w:t>
      </w:r>
      <w:r>
        <w:t xml:space="preserve"> </w:t>
      </w:r>
      <w:r>
        <w:t xml:space="preserve">2.1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EU-27</w:t>
      </w:r>
      <w:r>
        <w:t xml:space="preserve"> </w:t>
      </w:r>
      <w:r>
        <w:t xml:space="preserve">200.3</w:t>
      </w:r>
      <w:r>
        <w:t xml:space="preserve"> </w:t>
      </w:r>
      <w:r>
        <w:t xml:space="preserve">269.0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Administrative costs savings for the private sector</w:t>
      </w:r>
      <w:r>
        <w:t xml:space="preserve"> </w:t>
      </w:r>
      <w:r>
        <w:t xml:space="preserve">PM7-PM9 are expected to lead to administrative costs saving for the private sector. Operators who</w:t>
      </w:r>
      <w:r>
        <w:t xml:space="preserve"> </w:t>
      </w:r>
      <w:r>
        <w:t xml:space="preserve">decide to apply for economic support will be subject to administrative costs related to the preparation</w:t>
      </w:r>
      <w:r>
        <w:t xml:space="preserve"> </w:t>
      </w:r>
      <w:r>
        <w:t xml:space="preserve">of the application. These costs are only relevant to new applicants relative to baseline. However, the</w:t>
      </w:r>
      <w:r>
        <w:t xml:space="preserve"> </w:t>
      </w:r>
      <w:r>
        <w:t xml:space="preserve">application process for the support under PM7-PM9 will be considerably simplified relative to</w:t>
      </w:r>
      <w:r>
        <w:t xml:space="preserve"> </w:t>
      </w:r>
      <w:r>
        <w:t xml:space="preserve">baseline thanks to clear eligibility rules (PM1/PM2) and the use of eFTI platforms (PM3) that will</w:t>
      </w:r>
      <w:r>
        <w:t xml:space="preserve"> </w:t>
      </w:r>
      <w:r>
        <w:t xml:space="preserve">simplify the retrieval and submission of information to authorities for those operators that choose to</w:t>
      </w:r>
      <w:r>
        <w:t xml:space="preserve"> </w:t>
      </w:r>
      <w:r>
        <w:t xml:space="preserve">apply for economic support – it will be possible to download the information about eligibile</w:t>
      </w:r>
      <w:r>
        <w:t xml:space="preserve"> </w:t>
      </w:r>
      <w:r>
        <w:t xml:space="preserve">operations directly from the eFTI platform. Furthermore, ensuring the same eligibility conditions</w:t>
      </w:r>
      <w:r>
        <w:t xml:space="preserve"> </w:t>
      </w:r>
      <w:r>
        <w:t xml:space="preserve">across EU will allow the organisers of international operations to considerably save time and cost</w:t>
      </w:r>
      <w:r>
        <w:t xml:space="preserve"> </w:t>
      </w:r>
      <w:r>
        <w:t xml:space="preserve">from application preparation as an eligible operation will be eligible across EU the same way. All</w:t>
      </w:r>
      <w:r>
        <w:t xml:space="preserve"> </w:t>
      </w:r>
      <w:r>
        <w:t xml:space="preserve">applicants are assumed to save 4.2 hours per request199. The Labour Force Survey data for Non-Wage</w:t>
      </w:r>
      <w:r>
        <w:t xml:space="preserve"> </w:t>
      </w:r>
      <w:r>
        <w:t xml:space="preserve">Labour Costs (i.e. ISCO 3 – Technicians and associate professionals) has been used (31.1 EUR/hour)</w:t>
      </w:r>
      <w:r>
        <w:t xml:space="preserve"> </w:t>
      </w:r>
      <w:r>
        <w:t xml:space="preserve">to quantify the costs. This is expected to lead to administrative cost savings for all current applicants</w:t>
      </w:r>
      <w:r>
        <w:t xml:space="preserve"> </w:t>
      </w:r>
      <w:r>
        <w:t xml:space="preserve">(and reduce the costs for future applicants compared to the baseline costs). The administrative costs</w:t>
      </w:r>
      <w:r>
        <w:t xml:space="preserve"> </w:t>
      </w:r>
      <w:r>
        <w:t xml:space="preserve">savings for the private sector due to PM7-PM9, by policy option, are shown in Table 56.</w:t>
      </w:r>
      <w:r>
        <w:br/>
      </w:r>
      <w:r>
        <w:t xml:space="preserve">Table 57: Recurrent administrative costs savings for the private sector due to PM7-PM9 compared to the baseline</w:t>
      </w:r>
      <w:r>
        <w:t xml:space="preserve"> </w:t>
      </w:r>
      <w:r>
        <w:t xml:space="preserve">(millions EUR, in 2021 prices)</w:t>
      </w:r>
      <w:r>
        <w:t xml:space="preserve"> </w:t>
      </w:r>
      <w:r>
        <w:t xml:space="preserve">Policy option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Present value over</w:t>
      </w:r>
      <w:r>
        <w:t xml:space="preserve"> </w:t>
      </w:r>
      <w:r>
        <w:t xml:space="preserve">2025-2050</w:t>
      </w:r>
      <w:r>
        <w:t xml:space="preserve"> </w:t>
      </w:r>
      <w:r>
        <w:t xml:space="preserve">PM7</w:t>
      </w:r>
      <w:r>
        <w:t xml:space="preserve"> </w:t>
      </w:r>
      <w:r>
        <w:t xml:space="preserve">PM8</w:t>
      </w:r>
      <w:r>
        <w:t xml:space="preserve"> </w:t>
      </w:r>
      <w:r>
        <w:t xml:space="preserve">PM9</w:t>
      </w:r>
      <w:r>
        <w:t xml:space="preserve"> </w:t>
      </w:r>
      <w:r>
        <w:t xml:space="preserve">PM7</w:t>
      </w:r>
      <w:r>
        <w:t xml:space="preserve"> </w:t>
      </w:r>
      <w:r>
        <w:t xml:space="preserve">PM8</w:t>
      </w:r>
      <w:r>
        <w:t xml:space="preserve"> </w:t>
      </w:r>
      <w:r>
        <w:t xml:space="preserve">PM9</w:t>
      </w:r>
      <w:r>
        <w:t xml:space="preserve"> </w:t>
      </w:r>
      <w:r>
        <w:t xml:space="preserve">PM7</w:t>
      </w:r>
      <w:r>
        <w:t xml:space="preserve"> </w:t>
      </w:r>
      <w:r>
        <w:t xml:space="preserve">PM8</w:t>
      </w:r>
      <w:r>
        <w:t xml:space="preserve"> </w:t>
      </w:r>
      <w:r>
        <w:t xml:space="preserve">PM9</w:t>
      </w:r>
      <w:r>
        <w:t xml:space="preserve"> </w:t>
      </w:r>
      <w:r>
        <w:t xml:space="preserve">PO-A</w:t>
      </w:r>
    </w:p>
    <w:p>
      <w:pPr>
        <w:pStyle w:val="BodyText"/>
      </w:pPr>
      <w:r>
        <w:t xml:space="preserve">12.4</w:t>
      </w:r>
    </w:p>
    <w:p>
      <w:pPr>
        <w:pStyle w:val="BodyText"/>
      </w:pPr>
      <w:r>
        <w:t xml:space="preserve">10.9</w:t>
      </w:r>
    </w:p>
    <w:p>
      <w:pPr>
        <w:pStyle w:val="BodyText"/>
      </w:pPr>
      <w:r>
        <w:t xml:space="preserve">220.1</w:t>
      </w:r>
    </w:p>
    <w:p>
      <w:pPr>
        <w:pStyle w:val="BodyText"/>
      </w:pPr>
      <w:r>
        <w:t xml:space="preserve">PO-B1</w:t>
      </w:r>
    </w:p>
    <w:p>
      <w:pPr>
        <w:pStyle w:val="BodyText"/>
      </w:pPr>
      <w:r>
        <w:t xml:space="preserve">11.4</w:t>
      </w:r>
    </w:p>
    <w:p>
      <w:pPr>
        <w:pStyle w:val="BodyText"/>
      </w:pPr>
      <w:r>
        <w:t xml:space="preserve">9.2</w:t>
      </w:r>
    </w:p>
    <w:p>
      <w:pPr>
        <w:pStyle w:val="BodyText"/>
      </w:pPr>
      <w:r>
        <w:t xml:space="preserve">196.4</w:t>
      </w:r>
      <w:r>
        <w:t xml:space="preserve"> </w:t>
      </w:r>
      <w:r>
        <w:t xml:space="preserve">PO-B2a</w:t>
      </w:r>
    </w:p>
    <w:p>
      <w:pPr>
        <w:pStyle w:val="BodyText"/>
      </w:pPr>
      <w:r>
        <w:t xml:space="preserve">11.5</w:t>
      </w:r>
    </w:p>
    <w:p>
      <w:pPr>
        <w:pStyle w:val="BodyText"/>
      </w:pPr>
      <w:r>
        <w:t xml:space="preserve">8.5</w:t>
      </w:r>
    </w:p>
    <w:p>
      <w:pPr>
        <w:pStyle w:val="BodyText"/>
      </w:pPr>
      <w:r>
        <w:t xml:space="preserve">192.6</w:t>
      </w:r>
      <w:r>
        <w:t xml:space="preserve"> </w:t>
      </w:r>
      <w:r>
        <w:t xml:space="preserve">PO-B2b</w:t>
      </w:r>
    </w:p>
    <w:p>
      <w:pPr>
        <w:pStyle w:val="BodyText"/>
      </w:pPr>
      <w:r>
        <w:t xml:space="preserve">14.7</w:t>
      </w:r>
    </w:p>
    <w:p>
      <w:pPr>
        <w:pStyle w:val="BodyText"/>
      </w:pPr>
      <w:r>
        <w:t xml:space="preserve">13.2</w:t>
      </w:r>
    </w:p>
    <w:p>
      <w:pPr>
        <w:pStyle w:val="BodyText"/>
      </w:pPr>
      <w:r>
        <w:t xml:space="preserve">260.6</w:t>
      </w:r>
      <w:r>
        <w:t xml:space="preserve"> </w:t>
      </w:r>
      <w:r>
        <w:t xml:space="preserve">PO-C</w:t>
      </w:r>
      <w:r>
        <w:t xml:space="preserve"> </w:t>
      </w:r>
      <w:r>
        <w:t xml:space="preserve">10.5</w:t>
      </w:r>
    </w:p>
    <w:p>
      <w:pPr>
        <w:pStyle w:val="BodyText"/>
      </w:pPr>
      <w:r>
        <w:t xml:space="preserve">7.0</w:t>
      </w:r>
    </w:p>
    <w:p>
      <w:pPr>
        <w:pStyle w:val="BodyText"/>
      </w:pPr>
      <w:r>
        <w:t xml:space="preserve">172.2</w:t>
      </w:r>
    </w:p>
    <w:p>
      <w:pPr>
        <w:pStyle w:val="BodyText"/>
      </w:pPr>
      <w:r>
        <w:t xml:space="preserve">Source: Ricardo et al. support study (2023)</w:t>
      </w:r>
      <w:r>
        <w:t xml:space="preserve"> </w:t>
      </w:r>
      <w:r>
        <w:t xml:space="preserve">Costs for PM10 and PM11</w:t>
      </w:r>
      <w:r>
        <w:t xml:space="preserve"> </w:t>
      </w:r>
      <w:r>
        <w:t xml:space="preserve">Budget expenditures for public authorities, for providing economic support</w:t>
      </w:r>
      <w:r>
        <w:br/>
      </w:r>
      <w:r>
        <w:t xml:space="preserve">The budget expenditures for public authorities from starting 425 new services thanks to PM10 have</w:t>
      </w:r>
      <w:r>
        <w:t xml:space="preserve"> </w:t>
      </w:r>
      <w:r>
        <w:t xml:space="preserve">been calculated using the final funding absorbed on average by the modal shift actions financed in</w:t>
      </w:r>
    </w:p>
    <w:p>
      <w:pPr>
        <w:pStyle w:val="BodyText"/>
      </w:pPr>
      <w:r>
        <w:t xml:space="preserve">199 In the baseline scenario the application preparation is assumed to take 16 hours.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Marco Polo II. In particular, as the budget is meant to cover the start-up investments for new services</w:t>
      </w:r>
      <w:r>
        <w:t xml:space="preserve"> </w:t>
      </w:r>
      <w:r>
        <w:t xml:space="preserve">(new vehicles, organisational costs, etc.) and the possible losses during the first years of operation</w:t>
      </w:r>
      <w:r>
        <w:t xml:space="preserve"> </w:t>
      </w:r>
      <w:r>
        <w:t xml:space="preserve">(i.e. before demand fully materialises). It is assumed that SSS requires relatively more start-up</w:t>
      </w:r>
      <w:r>
        <w:t xml:space="preserve"> </w:t>
      </w:r>
      <w:r>
        <w:t xml:space="preserve">funding than rail (EUR 0.87 million for SSS and EUR 0.60 million for rail per year per supported</w:t>
      </w:r>
      <w:r>
        <w:t xml:space="preserve"> </w:t>
      </w:r>
      <w:r>
        <w:t xml:space="preserve">new service), and that IWW requires a lower level of support (EUR 0.40 million on average per year</w:t>
      </w:r>
      <w:r>
        <w:t xml:space="preserve"> </w:t>
      </w:r>
      <w:r>
        <w:t xml:space="preserve">per supported new service). Based on this, it has been assumed that a Member State would allocate</w:t>
      </w:r>
      <w:r>
        <w:t xml:space="preserve"> </w:t>
      </w:r>
      <w:r>
        <w:t xml:space="preserve">on average EUR 6 million per year for start-up measures targeting the rail and SSS sector, and EUR</w:t>
      </w:r>
      <w:r>
        <w:t xml:space="preserve"> </w:t>
      </w:r>
      <w:r>
        <w:t xml:space="preserve">2 million for IWW.</w:t>
      </w:r>
      <w:r>
        <w:t xml:space="preserve"> </w:t>
      </w:r>
      <w:r>
        <w:t xml:space="preserve">Table 58: Economic support provided by public authorities due to PM10 (million EUR, in 2021 prices)</w:t>
      </w:r>
      <w:r>
        <w:t xml:space="preserve"> </w:t>
      </w:r>
      <w:r>
        <w:t xml:space="preserve">Sector</w:t>
      </w:r>
      <w:r>
        <w:t xml:space="preserve"> </w:t>
      </w:r>
      <w:r>
        <w:t xml:space="preserve">2030</w:t>
      </w:r>
      <w:r>
        <w:t xml:space="preserve"> </w:t>
      </w:r>
      <w:r>
        <w:t xml:space="preserve">Present value over 2025-2050</w:t>
      </w:r>
      <w:r>
        <w:t xml:space="preserve"> </w:t>
      </w:r>
      <w:r>
        <w:t xml:space="preserve">Rail</w:t>
      </w:r>
      <w:r>
        <w:t xml:space="preserve"> </w:t>
      </w:r>
      <w:r>
        <w:t xml:space="preserve">60</w:t>
      </w:r>
      <w:r>
        <w:t xml:space="preserve"> </w:t>
      </w:r>
      <w:r>
        <w:t xml:space="preserve">596.3</w:t>
      </w:r>
      <w:r>
        <w:t xml:space="preserve"> </w:t>
      </w:r>
      <w:r>
        <w:t xml:space="preserve">IWW</w:t>
      </w:r>
      <w:r>
        <w:t xml:space="preserve"> </w:t>
      </w:r>
      <w:r>
        <w:t xml:space="preserve">4</w:t>
      </w:r>
      <w:r>
        <w:t xml:space="preserve"> </w:t>
      </w:r>
      <w:r>
        <w:t xml:space="preserve">39.8</w:t>
      </w:r>
      <w:r>
        <w:t xml:space="preserve"> </w:t>
      </w:r>
      <w:r>
        <w:t xml:space="preserve">SSS</w:t>
      </w:r>
      <w:r>
        <w:t xml:space="preserve"> </w:t>
      </w:r>
      <w:r>
        <w:t xml:space="preserve">48</w:t>
      </w:r>
      <w:r>
        <w:t xml:space="preserve"> </w:t>
      </w:r>
      <w:r>
        <w:t xml:space="preserve">505.3</w:t>
      </w:r>
      <w:r>
        <w:t xml:space="preserve"> </w:t>
      </w:r>
      <w:r>
        <w:t xml:space="preserve">Total</w:t>
      </w:r>
      <w:r>
        <w:t xml:space="preserve"> </w:t>
      </w:r>
      <w:r>
        <w:t xml:space="preserve">112</w:t>
      </w:r>
      <w:r>
        <w:t xml:space="preserve"> </w:t>
      </w:r>
      <w:r>
        <w:t xml:space="preserve">1,141.3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The support for technological upgrade (PM11) foresees a list of various support tools to terminals</w:t>
      </w:r>
      <w:r>
        <w:t xml:space="preserve"> </w:t>
      </w:r>
      <w:r>
        <w:t xml:space="preserve">and carriers, with all the support tools in the list requiring only relatively limited investments. The</w:t>
      </w:r>
      <w:r>
        <w:t xml:space="preserve"> </w:t>
      </w:r>
      <w:r>
        <w:t xml:space="preserve">need for these investments is assessed to relate to between 1-10% of operations depending on mode</w:t>
      </w:r>
      <w:r>
        <w:t xml:space="preserve"> </w:t>
      </w:r>
      <w:r>
        <w:t xml:space="preserve">of transport and year, with a cost of approximately 0.1% of total cost of intermodal operations. The</w:t>
      </w:r>
      <w:r>
        <w:t xml:space="preserve"> </w:t>
      </w:r>
      <w:r>
        <w:t xml:space="preserve">support tools provided under PM11 are thus estimated to be around 0.5% of total cost of intermodal</w:t>
      </w:r>
      <w:r>
        <w:t xml:space="preserve"> </w:t>
      </w:r>
      <w:r>
        <w:t xml:space="preserve">operations depending on mode of transport and year.</w:t>
      </w:r>
      <w:r>
        <w:t xml:space="preserve"> </w:t>
      </w:r>
      <w:r>
        <w:t xml:space="preserve">Table 59: Economic support provided by public authorities due to PM11 (million EUR, in 2021 prices)</w:t>
      </w:r>
      <w:r>
        <w:t xml:space="preserve"> </w:t>
      </w:r>
      <w:r>
        <w:t xml:space="preserve">Sector</w:t>
      </w:r>
      <w:r>
        <w:t xml:space="preserve"> </w:t>
      </w:r>
      <w:r>
        <w:t xml:space="preserve">2030</w:t>
      </w:r>
      <w:r>
        <w:br/>
      </w:r>
      <w:r>
        <w:t xml:space="preserve">2050</w:t>
      </w:r>
      <w:r>
        <w:t xml:space="preserve"> </w:t>
      </w:r>
      <w:r>
        <w:t xml:space="preserve">Present value over 2025-2050</w:t>
      </w:r>
      <w:r>
        <w:t xml:space="preserve"> </w:t>
      </w:r>
      <w:r>
        <w:t xml:space="preserve">Rail</w:t>
      </w:r>
      <w:r>
        <w:t xml:space="preserve"> </w:t>
      </w:r>
      <w:r>
        <w:t xml:space="preserve">3.0</w:t>
      </w:r>
      <w:r>
        <w:t xml:space="preserve"> </w:t>
      </w:r>
      <w:r>
        <w:t xml:space="preserve">10.6</w:t>
      </w:r>
      <w:r>
        <w:t xml:space="preserve"> </w:t>
      </w:r>
      <w:r>
        <w:t xml:space="preserve">116.2</w:t>
      </w:r>
      <w:r>
        <w:t xml:space="preserve"> </w:t>
      </w:r>
      <w:r>
        <w:t xml:space="preserve">IWW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1.4</w:t>
      </w:r>
      <w:r>
        <w:t xml:space="preserve"> </w:t>
      </w:r>
      <w:r>
        <w:t xml:space="preserve">SSS</w:t>
      </w:r>
      <w:r>
        <w:t xml:space="preserve"> </w:t>
      </w:r>
      <w:r>
        <w:t xml:space="preserve">2.0</w:t>
      </w:r>
      <w:r>
        <w:t xml:space="preserve"> </w:t>
      </w:r>
      <w:r>
        <w:t xml:space="preserve">2.4</w:t>
      </w:r>
      <w:r>
        <w:t xml:space="preserve"> </w:t>
      </w:r>
      <w:r>
        <w:t xml:space="preserve">40.2</w:t>
      </w:r>
      <w:r>
        <w:t xml:space="preserve"> </w:t>
      </w:r>
      <w:r>
        <w:t xml:space="preserve">Total</w:t>
      </w:r>
      <w:r>
        <w:t xml:space="preserve"> </w:t>
      </w:r>
      <w:r>
        <w:t xml:space="preserve">5.1</w:t>
      </w:r>
      <w:r>
        <w:t xml:space="preserve"> </w:t>
      </w:r>
      <w:r>
        <w:t xml:space="preserve">13.1</w:t>
      </w:r>
      <w:r>
        <w:t xml:space="preserve"> </w:t>
      </w:r>
      <w:r>
        <w:t xml:space="preserve">157.9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The cost of support for PM10 and PM11 by Member State, relative to the baseline, expressed in</w:t>
      </w:r>
      <w:r>
        <w:t xml:space="preserve"> </w:t>
      </w:r>
      <w:r>
        <w:t xml:space="preserve">million EUR and as percent of GDP, is provided in the tables below. As explained in section 6.1.2,</w:t>
      </w:r>
      <w:r>
        <w:t xml:space="preserve"> </w:t>
      </w:r>
      <w:r>
        <w:t xml:space="preserve">it should be noted that due to the nature of the Combined Transport Directive, where the support</w:t>
      </w:r>
      <w:r>
        <w:t xml:space="preserve"> </w:t>
      </w:r>
      <w:r>
        <w:t xml:space="preserve">provided also depends on the applications for support by transport operators, the outcome by Member</w:t>
      </w:r>
      <w:r>
        <w:t xml:space="preserve"> </w:t>
      </w:r>
      <w:r>
        <w:t xml:space="preserve">State may turn out to be different than estimated in this impact assessment. However, the estimates</w:t>
      </w:r>
      <w:r>
        <w:t xml:space="preserve"> </w:t>
      </w:r>
      <w:r>
        <w:t xml:space="preserve">below provide an indication of the order of magnitude of the cost of support.</w:t>
      </w:r>
      <w:r>
        <w:t xml:space="preserve"> </w:t>
      </w:r>
      <w:r>
        <w:t xml:space="preserve">Table 60: Estimated economic costs (cost of support) for public authorities due to PM10 in PO-B1, PO-B2a and</w:t>
      </w:r>
      <w:r>
        <w:t xml:space="preserve"> </w:t>
      </w:r>
      <w:r>
        <w:t xml:space="preserve">PO-B2b in 2030 and 2050, by Member State, compared to the baseline (million EUR, in 2021 prices, and percent</w:t>
      </w:r>
      <w:r>
        <w:t xml:space="preserve"> </w:t>
      </w:r>
      <w:r>
        <w:t xml:space="preserve">of GDP)</w:t>
      </w:r>
    </w:p>
    <w:p>
      <w:pPr>
        <w:pStyle w:val="BodyText"/>
      </w:pPr>
      <w:r>
        <w:t xml:space="preserve">Economic support (EUR million)</w:t>
      </w:r>
      <w:r>
        <w:t xml:space="preserve"> </w:t>
      </w:r>
      <w:r>
        <w:t xml:space="preserve">Economic support as percent of GDP</w:t>
      </w:r>
      <w:r>
        <w:t xml:space="preserve"> </w:t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AT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BE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BG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6.0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12.0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12.0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EL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Economic support (EUR million)</w:t>
      </w:r>
      <w:r>
        <w:t xml:space="preserve"> </w:t>
      </w:r>
      <w:r>
        <w:t xml:space="preserve">Economic support as percent of GDP</w:t>
      </w:r>
      <w:r>
        <w:t xml:space="preserve"> </w:t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FR</w:t>
      </w:r>
      <w:r>
        <w:t xml:space="preserve"> </w:t>
      </w:r>
      <w:r>
        <w:t xml:space="preserve">14.0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12.0</w:t>
      </w:r>
      <w:r>
        <w:t xml:space="preserve"> </w:t>
      </w:r>
      <w:r>
        <w:t xml:space="preserve">0.0</w:t>
      </w:r>
      <w:r>
        <w:t xml:space="preserve"> </w:t>
      </w:r>
      <w:r>
        <w:t xml:space="preserve">0.02%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12.0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LT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MT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14.0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12.0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12.0</w:t>
      </w:r>
      <w:r>
        <w:t xml:space="preserve"> </w:t>
      </w:r>
      <w:r>
        <w:t xml:space="preserve">0.0</w:t>
      </w:r>
      <w:r>
        <w:t xml:space="preserve"> </w:t>
      </w:r>
      <w:r>
        <w:t xml:space="preserve">0.02%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6.0</w:t>
      </w:r>
      <w:r>
        <w:t xml:space="preserve"> </w:t>
      </w:r>
      <w:r>
        <w:t xml:space="preserve">0.0</w:t>
      </w:r>
      <w:r>
        <w:t xml:space="preserve"> </w:t>
      </w:r>
      <w:r>
        <w:t xml:space="preserve">0.01%</w:t>
      </w:r>
      <w:r>
        <w:t xml:space="preserve"> </w:t>
      </w:r>
      <w:r>
        <w:t xml:space="preserve">0.00%</w:t>
      </w:r>
      <w:r>
        <w:t xml:space="preserve"> </w:t>
      </w:r>
      <w:r>
        <w:t xml:space="preserve">EU-27</w:t>
      </w:r>
      <w:r>
        <w:t xml:space="preserve"> </w:t>
      </w:r>
      <w:r>
        <w:t xml:space="preserve">112.0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Table 61: Estimated economic costs (cost of support) for public authorities due to PM11 in PO-B1, PO-B2a and</w:t>
      </w:r>
      <w:r>
        <w:t xml:space="preserve"> </w:t>
      </w:r>
      <w:r>
        <w:t xml:space="preserve">PO-B2b in 2030 and 2050, by Member State, compared to the baseline (million EUR, in 2021 prices, and percent</w:t>
      </w:r>
      <w:r>
        <w:t xml:space="preserve"> </w:t>
      </w:r>
      <w:r>
        <w:t xml:space="preserve">of GDP)</w:t>
      </w:r>
    </w:p>
    <w:p>
      <w:pPr>
        <w:pStyle w:val="BodyText"/>
      </w:pPr>
      <w:r>
        <w:t xml:space="preserve">Economic support (EUR million)</w:t>
      </w:r>
      <w:r>
        <w:t xml:space="preserve"> </w:t>
      </w:r>
      <w:r>
        <w:t xml:space="preserve">Economic support as percent of GDP</w:t>
      </w:r>
      <w:r>
        <w:t xml:space="preserve"> </w:t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2030</w:t>
      </w:r>
      <w:r>
        <w:br/>
      </w:r>
      <w:r>
        <w:t xml:space="preserve">2050</w:t>
      </w:r>
      <w:r>
        <w:br/>
      </w:r>
      <w:r>
        <w:t xml:space="preserve">AT</w:t>
      </w:r>
      <w:r>
        <w:t xml:space="preserve"> </w:t>
      </w:r>
      <w:r>
        <w:t xml:space="preserve">0.2</w:t>
      </w:r>
      <w:r>
        <w:t xml:space="preserve"> </w:t>
      </w:r>
      <w:r>
        <w:t xml:space="preserve">0.7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BE</w:t>
      </w:r>
      <w:r>
        <w:t xml:space="preserve"> </w:t>
      </w:r>
      <w:r>
        <w:t xml:space="preserve">0.3</w:t>
      </w:r>
      <w:r>
        <w:t xml:space="preserve"> </w:t>
      </w:r>
      <w:r>
        <w:t xml:space="preserve">0.5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BG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CZ</w:t>
      </w:r>
      <w:r>
        <w:t xml:space="preserve"> </w:t>
      </w:r>
      <w:r>
        <w:t xml:space="preserve">0.1</w:t>
      </w:r>
      <w:r>
        <w:t xml:space="preserve"> </w:t>
      </w:r>
      <w:r>
        <w:t xml:space="preserve">0.3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CY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DE</w:t>
      </w:r>
      <w:r>
        <w:t xml:space="preserve"> </w:t>
      </w:r>
      <w:r>
        <w:t xml:space="preserve">1.0</w:t>
      </w:r>
      <w:r>
        <w:t xml:space="preserve"> </w:t>
      </w:r>
      <w:r>
        <w:t xml:space="preserve">2.9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DK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EE</w:t>
      </w:r>
      <w:r>
        <w:t xml:space="preserve"> </w:t>
      </w:r>
      <w:r>
        <w:t xml:space="preserve">0.0</w:t>
      </w:r>
      <w:r>
        <w:t xml:space="preserve"> </w:t>
      </w:r>
      <w:r>
        <w:t xml:space="preserve">0.1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ES</w:t>
      </w:r>
      <w:r>
        <w:t xml:space="preserve"> </w:t>
      </w:r>
      <w:r>
        <w:t xml:space="preserve">0.3</w:t>
      </w:r>
      <w:r>
        <w:t xml:space="preserve"> </w:t>
      </w:r>
      <w:r>
        <w:t xml:space="preserve">0.7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EL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FI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FR</w:t>
      </w:r>
      <w:r>
        <w:t xml:space="preserve"> </w:t>
      </w:r>
      <w:r>
        <w:t xml:space="preserve">0.6</w:t>
      </w:r>
      <w:r>
        <w:t xml:space="preserve"> </w:t>
      </w:r>
      <w:r>
        <w:t xml:space="preserve">1.6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HR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HU</w:t>
      </w:r>
      <w:r>
        <w:t xml:space="preserve"> </w:t>
      </w:r>
      <w:r>
        <w:t xml:space="preserve">0.2</w:t>
      </w:r>
      <w:r>
        <w:t xml:space="preserve"> </w:t>
      </w:r>
      <w:r>
        <w:t xml:space="preserve">0.5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IE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IT</w:t>
      </w:r>
      <w:r>
        <w:t xml:space="preserve"> </w:t>
      </w:r>
      <w:r>
        <w:t xml:space="preserve">0.4</w:t>
      </w:r>
      <w:r>
        <w:t xml:space="preserve"> </w:t>
      </w:r>
      <w:r>
        <w:t xml:space="preserve">1.0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LV</w:t>
      </w:r>
      <w:r>
        <w:t xml:space="preserve"> </w:t>
      </w:r>
      <w:r>
        <w:t xml:space="preserve">0.1</w:t>
      </w:r>
      <w:r>
        <w:t xml:space="preserve"> </w:t>
      </w:r>
      <w:r>
        <w:t xml:space="preserve">0.3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LT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LU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MT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NL</w:t>
      </w:r>
      <w:r>
        <w:t xml:space="preserve"> </w:t>
      </w:r>
      <w:r>
        <w:t xml:space="preserve">0.7</w:t>
      </w:r>
      <w:r>
        <w:t xml:space="preserve"> </w:t>
      </w:r>
      <w:r>
        <w:t xml:space="preserve">1.1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PL</w:t>
      </w:r>
      <w:r>
        <w:t xml:space="preserve"> </w:t>
      </w:r>
      <w:r>
        <w:t xml:space="preserve">0.2</w:t>
      </w:r>
      <w:r>
        <w:t xml:space="preserve"> </w:t>
      </w:r>
      <w:r>
        <w:t xml:space="preserve">0.7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PT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RO</w:t>
      </w:r>
      <w:r>
        <w:t xml:space="preserve"> </w:t>
      </w:r>
      <w:r>
        <w:t xml:space="preserve">0.2</w:t>
      </w:r>
      <w:r>
        <w:t xml:space="preserve"> </w:t>
      </w:r>
      <w:r>
        <w:t xml:space="preserve">0.5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SE</w:t>
      </w:r>
      <w:r>
        <w:t xml:space="preserve"> </w:t>
      </w:r>
      <w:r>
        <w:t xml:space="preserve">0.2</w:t>
      </w:r>
      <w:r>
        <w:t xml:space="preserve"> </w:t>
      </w:r>
      <w:r>
        <w:t xml:space="preserve">0.7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SI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SK</w:t>
      </w:r>
      <w:r>
        <w:t xml:space="preserve"> </w:t>
      </w:r>
      <w:r>
        <w:t xml:space="preserve">0.0</w:t>
      </w:r>
      <w:r>
        <w:t xml:space="preserve"> </w:t>
      </w:r>
      <w:r>
        <w:t xml:space="preserve">0.2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EU-27</w:t>
      </w:r>
      <w:r>
        <w:t xml:space="preserve"> </w:t>
      </w:r>
      <w:r>
        <w:t xml:space="preserve">5.1</w:t>
      </w:r>
      <w:r>
        <w:t xml:space="preserve"> </w:t>
      </w:r>
      <w:r>
        <w:t xml:space="preserve">13.1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Administrative costs for the private sector</w:t>
      </w:r>
      <w:r>
        <w:t xml:space="preserve"> </w:t>
      </w:r>
      <w:r>
        <w:t xml:space="preserve">Both PM10 and PM11 would bring along recurrent administrative costs to those operators who</w:t>
      </w:r>
      <w:r>
        <w:t xml:space="preserve"> </w:t>
      </w:r>
      <w:r>
        <w:t xml:space="preserve">choose to benefit from these measures due to the application process and the need to compy with the</w:t>
      </w:r>
      <w:r>
        <w:t xml:space="preserve"> </w:t>
      </w:r>
      <w:r>
        <w:t xml:space="preserve">potential ex-post reporting. These costs are only relevant for additional applicants relative to baseline</w:t>
      </w:r>
      <w:r>
        <w:t xml:space="preserve"> </w:t>
      </w:r>
      <w:r>
        <w:t xml:space="preserve">scenario. As regards start-up support applications (PM10), it is assumed that the applicant has to</w:t>
      </w:r>
      <w:r>
        <w:t xml:space="preserve"> </w:t>
      </w:r>
      <w:r>
        <w:t xml:space="preserve">spend 11.8 hours200 on application for support and 8 hours for any subsequent reporting and payment</w:t>
      </w:r>
      <w:r>
        <w:t xml:space="preserve"> </w:t>
      </w:r>
      <w:r>
        <w:t xml:space="preserve">requests. To estimate the costs, the tariffs per hour from the Eurostat Structure of earnings survey,</w:t>
      </w:r>
      <w:r>
        <w:t xml:space="preserve"> </w:t>
      </w:r>
      <w:r>
        <w:t xml:space="preserve">Labour Force Survey data for Non-Wage Labour Costs (i.e. ISCO 2 – professionals) have been used</w:t>
      </w:r>
      <w:r>
        <w:t xml:space="preserve"> </w:t>
      </w:r>
      <w:r>
        <w:t xml:space="preserve">(31.1 EUR/h). Total costs are derived by multiplying the cost per application with active supported</w:t>
      </w:r>
      <w:r>
        <w:t xml:space="preserve"> </w:t>
      </w:r>
      <w:r>
        <w:t xml:space="preserve">services in any given period. The total administrative costs for the private sector due to PM10 and</w:t>
      </w:r>
      <w:r>
        <w:t xml:space="preserve"> </w:t>
      </w:r>
      <w:r>
        <w:t xml:space="preserve">PM11, by policy option, relative to the baseline are reported in Table 61.</w:t>
      </w:r>
      <w:r>
        <w:br/>
      </w:r>
      <w:r>
        <w:t xml:space="preserve">Table 62: Recurrent administrative costs for the private sector due to PM10 and PM11, by policy option compared to</w:t>
      </w:r>
      <w:r>
        <w:t xml:space="preserve"> </w:t>
      </w:r>
      <w:r>
        <w:t xml:space="preserve">the baseline (million EUR, in 2021 prices)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Present value over 2025-2050</w:t>
      </w:r>
      <w:r>
        <w:t xml:space="preserve"> </w:t>
      </w:r>
      <w:r>
        <w:t xml:space="preserve">PM10</w:t>
      </w:r>
      <w:r>
        <w:t xml:space="preserve"> </w:t>
      </w:r>
      <w:r>
        <w:t xml:space="preserve">PM11</w:t>
      </w:r>
      <w:r>
        <w:t xml:space="preserve"> </w:t>
      </w:r>
      <w:r>
        <w:t xml:space="preserve">PM10</w:t>
      </w:r>
      <w:r>
        <w:t xml:space="preserve"> </w:t>
      </w:r>
      <w:r>
        <w:t xml:space="preserve">PM11</w:t>
      </w:r>
      <w:r>
        <w:t xml:space="preserve"> </w:t>
      </w:r>
      <w:r>
        <w:t xml:space="preserve">PM10</w:t>
      </w:r>
      <w:r>
        <w:t xml:space="preserve"> </w:t>
      </w:r>
      <w:r>
        <w:t xml:space="preserve">PM11</w:t>
      </w:r>
      <w:r>
        <w:t xml:space="preserve"> </w:t>
      </w:r>
      <w:r>
        <w:t xml:space="preserve">PO-B1</w:t>
      </w:r>
      <w:r>
        <w:t xml:space="preserve"> </w:t>
      </w:r>
      <w:r>
        <w:t xml:space="preserve">0.103</w:t>
      </w:r>
      <w:r>
        <w:t xml:space="preserve"> </w:t>
      </w:r>
      <w:r>
        <w:t xml:space="preserve">0.28</w:t>
      </w:r>
      <w:r>
        <w:t xml:space="preserve"> </w:t>
      </w:r>
      <w:r>
        <w:t xml:space="preserve">0.00</w:t>
      </w:r>
      <w:r>
        <w:t xml:space="preserve"> </w:t>
      </w:r>
      <w:r>
        <w:t xml:space="preserve">0.39</w:t>
      </w:r>
      <w:r>
        <w:t xml:space="preserve"> </w:t>
      </w:r>
      <w:r>
        <w:t xml:space="preserve">0.55</w:t>
      </w:r>
      <w:r>
        <w:t xml:space="preserve"> </w:t>
      </w:r>
      <w:r>
        <w:t xml:space="preserve">5.8</w:t>
      </w:r>
      <w:r>
        <w:t xml:space="preserve"> </w:t>
      </w:r>
      <w:r>
        <w:t xml:space="preserve">PO-B2a</w:t>
      </w:r>
      <w:r>
        <w:t xml:space="preserve"> </w:t>
      </w:r>
      <w:r>
        <w:t xml:space="preserve">0.104</w:t>
      </w:r>
      <w:r>
        <w:t xml:space="preserve"> </w:t>
      </w:r>
      <w:r>
        <w:t xml:space="preserve">0.27</w:t>
      </w:r>
      <w:r>
        <w:t xml:space="preserve"> </w:t>
      </w:r>
      <w:r>
        <w:t xml:space="preserve">0.00</w:t>
      </w:r>
      <w:r>
        <w:t xml:space="preserve"> </w:t>
      </w:r>
      <w:r>
        <w:t xml:space="preserve">0.42</w:t>
      </w:r>
      <w:r>
        <w:t xml:space="preserve"> </w:t>
      </w:r>
      <w:r>
        <w:t xml:space="preserve">0.56</w:t>
      </w:r>
      <w:r>
        <w:t xml:space="preserve"> </w:t>
      </w:r>
      <w:r>
        <w:t xml:space="preserve">6.0</w:t>
      </w:r>
      <w:r>
        <w:t xml:space="preserve"> </w:t>
      </w:r>
      <w:r>
        <w:t xml:space="preserve">PO-B2b</w:t>
      </w:r>
      <w:r>
        <w:t xml:space="preserve"> </w:t>
      </w:r>
      <w:r>
        <w:t xml:space="preserve">0.104</w:t>
      </w:r>
      <w:r>
        <w:t xml:space="preserve"> </w:t>
      </w:r>
      <w:r>
        <w:t xml:space="preserve">0.11</w:t>
      </w:r>
      <w:r>
        <w:t xml:space="preserve"> </w:t>
      </w:r>
      <w:r>
        <w:t xml:space="preserve">0.00</w:t>
      </w:r>
      <w:r>
        <w:t xml:space="preserve"> </w:t>
      </w:r>
      <w:r>
        <w:t xml:space="preserve">0.19</w:t>
      </w:r>
      <w:r>
        <w:t xml:space="preserve"> </w:t>
      </w:r>
      <w:r>
        <w:t xml:space="preserve">0.56</w:t>
      </w:r>
      <w:r>
        <w:t xml:space="preserve"> </w:t>
      </w:r>
      <w:r>
        <w:t xml:space="preserve">2.6</w:t>
      </w:r>
      <w:r>
        <w:t xml:space="preserve"> </w:t>
      </w:r>
      <w:r>
        <w:t xml:space="preserve">Source: Ricardo et al. support study (2023)</w:t>
      </w:r>
      <w:r>
        <w:t xml:space="preserve"> </w:t>
      </w:r>
      <w:r>
        <w:t xml:space="preserve">3.4. Data and transparency related measures (PM14-PM17)</w:t>
      </w:r>
      <w:r>
        <w:t xml:space="preserve"> </w:t>
      </w:r>
      <w:r>
        <w:t xml:space="preserve">Costs for PM14 and PM15</w:t>
      </w:r>
      <w:r>
        <w:t xml:space="preserve"> </w:t>
      </w:r>
      <w:r>
        <w:t xml:space="preserve">PM14 and PM15 introduce rules on data, common data set and data set exchange protocols</w:t>
      </w:r>
      <w:r>
        <w:t xml:space="preserve"> </w:t>
      </w:r>
      <w:r>
        <w:t xml:space="preserve">respectively, for improved communication between the different stakeholders in the intermodal</w:t>
      </w:r>
      <w:r>
        <w:t xml:space="preserve"> </w:t>
      </w:r>
      <w:r>
        <w:t xml:space="preserve">chain. These measures do not create obligations to use electronic transport data, but set common rules</w:t>
      </w:r>
      <w:r>
        <w:t xml:space="preserve"> </w:t>
      </w:r>
      <w:r>
        <w:t xml:space="preserve">in case electronic data is used. These measures are not expected to create additional intermodal</w:t>
      </w:r>
      <w:r>
        <w:t xml:space="preserve"> </w:t>
      </w:r>
      <w:r>
        <w:t xml:space="preserve">volume on their own.</w:t>
      </w:r>
      <w:r>
        <w:br/>
      </w:r>
      <w:r>
        <w:t xml:space="preserve">Adjustment costs for the private sector</w:t>
      </w:r>
      <w:r>
        <w:t xml:space="preserve"> </w:t>
      </w:r>
      <w:r>
        <w:t xml:space="preserve">Estimating the costs for these measures is difficult. First, the number of stakeholders who will have</w:t>
      </w:r>
      <w:r>
        <w:t xml:space="preserve"> </w:t>
      </w:r>
      <w:r>
        <w:t xml:space="preserve">to bear the costs is not known. Second, the effort that is required per company is unclear. In relation</w:t>
      </w:r>
      <w:r>
        <w:t xml:space="preserve"> </w:t>
      </w:r>
      <w:r>
        <w:t xml:space="preserve">to the first issue, no reliable data source is available for the number of operators active in intermodal</w:t>
      </w:r>
      <w:r>
        <w:t xml:space="preserve"> </w:t>
      </w:r>
      <w:r>
        <w:t xml:space="preserve">transport. In the EU, there about 1.2 million land transport companies alone201. Large part of these</w:t>
      </w:r>
      <w:r>
        <w:t xml:space="preserve"> </w:t>
      </w:r>
      <w:r>
        <w:t xml:space="preserve">companies are not active in intermodal transport, but are rather independent/self-employed truck</w:t>
      </w:r>
      <w:r>
        <w:t xml:space="preserve"> </w:t>
      </w:r>
      <w:r>
        <w:t xml:space="preserve">drivers. Therefore, it has been assumed that only companies in the road or rail transport with more</w:t>
      </w:r>
      <w:r>
        <w:t xml:space="preserve"> </w:t>
      </w:r>
      <w:r>
        <w:t xml:space="preserve">than 50 employees act in intermodal transport. According to Eurostat202 there are 11,080 companies</w:t>
      </w:r>
      <w:r>
        <w:t xml:space="preserve"> </w:t>
      </w:r>
      <w:r>
        <w:t xml:space="preserve">with more than 50 employees in the land transport and 144 companies in the rail freight transport</w:t>
      </w:r>
      <w:r>
        <w:t xml:space="preserve"> </w:t>
      </w:r>
      <w:r>
        <w:t xml:space="preserve">sector. In addition, there are several thousand companies in IWW and SSS. For example, in the</w:t>
      </w:r>
      <w:r>
        <w:t xml:space="preserve"> </w:t>
      </w:r>
      <w:r>
        <w:t xml:space="preserve">Netherlands there are over 3,000 IWW companies. In Germany there are about 750 IWW</w:t>
      </w:r>
      <w:r>
        <w:t xml:space="preserve"> </w:t>
      </w:r>
      <w:r>
        <w:t xml:space="preserve">companies203. Since the Netherlands and Germany cover a large part of the EU inland navigation,</w:t>
      </w:r>
    </w:p>
    <w:p>
      <w:pPr>
        <w:pStyle w:val="BodyText"/>
      </w:pPr>
      <w:r>
        <w:t xml:space="preserve">200 Similarly to PM7-PM9, the applicants are assumed to save 4.2 hours per request relative to the baseline (16 hours)</w:t>
      </w:r>
      <w:r>
        <w:t xml:space="preserve"> </w:t>
      </w:r>
      <w:r>
        <w:t xml:space="preserve">due to the use of eFTI platforms (PM3). Therefore, the time per application is estimated at 11.8 hours in PM10.</w:t>
      </w:r>
      <w:r>
        <w:br/>
      </w:r>
      <w:r>
        <w:t xml:space="preserve">201 https://ec.europa.eu/eurostat/databrowser/view/sbs_sc_1b_se_r2/default/table?lang=en</w:t>
      </w:r>
      <w:r>
        <w:br/>
      </w:r>
      <w:r>
        <w:t xml:space="preserve">202 https://ec.europa.eu/eurostat/databrowser/view/SBS_SC_1B_SE_R2/default/table?lang=en&amp;category=sbs.serv.</w:t>
      </w:r>
      <w:r>
        <w:t xml:space="preserve"> </w:t>
      </w:r>
      <w:r>
        <w:t xml:space="preserve">sbs_sc_sc</w:t>
      </w:r>
      <w:r>
        <w:br/>
      </w:r>
      <w:r>
        <w:t xml:space="preserve">203 https://www.binnenschiff.de/pressemitteilung/statistiken-zur-binnenschifffahrt-in-der-bdb-broschuere-daten-fakten-</w:t>
      </w:r>
      <w:r>
        <w:t xml:space="preserve"> </w:t>
      </w:r>
      <w:r>
        <w:t xml:space="preserve">ueber-205-mio-tonnen-gueter-auf-deutschen-fluessen-und-kanaelen/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one could extrapolate the number of companies to 8,000 at the EU level. In addition, the number of</w:t>
      </w:r>
      <w:r>
        <w:t xml:space="preserve"> </w:t>
      </w:r>
      <w:r>
        <w:t xml:space="preserve">SSS companies is estimated to be similar to that in the IWW sector.</w:t>
      </w:r>
      <w:r>
        <w:t xml:space="preserve"> </w:t>
      </w:r>
      <w:r>
        <w:t xml:space="preserve">According to these estimations, there are about 27,224 companies in total potentially involved in</w:t>
      </w:r>
      <w:r>
        <w:t xml:space="preserve"> </w:t>
      </w:r>
      <w:r>
        <w:t xml:space="preserve">intermodal transport. A survey204 asking stakeholders how much it would cost to switch to electronic</w:t>
      </w:r>
      <w:r>
        <w:t xml:space="preserve"> </w:t>
      </w:r>
      <w:r>
        <w:t xml:space="preserve">freight documents established inter alia that two-thirds of multimodal operators were already using</w:t>
      </w:r>
      <w:r>
        <w:t xml:space="preserve"> </w:t>
      </w:r>
      <w:r>
        <w:t xml:space="preserve">electronic transport data in intermodal shipments.</w:t>
      </w:r>
      <w:r>
        <w:br/>
      </w:r>
      <w:r>
        <w:t xml:space="preserve">The Digital Transport and Logistics Forum has been working for several years with industry on</w:t>
      </w:r>
      <w:r>
        <w:t xml:space="preserve"> </w:t>
      </w:r>
      <w:r>
        <w:t xml:space="preserve">related questions. The most common data exchanged in transport chains has been established and</w:t>
      </w:r>
      <w:r>
        <w:t xml:space="preserve"> </w:t>
      </w:r>
      <w:r>
        <w:t xml:space="preserve">considerable work has been done on establishing the data exchange protocol parameters. It can thus</w:t>
      </w:r>
      <w:r>
        <w:t xml:space="preserve"> </w:t>
      </w:r>
      <w:r>
        <w:t xml:space="preserve">be assumed that large part of operations would already meet new requirements or would need</w:t>
      </w:r>
      <w:r>
        <w:t xml:space="preserve"> </w:t>
      </w:r>
      <w:r>
        <w:t xml:space="preserve">minimum adjustments. It is thus assumed that maximum one third of the operators active in</w:t>
      </w:r>
      <w:r>
        <w:t xml:space="preserve"> </w:t>
      </w:r>
      <w:r>
        <w:t xml:space="preserve">intermodal transport (around 9,000 operators) would actually be faced with additional adjustment</w:t>
      </w:r>
      <w:r>
        <w:t xml:space="preserve"> </w:t>
      </w:r>
      <w:r>
        <w:t xml:space="preserve">costs in PM14 and PM15.</w:t>
      </w:r>
      <w:r>
        <w:br/>
      </w:r>
      <w:r>
        <w:t xml:space="preserve">The effort required for revising the IT systems is estimated at 20 hours for PM14 and 80 hours for</w:t>
      </w:r>
      <w:r>
        <w:t xml:space="preserve"> </w:t>
      </w:r>
      <w:r>
        <w:t xml:space="preserve">PM15 per company. To estimate the costs, the tariffs per hour from the Eurostat Structure of earnings</w:t>
      </w:r>
      <w:r>
        <w:t xml:space="preserve"> </w:t>
      </w:r>
      <w:r>
        <w:t xml:space="preserve">survey, Labour Force Survey data for Non-Wage Labour Costs (i.e. ISCO 3 – Technicians and</w:t>
      </w:r>
      <w:r>
        <w:t xml:space="preserve"> </w:t>
      </w:r>
      <w:r>
        <w:t xml:space="preserve">associate professionals) have been used (31.1 EUR/hour). The total one-off adjustment costs are thus</w:t>
      </w:r>
      <w:r>
        <w:t xml:space="preserve"> </w:t>
      </w:r>
      <w:r>
        <w:t xml:space="preserve">estimated at EUR 5.6 million for PM14 and EUR 22.4 million for PM15.</w:t>
      </w:r>
      <w:r>
        <w:br/>
      </w:r>
      <w:r>
        <w:t xml:space="preserve">Costs for PM16 and PM17</w:t>
      </w:r>
      <w:r>
        <w:t xml:space="preserve"> </w:t>
      </w:r>
      <w:r>
        <w:t xml:space="preserve">PM16-PM17 are measures to improve transparency on terminal services and quality. PM16 foresees</w:t>
      </w:r>
      <w:r>
        <w:t xml:space="preserve"> </w:t>
      </w:r>
      <w:r>
        <w:t xml:space="preserve">an obligation on terminal operators to publish information on services and facilities available in their</w:t>
      </w:r>
      <w:r>
        <w:t xml:space="preserve"> </w:t>
      </w:r>
      <w:r>
        <w:t xml:space="preserve">terminal and keep it updated. A similar but not identical obligation exists on rail facilities, but no</w:t>
      </w:r>
      <w:r>
        <w:t xml:space="preserve"> </w:t>
      </w:r>
      <w:r>
        <w:t xml:space="preserve">obligation exists to make the data available free of charge on public homepage. PM17 establishes a</w:t>
      </w:r>
      <w:r>
        <w:t xml:space="preserve"> </w:t>
      </w:r>
      <w:r>
        <w:t xml:space="preserve">framework for terminal categories based on available services and facilities, based on a self-</w:t>
      </w:r>
      <w:r>
        <w:t xml:space="preserve"> </w:t>
      </w:r>
      <w:r>
        <w:t xml:space="preserve">assessment. The requirements for each category would be published in a secondary EU act. A one-</w:t>
      </w:r>
      <w:r>
        <w:t xml:space="preserve"> </w:t>
      </w:r>
      <w:r>
        <w:t xml:space="preserve">off obligation would be put on the terminal operators to make their terminal categorisation visible on</w:t>
      </w:r>
      <w:r>
        <w:t xml:space="preserve"> </w:t>
      </w:r>
      <w:r>
        <w:t xml:space="preserve">their homepage.</w:t>
      </w:r>
      <w:r>
        <w:br/>
      </w:r>
      <w:r>
        <w:t xml:space="preserve">Adjustment costs for the private sector</w:t>
      </w:r>
      <w:r>
        <w:t xml:space="preserve"> </w:t>
      </w:r>
      <w:r>
        <w:t xml:space="preserve">There are 980 intermodal terminals in the EU, of which 851 have rail connection and 129 do not205.</w:t>
      </w:r>
      <w:r>
        <w:t xml:space="preserve"> </w:t>
      </w:r>
      <w:r>
        <w:t xml:space="preserve">While rail connected terminals already have to fulfill some data requirements for rail facilities, these</w:t>
      </w:r>
      <w:r>
        <w:t xml:space="preserve"> </w:t>
      </w:r>
      <w:r>
        <w:t xml:space="preserve">data requirements are overlapping only partially. In addition, rail facilities are not required to make</w:t>
      </w:r>
      <w:r>
        <w:t xml:space="preserve"> </w:t>
      </w:r>
      <w:r>
        <w:t xml:space="preserve">this information available on their homepage. Under PM16, all terminal operators will have to make</w:t>
      </w:r>
      <w:r>
        <w:t xml:space="preserve"> </w:t>
      </w:r>
      <w:r>
        <w:t xml:space="preserve">the information available on their homepage and bear the initial adjustment costs as well as the</w:t>
      </w:r>
      <w:r>
        <w:t xml:space="preserve"> </w:t>
      </w:r>
      <w:r>
        <w:t xml:space="preserve">recurrent administrative costs (discussed below) for updating their homepage. As the data</w:t>
      </w:r>
      <w:r>
        <w:t xml:space="preserve"> </w:t>
      </w:r>
      <w:r>
        <w:t xml:space="preserve">requirements are basic information readily available for the terminal operator (see Annex 10), it is</w:t>
      </w:r>
      <w:r>
        <w:t xml:space="preserve"> </w:t>
      </w:r>
      <w:r>
        <w:t xml:space="preserve">thus assumed that gathering the information will take 2 hours of work initially plus 1 hour for</w:t>
      </w:r>
      <w:r>
        <w:t xml:space="preserve"> </w:t>
      </w:r>
      <w:r>
        <w:t xml:space="preserve">updating the homepage every 5 years. To estimate the costs, the tariffs per hour for ISCO 3</w:t>
      </w:r>
      <w:r>
        <w:t xml:space="preserve"> </w:t>
      </w:r>
      <w:r>
        <w:t xml:space="preserve">(Technicians and associate professionals) have been used (31.1 EUR/hour). The one-off adjustmnet</w:t>
      </w:r>
      <w:r>
        <w:t xml:space="preserve"> </w:t>
      </w:r>
      <w:r>
        <w:t xml:space="preserve">costs are estimated at EUR 0.18 million. The administrative costs related to updating the homepage</w:t>
      </w:r>
      <w:r>
        <w:t xml:space="preserve"> </w:t>
      </w:r>
      <w:r>
        <w:t xml:space="preserve">are discussed in the following section.</w:t>
      </w:r>
    </w:p>
    <w:p>
      <w:pPr>
        <w:pStyle w:val="BodyText"/>
      </w:pPr>
      <w:r>
        <w:t xml:space="preserve">204 TRT (2017), op.cit.</w:t>
      </w:r>
      <w:r>
        <w:t xml:space="preserve"> </w:t>
      </w:r>
      <w:r>
        <w:t xml:space="preserve">205 PWC, KombiConsult (2022). Note that some terminals with rail connections can be in ports and provide transhipment</w:t>
      </w:r>
      <w:r>
        <w:t xml:space="preserve"> </w:t>
      </w:r>
      <w:r>
        <w:t xml:space="preserve">services without rail link.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As regards PM17, the obligation to self-assess the category and make it visible on their homepage is</w:t>
      </w:r>
      <w:r>
        <w:t xml:space="preserve"> </w:t>
      </w:r>
      <w:r>
        <w:t xml:space="preserve">assumed to take not more than 1 hour of work at the initial introduction, equivalent to one-off costs of</w:t>
      </w:r>
      <w:r>
        <w:t xml:space="preserve"> </w:t>
      </w:r>
      <w:r>
        <w:t xml:space="preserve">EUR 0.03 million.</w:t>
      </w:r>
      <w:r>
        <w:br/>
      </w:r>
      <w:r>
        <w:t xml:space="preserve">Table 63: Adjustment costs for the private sector due to PM14 - PM17, in millions EUR (2021 prices)</w:t>
      </w:r>
    </w:p>
    <w:p>
      <w:pPr>
        <w:pStyle w:val="BodyText"/>
      </w:pPr>
      <w:r>
        <w:t xml:space="preserve">PM14</w:t>
      </w:r>
      <w:r>
        <w:t xml:space="preserve"> </w:t>
      </w:r>
      <w:r>
        <w:t xml:space="preserve">PM15</w:t>
      </w:r>
      <w:r>
        <w:t xml:space="preserve"> </w:t>
      </w:r>
      <w:r>
        <w:t xml:space="preserve">PM16</w:t>
      </w:r>
      <w:r>
        <w:t xml:space="preserve"> </w:t>
      </w:r>
      <w:r>
        <w:t xml:space="preserve">PM17</w:t>
      </w:r>
      <w:r>
        <w:t xml:space="preserve"> </w:t>
      </w:r>
      <w:r>
        <w:t xml:space="preserve">Adjustment costs (one-off)</w:t>
      </w:r>
      <w:r>
        <w:t xml:space="preserve"> </w:t>
      </w:r>
      <w:r>
        <w:t xml:space="preserve">5.6</w:t>
      </w:r>
      <w:r>
        <w:t xml:space="preserve"> </w:t>
      </w:r>
      <w:r>
        <w:t xml:space="preserve">22.4</w:t>
      </w:r>
      <w:r>
        <w:t xml:space="preserve"> </w:t>
      </w:r>
      <w:r>
        <w:t xml:space="preserve">0.18</w:t>
      </w:r>
      <w:r>
        <w:t xml:space="preserve"> </w:t>
      </w:r>
      <w:r>
        <w:t xml:space="preserve">0.03</w:t>
      </w:r>
      <w:r>
        <w:t xml:space="preserve"> </w:t>
      </w:r>
      <w:r>
        <w:t xml:space="preserve">Source: Ricardo et al. support study (2023)</w:t>
      </w:r>
      <w:r>
        <w:br/>
      </w:r>
      <w:r>
        <w:t xml:space="preserve">No costs are expected on public authorities for PM14-PM17.</w:t>
      </w:r>
      <w:r>
        <w:br/>
      </w:r>
      <w:r>
        <w:t xml:space="preserve">Administrative costs for the private sector</w:t>
      </w:r>
      <w:r>
        <w:t xml:space="preserve"> </w:t>
      </w:r>
      <w:r>
        <w:t xml:space="preserve">As explained above, under PM16 all terminal operators will have to make the information available</w:t>
      </w:r>
      <w:r>
        <w:t xml:space="preserve"> </w:t>
      </w:r>
      <w:r>
        <w:t xml:space="preserve">on their homepage and bear the initial adjustment costs (dicussed above) as well as the recurrent</w:t>
      </w:r>
      <w:r>
        <w:t xml:space="preserve"> </w:t>
      </w:r>
      <w:r>
        <w:t xml:space="preserve">administrative costs for updating their homepage. It is not possible to assess with precision how often</w:t>
      </w:r>
      <w:r>
        <w:t xml:space="preserve"> </w:t>
      </w:r>
      <w:r>
        <w:t xml:space="preserve">terminals upgrade their services and facilities, but the costs are expected to be limited, amounting to</w:t>
      </w:r>
      <w:r>
        <w:t xml:space="preserve"> </w:t>
      </w:r>
      <w:r>
        <w:t xml:space="preserve">not more than 1 hour of work every 5 years for gathering the information and updating the homepage.</w:t>
      </w:r>
      <w:r>
        <w:t xml:space="preserve"> </w:t>
      </w:r>
      <w:r>
        <w:t xml:space="preserve">To estimate the costs, the tariffs per hour for ISCO 3 (Technicians and associate professionals) have</w:t>
      </w:r>
      <w:r>
        <w:t xml:space="preserve"> </w:t>
      </w:r>
      <w:r>
        <w:t xml:space="preserve">been used (31.1 EUR/hour). As explained above, there are 980 intermodal terminals in the EU. The</w:t>
      </w:r>
      <w:r>
        <w:t xml:space="preserve"> </w:t>
      </w:r>
      <w:r>
        <w:t xml:space="preserve">recurrent administrative costs are thus estimated at EUR 0.03 million (every 5 years). Expressed as</w:t>
      </w:r>
      <w:r>
        <w:t xml:space="preserve"> </w:t>
      </w:r>
      <w:r>
        <w:t xml:space="preserve">present value over 2025-2050, total administrative costs for the private sector are estimated at EUR</w:t>
      </w:r>
      <w:r>
        <w:t xml:space="preserve"> </w:t>
      </w:r>
      <w:r>
        <w:t xml:space="preserve">0.10 million.</w:t>
      </w:r>
      <w:r>
        <w:br/>
      </w:r>
      <w:r>
        <w:t xml:space="preserve">For the purpose of the application of the ‘one in, one out’ approach, the annual average cost per terminal,</w:t>
      </w:r>
      <w:r>
        <w:t xml:space="preserve"> </w:t>
      </w:r>
      <w:r>
        <w:t xml:space="preserve">spreading the 5-years costs annually, is estimated at 6.2 EUR. Considering the 980 intermodal terminals in</w:t>
      </w:r>
      <w:r>
        <w:t xml:space="preserve"> </w:t>
      </w:r>
      <w:r>
        <w:t xml:space="preserve">the EU, the average annual costs are estimated at EUR 6,100.</w:t>
      </w:r>
      <w:r>
        <w:t xml:space="preserve"> </w:t>
      </w:r>
      <w:r>
        <w:t xml:space="preserve">Adjustment costs for the European Commission</w:t>
      </w:r>
      <w:r>
        <w:t xml:space="preserve"> </w:t>
      </w:r>
      <w:r>
        <w:t xml:space="preserve">PM17 is also expected to lead to adjustment costs for the European Commission as there is a need</w:t>
      </w:r>
      <w:r>
        <w:t xml:space="preserve"> </w:t>
      </w:r>
      <w:r>
        <w:t xml:space="preserve">for a further study to establish the most appropriate criteria for terminal category framework for all</w:t>
      </w:r>
      <w:r>
        <w:t xml:space="preserve"> </w:t>
      </w:r>
      <w:r>
        <w:t xml:space="preserve">modal combinations. The one-off cost for the European Commision are estimated at EUR 300,000.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1. OVERVIEW OF IMPACTS ON COMPETITIVENESS</w:t>
      </w:r>
      <w:r>
        <w:br/>
      </w:r>
      <w:r>
        <w:t xml:space="preserve">Dimensions of Competitiveness</w:t>
      </w:r>
      <w:r>
        <w:t xml:space="preserve"> </w:t>
      </w:r>
      <w:r>
        <w:t xml:space="preserve">Impact of the</w:t>
      </w:r>
      <w:r>
        <w:t xml:space="preserve"> </w:t>
      </w:r>
      <w:r>
        <w:t xml:space="preserve">initiative</w:t>
      </w:r>
      <w:r>
        <w:t xml:space="preserve"> </w:t>
      </w:r>
      <w:r>
        <w:t xml:space="preserve">(+ +/+/0/-/- -/n.a.)</w:t>
      </w:r>
      <w:r>
        <w:t xml:space="preserve"> </w:t>
      </w:r>
      <w:r>
        <w:t xml:space="preserve">References to sub-sections of the main report</w:t>
      </w:r>
      <w:r>
        <w:t xml:space="preserve"> </w:t>
      </w:r>
      <w:r>
        <w:t xml:space="preserve">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Section 6.1.1 of the SWD, Annex 4</w:t>
      </w:r>
      <w:r>
        <w:t xml:space="preserve"> </w:t>
      </w:r>
      <w:r>
        <w:t xml:space="preserve">International competitiveness</w:t>
      </w:r>
      <w:r>
        <w:br/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Annex 4 (methodology) and Annex 6 (retained</w:t>
      </w:r>
      <w:r>
        <w:t xml:space="preserve"> </w:t>
      </w:r>
      <w:r>
        <w:t xml:space="preserve">measures)</w:t>
      </w:r>
      <w:r>
        <w:br/>
      </w:r>
      <w:r>
        <w:t xml:space="preserve">SME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Sections 6.1.1 and 6.1.5 of the SWD, Annex 13</w:t>
      </w:r>
      <w:r>
        <w:t xml:space="preserve"> </w:t>
      </w:r>
      <w:r>
        <w:t xml:space="preserve">2. SYNTHETIC ASSESSMENT</w:t>
      </w:r>
      <w:r>
        <w:br/>
      </w:r>
      <w:r>
        <w:t xml:space="preserve">2.1. Cost and price competitiveness</w:t>
      </w:r>
      <w:r>
        <w:t xml:space="preserve"> </w:t>
      </w:r>
      <w:r>
        <w:t xml:space="preserve">The objective of the revision is to reduce negative externalities from transport through modal shift, which</w:t>
      </w:r>
      <w:r>
        <w:t xml:space="preserve"> </w:t>
      </w:r>
      <w:r>
        <w:t xml:space="preserve">is achieved by increasing the cost and price competitiveness of the intermodal sector as compared to the</w:t>
      </w:r>
      <w:r>
        <w:t xml:space="preserve"> </w:t>
      </w:r>
      <w:r>
        <w:t xml:space="preserve">road-only sector in the EU. Intermodal operations below a certain distance are not price-competitive with</w:t>
      </w:r>
      <w:r>
        <w:t xml:space="preserve"> </w:t>
      </w:r>
      <w:r>
        <w:t xml:space="preserve">road only transport resulting in road-only transport still being the preferred transport option for freight</w:t>
      </w:r>
      <w:r>
        <w:t xml:space="preserve"> </w:t>
      </w:r>
      <w:r>
        <w:t xml:space="preserve">with its resulting negative external effects. Until external costs are full internalised in the EU, regulatory</w:t>
      </w:r>
      <w:r>
        <w:t xml:space="preserve"> </w:t>
      </w:r>
      <w:r>
        <w:t xml:space="preserve">and economic support can help to make intermodal transport price-competitive.</w:t>
      </w:r>
      <w:r>
        <w:br/>
      </w:r>
      <w:r>
        <w:t xml:space="preserve">The preferred policy option (PO-B2a) increases the share of intermodal that is eligible for support and</w:t>
      </w:r>
      <w:r>
        <w:t xml:space="preserve"> </w:t>
      </w:r>
      <w:r>
        <w:t xml:space="preserve">ensures that all intermodal combinations (rail, IWW and SSS) will be eligible for support. It also increases</w:t>
      </w:r>
      <w:r>
        <w:t xml:space="preserve"> </w:t>
      </w:r>
      <w:r>
        <w:t xml:space="preserve">the level and types of support available. In summary, it makes more operations more price competitive vis-</w:t>
      </w:r>
      <w:r>
        <w:t xml:space="preserve"> </w:t>
      </w:r>
      <w:r>
        <w:t xml:space="preserve">à-vis road only transport.</w:t>
      </w:r>
      <w:r>
        <w:br/>
      </w:r>
      <w:r>
        <w:t xml:space="preserve">Without operational support, the door-to-door break-even distances are on average 740 km for rail,</w:t>
      </w:r>
      <w:r>
        <w:t xml:space="preserve"> </w:t>
      </w:r>
      <w:r>
        <w:t xml:space="preserve">260 km for IWW and 775 km for SSS. With a 10% support from total door-to-door price, the break-</w:t>
      </w:r>
      <w:r>
        <w:t xml:space="preserve"> </w:t>
      </w:r>
      <w:r>
        <w:t xml:space="preserve">even distances are reduced to 535 km for rail, 200 km for IWW and 610 km for SSS. Thus, the</w:t>
      </w:r>
      <w:r>
        <w:t xml:space="preserve"> </w:t>
      </w:r>
      <w:r>
        <w:t xml:space="preserve">support provided by CTD makes shorter operations economically competitive with road-only</w:t>
      </w:r>
      <w:r>
        <w:t xml:space="preserve"> </w:t>
      </w:r>
      <w:r>
        <w:t xml:space="preserve">transport and thus increases the potential for modal shift. Operations shorter than these new break-</w:t>
      </w:r>
      <w:r>
        <w:t xml:space="preserve"> </w:t>
      </w:r>
      <w:r>
        <w:t xml:space="preserve">even distances will not be price-competitive with road only transport and thus are likely to remain on</w:t>
      </w:r>
      <w:r>
        <w:t xml:space="preserve"> </w:t>
      </w:r>
      <w:r>
        <w:t xml:space="preserve">road-only transport.</w:t>
      </w:r>
      <w:r>
        <w:br/>
      </w:r>
      <w:r>
        <w:t xml:space="preserve">A higher percentage of support would result in even shorter break-even distances.</w:t>
      </w:r>
      <w:r>
        <w:br/>
      </w:r>
      <w:r>
        <w:t xml:space="preserve">Start-up support and technological upgrade support, provided for under PM10 and PM11, as well as</w:t>
      </w:r>
      <w:r>
        <w:t xml:space="preserve"> </w:t>
      </w:r>
      <w:r>
        <w:t xml:space="preserve">exemption from driving bans provided for in PM13 are not aimed at increasing price competitiveness, but</w:t>
      </w:r>
      <w:r>
        <w:t xml:space="preserve"> </w:t>
      </w:r>
      <w:r>
        <w:t xml:space="preserve">are enabling tools to make intermodal transport possible. However, as regards flexibility and availability,</w:t>
      </w:r>
      <w:r>
        <w:t xml:space="preserve"> </w:t>
      </w:r>
      <w:r>
        <w:t xml:space="preserve">they make intermodal transport more competitive by allowing it to take place in more places and more</w:t>
      </w:r>
      <w:r>
        <w:t xml:space="preserve"> </w:t>
      </w:r>
      <w:r>
        <w:t xml:space="preserve">frequently.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Figure 19: Average price-competitive door-to-door distances in intermodal transport without and with the economic</w:t>
      </w:r>
      <w:r>
        <w:t xml:space="preserve"> </w:t>
      </w:r>
      <w:r>
        <w:t xml:space="preserve">support of 10%, per modal combination (cost in EUR and km)</w:t>
      </w:r>
    </w:p>
    <w:p>
      <w:pPr>
        <w:pStyle w:val="BodyText"/>
      </w:pPr>
      <w:r>
        <w:t xml:space="preserve">Source: Ricardo et al. support study (2023)</w:t>
      </w:r>
      <w:r>
        <w:t xml:space="preserve"> </w:t>
      </w:r>
      <w:r>
        <w:t xml:space="preserve">The increase in the competitiveness of intermodal transport operations is expected to have knock-on</w:t>
      </w:r>
      <w:r>
        <w:t xml:space="preserve"> </w:t>
      </w:r>
      <w:r>
        <w:t xml:space="preserve">effects throughout the entire economy, leveraging the initial impact on the transport sector. This is also</w:t>
      </w:r>
      <w:r>
        <w:t xml:space="preserve"> </w:t>
      </w:r>
      <w:r>
        <w:t xml:space="preserve">expected to lead to positive impacts on GDP. The impact on GDP is however estimated to be small as the</w:t>
      </w:r>
      <w:r>
        <w:t xml:space="preserve"> </w:t>
      </w:r>
      <w:r>
        <w:t xml:space="preserve">proposal does not bring along new transport activity, but rather induces redistribution of operations</w:t>
      </w:r>
      <w:r>
        <w:t xml:space="preserve"> </w:t>
      </w:r>
      <w:r>
        <w:t xml:space="preserve">between the modes. The changes are expected mostly due to positive effects on logistics organisers,</w:t>
      </w:r>
      <w:r>
        <w:t xml:space="preserve"> </w:t>
      </w:r>
      <w:r>
        <w:t xml:space="preserve">terminal activity and engagement of more companies in one transport operation. PO-B2a is estimated to</w:t>
      </w:r>
      <w:r>
        <w:t xml:space="preserve"> </w:t>
      </w:r>
      <w:r>
        <w:t xml:space="preserve">lead to 0.1% increase in GDP in 2030 and 0.3% increase in 2050 relative to the baseline.</w:t>
      </w:r>
      <w:r>
        <w:br/>
      </w:r>
      <w:r>
        <w:t xml:space="preserve">2.2. International competitiveness</w:t>
      </w:r>
      <w:r>
        <w:t xml:space="preserve"> </w:t>
      </w:r>
      <w:r>
        <w:t xml:space="preserve">This revision has no impact on international competitiveness of intermodal transport as it applies strictly to</w:t>
      </w:r>
      <w:r>
        <w:t xml:space="preserve"> </w:t>
      </w:r>
      <w:r>
        <w:t xml:space="preserve">operations within the EU.</w:t>
      </w:r>
      <w:r>
        <w:br/>
      </w:r>
      <w:r>
        <w:t xml:space="preserve">2.3. Capacity to innovate</w:t>
      </w:r>
      <w:r>
        <w:t xml:space="preserve"> </w:t>
      </w:r>
      <w:r>
        <w:t xml:space="preserve">This proposal has limited impact on capacity to innovate. By making intermodal transport more</w:t>
      </w:r>
      <w:r>
        <w:t xml:space="preserve"> </w:t>
      </w:r>
      <w:r>
        <w:t xml:space="preserve">competitive, investment into new technologies can become interesting for the sector. Technology and</w:t>
      </w:r>
      <w:r>
        <w:t xml:space="preserve"> </w:t>
      </w:r>
      <w:r>
        <w:t xml:space="preserve">mode-neutral, non-discriminatory support to intermodal transport and removal of limits of eligible loading</w:t>
      </w:r>
      <w:r>
        <w:t xml:space="preserve"> </w:t>
      </w:r>
      <w:r>
        <w:t xml:space="preserve">units can trigger innovation as regards loading units and transhipment technology, or wider roll-out of</w:t>
      </w:r>
      <w:r>
        <w:t xml:space="preserve"> </w:t>
      </w:r>
      <w:r>
        <w:t xml:space="preserve">currently marginal innovative technologies. Several stakeholders have already shown interest to invest in</w:t>
      </w:r>
      <w:r>
        <w:t xml:space="preserve"> </w:t>
      </w:r>
      <w:r>
        <w:t xml:space="preserve">intermodal transport for loading units that are not eligible and thus competitive today (smaller containers</w:t>
      </w:r>
      <w:r>
        <w:t xml:space="preserve"> </w:t>
      </w:r>
      <w:r>
        <w:t xml:space="preserve">suitable for urban transport, universal aviation loading units, horizontal transhipment technologies etc.).</w:t>
      </w:r>
      <w:r>
        <w:t xml:space="preserve"> </w:t>
      </w:r>
      <w:r>
        <w:t xml:space="preserve">Furthermore, the support to technological upgrade will allow to support innovation and technological</w:t>
      </w:r>
      <w:r>
        <w:t xml:space="preserve"> </w:t>
      </w:r>
      <w:r>
        <w:t xml:space="preserve">upgrade in general.</w:t>
      </w:r>
      <w:r>
        <w:br/>
      </w:r>
      <w:r>
        <w:t xml:space="preserve">2.4. SME competitiveness</w:t>
      </w:r>
      <w:r>
        <w:t xml:space="preserve"> </w:t>
      </w:r>
      <w:r>
        <w:t xml:space="preserve">Given that SMEs represent a substantial part of the transport market, including the intermodal market,</w:t>
      </w:r>
      <w:r>
        <w:t xml:space="preserve"> </w:t>
      </w:r>
      <w:r>
        <w:t xml:space="preserve">the assessment on the overall cost and price competitiveness aspect as provided in section 2.1, to very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large extent shall be applicable also here. In this regard, the revision has an impact on the</w:t>
      </w:r>
      <w:r>
        <w:t xml:space="preserve"> </w:t>
      </w:r>
      <w:r>
        <w:t xml:space="preserve">competitiveness of SMEs providing services in the intermodal chain or wishing to enter this market.</w:t>
      </w:r>
      <w:r>
        <w:t xml:space="preserve"> </w:t>
      </w:r>
      <w:r>
        <w:t xml:space="preserve">For further details on SME impacts, see Annex 13.</w:t>
      </w:r>
      <w:r>
        <w:br/>
      </w:r>
      <w:r>
        <w:t xml:space="preserve">As explained in section 6.1.5, PO-B2a is expected to result in net costs savings for businesses, estimated at EUR</w:t>
      </w:r>
      <w:r>
        <w:t xml:space="preserve"> </w:t>
      </w:r>
      <w:r>
        <w:t xml:space="preserve">4.33 billion, expressed as present value relative to the baseline. Considering the large share of SMEs estimated to</w:t>
      </w:r>
      <w:r>
        <w:t xml:space="preserve"> </w:t>
      </w:r>
      <w:r>
        <w:t xml:space="preserve">operate in the intermodal transport sector, a significant share of these net costs savings are expected to be</w:t>
      </w:r>
      <w:r>
        <w:t xml:space="preserve"> </w:t>
      </w:r>
      <w:r>
        <w:t xml:space="preserve">attributed to them although the available data did not allow a split of these costs savings between the two groups</w:t>
      </w:r>
      <w:r>
        <w:t xml:space="preserve"> </w:t>
      </w:r>
      <w:r>
        <w:t xml:space="preserve">of operators (i.e. SME and others).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ANNEX 6: RETAINED MEASURES</w:t>
      </w:r>
      <w:r>
        <w:t xml:space="preserve"> </w:t>
      </w:r>
      <w:r>
        <w:t xml:space="preserve">No</w:t>
      </w:r>
      <w:r>
        <w:t xml:space="preserve"> </w:t>
      </w:r>
      <w:r>
        <w:t xml:space="preserve">Categories of measures by</w:t>
      </w:r>
      <w:r>
        <w:t xml:space="preserve"> </w:t>
      </w:r>
      <w:r>
        <w:t xml:space="preserve">thematic area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and spec.</w:t>
      </w:r>
      <w:r>
        <w:t xml:space="preserve"> </w:t>
      </w:r>
      <w:r>
        <w:t xml:space="preserve">objective</w:t>
      </w:r>
      <w:r>
        <w:t xml:space="preserve"> </w:t>
      </w:r>
      <w:r>
        <w:t xml:space="preserve">s</w:t>
      </w:r>
      <w:r>
        <w:br/>
      </w:r>
      <w:r>
        <w:t xml:space="preserve">Short description</w:t>
      </w:r>
      <w:r>
        <w:t xml:space="preserve"> </w:t>
      </w:r>
      <w:r>
        <w:t xml:space="preserve">PM1</w:t>
      </w:r>
      <w:r>
        <w:t xml:space="preserve"> </w:t>
      </w:r>
      <w:r>
        <w:t xml:space="preserve">Include in the scope all</w:t>
      </w:r>
      <w:r>
        <w:t xml:space="preserve"> </w:t>
      </w:r>
      <w:r>
        <w:t xml:space="preserve">intermodal operations in EU that</w:t>
      </w:r>
      <w:r>
        <w:t xml:space="preserve"> </w:t>
      </w:r>
      <w:r>
        <w:t xml:space="preserve">save 25% GHG when using</w:t>
      </w:r>
      <w:r>
        <w:t xml:space="preserve"> </w:t>
      </w:r>
      <w:r>
        <w:t xml:space="preserve">intermodal operation instead of</w:t>
      </w:r>
      <w:r>
        <w:t xml:space="preserve"> </w:t>
      </w:r>
      <w:r>
        <w:t xml:space="preserve">road-only; calculation of GHG</w:t>
      </w:r>
      <w:r>
        <w:t xml:space="preserve"> </w:t>
      </w:r>
      <w:r>
        <w:t xml:space="preserve">savings is based on common EU</w:t>
      </w:r>
      <w:r>
        <w:t xml:space="preserve"> </w:t>
      </w:r>
      <w:r>
        <w:t xml:space="preserve">methodology (CEEU)</w:t>
      </w:r>
      <w:r>
        <w:t xml:space="preserve"> </w:t>
      </w:r>
      <w:r>
        <w:t xml:space="preserve">PD1</w:t>
      </w:r>
      <w:r>
        <w:t xml:space="preserve"> </w:t>
      </w:r>
      <w:r>
        <w:t xml:space="preserve">SO1</w:t>
      </w:r>
      <w:r>
        <w:t xml:space="preserve"> </w:t>
      </w:r>
      <w:r>
        <w:t xml:space="preserve">Establishes which operations are eligible for support provided under the CTD. The</w:t>
      </w:r>
      <w:r>
        <w:t xml:space="preserve"> </w:t>
      </w:r>
      <w:r>
        <w:t xml:space="preserve">distance limits for different transport legs and to nearest suitable terminal, as</w:t>
      </w:r>
      <w:r>
        <w:t xml:space="preserve"> </w:t>
      </w:r>
      <w:r>
        <w:t xml:space="preserve">used in the current CTD will be removed. There would be no size limits on loading</w:t>
      </w:r>
      <w:r>
        <w:t xml:space="preserve"> </w:t>
      </w:r>
      <w:r>
        <w:t xml:space="preserve">units. All intermodal freight operations in the EU, including domestic operations,</w:t>
      </w:r>
      <w:r>
        <w:t xml:space="preserve"> </w:t>
      </w:r>
      <w:r>
        <w:t xml:space="preserve">that achieve a 25% reduction of CO2e (GHG), compared to a road only transport</w:t>
      </w:r>
      <w:r>
        <w:t xml:space="preserve"> </w:t>
      </w:r>
      <w:r>
        <w:t xml:space="preserve">between the same points, are eligible. GHG calculations will be based on the</w:t>
      </w:r>
      <w:r>
        <w:t xml:space="preserve"> </w:t>
      </w:r>
      <w:r>
        <w:t xml:space="preserve">methodology established in the CEEU206.</w:t>
      </w:r>
      <w:r>
        <w:t xml:space="preserve"> </w:t>
      </w:r>
      <w:r>
        <w:t xml:space="preserve">PM2</w:t>
      </w:r>
      <w:r>
        <w:t xml:space="preserve"> </w:t>
      </w:r>
      <w:r>
        <w:t xml:space="preserve">all-</w:t>
      </w:r>
      <w:r>
        <w:t xml:space="preserve"> </w:t>
      </w:r>
      <w:r>
        <w:t xml:space="preserve">intra-</w:t>
      </w:r>
      <w:r>
        <w:t xml:space="preserve"> </w:t>
      </w:r>
      <w:r>
        <w:t xml:space="preserve">EU</w:t>
      </w:r>
      <w:r>
        <w:t xml:space="preserve"> </w:t>
      </w:r>
      <w:r>
        <w:t xml:space="preserve">Include in the scope all</w:t>
      </w:r>
      <w:r>
        <w:t xml:space="preserve"> </w:t>
      </w:r>
      <w:r>
        <w:t xml:space="preserve">intermodal operations in EU that</w:t>
      </w:r>
      <w:r>
        <w:t xml:space="preserve"> </w:t>
      </w:r>
      <w:r>
        <w:t xml:space="preserve">save 40% external costs when</w:t>
      </w:r>
      <w:r>
        <w:t xml:space="preserve"> </w:t>
      </w:r>
      <w:r>
        <w:t xml:space="preserve">using intermodal operation</w:t>
      </w:r>
      <w:r>
        <w:t xml:space="preserve"> </w:t>
      </w:r>
      <w:r>
        <w:t xml:space="preserve">instead of road-only; calculation</w:t>
      </w:r>
      <w:r>
        <w:t xml:space="preserve"> </w:t>
      </w:r>
      <w:r>
        <w:t xml:space="preserve">of external costs is based on</w:t>
      </w:r>
      <w:r>
        <w:t xml:space="preserve"> </w:t>
      </w:r>
      <w:r>
        <w:t xml:space="preserve">common EU methodology based</w:t>
      </w:r>
      <w:r>
        <w:t xml:space="preserve"> </w:t>
      </w:r>
      <w:r>
        <w:t xml:space="preserve">on the unit values from the</w:t>
      </w:r>
      <w:r>
        <w:t xml:space="preserve"> </w:t>
      </w:r>
      <w:r>
        <w:t xml:space="preserve">Handbook207, established by</w:t>
      </w:r>
      <w:r>
        <w:t xml:space="preserve"> </w:t>
      </w:r>
      <w:r>
        <w:t xml:space="preserve">means of an implementing act.</w:t>
      </w:r>
      <w:r>
        <w:t xml:space="preserve"> </w:t>
      </w:r>
      <w:r>
        <w:t xml:space="preserve">PD1</w:t>
      </w:r>
      <w:r>
        <w:t xml:space="preserve"> </w:t>
      </w:r>
      <w:r>
        <w:t xml:space="preserve">SO1</w:t>
      </w:r>
      <w:r>
        <w:t xml:space="preserve"> </w:t>
      </w:r>
      <w:r>
        <w:t xml:space="preserve">Establishes which operations are eligible for a support provided under the CTD.</w:t>
      </w:r>
      <w:r>
        <w:t xml:space="preserve"> </w:t>
      </w:r>
      <w:r>
        <w:t xml:space="preserve">The distance limits for different transport legs and to nearest suitable terminal,</w:t>
      </w:r>
      <w:r>
        <w:t xml:space="preserve"> </w:t>
      </w:r>
      <w:r>
        <w:t xml:space="preserve">as used in the current CTD, will be removed. There would be no size limits on</w:t>
      </w:r>
      <w:r>
        <w:t xml:space="preserve"> </w:t>
      </w:r>
      <w:r>
        <w:t xml:space="preserve">loading units. All intermodal operations in the EU, including domestic operations,</w:t>
      </w:r>
      <w:r>
        <w:t xml:space="preserve"> </w:t>
      </w:r>
      <w:r>
        <w:t xml:space="preserve">that achieve a 40% reduction of negative externalities, compared to a road only</w:t>
      </w:r>
      <w:r>
        <w:t xml:space="preserve"> </w:t>
      </w:r>
      <w:r>
        <w:t xml:space="preserve">transport between the same points, are eligible. Calculations of external costs will</w:t>
      </w:r>
      <w:r>
        <w:t xml:space="preserve"> </w:t>
      </w:r>
      <w:r>
        <w:t xml:space="preserve">be based on a common EU methodology which uses the unit values from the</w:t>
      </w:r>
      <w:r>
        <w:t xml:space="preserve"> </w:t>
      </w:r>
      <w:r>
        <w:t xml:space="preserve">Handbook on the external costs of transport208. References to the methodology</w:t>
      </w:r>
      <w:r>
        <w:t xml:space="preserve"> </w:t>
      </w:r>
      <w:r>
        <w:t xml:space="preserve">will be provided in an implementing act, facilitate the update of the reference</w:t>
      </w:r>
      <w:r>
        <w:t xml:space="preserve"> </w:t>
      </w:r>
      <w:r>
        <w:t xml:space="preserve">values to take into account the future updates of the Handbook.</w:t>
      </w:r>
      <w:r>
        <w:br/>
      </w:r>
      <w:r>
        <w:t xml:space="preserve">PM2</w:t>
      </w:r>
      <w:r>
        <w:t xml:space="preserve"> </w:t>
      </w:r>
      <w:r>
        <w:t xml:space="preserve">cross-</w:t>
      </w:r>
      <w:r>
        <w:t xml:space="preserve"> </w:t>
      </w:r>
      <w:r>
        <w:t xml:space="preserve">Include in the scope only cross-</w:t>
      </w:r>
      <w:r>
        <w:t xml:space="preserve"> </w:t>
      </w:r>
      <w:r>
        <w:t xml:space="preserve">border intermodal operations in</w:t>
      </w:r>
      <w:r>
        <w:t xml:space="preserve"> </w:t>
      </w:r>
      <w:r>
        <w:t xml:space="preserve">EU that save 40% external costs</w:t>
      </w:r>
      <w:r>
        <w:t xml:space="preserve"> </w:t>
      </w:r>
      <w:r>
        <w:t xml:space="preserve">PD1</w:t>
      </w:r>
      <w:r>
        <w:t xml:space="preserve"> </w:t>
      </w:r>
      <w:r>
        <w:t xml:space="preserve">SO1</w:t>
      </w:r>
      <w:r>
        <w:t xml:space="preserve"> </w:t>
      </w:r>
      <w:r>
        <w:t xml:space="preserve">Establishes which operations are eligible for a support provided under the CTD.</w:t>
      </w:r>
      <w:r>
        <w:t xml:space="preserve"> </w:t>
      </w:r>
      <w:r>
        <w:t xml:space="preserve">The distance limits for different transport legs and to nearest suitable terminal,</w:t>
      </w:r>
      <w:r>
        <w:t xml:space="preserve"> </w:t>
      </w:r>
      <w:r>
        <w:t xml:space="preserve">as used in the current CTD, will be removed. There would be no size limits on</w:t>
      </w:r>
    </w:p>
    <w:p>
      <w:pPr>
        <w:pStyle w:val="BodyText"/>
      </w:pPr>
      <w:r>
        <w:t xml:space="preserve">206 CountEmissionsEU proposal is part of the Greening Freight Package. It aims to establish a harmonised methodology to measure door-to door GHG remissions of transport operations,</w:t>
      </w:r>
      <w:r>
        <w:t xml:space="preserve"> </w:t>
      </w:r>
      <w:r>
        <w:t xml:space="preserve">allowing for reliable results, and enable a fair comparison of different transport options.</w:t>
      </w:r>
      <w:r>
        <w:t xml:space="preserve"> </w:t>
      </w:r>
      <w:r>
        <w:t xml:space="preserve">207 The Handbook on the external costs of transport CE Delft et al. (2019). op.cit.</w:t>
      </w:r>
      <w:r>
        <w:br/>
      </w:r>
      <w:r>
        <w:t xml:space="preserve">208 CE Delft (2019), Handbook on the external costs of transport, available at : https://op.europa.eu/en/publication-detail/-/publication/9781f65f-8448-11ea-bf12-01aa75ed71a1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Categories of measures by</w:t>
      </w:r>
      <w:r>
        <w:t xml:space="preserve"> </w:t>
      </w:r>
      <w:r>
        <w:t xml:space="preserve">thematic area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and spec.</w:t>
      </w:r>
      <w:r>
        <w:t xml:space="preserve"> </w:t>
      </w:r>
      <w:r>
        <w:t xml:space="preserve">objective</w:t>
      </w:r>
      <w:r>
        <w:t xml:space="preserve"> </w:t>
      </w:r>
      <w:r>
        <w:t xml:space="preserve">s</w:t>
      </w:r>
      <w:r>
        <w:br/>
      </w:r>
      <w:r>
        <w:t xml:space="preserve">Short description</w:t>
      </w:r>
      <w:r>
        <w:t xml:space="preserve"> </w:t>
      </w:r>
      <w:r>
        <w:t xml:space="preserve">borde</w:t>
      </w:r>
      <w:r>
        <w:t xml:space="preserve"> </w:t>
      </w:r>
      <w:r>
        <w:t xml:space="preserve">r</w:t>
      </w:r>
      <w:r>
        <w:t xml:space="preserve"> </w:t>
      </w:r>
      <w:r>
        <w:t xml:space="preserve">when using intermodal operation</w:t>
      </w:r>
      <w:r>
        <w:t xml:space="preserve"> </w:t>
      </w:r>
      <w:r>
        <w:t xml:space="preserve">instead of road-only; calculation</w:t>
      </w:r>
      <w:r>
        <w:t xml:space="preserve"> </w:t>
      </w:r>
      <w:r>
        <w:t xml:space="preserve">of external costs is based on</w:t>
      </w:r>
      <w:r>
        <w:t xml:space="preserve"> </w:t>
      </w:r>
      <w:r>
        <w:t xml:space="preserve">common EU methodology based</w:t>
      </w:r>
      <w:r>
        <w:t xml:space="preserve"> </w:t>
      </w:r>
      <w:r>
        <w:t xml:space="preserve">on the unit values from in the</w:t>
      </w:r>
      <w:r>
        <w:t xml:space="preserve"> </w:t>
      </w:r>
      <w:r>
        <w:t xml:space="preserve">Handbook, established by means</w:t>
      </w:r>
      <w:r>
        <w:t xml:space="preserve"> </w:t>
      </w:r>
      <w:r>
        <w:t xml:space="preserve">of an implementing act</w:t>
      </w:r>
      <w:r>
        <w:t xml:space="preserve"> </w:t>
      </w:r>
      <w:r>
        <w:t xml:space="preserve">loading units. Like in the current CTD, only cross-border intermodal freight</w:t>
      </w:r>
      <w:r>
        <w:t xml:space="preserve"> </w:t>
      </w:r>
      <w:r>
        <w:t xml:space="preserve">operations in the EU that achieve a 40% reduction of negative externalities,</w:t>
      </w:r>
      <w:r>
        <w:t xml:space="preserve"> </w:t>
      </w:r>
      <w:r>
        <w:t xml:space="preserve">compared to a road only transport between the same points, are eligible.</w:t>
      </w:r>
      <w:r>
        <w:t xml:space="preserve"> </w:t>
      </w:r>
      <w:r>
        <w:t xml:space="preserve">Calculations of external costs will be based on a common EU methodology which</w:t>
      </w:r>
      <w:r>
        <w:t xml:space="preserve"> </w:t>
      </w:r>
      <w:r>
        <w:t xml:space="preserve">uses the unit values from the Handbook on the external costs of transport.</w:t>
      </w:r>
      <w:r>
        <w:t xml:space="preserve"> </w:t>
      </w:r>
      <w:r>
        <w:t xml:space="preserve">References to the methodology will be provided in an implementing act, facilitate</w:t>
      </w:r>
      <w:r>
        <w:t xml:space="preserve"> </w:t>
      </w:r>
      <w:r>
        <w:t xml:space="preserve">the update of the reference values to take into account the future updates of the</w:t>
      </w:r>
      <w:r>
        <w:t xml:space="preserve"> </w:t>
      </w:r>
      <w:r>
        <w:t xml:space="preserve">Handbook.</w:t>
      </w:r>
      <w:r>
        <w:br/>
      </w:r>
      <w:r>
        <w:t xml:space="preserve">PM3</w:t>
      </w:r>
      <w:r>
        <w:t xml:space="preserve"> </w:t>
      </w:r>
      <w:r>
        <w:t xml:space="preserve">Establish common data set for</w:t>
      </w:r>
      <w:r>
        <w:t xml:space="preserve"> </w:t>
      </w:r>
      <w:r>
        <w:t xml:space="preserve">proof of eligibility with</w:t>
      </w:r>
      <w:r>
        <w:t xml:space="preserve"> </w:t>
      </w:r>
      <w:r>
        <w:t xml:space="preserve">implementation via eFTI</w:t>
      </w:r>
      <w:r>
        <w:t xml:space="preserve"> </w:t>
      </w:r>
      <w:r>
        <w:t xml:space="preserve">platforms</w:t>
      </w:r>
      <w:r>
        <w:br/>
      </w:r>
      <w:r>
        <w:t xml:space="preserve">PD1</w:t>
      </w:r>
      <w:r>
        <w:t xml:space="preserve"> </w:t>
      </w:r>
      <w:r>
        <w:t xml:space="preserve">SO1</w:t>
      </w:r>
      <w:r>
        <w:t xml:space="preserve"> </w:t>
      </w:r>
      <w:r>
        <w:t xml:space="preserve">This is a measure to implement PM1 and PM2s. It establishes a clear and</w:t>
      </w:r>
      <w:r>
        <w:t xml:space="preserve"> </w:t>
      </w:r>
      <w:r>
        <w:t xml:space="preserve">harmonised definition of data required for the proof of eligibility, including in case</w:t>
      </w:r>
      <w:r>
        <w:t xml:space="preserve"> </w:t>
      </w:r>
      <w:r>
        <w:t xml:space="preserve">of road-side checks. Data should cover the whole chain of the transport activity</w:t>
      </w:r>
      <w:r>
        <w:t xml:space="preserve"> </w:t>
      </w:r>
      <w:r>
        <w:t xml:space="preserve">and make it possible to follow the operation door-to-door. The list of data</w:t>
      </w:r>
      <w:r>
        <w:t xml:space="preserve"> </w:t>
      </w:r>
      <w:r>
        <w:t xml:space="preserve">elements builds on the compromise reached in the negotiations on the previous</w:t>
      </w:r>
      <w:r>
        <w:t xml:space="preserve"> </w:t>
      </w:r>
      <w:r>
        <w:t xml:space="preserve">revision of CTD in 2019.</w:t>
      </w:r>
      <w:r>
        <w:br/>
      </w:r>
      <w:r>
        <w:t xml:space="preserve">All eligible operations have to provide transport data electronically using eFTI</w:t>
      </w:r>
      <w:r>
        <w:t xml:space="preserve"> </w:t>
      </w:r>
      <w:r>
        <w:t xml:space="preserve">platforms209. The eFTI platforms will include a dedicated option for intermodal</w:t>
      </w:r>
      <w:r>
        <w:t xml:space="preserve"> </w:t>
      </w:r>
      <w:r>
        <w:t xml:space="preserve">transport and a ‘plug-in’ calculator of external costs, to reduce administrative burdens</w:t>
      </w:r>
      <w:r>
        <w:t xml:space="preserve"> </w:t>
      </w:r>
      <w:r>
        <w:t xml:space="preserve">to operators. This will enable both, the transport organiser as well as authorities</w:t>
      </w:r>
      <w:r>
        <w:t xml:space="preserve"> </w:t>
      </w:r>
      <w:r>
        <w:t xml:space="preserve">carrying out road-side checks to immediately see if an operation is eligible or not.</w:t>
      </w:r>
      <w:r>
        <w:t xml:space="preserve"> </w:t>
      </w:r>
      <w:r>
        <w:t xml:space="preserve">PM4</w:t>
      </w:r>
      <w:r>
        <w:t xml:space="preserve"> </w:t>
      </w:r>
      <w:r>
        <w:t xml:space="preserve">Replace reporting by the</w:t>
      </w:r>
      <w:r>
        <w:t xml:space="preserve"> </w:t>
      </w:r>
      <w:r>
        <w:t xml:space="preserve">Commission with Member</w:t>
      </w:r>
      <w:r>
        <w:t xml:space="preserve"> </w:t>
      </w:r>
      <w:r>
        <w:t xml:space="preserve">States’ voluntary analysis and</w:t>
      </w:r>
      <w:r>
        <w:t xml:space="preserve"> </w:t>
      </w:r>
      <w:r>
        <w:t xml:space="preserve">strategic planning for sustainable</w:t>
      </w:r>
      <w:r>
        <w:t xml:space="preserve"> </w:t>
      </w:r>
      <w:r>
        <w:t xml:space="preserve">freight transport</w:t>
      </w:r>
      <w:r>
        <w:br/>
      </w:r>
      <w:r>
        <w:t xml:space="preserve">PD2</w:t>
      </w:r>
      <w:r>
        <w:t xml:space="preserve"> </w:t>
      </w:r>
      <w:r>
        <w:t xml:space="preserve">SO2</w:t>
      </w:r>
      <w:r>
        <w:t xml:space="preserve"> </w:t>
      </w:r>
      <w:r>
        <w:t xml:space="preserve">Establishes a regime for the market monitoring and analysis, where the Members</w:t>
      </w:r>
      <w:r>
        <w:t xml:space="preserve"> </w:t>
      </w:r>
      <w:r>
        <w:t xml:space="preserve">States are invited to conduct an analysis of their transport system and</w:t>
      </w:r>
      <w:r>
        <w:t xml:space="preserve"> </w:t>
      </w:r>
      <w:r>
        <w:t xml:space="preserve">sustainable freight transport (rail, IWW, SSS) to allow design their support based</w:t>
      </w:r>
      <w:r>
        <w:t xml:space="preserve"> </w:t>
      </w:r>
      <w:r>
        <w:t xml:space="preserve">on empirical evidence. Based on the analysis, Member States would be invited to</w:t>
      </w:r>
    </w:p>
    <w:p>
      <w:pPr>
        <w:pStyle w:val="BodyText"/>
      </w:pPr>
      <w:r>
        <w:t xml:space="preserve">209 Regulation (EU) 2020/1056 of the European Parliament and of the Council of 15 July 2020 on electronic freight transport information (he eFTI Regulation) establishes a legal</w:t>
      </w:r>
      <w:r>
        <w:t xml:space="preserve"> </w:t>
      </w:r>
      <w:r>
        <w:t xml:space="preserve">framework that allows economic operators to share information in an electronic format concerning the transport of goods in the EU hinterland by road, rail, inland waterways and air,</w:t>
      </w:r>
      <w:r>
        <w:t xml:space="preserve"> </w:t>
      </w:r>
      <w:r>
        <w:t xml:space="preserve">to prove compliance with applicable transport legislation.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Categories of measures by</w:t>
      </w:r>
      <w:r>
        <w:t xml:space="preserve"> </w:t>
      </w:r>
      <w:r>
        <w:t xml:space="preserve">thematic area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and spec.</w:t>
      </w:r>
      <w:r>
        <w:t xml:space="preserve"> </w:t>
      </w:r>
      <w:r>
        <w:t xml:space="preserve">objective</w:t>
      </w:r>
      <w:r>
        <w:t xml:space="preserve"> </w:t>
      </w:r>
      <w:r>
        <w:t xml:space="preserve">s</w:t>
      </w:r>
      <w:r>
        <w:br/>
      </w:r>
      <w:r>
        <w:t xml:space="preserve">Short description</w:t>
      </w:r>
      <w:r>
        <w:t xml:space="preserve"> </w:t>
      </w:r>
      <w:r>
        <w:t xml:space="preserve">prepare a plan on how to best support modal shift and address the specific</w:t>
      </w:r>
      <w:r>
        <w:t xml:space="preserve"> </w:t>
      </w:r>
      <w:r>
        <w:t xml:space="preserve">problems in their transport system.</w:t>
      </w:r>
      <w:r>
        <w:br/>
      </w:r>
      <w:r>
        <w:t xml:space="preserve">PM5</w:t>
      </w:r>
      <w:r>
        <w:t xml:space="preserve"> </w:t>
      </w:r>
      <w:r>
        <w:t xml:space="preserve">Replace reporting by the</w:t>
      </w:r>
      <w:r>
        <w:t xml:space="preserve"> </w:t>
      </w:r>
      <w:r>
        <w:t xml:space="preserve">Commission with Member</w:t>
      </w:r>
      <w:r>
        <w:t xml:space="preserve"> </w:t>
      </w:r>
      <w:r>
        <w:t xml:space="preserve">States’ mandatory analysis and</w:t>
      </w:r>
      <w:r>
        <w:t xml:space="preserve"> </w:t>
      </w:r>
      <w:r>
        <w:t xml:space="preserve">strategic planning for all freight</w:t>
      </w:r>
      <w:r>
        <w:t xml:space="preserve"> </w:t>
      </w:r>
      <w:r>
        <w:t xml:space="preserve">transport system (cross-modal).</w:t>
      </w:r>
      <w:r>
        <w:t xml:space="preserve"> </w:t>
      </w:r>
      <w:r>
        <w:t xml:space="preserve">An obligation to regularly review</w:t>
      </w:r>
      <w:r>
        <w:t xml:space="preserve"> </w:t>
      </w:r>
      <w:r>
        <w:t xml:space="preserve">the measures.</w:t>
      </w:r>
      <w:r>
        <w:br/>
      </w:r>
      <w:r>
        <w:t xml:space="preserve">PD2</w:t>
      </w:r>
      <w:r>
        <w:t xml:space="preserve"> </w:t>
      </w:r>
      <w:r>
        <w:t xml:space="preserve">SO2</w:t>
      </w:r>
      <w:r>
        <w:t xml:space="preserve"> </w:t>
      </w:r>
      <w:r>
        <w:t xml:space="preserve">Establishes a regime for the market monitoring and analysis, where Members</w:t>
      </w:r>
      <w:r>
        <w:t xml:space="preserve"> </w:t>
      </w:r>
      <w:r>
        <w:t xml:space="preserve">States are obliged to conduct an analysis of their transport system, with a special</w:t>
      </w:r>
      <w:r>
        <w:t xml:space="preserve"> </w:t>
      </w:r>
      <w:r>
        <w:t xml:space="preserve">focus on trends for intermodal transport and bottlenecks for increased uptake.</w:t>
      </w:r>
      <w:r>
        <w:t xml:space="preserve"> </w:t>
      </w:r>
      <w:r>
        <w:t xml:space="preserve">The regular analysis has to cover all modes of transport (including road-only) and</w:t>
      </w:r>
      <w:r>
        <w:t xml:space="preserve"> </w:t>
      </w:r>
      <w:r>
        <w:t xml:space="preserve">analyse inter alia the cross-modal trends, issues and projections. Based on the</w:t>
      </w:r>
      <w:r>
        <w:t xml:space="preserve"> </w:t>
      </w:r>
      <w:r>
        <w:t xml:space="preserve">analysis, Member States have to prepare a plan on how to best support modal</w:t>
      </w:r>
      <w:r>
        <w:t xml:space="preserve"> </w:t>
      </w:r>
      <w:r>
        <w:t xml:space="preserve">shift and address the particular problems in their transport system. This plan and</w:t>
      </w:r>
      <w:r>
        <w:t xml:space="preserve"> </w:t>
      </w:r>
      <w:r>
        <w:t xml:space="preserve">related measures are updated regularly (every 5 years).</w:t>
      </w:r>
      <w:r>
        <w:br/>
      </w:r>
      <w:r>
        <w:t xml:space="preserve">PM6</w:t>
      </w:r>
      <w:r>
        <w:t xml:space="preserve"> </w:t>
      </w:r>
      <w:r>
        <w:t xml:space="preserve">Reporting by the Commission</w:t>
      </w:r>
      <w:r>
        <w:t xml:space="preserve"> </w:t>
      </w:r>
      <w:r>
        <w:t xml:space="preserve">with revised monitoring data and</w:t>
      </w:r>
      <w:r>
        <w:t xml:space="preserve"> </w:t>
      </w:r>
      <w:r>
        <w:t xml:space="preserve">reporting period, including a</w:t>
      </w:r>
      <w:r>
        <w:t xml:space="preserve"> </w:t>
      </w:r>
      <w:r>
        <w:t xml:space="preserve">review clause for reassessing the</w:t>
      </w:r>
      <w:r>
        <w:t xml:space="preserve"> </w:t>
      </w:r>
      <w:r>
        <w:t xml:space="preserve">support regime established in</w:t>
      </w:r>
      <w:r>
        <w:t xml:space="preserve"> </w:t>
      </w:r>
      <w:r>
        <w:t xml:space="preserve">the CTD.</w:t>
      </w:r>
      <w:r>
        <w:br/>
      </w:r>
      <w:r>
        <w:t xml:space="preserve">Obligation for Member States to</w:t>
      </w:r>
      <w:r>
        <w:t xml:space="preserve"> </w:t>
      </w:r>
      <w:r>
        <w:t xml:space="preserve">notify ex ante their support</w:t>
      </w:r>
      <w:r>
        <w:t xml:space="preserve"> </w:t>
      </w:r>
      <w:r>
        <w:t xml:space="preserve">schemes, which the Commission</w:t>
      </w:r>
      <w:r>
        <w:t xml:space="preserve"> </w:t>
      </w:r>
      <w:r>
        <w:t xml:space="preserve">has to make available in a</w:t>
      </w:r>
      <w:r>
        <w:t xml:space="preserve"> </w:t>
      </w:r>
      <w:r>
        <w:t xml:space="preserve">common website</w:t>
      </w:r>
      <w:r>
        <w:br/>
      </w:r>
      <w:r>
        <w:t xml:space="preserve">PD2</w:t>
      </w:r>
      <w:r>
        <w:t xml:space="preserve"> </w:t>
      </w:r>
      <w:r>
        <w:t xml:space="preserve">SO2</w:t>
      </w:r>
      <w:r>
        <w:t xml:space="preserve"> </w:t>
      </w:r>
      <w:r>
        <w:t xml:space="preserve">Establishes a regime for the market monitoring and analysis, by retaining the</w:t>
      </w:r>
      <w:r>
        <w:t xml:space="preserve"> </w:t>
      </w:r>
      <w:r>
        <w:t xml:space="preserve">current obligation in Article 5 for Commission to report about the market</w:t>
      </w:r>
      <w:r>
        <w:t xml:space="preserve"> </w:t>
      </w:r>
      <w:r>
        <w:t xml:space="preserve">situation of intermodal transport in EU. The list of data to be reported will be</w:t>
      </w:r>
      <w:r>
        <w:t xml:space="preserve"> </w:t>
      </w:r>
      <w:r>
        <w:t xml:space="preserve">updated and the reporting period will be extended from current 2 years to 5</w:t>
      </w:r>
      <w:r>
        <w:t xml:space="preserve"> </w:t>
      </w:r>
      <w:r>
        <w:t xml:space="preserve">years, to allow sufficient time for measures to have impact between reports.</w:t>
      </w:r>
      <w:r>
        <w:t xml:space="preserve"> </w:t>
      </w:r>
      <w:r>
        <w:t xml:space="preserve">Member States have to notify to the Commission a link where they publish ex-</w:t>
      </w:r>
      <w:r>
        <w:t xml:space="preserve"> </w:t>
      </w:r>
      <w:r>
        <w:t xml:space="preserve">ante information on the opening new support schemes. The Commission will</w:t>
      </w:r>
      <w:r>
        <w:t xml:space="preserve"> </w:t>
      </w:r>
      <w:r>
        <w:t xml:space="preserve">make all these links available on its homepage.</w:t>
      </w:r>
      <w:r>
        <w:t xml:space="preserve"> </w:t>
      </w:r>
      <w:r>
        <w:t xml:space="preserve">PM7</w:t>
      </w:r>
      <w:r>
        <w:t xml:space="preserve"> </w:t>
      </w:r>
      <w:r>
        <w:t xml:space="preserve">Mandatory harmonised support,</w:t>
      </w:r>
      <w:r>
        <w:t xml:space="preserve"> </w:t>
      </w:r>
      <w:r>
        <w:t xml:space="preserve">does not constitute State aid:</w:t>
      </w:r>
      <w:r>
        <w:t xml:space="preserve"> </w:t>
      </w:r>
      <w:r>
        <w:t xml:space="preserve">Harmonised obligation on</w:t>
      </w:r>
      <w:r>
        <w:t xml:space="preserve"> </w:t>
      </w:r>
      <w:r>
        <w:t xml:space="preserve">Member States to provide</w:t>
      </w:r>
      <w:r>
        <w:t xml:space="preserve"> </w:t>
      </w:r>
      <w:r>
        <w:t xml:space="preserve">support with an aim to reduce</w:t>
      </w:r>
      <w:r>
        <w:t xml:space="preserve"> </w:t>
      </w:r>
      <w:r>
        <w:t xml:space="preserve">door-to-door costs of intermodal</w:t>
      </w:r>
      <w:r>
        <w:t xml:space="preserve"> </w:t>
      </w:r>
      <w:r>
        <w:t xml:space="preserve">operations at a level that</w:t>
      </w:r>
      <w:r>
        <w:t xml:space="preserve"> </w:t>
      </w:r>
      <w:r>
        <w:t xml:space="preserve">induces modal shift; remove all</w:t>
      </w:r>
      <w:r>
        <w:t xml:space="preserve"> </w:t>
      </w:r>
      <w:r>
        <w:t xml:space="preserve">PD3</w:t>
      </w:r>
      <w:r>
        <w:t xml:space="preserve"> </w:t>
      </w:r>
      <w:r>
        <w:t xml:space="preserve">SO3</w:t>
      </w:r>
      <w:r>
        <w:t xml:space="preserve"> </w:t>
      </w:r>
      <w:r>
        <w:t xml:space="preserve">Establishes a regime for mandatory harmonised support, where the Member</w:t>
      </w:r>
      <w:r>
        <w:t xml:space="preserve"> </w:t>
      </w:r>
      <w:r>
        <w:t xml:space="preserve">States will be required to provide economic support through co-financing the cost</w:t>
      </w:r>
      <w:r>
        <w:t xml:space="preserve"> </w:t>
      </w:r>
      <w:r>
        <w:t xml:space="preserve">of the non-road leg by a fixed percentage. The scheme is established in detail as</w:t>
      </w:r>
      <w:r>
        <w:t xml:space="preserve"> </w:t>
      </w:r>
      <w:r>
        <w:t xml:space="preserve">regards the eligibility, eligible costs, level of support (aid intensity) as well as</w:t>
      </w:r>
      <w:r>
        <w:t xml:space="preserve"> </w:t>
      </w:r>
      <w:r>
        <w:t xml:space="preserve">beneficiaries, without leaving any discretion to the Member States. Such a</w:t>
      </w:r>
      <w:r>
        <w:t xml:space="preserve"> </w:t>
      </w:r>
      <w:r>
        <w:t xml:space="preserve">scheme would be considered not constituting State aid as it would not be</w:t>
      </w:r>
      <w:r>
        <w:t xml:space="preserve"> </w:t>
      </w:r>
      <w:r>
        <w:t xml:space="preserve">imputable to the Member State. Therefore, the measure would not be subject to</w:t>
      </w:r>
      <w:r>
        <w:t xml:space="preserve"> </w:t>
      </w:r>
      <w:r>
        <w:t xml:space="preserve">the obligation under article 108(3) TFEU that requires Member States to notify all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Categories of measures by</w:t>
      </w:r>
      <w:r>
        <w:t xml:space="preserve"> </w:t>
      </w:r>
      <w:r>
        <w:t xml:space="preserve">thematic area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and spec.</w:t>
      </w:r>
      <w:r>
        <w:t xml:space="preserve"> </w:t>
      </w:r>
      <w:r>
        <w:t xml:space="preserve">objective</w:t>
      </w:r>
      <w:r>
        <w:t xml:space="preserve"> </w:t>
      </w:r>
      <w:r>
        <w:t xml:space="preserve">s</w:t>
      </w:r>
      <w:r>
        <w:br/>
      </w:r>
      <w:r>
        <w:t xml:space="preserve">Short description</w:t>
      </w:r>
      <w:r>
        <w:t xml:space="preserve"> </w:t>
      </w:r>
      <w:r>
        <w:t xml:space="preserve">existing regulatory measures</w:t>
      </w:r>
      <w:r>
        <w:t xml:space="preserve"> </w:t>
      </w:r>
      <w:r>
        <w:t xml:space="preserve">(Articles 2, 4, 7, 8, 9)</w:t>
      </w:r>
      <w:r>
        <w:t xml:space="preserve"> </w:t>
      </w:r>
      <w:r>
        <w:t xml:space="preserve">State aid to the European Commission for prior authorisation210. Existing</w:t>
      </w:r>
      <w:r>
        <w:t xml:space="preserve"> </w:t>
      </w:r>
      <w:r>
        <w:t xml:space="preserve">regulatory support measures (articles 2, 4, 7, 8, 9) would be deleted.</w:t>
      </w:r>
      <w:r>
        <w:br/>
      </w:r>
      <w:r>
        <w:t xml:space="preserve">PM8</w:t>
      </w:r>
      <w:r>
        <w:t xml:space="preserve"> </w:t>
      </w:r>
      <w:r>
        <w:t xml:space="preserve">Voluntary non-harmonised</w:t>
      </w:r>
      <w:r>
        <w:t xml:space="preserve"> </w:t>
      </w:r>
      <w:r>
        <w:t xml:space="preserve">support, the State aid rules</w:t>
      </w:r>
      <w:r>
        <w:t xml:space="preserve"> </w:t>
      </w:r>
      <w:r>
        <w:t xml:space="preserve">apply, where relevant: call on</w:t>
      </w:r>
      <w:r>
        <w:t xml:space="preserve"> </w:t>
      </w:r>
      <w:r>
        <w:t xml:space="preserve">Member States to use</w:t>
      </w:r>
      <w:r>
        <w:t xml:space="preserve"> </w:t>
      </w:r>
      <w:r>
        <w:t xml:space="preserve">operational support tools from</w:t>
      </w:r>
      <w:r>
        <w:t xml:space="preserve"> </w:t>
      </w:r>
      <w:r>
        <w:t xml:space="preserve">the Toolbox with an aim to</w:t>
      </w:r>
      <w:r>
        <w:t xml:space="preserve"> </w:t>
      </w:r>
      <w:r>
        <w:t xml:space="preserve">reduce door-to-door costs of</w:t>
      </w:r>
      <w:r>
        <w:t xml:space="preserve"> </w:t>
      </w:r>
      <w:r>
        <w:t xml:space="preserve">intermodal operations at a level</w:t>
      </w:r>
      <w:r>
        <w:t xml:space="preserve"> </w:t>
      </w:r>
      <w:r>
        <w:t xml:space="preserve">that induces modal shift</w:t>
      </w:r>
      <w:r>
        <w:t xml:space="preserve"> </w:t>
      </w:r>
      <w:r>
        <w:t xml:space="preserve">PD3</w:t>
      </w:r>
      <w:r>
        <w:t xml:space="preserve"> </w:t>
      </w:r>
      <w:r>
        <w:t xml:space="preserve">SO3</w:t>
      </w:r>
      <w:r>
        <w:t xml:space="preserve"> </w:t>
      </w:r>
      <w:r>
        <w:t xml:space="preserve">Establishes a regime for voluntary support, where the CTD includes a non-binding</w:t>
      </w:r>
      <w:r>
        <w:t xml:space="preserve"> </w:t>
      </w:r>
      <w:r>
        <w:t xml:space="preserve">aim for inducing sufficient modal shift. In order to achieve this aim, Member</w:t>
      </w:r>
      <w:r>
        <w:t xml:space="preserve"> </w:t>
      </w:r>
      <w:r>
        <w:t xml:space="preserve">States are invited to implement support tools chosen from a list provided in the</w:t>
      </w:r>
      <w:r>
        <w:t xml:space="preserve"> </w:t>
      </w:r>
      <w:r>
        <w:t xml:space="preserve">CTD.</w:t>
      </w:r>
      <w:r>
        <w:br/>
      </w:r>
      <w:r>
        <w:t xml:space="preserve">A Toolbox of support tools will be annexed to the revised CTD, from which the</w:t>
      </w:r>
      <w:r>
        <w:t xml:space="preserve"> </w:t>
      </w:r>
      <w:r>
        <w:t xml:space="preserve">Member States will be free to select support tools suitable to particular Member</w:t>
      </w:r>
      <w:r>
        <w:t xml:space="preserve"> </w:t>
      </w:r>
      <w:r>
        <w:t xml:space="preserve">State’s situation. Any support should be provided to operations eligible under the</w:t>
      </w:r>
      <w:r>
        <w:t xml:space="preserve"> </w:t>
      </w:r>
      <w:r>
        <w:t xml:space="preserve">CTD.</w:t>
      </w:r>
      <w:r>
        <w:br/>
      </w:r>
      <w:r>
        <w:t xml:space="preserve">The measures would have to be notified under State aid rules, where relevant.</w:t>
      </w:r>
      <w:r>
        <w:t xml:space="preserve"> </w:t>
      </w:r>
      <w:r>
        <w:t xml:space="preserve">Simplified procedures or block exemptions may apply to schemes that meet</w:t>
      </w:r>
      <w:r>
        <w:t xml:space="preserve"> </w:t>
      </w:r>
      <w:r>
        <w:t xml:space="preserve">relevant conditions.</w:t>
      </w:r>
      <w:r>
        <w:t xml:space="preserve"> </w:t>
      </w:r>
      <w:r>
        <w:t xml:space="preserve">PM9</w:t>
      </w:r>
      <w:r>
        <w:t xml:space="preserve"> </w:t>
      </w:r>
      <w:r>
        <w:t xml:space="preserve">Mandatory non-harmonised</w:t>
      </w:r>
      <w:r>
        <w:t xml:space="preserve"> </w:t>
      </w:r>
      <w:r>
        <w:t xml:space="preserve">support, the State aid rules</w:t>
      </w:r>
      <w:r>
        <w:t xml:space="preserve"> </w:t>
      </w:r>
      <w:r>
        <w:t xml:space="preserve">apply, where relevant: obligation</w:t>
      </w:r>
      <w:r>
        <w:t xml:space="preserve"> </w:t>
      </w:r>
      <w:r>
        <w:t xml:space="preserve">on Member States to have at</w:t>
      </w:r>
      <w:r>
        <w:t xml:space="preserve"> </w:t>
      </w:r>
      <w:r>
        <w:t xml:space="preserve">least one operational support</w:t>
      </w:r>
      <w:r>
        <w:t xml:space="preserve"> </w:t>
      </w:r>
      <w:r>
        <w:t xml:space="preserve">tool from the Toolbox with an</w:t>
      </w:r>
      <w:r>
        <w:t xml:space="preserve"> </w:t>
      </w:r>
      <w:r>
        <w:t xml:space="preserve">aim to reduce door-to-door costs</w:t>
      </w:r>
      <w:r>
        <w:t xml:space="preserve"> </w:t>
      </w:r>
      <w:r>
        <w:t xml:space="preserve">of intermodal operation at a</w:t>
      </w:r>
      <w:r>
        <w:t xml:space="preserve"> </w:t>
      </w:r>
      <w:r>
        <w:t xml:space="preserve">level that induces modal shift</w:t>
      </w:r>
      <w:r>
        <w:t xml:space="preserve"> </w:t>
      </w:r>
      <w:r>
        <w:t xml:space="preserve">PD3</w:t>
      </w:r>
      <w:r>
        <w:t xml:space="preserve"> </w:t>
      </w:r>
      <w:r>
        <w:t xml:space="preserve">SO3</w:t>
      </w:r>
      <w:r>
        <w:t xml:space="preserve"> </w:t>
      </w:r>
      <w:r>
        <w:t xml:space="preserve">Establishes a regime for mandatory non-harmonised support, where the CTD</w:t>
      </w:r>
      <w:r>
        <w:t xml:space="preserve"> </w:t>
      </w:r>
      <w:r>
        <w:t xml:space="preserve">includes an obligation to Member States to adopt at least one support scheme for</w:t>
      </w:r>
      <w:r>
        <w:t xml:space="preserve"> </w:t>
      </w:r>
      <w:r>
        <w:t xml:space="preserve">operational support with the main characteristics defined in the Toolbox in the</w:t>
      </w:r>
      <w:r>
        <w:t xml:space="preserve"> </w:t>
      </w:r>
      <w:r>
        <w:t xml:space="preserve">annex to the CTD. Member States have the flexibility to choose the type of</w:t>
      </w:r>
      <w:r>
        <w:t xml:space="preserve"> </w:t>
      </w:r>
      <w:r>
        <w:t xml:space="preserve">measure best suitable for local conditions. The Toolbox includes options such as</w:t>
      </w:r>
      <w:r>
        <w:t xml:space="preserve"> </w:t>
      </w:r>
      <w:r>
        <w:t xml:space="preserve">support to transhipment costs as well different options for supporting operational</w:t>
      </w:r>
      <w:r>
        <w:t xml:space="preserve"> </w:t>
      </w:r>
      <w:r>
        <w:t xml:space="preserve">costs of different legs. The support measures in combination should aim at</w:t>
      </w:r>
      <w:r>
        <w:t xml:space="preserve"> </w:t>
      </w:r>
      <w:r>
        <w:t xml:space="preserve">reducing the overall door-to-door operational costs by 10%.</w:t>
      </w:r>
      <w:r>
        <w:br/>
      </w:r>
      <w:r>
        <w:t xml:space="preserve">Any support scheme needs to comply with State aid rules, where relevant.</w:t>
      </w:r>
      <w:r>
        <w:t xml:space="preserve"> </w:t>
      </w:r>
      <w:r>
        <w:t xml:space="preserve">Simplified procedures or block exemptions may apply to schemes that meet</w:t>
      </w:r>
      <w:r>
        <w:t xml:space="preserve"> </w:t>
      </w:r>
      <w:r>
        <w:t xml:space="preserve">relevant conditions.</w:t>
      </w:r>
    </w:p>
    <w:p>
      <w:pPr>
        <w:pStyle w:val="BodyText"/>
      </w:pPr>
      <w:r>
        <w:t xml:space="preserve">210 Commission Notice on the notion of State aid as referred to in Article 107(1) of the Treaty on the Functioning of the European Union, 2016/C 262/01, paragraphs 44-46, https://eur-</w:t>
      </w:r>
      <w:r>
        <w:t xml:space="preserve"> </w:t>
      </w:r>
      <w:r>
        <w:t xml:space="preserve">lex.europa.eu/legal-content/EN/TXT/PDF/?uri=CELEX:52016XC0719(05)&amp;from=EN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Categories of measures by</w:t>
      </w:r>
      <w:r>
        <w:t xml:space="preserve"> </w:t>
      </w:r>
      <w:r>
        <w:t xml:space="preserve">thematic area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and spec.</w:t>
      </w:r>
      <w:r>
        <w:t xml:space="preserve"> </w:t>
      </w:r>
      <w:r>
        <w:t xml:space="preserve">objective</w:t>
      </w:r>
      <w:r>
        <w:t xml:space="preserve"> </w:t>
      </w:r>
      <w:r>
        <w:t xml:space="preserve">s</w:t>
      </w:r>
      <w:r>
        <w:br/>
      </w:r>
      <w:r>
        <w:t xml:space="preserve">Short description</w:t>
      </w:r>
      <w:r>
        <w:t xml:space="preserve"> </w:t>
      </w:r>
      <w:r>
        <w:t xml:space="preserve">PM10</w:t>
      </w:r>
      <w:r>
        <w:t xml:space="preserve"> </w:t>
      </w:r>
      <w:r>
        <w:t xml:space="preserve">Voluntary support, the State aid</w:t>
      </w:r>
      <w:r>
        <w:t xml:space="preserve"> </w:t>
      </w:r>
      <w:r>
        <w:t xml:space="preserve">rules apply, where relevant: call</w:t>
      </w:r>
      <w:r>
        <w:t xml:space="preserve"> </w:t>
      </w:r>
      <w:r>
        <w:t xml:space="preserve">on Member States to provide</w:t>
      </w:r>
      <w:r>
        <w:t xml:space="preserve"> </w:t>
      </w:r>
      <w:r>
        <w:t xml:space="preserve">start-up support</w:t>
      </w:r>
      <w:r>
        <w:t xml:space="preserve"> </w:t>
      </w:r>
      <w:r>
        <w:t xml:space="preserve">PD3</w:t>
      </w:r>
      <w:r>
        <w:t xml:space="preserve"> </w:t>
      </w:r>
      <w:r>
        <w:t xml:space="preserve">SO3</w:t>
      </w:r>
      <w:r>
        <w:t xml:space="preserve"> </w:t>
      </w:r>
      <w:r>
        <w:t xml:space="preserve">Establishes a regime for voluntary support, where Member States are invited to</w:t>
      </w:r>
      <w:r>
        <w:t xml:space="preserve"> </w:t>
      </w:r>
      <w:r>
        <w:t xml:space="preserve">provide economic support for setting up new rail, IWW or SSS routes to</w:t>
      </w:r>
      <w:r>
        <w:t xml:space="preserve"> </w:t>
      </w:r>
      <w:r>
        <w:t xml:space="preserve">connection organisers or such scheduled routes (shuttles) with open access to all</w:t>
      </w:r>
      <w:r>
        <w:t xml:space="preserve"> </w:t>
      </w:r>
      <w:r>
        <w:t xml:space="preserve">shippers/chain organisers where such routes carry a majority of operations</w:t>
      </w:r>
      <w:r>
        <w:t xml:space="preserve"> </w:t>
      </w:r>
      <w:r>
        <w:t xml:space="preserve">eligible under the CTD. The support should be limited to routes that are currently</w:t>
      </w:r>
      <w:r>
        <w:t xml:space="preserve"> </w:t>
      </w:r>
      <w:r>
        <w:t xml:space="preserve">not served or where no similar intermodal routes exist in the vicinity. Such</w:t>
      </w:r>
      <w:r>
        <w:t xml:space="preserve"> </w:t>
      </w:r>
      <w:r>
        <w:t xml:space="preserve">support is in particular useful in case of new terminals. The start-up support</w:t>
      </w:r>
      <w:r>
        <w:t xml:space="preserve"> </w:t>
      </w:r>
      <w:r>
        <w:t xml:space="preserve">should be limited in time and be reduced gradually.</w:t>
      </w:r>
      <w:r>
        <w:t xml:space="preserve"> </w:t>
      </w:r>
      <w:r>
        <w:t xml:space="preserve">This policy measure cannot be mandatory, given that need for such support is</w:t>
      </w:r>
      <w:r>
        <w:t xml:space="preserve"> </w:t>
      </w:r>
      <w:r>
        <w:t xml:space="preserve">not universal.</w:t>
      </w:r>
      <w:r>
        <w:t xml:space="preserve"> </w:t>
      </w:r>
      <w:r>
        <w:t xml:space="preserve">Start-up support will be part of the Toolbox annexed to the CTD. Any support</w:t>
      </w:r>
      <w:r>
        <w:t xml:space="preserve"> </w:t>
      </w:r>
      <w:r>
        <w:t xml:space="preserve">scheme needs to comply with State aid rules. Simplified procedures or block</w:t>
      </w:r>
      <w:r>
        <w:t xml:space="preserve"> </w:t>
      </w:r>
      <w:r>
        <w:t xml:space="preserve">exemptions may apply to schemes that meet relevant conditions.</w:t>
      </w:r>
      <w:r>
        <w:br/>
      </w:r>
      <w:r>
        <w:t xml:space="preserve">PM11</w:t>
      </w:r>
      <w:r>
        <w:t xml:space="preserve"> </w:t>
      </w:r>
      <w:r>
        <w:t xml:space="preserve">Mandatory non-harmonised</w:t>
      </w:r>
      <w:r>
        <w:t xml:space="preserve"> </w:t>
      </w:r>
      <w:r>
        <w:t xml:space="preserve">support, the State aid rules</w:t>
      </w:r>
      <w:r>
        <w:t xml:space="preserve"> </w:t>
      </w:r>
      <w:r>
        <w:t xml:space="preserve">apply, where relevant: obligation</w:t>
      </w:r>
      <w:r>
        <w:t xml:space="preserve"> </w:t>
      </w:r>
      <w:r>
        <w:t xml:space="preserve">on Member States to have at</w:t>
      </w:r>
      <w:r>
        <w:t xml:space="preserve"> </w:t>
      </w:r>
      <w:r>
        <w:t xml:space="preserve">least one technological upgrade</w:t>
      </w:r>
      <w:r>
        <w:t xml:space="preserve"> </w:t>
      </w:r>
      <w:r>
        <w:t xml:space="preserve">support measure from the</w:t>
      </w:r>
      <w:r>
        <w:t xml:space="preserve"> </w:t>
      </w:r>
      <w:r>
        <w:t xml:space="preserve">Toolbox</w:t>
      </w:r>
      <w:r>
        <w:t xml:space="preserve"> </w:t>
      </w:r>
      <w:r>
        <w:t xml:space="preserve">PD3</w:t>
      </w:r>
      <w:r>
        <w:t xml:space="preserve"> </w:t>
      </w:r>
      <w:r>
        <w:t xml:space="preserve">SO3</w:t>
      </w:r>
      <w:r>
        <w:t xml:space="preserve"> </w:t>
      </w:r>
      <w:r>
        <w:t xml:space="preserve">Establishes a regime for mandatory non-harmonised support, where the CTD</w:t>
      </w:r>
      <w:r>
        <w:t xml:space="preserve"> </w:t>
      </w:r>
      <w:r>
        <w:t xml:space="preserve">includes an obligation to Member States to adopt at least one technological</w:t>
      </w:r>
      <w:r>
        <w:t xml:space="preserve"> </w:t>
      </w:r>
      <w:r>
        <w:t xml:space="preserve">upgrade scheme for operational support with main characteristics defined in</w:t>
      </w:r>
      <w:r>
        <w:t xml:space="preserve"> </w:t>
      </w:r>
      <w:r>
        <w:t xml:space="preserve">Toolbox in the annex of the CTD, while leaving the flexibility to choose the type</w:t>
      </w:r>
      <w:r>
        <w:t xml:space="preserve"> </w:t>
      </w:r>
      <w:r>
        <w:t xml:space="preserve">of measure best suitable for local conditions to the Member States.</w:t>
      </w:r>
      <w:r>
        <w:t xml:space="preserve"> </w:t>
      </w:r>
      <w:r>
        <w:t xml:space="preserve">The measure refers to upgrades for loading units, machinery and digital</w:t>
      </w:r>
      <w:r>
        <w:t xml:space="preserve"> </w:t>
      </w:r>
      <w:r>
        <w:t xml:space="preserve">equipment with a limited budget impact, but acting as important enablers. This</w:t>
      </w:r>
      <w:r>
        <w:t xml:space="preserve"> </w:t>
      </w:r>
      <w:r>
        <w:t xml:space="preserve">support will also facilitate innovation in intermodal sector. The beneficiaries will</w:t>
      </w:r>
      <w:r>
        <w:t xml:space="preserve"> </w:t>
      </w:r>
      <w:r>
        <w:t xml:space="preserve">be carriers of different intermodal legs, organisers or terminal operators,</w:t>
      </w:r>
      <w:r>
        <w:t xml:space="preserve"> </w:t>
      </w:r>
      <w:r>
        <w:t xml:space="preserve">depending on the specific support tool. The support will be provided when it is</w:t>
      </w:r>
      <w:r>
        <w:t xml:space="preserve"> </w:t>
      </w:r>
      <w:r>
        <w:t xml:space="preserve">shown that the vehicles, vessels or terminal equipment is used for eligible</w:t>
      </w:r>
      <w:r>
        <w:t xml:space="preserve"> </w:t>
      </w:r>
      <w:r>
        <w:t xml:space="preserve">operations.</w:t>
      </w:r>
      <w:r>
        <w:t xml:space="preserve"> </w:t>
      </w:r>
      <w:r>
        <w:t xml:space="preserve">Any support scheme needs to comply with the State aid rules, although most of</w:t>
      </w:r>
      <w:r>
        <w:t xml:space="preserve"> </w:t>
      </w:r>
      <w:r>
        <w:t xml:space="preserve">the support in this category might be below of the de minimis threshold</w:t>
      </w:r>
      <w:r>
        <w:t xml:space="preserve"> </w:t>
      </w:r>
      <w:r>
        <w:t xml:space="preserve">(currently EUR 200 000 per Member State to a single undertaking over any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Categories of measures by</w:t>
      </w:r>
      <w:r>
        <w:t xml:space="preserve"> </w:t>
      </w:r>
      <w:r>
        <w:t xml:space="preserve">thematic area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and spec.</w:t>
      </w:r>
      <w:r>
        <w:t xml:space="preserve"> </w:t>
      </w:r>
      <w:r>
        <w:t xml:space="preserve">objective</w:t>
      </w:r>
      <w:r>
        <w:t xml:space="preserve"> </w:t>
      </w:r>
      <w:r>
        <w:t xml:space="preserve">s</w:t>
      </w:r>
      <w:r>
        <w:br/>
      </w:r>
      <w:r>
        <w:t xml:space="preserve">Short description</w:t>
      </w:r>
      <w:r>
        <w:t xml:space="preserve"> </w:t>
      </w:r>
      <w:r>
        <w:t xml:space="preserve">period of three fiscal years, EUR 100 000 in case of undertakings performing road</w:t>
      </w:r>
      <w:r>
        <w:t xml:space="preserve"> </w:t>
      </w:r>
      <w:r>
        <w:t xml:space="preserve">freight transport for hire or reward) and thus would not need to be notified.</w:t>
      </w:r>
      <w:r>
        <w:br/>
      </w:r>
      <w:r>
        <w:t xml:space="preserve">PM12</w:t>
      </w:r>
      <w:r>
        <w:t xml:space="preserve"> </w:t>
      </w:r>
      <w:r>
        <w:t xml:space="preserve">Limit the direct financial support</w:t>
      </w:r>
      <w:r>
        <w:t xml:space="preserve"> </w:t>
      </w:r>
      <w:r>
        <w:t xml:space="preserve">only to short and medium-long</w:t>
      </w:r>
      <w:r>
        <w:t xml:space="preserve"> </w:t>
      </w:r>
      <w:r>
        <w:t xml:space="preserve">operations that are normally not</w:t>
      </w:r>
      <w:r>
        <w:t xml:space="preserve"> </w:t>
      </w:r>
      <w:r>
        <w:t xml:space="preserve">cost-competitive with road-only</w:t>
      </w:r>
      <w:r>
        <w:t xml:space="preserve"> </w:t>
      </w:r>
      <w:r>
        <w:t xml:space="preserve">transport (mode specific</w:t>
      </w:r>
      <w:r>
        <w:t xml:space="preserve"> </w:t>
      </w:r>
      <w:r>
        <w:t xml:space="preserve">thresholds)</w:t>
      </w:r>
      <w:r>
        <w:t xml:space="preserve"> </w:t>
      </w:r>
      <w:r>
        <w:t xml:space="preserve">PD3</w:t>
      </w:r>
      <w:r>
        <w:t xml:space="preserve"> </w:t>
      </w:r>
      <w:r>
        <w:t xml:space="preserve">SO3</w:t>
      </w:r>
      <w:r>
        <w:t xml:space="preserve"> </w:t>
      </w:r>
      <w:r>
        <w:t xml:space="preserve">Sets an upper door-to-door distance limit for operations, which can benefit from</w:t>
      </w:r>
      <w:r>
        <w:t xml:space="preserve"> </w:t>
      </w:r>
      <w:r>
        <w:t xml:space="preserve">the mandatory economic support.</w:t>
      </w:r>
      <w:r>
        <w:br/>
      </w:r>
      <w:r>
        <w:t xml:space="preserve">Intermodal operations become competitive with road-only transport at certain</w:t>
      </w:r>
      <w:r>
        <w:t xml:space="preserve"> </w:t>
      </w:r>
      <w:r>
        <w:t xml:space="preserve">longer distance. This average distance is different for different modal</w:t>
      </w:r>
      <w:r>
        <w:t xml:space="preserve"> </w:t>
      </w:r>
      <w:r>
        <w:t xml:space="preserve">combinations. This measure allows to limit the mandatory support only to</w:t>
      </w:r>
      <w:r>
        <w:t xml:space="preserve"> </w:t>
      </w:r>
      <w:r>
        <w:t xml:space="preserve">operations that are not competitive with road -only operations and would thus</w:t>
      </w:r>
      <w:r>
        <w:t xml:space="preserve"> </w:t>
      </w:r>
      <w:r>
        <w:t xml:space="preserve">not take place without a support. This will reduce the budgetary burden to</w:t>
      </w:r>
      <w:r>
        <w:t xml:space="preserve"> </w:t>
      </w:r>
      <w:r>
        <w:t xml:space="preserve">Member States and would ensure more efficient use of resources. Different cut-</w:t>
      </w:r>
      <w:r>
        <w:t xml:space="preserve"> </w:t>
      </w:r>
      <w:r>
        <w:t xml:space="preserve">off distances are established for each modal combination with rail, IWW and SSS.</w:t>
      </w:r>
      <w:r>
        <w:br/>
      </w:r>
      <w:r>
        <w:t xml:space="preserve">PM13</w:t>
      </w:r>
      <w:r>
        <w:t xml:space="preserve"> </w:t>
      </w:r>
      <w:r>
        <w:t xml:space="preserve">Exempt road-legs of eligible</w:t>
      </w:r>
      <w:r>
        <w:t xml:space="preserve"> </w:t>
      </w:r>
      <w:r>
        <w:t xml:space="preserve">operations from weekend and</w:t>
      </w:r>
      <w:r>
        <w:t xml:space="preserve"> </w:t>
      </w:r>
      <w:r>
        <w:t xml:space="preserve">holiday driving bans</w:t>
      </w:r>
      <w:r>
        <w:br/>
      </w:r>
      <w:r>
        <w:t xml:space="preserve">PD3</w:t>
      </w:r>
      <w:r>
        <w:t xml:space="preserve"> </w:t>
      </w:r>
      <w:r>
        <w:t xml:space="preserve">SO3</w:t>
      </w:r>
      <w:r>
        <w:t xml:space="preserve"> </w:t>
      </w:r>
      <w:r>
        <w:t xml:space="preserve">An obligation to exempt the road legs of eligible intermodal transport from fixed</w:t>
      </w:r>
      <w:r>
        <w:t xml:space="preserve"> </w:t>
      </w:r>
      <w:r>
        <w:t xml:space="preserve">(night, week-end and holiday) driving bans.</w:t>
      </w:r>
      <w:r>
        <w:br/>
      </w:r>
      <w:r>
        <w:t xml:space="preserve">Such driving bans cause considerable problems for logistics chain as road legs</w:t>
      </w:r>
      <w:r>
        <w:t xml:space="preserve"> </w:t>
      </w:r>
      <w:r>
        <w:t xml:space="preserve">cannot be carried out directly before or after the non-road leg. This results in</w:t>
      </w:r>
      <w:r>
        <w:t xml:space="preserve"> </w:t>
      </w:r>
      <w:r>
        <w:t xml:space="preserve">terminal yard congestion, larger traffic jams just before and after the driving ban</w:t>
      </w:r>
      <w:r>
        <w:t xml:space="preserve"> </w:t>
      </w:r>
      <w:r>
        <w:t xml:space="preserve">times and inability to efficiently fill the rail, IWW or SSS vehicle/vessel during</w:t>
      </w:r>
      <w:r>
        <w:t xml:space="preserve"> </w:t>
      </w:r>
      <w:r>
        <w:t xml:space="preserve">such driving bans limiting the time non-road leg timetables.</w:t>
      </w:r>
      <w:r>
        <w:br/>
      </w:r>
      <w:r>
        <w:t xml:space="preserve">PM14</w:t>
      </w:r>
      <w:r>
        <w:t xml:space="preserve"> </w:t>
      </w:r>
      <w:r>
        <w:t xml:space="preserve">Define a data set for information</w:t>
      </w:r>
      <w:r>
        <w:t xml:space="preserve"> </w:t>
      </w:r>
      <w:r>
        <w:t xml:space="preserve">to be shared between parties of</w:t>
      </w:r>
      <w:r>
        <w:t xml:space="preserve"> </w:t>
      </w:r>
      <w:r>
        <w:t xml:space="preserve">transport chain by means of an</w:t>
      </w:r>
      <w:r>
        <w:t xml:space="preserve"> </w:t>
      </w:r>
      <w:r>
        <w:t xml:space="preserve">implementing or delegated act</w:t>
      </w:r>
      <w:r>
        <w:t xml:space="preserve"> </w:t>
      </w:r>
      <w:r>
        <w:t xml:space="preserve">PD4</w:t>
      </w:r>
      <w:r>
        <w:t xml:space="preserve"> </w:t>
      </w:r>
      <w:r>
        <w:t xml:space="preserve">SO4</w:t>
      </w:r>
      <w:r>
        <w:t xml:space="preserve"> </w:t>
      </w:r>
      <w:r>
        <w:t xml:space="preserve">This measure provides for an obligation to Member States and private parties to</w:t>
      </w:r>
      <w:r>
        <w:t xml:space="preserve"> </w:t>
      </w:r>
      <w:r>
        <w:t xml:space="preserve">ensure that a defined set of harmonised data will be established to ensure</w:t>
      </w:r>
      <w:r>
        <w:t xml:space="preserve"> </w:t>
      </w:r>
      <w:r>
        <w:t xml:space="preserve">enhanced data interoperability between the railway, inland waterways (IWW),</w:t>
      </w:r>
      <w:r>
        <w:t xml:space="preserve"> </w:t>
      </w:r>
      <w:r>
        <w:t xml:space="preserve">short sea shipping (SSS) sectors, road sectors and terminals. The data sets could</w:t>
      </w:r>
      <w:r>
        <w:t xml:space="preserve"> </w:t>
      </w:r>
      <w:r>
        <w:t xml:space="preserve">be developed based on existing modal initiatives and data sets defined therein</w:t>
      </w:r>
      <w:r>
        <w:t xml:space="preserve"> </w:t>
      </w:r>
      <w:r>
        <w:t xml:space="preserve">(TAF TSI for rail, RIS for IWW and TIS for SSS). The details, including the</w:t>
      </w:r>
      <w:r>
        <w:t xml:space="preserve"> </w:t>
      </w:r>
      <w:r>
        <w:t xml:space="preserve">definition of the data set, will be left for an implementing or delegated act.</w:t>
      </w:r>
      <w:r>
        <w:br/>
      </w:r>
      <w:r>
        <w:t xml:space="preserve">There is currently no obligation in EU law that would specify and/or require the</w:t>
      </w:r>
      <w:r>
        <w:t xml:space="preserve"> </w:t>
      </w:r>
      <w:r>
        <w:t xml:space="preserve">data in an intermodal chain to be interoperable between different operators and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Categories of measures by</w:t>
      </w:r>
      <w:r>
        <w:t xml:space="preserve"> </w:t>
      </w:r>
      <w:r>
        <w:t xml:space="preserve">thematic area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and spec.</w:t>
      </w:r>
      <w:r>
        <w:t xml:space="preserve"> </w:t>
      </w:r>
      <w:r>
        <w:t xml:space="preserve">objective</w:t>
      </w:r>
      <w:r>
        <w:t xml:space="preserve"> </w:t>
      </w:r>
      <w:r>
        <w:t xml:space="preserve">s</w:t>
      </w:r>
      <w:r>
        <w:br/>
      </w:r>
      <w:r>
        <w:t xml:space="preserve">Short description</w:t>
      </w:r>
      <w:r>
        <w:t xml:space="preserve"> </w:t>
      </w:r>
      <w:r>
        <w:t xml:space="preserve">modal-specific systems. Lack of this interoperability results in inefficiencies and</w:t>
      </w:r>
      <w:r>
        <w:t xml:space="preserve"> </w:t>
      </w:r>
      <w:r>
        <w:t xml:space="preserve">inability to plan and follow a loading unit.</w:t>
      </w:r>
      <w:r>
        <w:br/>
      </w:r>
      <w:r>
        <w:t xml:space="preserve">PM15</w:t>
      </w:r>
      <w:r>
        <w:t xml:space="preserve"> </w:t>
      </w:r>
      <w:r>
        <w:t xml:space="preserve">Establish an obligation to use</w:t>
      </w:r>
      <w:r>
        <w:t xml:space="preserve"> </w:t>
      </w:r>
      <w:r>
        <w:t xml:space="preserve">common data exchange</w:t>
      </w:r>
      <w:r>
        <w:t xml:space="preserve"> </w:t>
      </w:r>
      <w:r>
        <w:t xml:space="preserve">protocols for operations covered</w:t>
      </w:r>
      <w:r>
        <w:t xml:space="preserve"> </w:t>
      </w:r>
      <w:r>
        <w:t xml:space="preserve">by this Directive by means of an</w:t>
      </w:r>
      <w:r>
        <w:t xml:space="preserve"> </w:t>
      </w:r>
      <w:r>
        <w:t xml:space="preserve">implementing or delegated act</w:t>
      </w:r>
      <w:r>
        <w:t xml:space="preserve"> </w:t>
      </w:r>
      <w:r>
        <w:t xml:space="preserve">PD4</w:t>
      </w:r>
      <w:r>
        <w:t xml:space="preserve"> </w:t>
      </w:r>
      <w:r>
        <w:t xml:space="preserve">SO4</w:t>
      </w:r>
      <w:r>
        <w:t xml:space="preserve"> </w:t>
      </w:r>
      <w:r>
        <w:t xml:space="preserve">This measure provides for an obligation to Member States and private parties to</w:t>
      </w:r>
      <w:r>
        <w:t xml:space="preserve"> </w:t>
      </w:r>
      <w:r>
        <w:t xml:space="preserve">use common data exchange protocols between transport modes and different</w:t>
      </w:r>
      <w:r>
        <w:t xml:space="preserve"> </w:t>
      </w:r>
      <w:r>
        <w:t xml:space="preserve">parties. The data exchange protocols would be based on the work of the DTLF211,</w:t>
      </w:r>
      <w:r>
        <w:t xml:space="preserve"> </w:t>
      </w:r>
      <w:r>
        <w:t xml:space="preserve">which is in the process of developing main elements for constructing an open and</w:t>
      </w:r>
      <w:r>
        <w:t xml:space="preserve"> </w:t>
      </w:r>
      <w:r>
        <w:t xml:space="preserve">neutral data sharing infrastructure for freight transport and logistics based on a</w:t>
      </w:r>
      <w:r>
        <w:t xml:space="preserve"> </w:t>
      </w:r>
      <w:r>
        <w:t xml:space="preserve">federation of platforms, not limited to any specific mode or modal combination.</w:t>
      </w:r>
      <w:r>
        <w:t xml:space="preserve"> </w:t>
      </w:r>
      <w:r>
        <w:t xml:space="preserve">The details, including the definition of the data set, may be left for an</w:t>
      </w:r>
      <w:r>
        <w:t xml:space="preserve"> </w:t>
      </w:r>
      <w:r>
        <w:t xml:space="preserve">implementing or delegated act.</w:t>
      </w:r>
      <w:r>
        <w:t xml:space="preserve"> </w:t>
      </w:r>
      <w:r>
        <w:t xml:space="preserve">PM16</w:t>
      </w:r>
      <w:r>
        <w:t xml:space="preserve"> </w:t>
      </w:r>
      <w:r>
        <w:t xml:space="preserve">Require terminal operators to</w:t>
      </w:r>
      <w:r>
        <w:t xml:space="preserve"> </w:t>
      </w:r>
      <w:r>
        <w:t xml:space="preserve">publish information on services</w:t>
      </w:r>
      <w:r>
        <w:t xml:space="preserve"> </w:t>
      </w:r>
      <w:r>
        <w:t xml:space="preserve">and facilities available in each</w:t>
      </w:r>
      <w:r>
        <w:t xml:space="preserve"> </w:t>
      </w:r>
      <w:r>
        <w:t xml:space="preserve">terminal. List of mandatory</w:t>
      </w:r>
      <w:r>
        <w:t xml:space="preserve"> </w:t>
      </w:r>
      <w:r>
        <w:t xml:space="preserve">information to be established in</w:t>
      </w:r>
      <w:r>
        <w:t xml:space="preserve"> </w:t>
      </w:r>
      <w:r>
        <w:t xml:space="preserve">an implementing act.</w:t>
      </w:r>
      <w:r>
        <w:t xml:space="preserve"> </w:t>
      </w:r>
      <w:r>
        <w:t xml:space="preserve">PD4</w:t>
      </w:r>
      <w:r>
        <w:t xml:space="preserve"> </w:t>
      </w:r>
      <w:r>
        <w:t xml:space="preserve">SO4</w:t>
      </w:r>
      <w:r>
        <w:t xml:space="preserve"> </w:t>
      </w:r>
      <w:r>
        <w:t xml:space="preserve">A common list of information relevant specifically to intermodal operations and</w:t>
      </w:r>
      <w:r>
        <w:t xml:space="preserve"> </w:t>
      </w:r>
      <w:r>
        <w:t xml:space="preserve">applicable to all modal combinations would be established with an obligation to</w:t>
      </w:r>
      <w:r>
        <w:t xml:space="preserve"> </w:t>
      </w:r>
      <w:r>
        <w:t xml:space="preserve">make it publicly available and keep up to date. The details (list of information)</w:t>
      </w:r>
      <w:r>
        <w:t xml:space="preserve"> </w:t>
      </w:r>
      <w:r>
        <w:t xml:space="preserve">would be established in an implementing act. This relates especially to available</w:t>
      </w:r>
      <w:r>
        <w:t xml:space="preserve"> </w:t>
      </w:r>
      <w:r>
        <w:t xml:space="preserve">services and facilities but also to information on access by transport modes,</w:t>
      </w:r>
      <w:r>
        <w:t xml:space="preserve"> </w:t>
      </w:r>
      <w:r>
        <w:t xml:space="preserve">number and length of operation tracks, type of loading units handled, crane</w:t>
      </w:r>
      <w:r>
        <w:t xml:space="preserve"> </w:t>
      </w:r>
      <w:r>
        <w:t xml:space="preserve">technology AGV, electrification and value added services.</w:t>
      </w:r>
      <w:r>
        <w:t xml:space="preserve"> </w:t>
      </w:r>
      <w:r>
        <w:t xml:space="preserve">PM17</w:t>
      </w:r>
      <w:r>
        <w:t xml:space="preserve"> </w:t>
      </w:r>
      <w:r>
        <w:t xml:space="preserve">Provide a possibility to establish</w:t>
      </w:r>
      <w:r>
        <w:t xml:space="preserve"> </w:t>
      </w:r>
      <w:r>
        <w:t xml:space="preserve">a framework of terminal</w:t>
      </w:r>
      <w:r>
        <w:t xml:space="preserve"> </w:t>
      </w:r>
      <w:r>
        <w:t xml:space="preserve">categories based on minimum</w:t>
      </w:r>
      <w:r>
        <w:t xml:space="preserve"> </w:t>
      </w:r>
      <w:r>
        <w:t xml:space="preserve">requirements on</w:t>
      </w:r>
      <w:r>
        <w:t xml:space="preserve"> </w:t>
      </w:r>
      <w:r>
        <w:t xml:space="preserve">services/facilities available at</w:t>
      </w:r>
      <w:r>
        <w:t xml:space="preserve"> </w:t>
      </w:r>
      <w:r>
        <w:t xml:space="preserve">terminals, by means of an</w:t>
      </w:r>
      <w:r>
        <w:t xml:space="preserve"> </w:t>
      </w:r>
      <w:r>
        <w:t xml:space="preserve">implementing act.</w:t>
      </w:r>
      <w:r>
        <w:t xml:space="preserve"> </w:t>
      </w:r>
      <w:r>
        <w:t xml:space="preserve">PD4</w:t>
      </w:r>
      <w:r>
        <w:t xml:space="preserve"> </w:t>
      </w:r>
      <w:r>
        <w:t xml:space="preserve">SO4</w:t>
      </w:r>
      <w:r>
        <w:t xml:space="preserve"> </w:t>
      </w:r>
      <w:r>
        <w:t xml:space="preserve">A simple framework of quality level (categories) of terminals will be established.</w:t>
      </w:r>
      <w:r>
        <w:t xml:space="preserve"> </w:t>
      </w:r>
      <w:r>
        <w:t xml:space="preserve">Terminal categorisation would be based on a selected list of the main</w:t>
      </w:r>
      <w:r>
        <w:t xml:space="preserve"> </w:t>
      </w:r>
      <w:r>
        <w:t xml:space="preserve">characteristics on availability of facilities and services, based on the list of</w:t>
      </w:r>
      <w:r>
        <w:t xml:space="preserve"> </w:t>
      </w:r>
      <w:r>
        <w:t xml:space="preserve">information established by PM16. Given that the characteristics reflect facilities</w:t>
      </w:r>
      <w:r>
        <w:t xml:space="preserve"> </w:t>
      </w:r>
      <w:r>
        <w:t xml:space="preserve">and services, which can be easily observed, the categorisation would not entail</w:t>
      </w:r>
      <w:r>
        <w:t xml:space="preserve"> </w:t>
      </w:r>
      <w:r>
        <w:t xml:space="preserve">accreditation or centralized regular assessment. Such a categorization would</w:t>
      </w:r>
      <w:r>
        <w:t xml:space="preserve"> </w:t>
      </w:r>
      <w:r>
        <w:t xml:space="preserve">allow quick comparison of terminals. It will be motivating the operators to</w:t>
      </w:r>
    </w:p>
    <w:p>
      <w:pPr>
        <w:pStyle w:val="BodyText"/>
      </w:pPr>
      <w:r>
        <w:t xml:space="preserve">211 Digital Transport and Logistics Forum is an expert group of the European Commission bringing together public and private stakeholders from various transport and logistics</w:t>
      </w:r>
      <w:r>
        <w:t xml:space="preserve"> </w:t>
      </w:r>
      <w:r>
        <w:t xml:space="preserve">communities to support the European Commission in promoting the digital transformation of the transport and logistics sector. https://transport.ec.europa.eu/transport-themes/digital-</w:t>
      </w:r>
      <w:r>
        <w:t xml:space="preserve"> </w:t>
      </w:r>
      <w:r>
        <w:t xml:space="preserve">transport-and-logistics-forum-dtlf_en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Categories of measures by</w:t>
      </w:r>
      <w:r>
        <w:t xml:space="preserve"> </w:t>
      </w:r>
      <w:r>
        <w:t xml:space="preserve">thematic area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and spec.</w:t>
      </w:r>
      <w:r>
        <w:t xml:space="preserve"> </w:t>
      </w:r>
      <w:r>
        <w:t xml:space="preserve">objective</w:t>
      </w:r>
      <w:r>
        <w:t xml:space="preserve"> </w:t>
      </w:r>
      <w:r>
        <w:t xml:space="preserve">s</w:t>
      </w:r>
      <w:r>
        <w:br/>
      </w:r>
      <w:r>
        <w:t xml:space="preserve">Short description</w:t>
      </w:r>
      <w:r>
        <w:t xml:space="preserve"> </w:t>
      </w:r>
      <w:r>
        <w:t xml:space="preserve">upgrade the quality of their terminals, and can be used as benchmark for</w:t>
      </w:r>
      <w:r>
        <w:t xml:space="preserve"> </w:t>
      </w:r>
      <w:r>
        <w:t xml:space="preserve">investors.</w:t>
      </w:r>
      <w:r>
        <w:t xml:space="preserve"> </w:t>
      </w:r>
      <w:r>
        <w:t xml:space="preserve">The list of categories with required characteristics would be established in an</w:t>
      </w:r>
      <w:r>
        <w:t xml:space="preserve"> </w:t>
      </w:r>
      <w:r>
        <w:t xml:space="preserve">implementing act.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ANNEX 7: DISCARDED MEASURES</w:t>
      </w:r>
      <w:r>
        <w:t xml:space="preserve"> </w:t>
      </w:r>
      <w:r>
        <w:t xml:space="preserve">Categories</w:t>
      </w:r>
      <w:r>
        <w:t xml:space="preserve"> </w:t>
      </w:r>
      <w:r>
        <w:t xml:space="preserve">measures by</w:t>
      </w:r>
      <w:r>
        <w:t xml:space="preserve"> </w:t>
      </w:r>
      <w:r>
        <w:t xml:space="preserve">thematic area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and spec.</w:t>
      </w:r>
      <w:r>
        <w:t xml:space="preserve"> </w:t>
      </w:r>
      <w:r>
        <w:t xml:space="preserve">objectives</w:t>
      </w:r>
      <w:r>
        <w:br/>
      </w:r>
      <w:r>
        <w:t xml:space="preserve">Short description and reason for</w:t>
      </w:r>
      <w:r>
        <w:t xml:space="preserve"> </w:t>
      </w:r>
      <w:r>
        <w:t xml:space="preserve">discarding</w:t>
      </w:r>
      <w:r>
        <w:t xml:space="preserve"> </w:t>
      </w:r>
      <w:r>
        <w:t xml:space="preserve">Extend the scope</w:t>
      </w:r>
      <w:r>
        <w:t xml:space="preserve"> </w:t>
      </w:r>
      <w:r>
        <w:t xml:space="preserve">to all multimodal</w:t>
      </w:r>
      <w:r>
        <w:t xml:space="preserve"> </w:t>
      </w:r>
      <w:r>
        <w:t xml:space="preserve">operations</w:t>
      </w:r>
      <w:r>
        <w:t xml:space="preserve"> </w:t>
      </w:r>
      <w:r>
        <w:t xml:space="preserve">PD1</w:t>
      </w:r>
      <w:r>
        <w:t xml:space="preserve"> </w:t>
      </w:r>
      <w:r>
        <w:t xml:space="preserve">SO1</w:t>
      </w:r>
      <w:r>
        <w:t xml:space="preserve"> </w:t>
      </w:r>
      <w:r>
        <w:t xml:space="preserve">All support under the CTD would have been</w:t>
      </w:r>
      <w:r>
        <w:t xml:space="preserve"> </w:t>
      </w:r>
      <w:r>
        <w:t xml:space="preserve">available not only intermodal but for all</w:t>
      </w:r>
      <w:r>
        <w:t xml:space="preserve"> </w:t>
      </w:r>
      <w:r>
        <w:t xml:space="preserve">multimodal operations that save externalities.</w:t>
      </w:r>
      <w:r>
        <w:br/>
      </w:r>
      <w:r>
        <w:t xml:space="preserve">Legally, identifying the eligible multimodal</w:t>
      </w:r>
      <w:r>
        <w:t xml:space="preserve"> </w:t>
      </w:r>
      <w:r>
        <w:t xml:space="preserve">transport activities and distinguishing them</w:t>
      </w:r>
      <w:r>
        <w:t xml:space="preserve"> </w:t>
      </w:r>
      <w:r>
        <w:t xml:space="preserve">from unimodal non-road transport would have</w:t>
      </w:r>
      <w:r>
        <w:t xml:space="preserve"> </w:t>
      </w:r>
      <w:r>
        <w:t xml:space="preserve">been very difficult. Enforcement of application</w:t>
      </w:r>
      <w:r>
        <w:t xml:space="preserve"> </w:t>
      </w:r>
      <w:r>
        <w:t xml:space="preserve">on multimodal transport would not have</w:t>
      </w:r>
      <w:r>
        <w:t xml:space="preserve"> </w:t>
      </w:r>
      <w:r>
        <w:t xml:space="preserve">allowed to use the eFTI shipment-based data</w:t>
      </w:r>
      <w:r>
        <w:t xml:space="preserve"> </w:t>
      </w:r>
      <w:r>
        <w:t xml:space="preserve">sets, given that goods are often regrouped at</w:t>
      </w:r>
      <w:r>
        <w:t xml:space="preserve"> </w:t>
      </w:r>
      <w:r>
        <w:t xml:space="preserve">loading and unloading points between the</w:t>
      </w:r>
      <w:r>
        <w:t xml:space="preserve"> </w:t>
      </w:r>
      <w:r>
        <w:t xml:space="preserve">modes. It would have been impossible to follow</w:t>
      </w:r>
      <w:r>
        <w:t xml:space="preserve"> </w:t>
      </w:r>
      <w:r>
        <w:t xml:space="preserve">one load, e.g. a parcel or bulk goods, from</w:t>
      </w:r>
      <w:r>
        <w:t xml:space="preserve"> </w:t>
      </w:r>
      <w:r>
        <w:t xml:space="preserve">door-to-door. It was also assessed that with</w:t>
      </w:r>
      <w:r>
        <w:t xml:space="preserve"> </w:t>
      </w:r>
      <w:r>
        <w:t xml:space="preserve">multimodal transport, and in particular for</w:t>
      </w:r>
      <w:r>
        <w:t xml:space="preserve"> </w:t>
      </w:r>
      <w:r>
        <w:t xml:space="preserve">some types of goods such as heavy bulk goods</w:t>
      </w:r>
      <w:r>
        <w:t xml:space="preserve"> </w:t>
      </w:r>
      <w:r>
        <w:t xml:space="preserve">like coal, grain, oil, dangerous goods, etc.,</w:t>
      </w:r>
      <w:r>
        <w:t xml:space="preserve"> </w:t>
      </w:r>
      <w:r>
        <w:t xml:space="preserve">there would be high risk of deadweight profit</w:t>
      </w:r>
      <w:r>
        <w:t xml:space="preserve"> </w:t>
      </w:r>
      <w:r>
        <w:t xml:space="preserve">seeking. Finally, extending the scope of</w:t>
      </w:r>
      <w:r>
        <w:t xml:space="preserve"> </w:t>
      </w:r>
      <w:r>
        <w:t xml:space="preserve">support to almost all non-road transport would</w:t>
      </w:r>
      <w:r>
        <w:t xml:space="preserve"> </w:t>
      </w:r>
      <w:r>
        <w:t xml:space="preserve">bring along considerably increase in expected</w:t>
      </w:r>
      <w:r>
        <w:t xml:space="preserve"> </w:t>
      </w:r>
      <w:r>
        <w:t xml:space="preserve">budget contributions, which was assessed to be</w:t>
      </w:r>
      <w:r>
        <w:t xml:space="preserve"> </w:t>
      </w:r>
      <w:r>
        <w:t xml:space="preserve">politically unacceptable.</w:t>
      </w:r>
      <w:r>
        <w:t xml:space="preserve"> </w:t>
      </w:r>
      <w:r>
        <w:t xml:space="preserve">Extend the support</w:t>
      </w:r>
      <w:r>
        <w:t xml:space="preserve"> </w:t>
      </w:r>
      <w:r>
        <w:t xml:space="preserve">to all intermodal</w:t>
      </w:r>
      <w:r>
        <w:t xml:space="preserve"> </w:t>
      </w:r>
      <w:r>
        <w:t xml:space="preserve">operations,</w:t>
      </w:r>
      <w:r>
        <w:t xml:space="preserve"> </w:t>
      </w:r>
      <w:r>
        <w:t xml:space="preserve">including to the</w:t>
      </w:r>
      <w:r>
        <w:t xml:space="preserve"> </w:t>
      </w:r>
      <w:r>
        <w:t xml:space="preserve">parts taking place</w:t>
      </w:r>
      <w:r>
        <w:t xml:space="preserve"> </w:t>
      </w:r>
      <w:r>
        <w:t xml:space="preserve">outside of EU</w:t>
      </w:r>
      <w:r>
        <w:t xml:space="preserve"> </w:t>
      </w:r>
      <w:r>
        <w:t xml:space="preserve">territory</w:t>
      </w:r>
      <w:r>
        <w:t xml:space="preserve"> </w:t>
      </w:r>
      <w:r>
        <w:t xml:space="preserve">PD1</w:t>
      </w:r>
      <w:r>
        <w:t xml:space="preserve"> </w:t>
      </w:r>
      <w:r>
        <w:t xml:space="preserve">SO1</w:t>
      </w:r>
      <w:r>
        <w:t xml:space="preserve"> </w:t>
      </w:r>
      <w:r>
        <w:t xml:space="preserve">The measure would have extended support,</w:t>
      </w:r>
      <w:r>
        <w:t xml:space="preserve"> </w:t>
      </w:r>
      <w:r>
        <w:t xml:space="preserve">including economic support also to the parts of</w:t>
      </w:r>
      <w:r>
        <w:t xml:space="preserve"> </w:t>
      </w:r>
      <w:r>
        <w:t xml:space="preserve">intermodal operations that take place outside</w:t>
      </w:r>
      <w:r>
        <w:t xml:space="preserve"> </w:t>
      </w:r>
      <w:r>
        <w:t xml:space="preserve">of EU territory.</w:t>
      </w:r>
      <w:r>
        <w:br/>
      </w:r>
      <w:r>
        <w:t xml:space="preserve">This measure was considered not acceptable</w:t>
      </w:r>
      <w:r>
        <w:t xml:space="preserve"> </w:t>
      </w:r>
      <w:r>
        <w:t xml:space="preserve">both due to high financial costs as well as due</w:t>
      </w:r>
      <w:r>
        <w:t xml:space="preserve"> </w:t>
      </w:r>
      <w:r>
        <w:t xml:space="preserve">to difficulties for implementation.</w:t>
      </w:r>
      <w:r>
        <w:br/>
      </w:r>
      <w:r>
        <w:t xml:space="preserve">Encourage support</w:t>
      </w:r>
      <w:r>
        <w:t xml:space="preserve"> </w:t>
      </w:r>
      <w:r>
        <w:t xml:space="preserve">to eligible</w:t>
      </w:r>
      <w:r>
        <w:t xml:space="preserve"> </w:t>
      </w:r>
      <w:r>
        <w:t xml:space="preserve">operations, without</w:t>
      </w:r>
      <w:r>
        <w:t xml:space="preserve"> </w:t>
      </w:r>
      <w:r>
        <w:t xml:space="preserve">a list of tools</w:t>
      </w:r>
      <w:r>
        <w:t xml:space="preserve"> </w:t>
      </w:r>
      <w:r>
        <w:t xml:space="preserve">PD1</w:t>
      </w:r>
      <w:r>
        <w:t xml:space="preserve"> </w:t>
      </w:r>
      <w:r>
        <w:t xml:space="preserve">SO1</w:t>
      </w:r>
      <w:r>
        <w:t xml:space="preserve"> </w:t>
      </w:r>
      <w:r>
        <w:t xml:space="preserve">The measure would have called Member States</w:t>
      </w:r>
      <w:r>
        <w:t xml:space="preserve"> </w:t>
      </w:r>
      <w:r>
        <w:t xml:space="preserve">to provide support to intermodal transport, but</w:t>
      </w:r>
      <w:r>
        <w:t xml:space="preserve"> </w:t>
      </w:r>
      <w:r>
        <w:t xml:space="preserve">leaving the choice, type and design of the</w:t>
      </w:r>
      <w:r>
        <w:t xml:space="preserve"> </w:t>
      </w:r>
      <w:r>
        <w:t xml:space="preserve">support entirely to the Member States,</w:t>
      </w:r>
      <w:r>
        <w:t xml:space="preserve"> </w:t>
      </w:r>
      <w:r>
        <w:t xml:space="preserve">including abolishing current fiscal support</w:t>
      </w:r>
      <w:r>
        <w:t xml:space="preserve"> </w:t>
      </w:r>
      <w:r>
        <w:t xml:space="preserve">tools.</w:t>
      </w:r>
      <w:r>
        <w:t xml:space="preserve"> </w:t>
      </w:r>
      <w:r>
        <w:t xml:space="preserve">This measure was considered as ineffective for</w:t>
      </w:r>
      <w:r>
        <w:t xml:space="preserve"> </w:t>
      </w:r>
      <w:r>
        <w:t xml:space="preserve">achieving the objectives.</w:t>
      </w:r>
      <w:r>
        <w:br/>
      </w:r>
      <w:r>
        <w:t xml:space="preserve">Establish common</w:t>
      </w:r>
      <w:r>
        <w:t xml:space="preserve"> </w:t>
      </w:r>
      <w:r>
        <w:t xml:space="preserve">data standards for</w:t>
      </w:r>
      <w:r>
        <w:t xml:space="preserve"> </w:t>
      </w:r>
      <w:r>
        <w:t xml:space="preserve">eligible operations</w:t>
      </w:r>
      <w:r>
        <w:t xml:space="preserve"> </w:t>
      </w:r>
      <w:r>
        <w:t xml:space="preserve">PD4</w:t>
      </w:r>
      <w:r>
        <w:t xml:space="preserve"> </w:t>
      </w:r>
      <w:r>
        <w:t xml:space="preserve">SO4</w:t>
      </w:r>
      <w:r>
        <w:t xml:space="preserve"> </w:t>
      </w:r>
      <w:r>
        <w:t xml:space="preserve">The measure would have established common</w:t>
      </w:r>
      <w:r>
        <w:t xml:space="preserve"> </w:t>
      </w:r>
      <w:r>
        <w:t xml:space="preserve">data standards for only the supported</w:t>
      </w:r>
      <w:r>
        <w:t xml:space="preserve"> </w:t>
      </w:r>
      <w:r>
        <w:t xml:space="preserve">intermodal operations. On-going horizontal</w:t>
      </w:r>
      <w:r>
        <w:t xml:space="preserve"> </w:t>
      </w:r>
      <w:r>
        <w:t xml:space="preserve">policy work is ongoing for all transport</w:t>
      </w:r>
      <w:r>
        <w:t xml:space="preserve"> </w:t>
      </w:r>
      <w:r>
        <w:t xml:space="preserve">operations aiming to establish harmonized</w:t>
      </w:r>
      <w:r>
        <w:t xml:space="preserve"> </w:t>
      </w:r>
      <w:r>
        <w:t xml:space="preserve">rules for interoperable information sharing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Categories</w:t>
      </w:r>
      <w:r>
        <w:t xml:space="preserve"> </w:t>
      </w:r>
      <w:r>
        <w:t xml:space="preserve">measures by</w:t>
      </w:r>
      <w:r>
        <w:t xml:space="preserve"> </w:t>
      </w:r>
      <w:r>
        <w:t xml:space="preserve">thematic area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and spec.</w:t>
      </w:r>
      <w:r>
        <w:t xml:space="preserve"> </w:t>
      </w:r>
      <w:r>
        <w:t xml:space="preserve">objectives</w:t>
      </w:r>
      <w:r>
        <w:br/>
      </w:r>
      <w:r>
        <w:t xml:space="preserve">Short description and reason for</w:t>
      </w:r>
      <w:r>
        <w:t xml:space="preserve"> </w:t>
      </w:r>
      <w:r>
        <w:t xml:space="preserve">discarding</w:t>
      </w:r>
      <w:r>
        <w:t xml:space="preserve"> </w:t>
      </w:r>
      <w:r>
        <w:t xml:space="preserve">across all segments of the transport and</w:t>
      </w:r>
      <w:r>
        <w:t xml:space="preserve"> </w:t>
      </w:r>
      <w:r>
        <w:t xml:space="preserve">logistics sector. These initiatives, including the</w:t>
      </w:r>
      <w:r>
        <w:t xml:space="preserve"> </w:t>
      </w:r>
      <w:r>
        <w:t xml:space="preserve">common European mobility data space, and</w:t>
      </w:r>
      <w:r>
        <w:t xml:space="preserve"> </w:t>
      </w:r>
      <w:r>
        <w:t xml:space="preserve">the Digital Transport and Logistics Forum</w:t>
      </w:r>
      <w:r>
        <w:t xml:space="preserve"> </w:t>
      </w:r>
      <w:r>
        <w:t xml:space="preserve">(DTLF) are expected to provide for generic</w:t>
      </w:r>
      <w:r>
        <w:t xml:space="preserve"> </w:t>
      </w:r>
      <w:r>
        <w:t xml:space="preserve">solutions to be further customized for</w:t>
      </w:r>
      <w:r>
        <w:t xml:space="preserve"> </w:t>
      </w:r>
      <w:r>
        <w:t xml:space="preserve">individual applications, such as the combined</w:t>
      </w:r>
      <w:r>
        <w:t xml:space="preserve"> </w:t>
      </w:r>
      <w:r>
        <w:t xml:space="preserve">transport.</w:t>
      </w:r>
      <w:r>
        <w:t xml:space="preserve"> </w:t>
      </w:r>
      <w:r>
        <w:t xml:space="preserve">Call for industry-</w:t>
      </w:r>
      <w:r>
        <w:t xml:space="preserve"> </w:t>
      </w:r>
      <w:r>
        <w:t xml:space="preserve">driven terminal</w:t>
      </w:r>
      <w:r>
        <w:t xml:space="preserve"> </w:t>
      </w:r>
      <w:r>
        <w:t xml:space="preserve">categories</w:t>
      </w:r>
      <w:r>
        <w:t xml:space="preserve"> </w:t>
      </w:r>
      <w:r>
        <w:t xml:space="preserve">framework</w:t>
      </w:r>
      <w:r>
        <w:t xml:space="preserve"> </w:t>
      </w:r>
      <w:r>
        <w:t xml:space="preserve">PD4</w:t>
      </w:r>
      <w:r>
        <w:t xml:space="preserve"> </w:t>
      </w:r>
      <w:r>
        <w:t xml:space="preserve">SO4</w:t>
      </w:r>
      <w:r>
        <w:t xml:space="preserve"> </w:t>
      </w:r>
      <w:r>
        <w:t xml:space="preserve">The measure would have included a call to</w:t>
      </w:r>
      <w:r>
        <w:t xml:space="preserve"> </w:t>
      </w:r>
      <w:r>
        <w:t xml:space="preserve">industry to elaborate voluntary terminal</w:t>
      </w:r>
      <w:r>
        <w:t xml:space="preserve"> </w:t>
      </w:r>
      <w:r>
        <w:t xml:space="preserve">categories framework. The value added of such</w:t>
      </w:r>
      <w:r>
        <w:t xml:space="preserve"> </w:t>
      </w:r>
      <w:r>
        <w:t xml:space="preserve">a call in EU legislation is limited.</w:t>
      </w:r>
      <w:r>
        <w:t xml:space="preserve"> </w:t>
      </w:r>
      <w:r>
        <w:t xml:space="preserve">Establishment of</w:t>
      </w:r>
      <w:r>
        <w:t xml:space="preserve"> </w:t>
      </w:r>
      <w:r>
        <w:t xml:space="preserve">EU freight</w:t>
      </w:r>
      <w:r>
        <w:t xml:space="preserve"> </w:t>
      </w:r>
      <w:r>
        <w:t xml:space="preserve">transport horizontal</w:t>
      </w:r>
      <w:r>
        <w:t xml:space="preserve"> </w:t>
      </w:r>
      <w:r>
        <w:t xml:space="preserve">and vertical</w:t>
      </w:r>
      <w:r>
        <w:t xml:space="preserve"> </w:t>
      </w:r>
      <w:r>
        <w:t xml:space="preserve">cooperation</w:t>
      </w:r>
      <w:r>
        <w:t xml:space="preserve"> </w:t>
      </w:r>
      <w:r>
        <w:t xml:space="preserve">platforms</w:t>
      </w:r>
      <w:r>
        <w:t xml:space="preserve"> </w:t>
      </w:r>
      <w:r>
        <w:t xml:space="preserve">PD4</w:t>
      </w:r>
      <w:r>
        <w:t xml:space="preserve"> </w:t>
      </w:r>
      <w:r>
        <w:t xml:space="preserve">SO4</w:t>
      </w:r>
      <w:r>
        <w:t xml:space="preserve"> </w:t>
      </w:r>
      <w:r>
        <w:t xml:space="preserve">The measure would have created one or more</w:t>
      </w:r>
      <w:r>
        <w:t xml:space="preserve"> </w:t>
      </w:r>
      <w:r>
        <w:t xml:space="preserve">centralised platforms for improving freight</w:t>
      </w:r>
      <w:r>
        <w:t xml:space="preserve"> </w:t>
      </w:r>
      <w:r>
        <w:t xml:space="preserve">transport stakeholders’ cooperation. Horizontal</w:t>
      </w:r>
      <w:r>
        <w:t xml:space="preserve"> </w:t>
      </w:r>
      <w:r>
        <w:t xml:space="preserve">cooperation for load sharing and vertical</w:t>
      </w:r>
      <w:r>
        <w:t xml:space="preserve"> </w:t>
      </w:r>
      <w:r>
        <w:t xml:space="preserve">cooperation for chain organisation would have</w:t>
      </w:r>
      <w:r>
        <w:t xml:space="preserve"> </w:t>
      </w:r>
      <w:r>
        <w:t xml:space="preserve">been covered. Such private initiatives exist but</w:t>
      </w:r>
      <w:r>
        <w:t xml:space="preserve"> </w:t>
      </w:r>
      <w:r>
        <w:t xml:space="preserve">mandating them at centralised level is not</w:t>
      </w:r>
      <w:r>
        <w:t xml:space="preserve"> </w:t>
      </w:r>
      <w:r>
        <w:t xml:space="preserve">following subsidiarity principle.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ANNEX 8: HISTORICAL CONTEXT FOR CTD</w:t>
      </w:r>
      <w:r>
        <w:t xml:space="preserve"> </w:t>
      </w:r>
      <w:r>
        <w:t xml:space="preserve">The CTD was first adopted in 1975. The main political objective for the CTD has been since the adoption</w:t>
      </w:r>
      <w:r>
        <w:t xml:space="preserve"> </w:t>
      </w:r>
      <w:r>
        <w:t xml:space="preserve">of the first CTD improvement of the environmental performance of the transport system212.The original</w:t>
      </w:r>
      <w:r>
        <w:t xml:space="preserve"> </w:t>
      </w:r>
      <w:r>
        <w:t xml:space="preserve">Directive was amended five times to extend the beneficial regime to a wider set of operations. The</w:t>
      </w:r>
      <w:r>
        <w:t xml:space="preserve"> </w:t>
      </w:r>
      <w:r>
        <w:t xml:space="preserve">general EU climate and environmental objectives were reconfirmed over the years at more ambitious</w:t>
      </w:r>
      <w:r>
        <w:t xml:space="preserve"> </w:t>
      </w:r>
      <w:r>
        <w:t xml:space="preserve">levels resulting inter alia in several amendments and amendment proposals for this Directive.</w:t>
      </w:r>
      <w:r>
        <w:br/>
      </w:r>
      <w:r>
        <w:t xml:space="preserve">In 1992 the Commission published the White Paper on Transport and accompanying legislative package</w:t>
      </w:r>
      <w:r>
        <w:t xml:space="preserve"> </w:t>
      </w:r>
      <w:r>
        <w:t xml:space="preserve">that led to today’s CTD entirely liberalising the CT market in EU and providing today’s support framework.</w:t>
      </w:r>
      <w:r>
        <w:t xml:space="preserve"> </w:t>
      </w:r>
      <w:r>
        <w:t xml:space="preserve">The accompanying proposal on strategic combined transport terminal network was not adopted.</w:t>
      </w:r>
      <w:r>
        <w:br/>
      </w:r>
      <w:r>
        <w:t xml:space="preserve">In 1997, The Commission published a dedicated strategy on intermodal transport in Europe213. Since then,</w:t>
      </w:r>
      <w:r>
        <w:t xml:space="preserve"> </w:t>
      </w:r>
      <w:r>
        <w:t xml:space="preserve">there have been two attempts to amend the CTD, in 1998214 and 2017215.</w:t>
      </w:r>
      <w:r>
        <w:br/>
      </w:r>
      <w:r>
        <w:t xml:space="preserve">The 1998 revision proposed an extension of eligibility to domestic operations, a road leg limit based on a</w:t>
      </w:r>
      <w:r>
        <w:t xml:space="preserve"> </w:t>
      </w:r>
      <w:r>
        <w:t xml:space="preserve">20% share in total operation and exclusion of island transport. It also proposed exempting CT road legs</w:t>
      </w:r>
      <w:r>
        <w:t xml:space="preserve"> </w:t>
      </w:r>
      <w:r>
        <w:t xml:space="preserve">from weekend driving bans. The proposal was stalled in European Parliament, and the Commission</w:t>
      </w:r>
      <w:r>
        <w:t xml:space="preserve"> </w:t>
      </w:r>
      <w:r>
        <w:t xml:space="preserve">withdraw the proposal in 2001.</w:t>
      </w:r>
      <w:r>
        <w:br/>
      </w:r>
      <w:r>
        <w:t xml:space="preserve">In 2011, the Commission published the Transport White Paper216, which set a specific goal of shifting by 2030 30% of</w:t>
      </w:r>
      <w:r>
        <w:t xml:space="preserve"> </w:t>
      </w:r>
      <w:r>
        <w:t xml:space="preserve">long-distance road freight (over 300 km) to rail or waterborne transport, and more than 50% by 2050.</w:t>
      </w:r>
      <w:r>
        <w:br/>
      </w:r>
      <w:r>
        <w:t xml:space="preserve">The European Parliament highlighted in 2015 that a European sustainable mobility policy needs to build</w:t>
      </w:r>
      <w:r>
        <w:t xml:space="preserve"> </w:t>
      </w:r>
      <w:r>
        <w:t xml:space="preserve">on a broad range of policy tools to shift towards the least polluting and most energy-efficient modes of</w:t>
      </w:r>
      <w:r>
        <w:t xml:space="preserve"> </w:t>
      </w:r>
      <w:r>
        <w:t xml:space="preserve">transport in a cost-efficient manner217.</w:t>
      </w:r>
      <w:r>
        <w:br/>
      </w:r>
      <w:r>
        <w:t xml:space="preserve">A REFIT evaluation218 of the CTD was published in 2016 that concluded that the CTD continues</w:t>
      </w:r>
      <w:r>
        <w:t xml:space="preserve"> </w:t>
      </w:r>
      <w:r>
        <w:t xml:space="preserve">to be a relevant instrument for supporting CT. It was estimated that the shift from road-only to</w:t>
      </w:r>
      <w:r>
        <w:t xml:space="preserve"> </w:t>
      </w:r>
      <w:r>
        <w:t xml:space="preserve">intermodal transport has brought along an annual saving of up to €2.1 billion in external costs</w:t>
      </w:r>
      <w:r>
        <w:t xml:space="preserve"> </w:t>
      </w:r>
      <w:r>
        <w:t xml:space="preserve">(2011). While not all of this saving can be attributed to the CTD, it was established that without EU</w:t>
      </w:r>
      <w:r>
        <w:t xml:space="preserve"> </w:t>
      </w:r>
      <w:r>
        <w:t xml:space="preserve">action, cross-border CT services would likely have been faced with barriers of different legal</w:t>
      </w:r>
      <w:r>
        <w:t xml:space="preserve"> </w:t>
      </w:r>
      <w:r>
        <w:t xml:space="preserve">systems, making CT services less attractive and possibly unfeasible. The evaluation also showed</w:t>
      </w:r>
      <w:r>
        <w:t xml:space="preserve"> </w:t>
      </w:r>
      <w:r>
        <w:t xml:space="preserve">that there is significant margin for further improving the effectiveness of the CTD as some of its</w:t>
      </w:r>
      <w:r>
        <w:t xml:space="preserve"> </w:t>
      </w:r>
      <w:r>
        <w:t xml:space="preserve">provisions are outdated or unclear. The shortcomings relate in particular to the narrow eligibility</w:t>
      </w:r>
      <w:r>
        <w:t xml:space="preserve"> </w:t>
      </w:r>
      <w:r>
        <w:t xml:space="preserve">and too low economic support. In addition, the evaluation concluded that the transposition is not</w:t>
      </w:r>
      <w:r>
        <w:t xml:space="preserve"> </w:t>
      </w:r>
      <w:r>
        <w:t xml:space="preserve">always homogenous and allows contradictory or misleading interpretation and implementation (see</w:t>
      </w:r>
      <w:r>
        <w:t xml:space="preserve"> </w:t>
      </w:r>
      <w:r>
        <w:t xml:space="preserve">section 2.2.1).</w:t>
      </w:r>
      <w:r>
        <w:br/>
      </w:r>
      <w:r>
        <w:t xml:space="preserve">In 2017, the European Parliament requested a revision of the CTD to increase multimodal transport,</w:t>
      </w:r>
      <w:r>
        <w:t xml:space="preserve"> </w:t>
      </w:r>
      <w:r>
        <w:t xml:space="preserve">eliminate unfair practices and ensure compliance with the social legislation relating to CT.219</w:t>
      </w:r>
    </w:p>
    <w:p>
      <w:pPr>
        <w:pStyle w:val="BodyText"/>
      </w:pPr>
      <w:r>
        <w:t xml:space="preserve">212 Preamble of 75/130/EEC states: “Whereas the use of the road/rail method for the international carriage of goods by</w:t>
      </w:r>
      <w:r>
        <w:t xml:space="preserve"> </w:t>
      </w:r>
      <w:r>
        <w:t xml:space="preserve">road is economically advantageous over long distances, whereas it reduces road traffic and thus enhances road safety;</w:t>
      </w:r>
      <w:r>
        <w:t xml:space="preserve"> </w:t>
      </w:r>
      <w:r>
        <w:t xml:space="preserve">whereas at the same time it contributes to the protection of the environment;…”</w:t>
      </w:r>
      <w:r>
        <w:t xml:space="preserve"> </w:t>
      </w:r>
      <w:r>
        <w:t xml:space="preserve">213 COM(97) 243 final.</w:t>
      </w:r>
      <w:r>
        <w:t xml:space="preserve"> </w:t>
      </w:r>
      <w:r>
        <w:t xml:space="preserve">214 COM(98) 0414 final.</w:t>
      </w:r>
      <w:r>
        <w:t xml:space="preserve"> </w:t>
      </w:r>
      <w:r>
        <w:t xml:space="preserve">215 COM(2017)0648 final.</w:t>
      </w:r>
      <w:r>
        <w:t xml:space="preserve"> </w:t>
      </w:r>
      <w:r>
        <w:t xml:space="preserve">216 COM(2011) 144 final.</w:t>
      </w:r>
      <w:r>
        <w:t xml:space="preserve"> </w:t>
      </w:r>
      <w:r>
        <w:t xml:space="preserve">217 https://www.europarl.europa.eu/doceo/document/TA-8-2015-0423_EN.html</w:t>
      </w:r>
      <w:r>
        <w:br/>
      </w:r>
      <w:r>
        <w:t xml:space="preserve">218 SWD(2016) 140 final.</w:t>
      </w:r>
      <w:r>
        <w:t xml:space="preserve"> </w:t>
      </w:r>
      <w:r>
        <w:t xml:space="preserve">219 https://www.europarl.europa.eu/doceo/document/TA-8-2017-0009_EN.html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As a result, the Commission adopted a proposal in 2017 to amend the CTD with a focus on clarifying the</w:t>
      </w:r>
      <w:r>
        <w:t xml:space="preserve"> </w:t>
      </w:r>
      <w:r>
        <w:t xml:space="preserve">definition and increasing the support to be provided. The 2017 impact assessment accompanying the</w:t>
      </w:r>
      <w:r>
        <w:t xml:space="preserve"> </w:t>
      </w:r>
      <w:r>
        <w:t xml:space="preserve">amendment proposal established that the goal in 2011 Transport White Paper will not be met without</w:t>
      </w:r>
      <w:r>
        <w:t xml:space="preserve"> </w:t>
      </w:r>
      <w:r>
        <w:t xml:space="preserve">additional intervention. The proposal clarified the existing definition in light of existing case law and</w:t>
      </w:r>
      <w:r>
        <w:t xml:space="preserve"> </w:t>
      </w:r>
      <w:r>
        <w:t xml:space="preserve">complaints without changing the approach based on fixed distances for different parts of the operation. It</w:t>
      </w:r>
      <w:r>
        <w:t xml:space="preserve"> </w:t>
      </w:r>
      <w:r>
        <w:t xml:space="preserve">also proposed to promote investment into terminal infrastructure and considerably improve the fiscal</w:t>
      </w:r>
      <w:r>
        <w:t xml:space="preserve"> </w:t>
      </w:r>
      <w:r>
        <w:t xml:space="preserve">and economic support tools.</w:t>
      </w:r>
      <w:r>
        <w:br/>
      </w:r>
      <w:r>
        <w:t xml:space="preserve">While all Member States welcomed the amendment and supported the objective to improve the</w:t>
      </w:r>
      <w:r>
        <w:t xml:space="preserve"> </w:t>
      </w:r>
      <w:r>
        <w:t xml:space="preserve">competitiveness of CT, any proposals to extend the eligibility were met with resistance220. Similarly,</w:t>
      </w:r>
      <w:r>
        <w:t xml:space="preserve"> </w:t>
      </w:r>
      <w:r>
        <w:t xml:space="preserve">many Member States were against an obligation to facilitate the increase of terminal capacity221.As</w:t>
      </w:r>
      <w:r>
        <w:t xml:space="preserve"> </w:t>
      </w:r>
      <w:r>
        <w:t xml:space="preserve">regards increased support to CT operations, Member States views diverged222. This was further</w:t>
      </w:r>
      <w:r>
        <w:t xml:space="preserve"> </w:t>
      </w:r>
      <w:r>
        <w:t xml:space="preserve">challenged by some Member States’ efforts to abolish the equivalent treatment for use of non-</w:t>
      </w:r>
      <w:r>
        <w:t xml:space="preserve"> </w:t>
      </w:r>
      <w:r>
        <w:t xml:space="preserve">resident road hauliers in all international intra-EU transport. The European Parliament broadly</w:t>
      </w:r>
      <w:r>
        <w:t xml:space="preserve"> </w:t>
      </w:r>
      <w:r>
        <w:t xml:space="preserve">supported the proposal, proposed further ambition as regards the economic support, but also</w:t>
      </w:r>
      <w:r>
        <w:t xml:space="preserve"> </w:t>
      </w:r>
      <w:r>
        <w:t xml:space="preserve">requested some exemptions. Progress was made in two trilogues, but the Council was unable to</w:t>
      </w:r>
      <w:r>
        <w:t xml:space="preserve"> </w:t>
      </w:r>
      <w:r>
        <w:t xml:space="preserve">agree on a mandate for a third trilogue, which resulted in the European Parliament adopting its first</w:t>
      </w:r>
      <w:r>
        <w:t xml:space="preserve"> </w:t>
      </w:r>
      <w:r>
        <w:t xml:space="preserve">reading outcome not reflecting the progress made in the trilogues. Consequently, several</w:t>
      </w:r>
      <w:r>
        <w:t xml:space="preserve"> </w:t>
      </w:r>
      <w:r>
        <w:t xml:space="preserve">amendments introduced by the co-legislators modified the proposal in a manner which, if adopted,</w:t>
      </w:r>
      <w:r>
        <w:t xml:space="preserve"> </w:t>
      </w:r>
      <w:r>
        <w:t xml:space="preserve">would have significantly reduced the effectiveness of the Commission proposal. Therefore, the</w:t>
      </w:r>
      <w:r>
        <w:t xml:space="preserve"> </w:t>
      </w:r>
      <w:r>
        <w:t xml:space="preserve">Commission withdrew its proposal, concluding that the necessity of increasing the share in total</w:t>
      </w:r>
      <w:r>
        <w:t xml:space="preserve"> </w:t>
      </w:r>
      <w:r>
        <w:t xml:space="preserve">transport of sustainable transport modes under the European Green Deal required stronger support</w:t>
      </w:r>
      <w:r>
        <w:t xml:space="preserve"> </w:t>
      </w:r>
      <w:r>
        <w:t xml:space="preserve">for multimodal solutions.</w:t>
      </w:r>
      <w:r>
        <w:br/>
      </w:r>
      <w:r>
        <w:t xml:space="preserve">The EESC adopted an opinion in 2021 questioning the need for the financial promotion and regulatory</w:t>
      </w:r>
      <w:r>
        <w:t xml:space="preserve"> </w:t>
      </w:r>
      <w:r>
        <w:t xml:space="preserve">support.223</w:t>
      </w:r>
    </w:p>
    <w:p>
      <w:pPr>
        <w:pStyle w:val="BodyText"/>
      </w:pPr>
      <w:r>
        <w:t xml:space="preserve">220 18 Member States supported retaining the scope only on operations between Member States.</w:t>
      </w:r>
      <w:r>
        <w:br/>
      </w:r>
      <w:r>
        <w:t xml:space="preserve">221 No Member State supported the obligation to promote terminal investment. 15 Member States could agree on</w:t>
      </w:r>
      <w:r>
        <w:t xml:space="preserve"> </w:t>
      </w:r>
      <w:r>
        <w:t xml:space="preserve">obligation to encouraging to promote terminal investment. 9 Member States were against any obligation in this regard.</w:t>
      </w:r>
      <w:r>
        <w:br/>
      </w:r>
      <w:r>
        <w:t xml:space="preserve">222 No Member State supported harmonised mandatory support. The rest of the Member States supported an obligation</w:t>
      </w:r>
      <w:r>
        <w:t xml:space="preserve"> </w:t>
      </w:r>
      <w:r>
        <w:t xml:space="preserve">to provide support when the choice of support tool was left to Member States.</w:t>
      </w:r>
      <w:r>
        <w:t xml:space="preserve"> </w:t>
      </w:r>
      <w:r>
        <w:t xml:space="preserve">223 https://www.eesc.europa.eu/lt/our-work/opinions-information-reports/opinions/intermodal-transport-and-</w:t>
      </w:r>
      <w:r>
        <w:t xml:space="preserve"> </w:t>
      </w:r>
      <w:r>
        <w:t xml:space="preserve">multimodal-logistics-making-modes-complementary-greening-transport-own-initiative-opinion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ANNEX 9: TOOLBOX OF SUPPORT TOOLS</w:t>
      </w:r>
      <w:r>
        <w:t xml:space="preserve"> </w:t>
      </w:r>
      <w:r>
        <w:t xml:space="preserve">Below preliminary list serves as an example of types of support tools that can be included in the</w:t>
      </w:r>
      <w:r>
        <w:t xml:space="preserve"> </w:t>
      </w:r>
      <w:r>
        <w:t xml:space="preserve">Toolbox to be annexed to the revised CTD</w:t>
      </w:r>
      <w:r>
        <w:br/>
      </w:r>
      <w:r>
        <w:t xml:space="preserve">Without prejudice to State aid rules and in particular conditions for eligible costs, beneficiaries and</w:t>
      </w:r>
      <w:r>
        <w:t xml:space="preserve"> </w:t>
      </w:r>
      <w:r>
        <w:t xml:space="preserve">aid intensities, the support provided in this Directive, and contributing to the objective to ultimately</w:t>
      </w:r>
      <w:r>
        <w:t xml:space="preserve"> </w:t>
      </w:r>
      <w:r>
        <w:t xml:space="preserve">reduce the cost to shippers by 10%, falls into the following categories:</w:t>
      </w:r>
      <w:r>
        <w:br/>
      </w:r>
      <w:r>
        <w:t xml:space="preserve">Part 1: operational support for eligible intermodal operations</w:t>
      </w:r>
      <w:r>
        <w:t xml:space="preserve"> </w:t>
      </w:r>
      <w:r>
        <w:t xml:space="preserve">(a) Support to reduce the costs borne by intermodal transport organisers (shippers, logistics</w:t>
      </w:r>
      <w:r>
        <w:t xml:space="preserve"> </w:t>
      </w:r>
      <w:r>
        <w:t xml:space="preserve">companies), such as total transport (door-to-door) costs, transhipment costs or transport costs</w:t>
      </w:r>
      <w:r>
        <w:t xml:space="preserve"> </w:t>
      </w:r>
      <w:r>
        <w:t xml:space="preserve">for non-road legs;</w:t>
      </w:r>
      <w:r>
        <w:br/>
      </w:r>
      <w:r>
        <w:t xml:space="preserve">(a) Support to reduce the costs borne by operators who organise the intermodal transport operation,</w:t>
      </w:r>
      <w:r>
        <w:t xml:space="preserve"> </w:t>
      </w:r>
      <w:r>
        <w:t xml:space="preserve">such as transport costs per loading unit transported, external-cost charges or congestion,</w:t>
      </w:r>
      <w:r>
        <w:t xml:space="preserve"> </w:t>
      </w:r>
      <w:r>
        <w:t xml:space="preserve">charges for the use of certain infrastructure;</w:t>
      </w:r>
      <w:r>
        <w:t xml:space="preserve"> </w:t>
      </w:r>
      <w:r>
        <w:t xml:space="preserve">Part 2: Start-up support</w:t>
      </w:r>
      <w:r>
        <w:t xml:space="preserve"> </w:t>
      </w:r>
      <w:r>
        <w:t xml:space="preserve">The financial start-up support to cover, for limited time period, costs related to operating a new</w:t>
      </w:r>
      <w:r>
        <w:t xml:space="preserve"> </w:t>
      </w:r>
      <w:r>
        <w:t xml:space="preserve">intermodal transport scheduled route on rail, IWW or SSS</w:t>
      </w:r>
      <w:r>
        <w:t xml:space="preserve"> </w:t>
      </w:r>
      <w:r>
        <w:t xml:space="preserve">Part 3: Technological upgrade support</w:t>
      </w:r>
      <w:r>
        <w:t xml:space="preserve"> </w:t>
      </w:r>
      <w:r>
        <w:t xml:space="preserve">Support to reduce the costs borne by operators for investments in technological upgrade for</w:t>
      </w:r>
      <w:r>
        <w:t xml:space="preserve"> </w:t>
      </w:r>
      <w:r>
        <w:t xml:space="preserve">intermodal transport, such as:</w:t>
      </w:r>
      <w:r>
        <w:t xml:space="preserve"> </w:t>
      </w:r>
      <w:r>
        <w:t xml:space="preserve">(a) investments to identify the semi-trailers used in intermodal transport in accordance with the</w:t>
      </w:r>
      <w:r>
        <w:t xml:space="preserve"> </w:t>
      </w:r>
      <w:r>
        <w:t xml:space="preserve">identification regime established pursuant to international standards ISO6346 and EN13044,</w:t>
      </w:r>
      <w:r>
        <w:br/>
      </w:r>
      <w:r>
        <w:t xml:space="preserve">(b) investments to make the non-cranable semi-trailers to become cranable</w:t>
      </w:r>
      <w:r>
        <w:t xml:space="preserve"> </w:t>
      </w:r>
      <w:r>
        <w:t xml:space="preserve">(c) investments for the integration of connected systems and the automation of operations in</w:t>
      </w:r>
      <w:r>
        <w:t xml:space="preserve"> </w:t>
      </w:r>
      <w:r>
        <w:t xml:space="preserve">intermodal transport, digital logistics, related information and communication technologies and</w:t>
      </w:r>
      <w:r>
        <w:t xml:space="preserve"> </w:t>
      </w:r>
      <w:r>
        <w:t xml:space="preserve">intelligent transport systems that are necessary for the smooth functioning of intermodal</w:t>
      </w:r>
      <w:r>
        <w:t xml:space="preserve"> </w:t>
      </w:r>
      <w:r>
        <w:t xml:space="preserve">transport operations, in particular support for investments into terminal photogates and</w:t>
      </w:r>
      <w:r>
        <w:t xml:space="preserve"> </w:t>
      </w:r>
      <w:r>
        <w:t xml:space="preserve">automatic check-in/check-out booth,</w:t>
      </w:r>
      <w:r>
        <w:br/>
      </w:r>
      <w:r>
        <w:t xml:space="preserve">(d) investments into low-emission vehicles or vessels or transhipment technology in intermodal</w:t>
      </w:r>
      <w:r>
        <w:t xml:space="preserve"> </w:t>
      </w:r>
      <w:r>
        <w:t xml:space="preserve">transport,</w:t>
      </w:r>
      <w:r>
        <w:br/>
      </w:r>
      <w:r>
        <w:t xml:space="preserve">(e) investments for the purchase of equipment to allow transhipment of semi-trailers, such as gantry</w:t>
      </w:r>
      <w:r>
        <w:t xml:space="preserve"> </w:t>
      </w:r>
      <w:r>
        <w:t xml:space="preserve">crane grapple arms for vertical transhipment of semi-trailers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ANNEX 10: TRANSPARENCY REQUIREMENTS ON TERMINALS</w:t>
      </w:r>
      <w:r>
        <w:t xml:space="preserve"> </w:t>
      </w:r>
      <w:r>
        <w:t xml:space="preserve">Below preliminary list serves as an example of types or information potentially required to be made</w:t>
      </w:r>
      <w:r>
        <w:t xml:space="preserve"> </w:t>
      </w:r>
      <w:r>
        <w:t xml:space="preserve">public by terminal operators for each terminal on their homepage.</w:t>
      </w:r>
      <w:r>
        <w:br/>
      </w:r>
      <w:r>
        <w:t xml:space="preserve">Information</w:t>
      </w:r>
      <w:r>
        <w:br/>
      </w:r>
      <w:r>
        <w:t xml:space="preserve">Information</w:t>
      </w:r>
      <w:r>
        <w:t xml:space="preserve"> </w:t>
      </w:r>
      <w:r>
        <w:t xml:space="preserve">Terminal and</w:t>
      </w:r>
      <w:r>
        <w:t xml:space="preserve"> </w:t>
      </w:r>
      <w:r>
        <w:t xml:space="preserve">operator</w:t>
      </w:r>
      <w:r>
        <w:t xml:space="preserve"> </w:t>
      </w:r>
      <w:r>
        <w:t xml:space="preserve">•</w:t>
      </w:r>
      <w:r>
        <w:t xml:space="preserve"> </w:t>
      </w:r>
      <w:r>
        <w:t xml:space="preserve">Name, address and coordinates of the terminal</w:t>
      </w:r>
      <w:r>
        <w:br/>
      </w:r>
      <w:r>
        <w:t xml:space="preserve">•</w:t>
      </w:r>
      <w:r>
        <w:t xml:space="preserve"> </w:t>
      </w:r>
      <w:r>
        <w:t xml:space="preserve">Contact details of the operator of the terminal</w:t>
      </w:r>
      <w:r>
        <w:br/>
      </w:r>
      <w:r>
        <w:t xml:space="preserve">•</w:t>
      </w:r>
      <w:r>
        <w:t xml:space="preserve"> </w:t>
      </w:r>
      <w:r>
        <w:t xml:space="preserve">Opening times</w:t>
      </w:r>
      <w:r>
        <w:t xml:space="preserve"> </w:t>
      </w:r>
      <w:r>
        <w:t xml:space="preserve">Non-road</w:t>
      </w:r>
      <w:r>
        <w:t xml:space="preserve"> </w:t>
      </w:r>
      <w:r>
        <w:t xml:space="preserve">connections</w:t>
      </w:r>
      <w:r>
        <w:t xml:space="preserve"> </w:t>
      </w:r>
      <w:r>
        <w:t xml:space="preserve">List the destinations that are directly connected to the terminal, including mode/transport</w:t>
      </w:r>
      <w:r>
        <w:t xml:space="preserve"> </w:t>
      </w:r>
      <w:r>
        <w:t xml:space="preserve">system and name of operators of such connections and frequency and days of departures</w:t>
      </w:r>
      <w:r>
        <w:t xml:space="preserve"> </w:t>
      </w:r>
      <w:r>
        <w:t xml:space="preserve">per destination</w:t>
      </w:r>
      <w:r>
        <w:t xml:space="preserve"> </w:t>
      </w:r>
      <w:r>
        <w:t xml:space="preserve">Loading units</w:t>
      </w:r>
      <w:r>
        <w:t xml:space="preserve"> </w:t>
      </w:r>
      <w:r>
        <w:t xml:space="preserve">•</w:t>
      </w:r>
      <w:r>
        <w:t xml:space="preserve"> </w:t>
      </w:r>
      <w:r>
        <w:t xml:space="preserve">Types of loading units handled, description of limitations</w:t>
      </w:r>
      <w:r>
        <w:t xml:space="preserve"> </w:t>
      </w:r>
      <w:r>
        <w:t xml:space="preserve">•</w:t>
      </w:r>
      <w:r>
        <w:t xml:space="preserve"> </w:t>
      </w:r>
      <w:r>
        <w:t xml:space="preserve">Service facilities for loading units (repair, maintenance, cleaning, weighing of containers,</w:t>
      </w:r>
      <w:r>
        <w:t xml:space="preserve"> </w:t>
      </w:r>
      <w:r>
        <w:t xml:space="preserve">stuffing/stripping))</w:t>
      </w:r>
      <w:r>
        <w:t xml:space="preserve"> </w:t>
      </w:r>
      <w:r>
        <w:t xml:space="preserve">Handling</w:t>
      </w:r>
      <w:r>
        <w:t xml:space="preserve"> </w:t>
      </w:r>
      <w:r>
        <w:t xml:space="preserve">•</w:t>
      </w:r>
      <w:r>
        <w:t xml:space="preserve"> </w:t>
      </w:r>
      <w:r>
        <w:t xml:space="preserve">Technical equipment for loading and unloading, including type and number of handling</w:t>
      </w:r>
      <w:r>
        <w:t xml:space="preserve"> </w:t>
      </w:r>
      <w:r>
        <w:t xml:space="preserve">equipment</w:t>
      </w:r>
      <w:r>
        <w:t xml:space="preserve"> </w:t>
      </w:r>
      <w:r>
        <w:t xml:space="preserve">•</w:t>
      </w:r>
      <w:r>
        <w:t xml:space="preserve"> </w:t>
      </w:r>
      <w:r>
        <w:t xml:space="preserve">Number and length of handling tracks (rail)/No. of loading berths, total (usable) length</w:t>
      </w:r>
      <w:r>
        <w:t xml:space="preserve"> </w:t>
      </w:r>
      <w:r>
        <w:t xml:space="preserve">and draught (IWW/SSS)</w:t>
      </w:r>
      <w:r>
        <w:t xml:space="preserve"> </w:t>
      </w:r>
      <w:r>
        <w:t xml:space="preserve">•</w:t>
      </w:r>
      <w:r>
        <w:t xml:space="preserve"> </w:t>
      </w:r>
      <w:r>
        <w:t xml:space="preserve">Priority rules</w:t>
      </w:r>
      <w:r>
        <w:t xml:space="preserve"> </w:t>
      </w:r>
      <w:r>
        <w:t xml:space="preserve">•</w:t>
      </w:r>
      <w:r>
        <w:t xml:space="preserve"> </w:t>
      </w:r>
      <w:r>
        <w:t xml:space="preserve">Maximum load for handling</w:t>
      </w:r>
      <w:r>
        <w:t xml:space="preserve"> </w:t>
      </w:r>
      <w:r>
        <w:t xml:space="preserve">•</w:t>
      </w:r>
      <w:r>
        <w:t xml:space="preserve"> </w:t>
      </w:r>
      <w:r>
        <w:t xml:space="preserve">Handlings per hour</w:t>
      </w:r>
      <w:r>
        <w:t xml:space="preserve"> </w:t>
      </w:r>
      <w:r>
        <w:t xml:space="preserve">Services for</w:t>
      </w:r>
      <w:r>
        <w:t xml:space="preserve"> </w:t>
      </w:r>
      <w:r>
        <w:t xml:space="preserve">road hauliers</w:t>
      </w:r>
      <w:r>
        <w:t xml:space="preserve"> </w:t>
      </w:r>
      <w:r>
        <w:t xml:space="preserve">•</w:t>
      </w:r>
      <w:r>
        <w:t xml:space="preserve"> </w:t>
      </w:r>
      <w:r>
        <w:t xml:space="preserve">Access conditions</w:t>
      </w:r>
      <w:r>
        <w:t xml:space="preserve"> </w:t>
      </w:r>
      <w:r>
        <w:t xml:space="preserve">•</w:t>
      </w:r>
      <w:r>
        <w:t xml:space="preserve"> </w:t>
      </w:r>
      <w:r>
        <w:t xml:space="preserve">Waiting areas</w:t>
      </w:r>
      <w:r>
        <w:t xml:space="preserve"> </w:t>
      </w:r>
      <w:r>
        <w:t xml:space="preserve">•</w:t>
      </w:r>
      <w:r>
        <w:t xml:space="preserve"> </w:t>
      </w:r>
      <w:r>
        <w:t xml:space="preserve">Facilities</w:t>
      </w:r>
      <w:r>
        <w:t xml:space="preserve"> </w:t>
      </w:r>
      <w:r>
        <w:t xml:space="preserve">•</w:t>
      </w:r>
      <w:r>
        <w:t xml:space="preserve"> </w:t>
      </w:r>
      <w:r>
        <w:t xml:space="preserve">Waiting times</w:t>
      </w:r>
      <w:r>
        <w:t xml:space="preserve"> </w:t>
      </w:r>
      <w:r>
        <w:t xml:space="preserve">•</w:t>
      </w:r>
      <w:r>
        <w:t xml:space="preserve"> </w:t>
      </w:r>
      <w:r>
        <w:t xml:space="preserve">Weighting of vehicles</w:t>
      </w:r>
      <w:r>
        <w:t xml:space="preserve"> </w:t>
      </w:r>
      <w:r>
        <w:t xml:space="preserve">Storage</w:t>
      </w:r>
      <w:r>
        <w:t xml:space="preserve"> </w:t>
      </w:r>
      <w:r>
        <w:t xml:space="preserve">•</w:t>
      </w:r>
      <w:r>
        <w:t xml:space="preserve"> </w:t>
      </w:r>
      <w:r>
        <w:t xml:space="preserve">Available storage capacity</w:t>
      </w:r>
      <w:r>
        <w:t xml:space="preserve"> </w:t>
      </w:r>
      <w:r>
        <w:t xml:space="preserve">•</w:t>
      </w:r>
      <w:r>
        <w:t xml:space="preserve"> </w:t>
      </w:r>
      <w:r>
        <w:t xml:space="preserve">Time limits for storage</w:t>
      </w:r>
      <w:r>
        <w:t xml:space="preserve"> </w:t>
      </w:r>
      <w:r>
        <w:t xml:space="preserve">•</w:t>
      </w:r>
      <w:r>
        <w:t xml:space="preserve"> </w:t>
      </w:r>
      <w:r>
        <w:t xml:space="preserve">Applicable restrictions (dangerous cargo (incl. class), reefer and reefer power supply,</w:t>
      </w:r>
      <w:r>
        <w:t xml:space="preserve"> </w:t>
      </w:r>
      <w:r>
        <w:t xml:space="preserve">etc.)</w:t>
      </w:r>
      <w:r>
        <w:br/>
      </w:r>
      <w:r>
        <w:t xml:space="preserve">•</w:t>
      </w:r>
      <w:r>
        <w:t xml:space="preserve"> </w:t>
      </w:r>
      <w:r>
        <w:t xml:space="preserve">Empty container depot</w:t>
      </w:r>
      <w:r>
        <w:t xml:space="preserve"> </w:t>
      </w:r>
      <w:r>
        <w:t xml:space="preserve">IT systems</w:t>
      </w:r>
      <w:r>
        <w:t xml:space="preserve"> </w:t>
      </w:r>
      <w:r>
        <w:t xml:space="preserve">•</w:t>
      </w:r>
      <w:r>
        <w:t xml:space="preserve"> </w:t>
      </w:r>
      <w:r>
        <w:t xml:space="preserve">Use of photogates, OCR</w:t>
      </w:r>
      <w:r>
        <w:t xml:space="preserve"> </w:t>
      </w:r>
      <w:r>
        <w:t xml:space="preserve">•</w:t>
      </w:r>
      <w:r>
        <w:t xml:space="preserve"> </w:t>
      </w:r>
      <w:r>
        <w:t xml:space="preserve">Use of digital check-in and check-out</w:t>
      </w:r>
      <w:r>
        <w:t xml:space="preserve"> </w:t>
      </w:r>
      <w:r>
        <w:t xml:space="preserve">•</w:t>
      </w:r>
      <w:r>
        <w:t xml:space="preserve"> </w:t>
      </w:r>
      <w:r>
        <w:t xml:space="preserve">Data exchange main systems</w:t>
      </w:r>
      <w:r>
        <w:t xml:space="preserve"> </w:t>
      </w:r>
      <w:r>
        <w:t xml:space="preserve">Other facilities</w:t>
      </w:r>
      <w:r>
        <w:t xml:space="preserve"> </w:t>
      </w:r>
      <w:r>
        <w:t xml:space="preserve">•</w:t>
      </w:r>
      <w:r>
        <w:t xml:space="preserve"> </w:t>
      </w:r>
      <w:r>
        <w:t xml:space="preserve">Customs, phytosanitary inspections</w:t>
      </w:r>
      <w:r>
        <w:t xml:space="preserve"> </w:t>
      </w:r>
      <w:r>
        <w:t xml:space="preserve">•</w:t>
      </w:r>
      <w:r>
        <w:t xml:space="preserve"> </w:t>
      </w:r>
      <w:r>
        <w:t xml:space="preserve">Packing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ANNEX 11: TERMINAL CATEGORIES – RAIL</w:t>
      </w:r>
      <w:r>
        <w:t xml:space="preserve"> </w:t>
      </w:r>
      <w:r>
        <w:t xml:space="preserve">Below list of terminal categories for rail serves as an preliminary example of conditions to be</w:t>
      </w:r>
      <w:r>
        <w:t xml:space="preserve"> </w:t>
      </w:r>
      <w:r>
        <w:t xml:space="preserve">included in the terminal categories.</w:t>
      </w:r>
      <w:r>
        <w:br/>
      </w:r>
      <w:r>
        <w:t xml:space="preserve">Category</w:t>
      </w:r>
      <w:r>
        <w:t xml:space="preserve"> </w:t>
      </w:r>
      <w:r>
        <w:t xml:space="preserve">Conditions</w:t>
      </w:r>
      <w:r>
        <w:t xml:space="preserve"> </w:t>
      </w:r>
      <w:r>
        <w:t xml:space="preserve">A</w:t>
      </w:r>
      <w:r>
        <w:t xml:space="preserve"> </w:t>
      </w:r>
      <w:r>
        <w:t xml:space="preserve">All types of intermodal loading units can be transhipped/handled</w:t>
      </w:r>
      <w:r>
        <w:t xml:space="preserve"> </w:t>
      </w:r>
      <w:r>
        <w:t xml:space="preserve">740m long tracks exist under the crane</w:t>
      </w:r>
      <w:r>
        <w:t xml:space="preserve"> </w:t>
      </w:r>
      <w:r>
        <w:t xml:space="preserve">Possibility to enter/exit the terminal with the main/electric locomotive via continuous tracks (no</w:t>
      </w:r>
      <w:r>
        <w:t xml:space="preserve"> </w:t>
      </w:r>
      <w:r>
        <w:t xml:space="preserve">shunting required)</w:t>
      </w:r>
      <w:r>
        <w:t xml:space="preserve"> </w:t>
      </w:r>
      <w:r>
        <w:t xml:space="preserve">At least 10 daily rail departures. At least 5 rail destinations</w:t>
      </w:r>
      <w:r>
        <w:t xml:space="preserve"> </w:t>
      </w:r>
      <w:r>
        <w:t xml:space="preserve">Daily theoretical handling capacity in 600 ILUs and 15 trains</w:t>
      </w:r>
      <w:r>
        <w:br/>
      </w:r>
      <w:r>
        <w:t xml:space="preserve">Digital photogates are in use. Automatic check-in and check-out booths are in use.</w:t>
      </w:r>
      <w:r>
        <w:br/>
      </w:r>
      <w:r>
        <w:t xml:space="preserve">B</w:t>
      </w:r>
      <w:r>
        <w:t xml:space="preserve"> </w:t>
      </w:r>
      <w:r>
        <w:t xml:space="preserve">All types of intermodal loading units can be transhipped/handled</w:t>
      </w:r>
      <w:r>
        <w:t xml:space="preserve"> </w:t>
      </w:r>
      <w:r>
        <w:t xml:space="preserve">740m long tracks exist under the crane</w:t>
      </w:r>
      <w:r>
        <w:t xml:space="preserve"> </w:t>
      </w:r>
      <w:r>
        <w:t xml:space="preserve">Possibility to enter/leave the terminal with the main/electric line locomotive (no need for</w:t>
      </w:r>
      <w:r>
        <w:t xml:space="preserve"> </w:t>
      </w:r>
      <w:r>
        <w:t xml:space="preserve">shunting).</w:t>
      </w:r>
      <w:r>
        <w:br/>
      </w:r>
      <w:r>
        <w:t xml:space="preserve">At least 8 daily rail departures. At least 4 rail destinations</w:t>
      </w:r>
      <w:r>
        <w:t xml:space="preserve"> </w:t>
      </w:r>
      <w:r>
        <w:t xml:space="preserve">Daily theoretical handling capacity 450 ILUs and 12 trains.</w:t>
      </w:r>
      <w:r>
        <w:t xml:space="preserve"> </w:t>
      </w:r>
      <w:r>
        <w:t xml:space="preserve">Digital photogates are in use. Automatic check-in and check-out booths are in use.</w:t>
      </w:r>
      <w:r>
        <w:br/>
      </w:r>
      <w:r>
        <w:t xml:space="preserve">C</w:t>
      </w:r>
      <w:r>
        <w:t xml:space="preserve"> </w:t>
      </w:r>
      <w:r>
        <w:t xml:space="preserve">All types of intermodal loading units can be transhipped/handled</w:t>
      </w:r>
      <w:r>
        <w:t xml:space="preserve"> </w:t>
      </w:r>
      <w:r>
        <w:t xml:space="preserve">740m long trains can be handled with a reasonable efficiency even though 740m tracks are not</w:t>
      </w:r>
      <w:r>
        <w:t xml:space="preserve"> </w:t>
      </w:r>
      <w:r>
        <w:t xml:space="preserve">there</w:t>
      </w:r>
      <w:r>
        <w:t xml:space="preserve"> </w:t>
      </w:r>
      <w:r>
        <w:t xml:space="preserve">Shunting is needed as main locomotives cannot enter the terminal</w:t>
      </w:r>
      <w:r>
        <w:t xml:space="preserve"> </w:t>
      </w:r>
      <w:r>
        <w:t xml:space="preserve">At least 4 daily rail departures. At least 2 rail destinations</w:t>
      </w:r>
      <w:r>
        <w:t xml:space="preserve"> </w:t>
      </w:r>
      <w:r>
        <w:t xml:space="preserve">Daily theoretical handling capacity 300 ILUs and 8 trains.</w:t>
      </w:r>
      <w:r>
        <w:t xml:space="preserve"> </w:t>
      </w:r>
      <w:r>
        <w:t xml:space="preserve">Digital photogates are in use. Automatic check-in and check-out booths are in use.</w:t>
      </w:r>
      <w:r>
        <w:br/>
      </w:r>
      <w:r>
        <w:t xml:space="preserve">D</w:t>
      </w:r>
      <w:r>
        <w:t xml:space="preserve"> </w:t>
      </w:r>
      <w:r>
        <w:t xml:space="preserve">Not every type of intermodal loading unit can be transhipped/handled at the facility</w:t>
      </w:r>
      <w:r>
        <w:t xml:space="preserve"> </w:t>
      </w:r>
      <w:r>
        <w:t xml:space="preserve">740m long trains can be handled with a reasonable efficiency even though 740m tracks are not</w:t>
      </w:r>
      <w:r>
        <w:t xml:space="preserve"> </w:t>
      </w:r>
      <w:r>
        <w:t xml:space="preserve">there</w:t>
      </w:r>
      <w:r>
        <w:t xml:space="preserve"> </w:t>
      </w:r>
      <w:r>
        <w:t xml:space="preserve">Shunting is needed as main locomotives cannot enter the terminal</w:t>
      </w:r>
      <w:r>
        <w:t xml:space="preserve"> </w:t>
      </w:r>
      <w:r>
        <w:t xml:space="preserve">At least 5 weekly rail departures. At least 3 weekly rail destinations.</w:t>
      </w:r>
      <w:r>
        <w:t xml:space="preserve"> </w:t>
      </w:r>
      <w:r>
        <w:t xml:space="preserve">Daily theoretical handling capacity 200 ILUs and 6 trains.</w:t>
      </w:r>
      <w:r>
        <w:t xml:space="preserve"> </w:t>
      </w:r>
      <w:r>
        <w:t xml:space="preserve">Digital photogates and automatic check-in and check-out booths are not in use.</w:t>
      </w:r>
      <w:r>
        <w:br/>
      </w:r>
      <w:r>
        <w:t xml:space="preserve">E</w:t>
      </w:r>
      <w:r>
        <w:t xml:space="preserve"> </w:t>
      </w:r>
      <w:r>
        <w:t xml:space="preserve">Not every type of intermodal loading unit can be transhipped/handled at the facility</w:t>
      </w:r>
      <w:r>
        <w:t xml:space="preserve"> </w:t>
      </w:r>
      <w:r>
        <w:t xml:space="preserve">740m long trains cannot be handled efficiently</w:t>
      </w:r>
      <w:r>
        <w:t xml:space="preserve"> </w:t>
      </w:r>
      <w:r>
        <w:t xml:space="preserve">Shunting is needed as main locomotives cannot enter the terminal</w:t>
      </w:r>
      <w:r>
        <w:t xml:space="preserve"> </w:t>
      </w:r>
      <w:r>
        <w:t xml:space="preserve">One weekly connection, one rail destination.</w:t>
      </w:r>
      <w:r>
        <w:br/>
      </w:r>
      <w:r>
        <w:t xml:space="preserve">Daily theoretical handling capacity 80 ILUs and 1 train.</w:t>
      </w:r>
      <w:r>
        <w:t xml:space="preserve"> </w:t>
      </w:r>
      <w:r>
        <w:t xml:space="preserve">Digital photogates and automatic check-in and check-out booths are not in use.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ANNEX 12: EFFECTIVENESS OF THE POLICY OPTIONS</w:t>
      </w:r>
      <w:r>
        <w:t xml:space="preserve"> </w:t>
      </w:r>
      <w:r>
        <w:t xml:space="preserve">The following table summarises the expected effectiveness of each policy option, complementing the description in section 7.1.</w:t>
      </w:r>
      <w:r>
        <w:t xml:space="preserve"> </w:t>
      </w:r>
      <w:r>
        <w:t xml:space="preserve">Strongly negative</w:t>
      </w:r>
      <w:r>
        <w:t xml:space="preserve"> </w:t>
      </w:r>
      <w:r>
        <w:t xml:space="preserve">Weakly negative</w:t>
      </w:r>
      <w:r>
        <w:t xml:space="preserve"> </w:t>
      </w:r>
      <w:r>
        <w:t xml:space="preserve">No or limited impact</w:t>
      </w:r>
      <w:r>
        <w:t xml:space="preserve"> </w:t>
      </w:r>
      <w:r>
        <w:t xml:space="preserve">Weakly 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B1</w:t>
      </w:r>
      <w:r>
        <w:t xml:space="preserve"> </w:t>
      </w:r>
      <w:r>
        <w:t xml:space="preserve">PO B2a</w:t>
      </w:r>
      <w:r>
        <w:t xml:space="preserve"> </w:t>
      </w:r>
      <w:r>
        <w:t xml:space="preserve">PO B2b</w:t>
      </w:r>
      <w:r>
        <w:t xml:space="preserve"> </w:t>
      </w:r>
      <w:r>
        <w:t xml:space="preserve">PO C</w:t>
      </w:r>
      <w:r>
        <w:t xml:space="preserve"> </w:t>
      </w:r>
      <w:r>
        <w:t xml:space="preserve">General objective: Facilitate an increase in the share of rail, short sea shipping and inland waterways in total intra-EU freight transport to contribute to reducing negative</w:t>
      </w:r>
      <w:r>
        <w:t xml:space="preserve"> </w:t>
      </w:r>
      <w:r>
        <w:t xml:space="preserve">externalities as well as energy consumption of transport</w:t>
      </w:r>
      <w:r>
        <w:t xml:space="preserve"> </w:t>
      </w:r>
      <w:r>
        <w:t xml:space="preserve">Impact on volume of</w:t>
      </w:r>
      <w:r>
        <w:t xml:space="preserve"> </w:t>
      </w:r>
      <w:r>
        <w:t xml:space="preserve">intermodal transport in</w:t>
      </w:r>
      <w:r>
        <w:t xml:space="preserve"> </w:t>
      </w:r>
      <w:r>
        <w:t xml:space="preserve">the EU</w:t>
      </w:r>
      <w:r>
        <w:t xml:space="preserve"> </w:t>
      </w:r>
      <w:r>
        <w:t xml:space="preserve">Very small positive impact</w:t>
      </w:r>
      <w:r>
        <w:t xml:space="preserve"> </w:t>
      </w:r>
      <w:r>
        <w:t xml:space="preserve">on the volume of intermodal</w:t>
      </w:r>
      <w:r>
        <w:t xml:space="preserve"> </w:t>
      </w:r>
      <w:r>
        <w:t xml:space="preserve">transport: cumulatively over</w:t>
      </w:r>
      <w:r>
        <w:t xml:space="preserve"> </w:t>
      </w:r>
      <w:r>
        <w:t xml:space="preserve">the 2025-2050 period, PO-A</w:t>
      </w:r>
      <w:r>
        <w:t xml:space="preserve"> </w:t>
      </w:r>
      <w:r>
        <w:t xml:space="preserve">is expected to result in a</w:t>
      </w:r>
      <w:r>
        <w:t xml:space="preserve"> </w:t>
      </w:r>
      <w:r>
        <w:t xml:space="preserve">0.11% increase in intermodal</w:t>
      </w:r>
      <w:r>
        <w:t xml:space="preserve"> </w:t>
      </w:r>
      <w:r>
        <w:t xml:space="preserve">volumes (door-to-door)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scenario.</w:t>
      </w:r>
      <w:r>
        <w:t xml:space="preserve"> </w:t>
      </w:r>
      <w:r>
        <w:t xml:space="preserve">Strongly positive impact on</w:t>
      </w:r>
      <w:r>
        <w:t xml:space="preserve"> </w:t>
      </w:r>
      <w:r>
        <w:t xml:space="preserve">the volume of intermodal</w:t>
      </w:r>
      <w:r>
        <w:t xml:space="preserve"> </w:t>
      </w:r>
      <w:r>
        <w:t xml:space="preserve">transport: cumulatively over</w:t>
      </w:r>
      <w:r>
        <w:t xml:space="preserve"> </w:t>
      </w:r>
      <w:r>
        <w:t xml:space="preserve">the 2025-2050 period, PO-B1</w:t>
      </w:r>
      <w:r>
        <w:t xml:space="preserve"> </w:t>
      </w:r>
      <w:r>
        <w:t xml:space="preserve">is expected to result in a</w:t>
      </w:r>
      <w:r>
        <w:t xml:space="preserve"> </w:t>
      </w:r>
      <w:r>
        <w:t xml:space="preserve">6.41% increase in intermodal</w:t>
      </w:r>
      <w:r>
        <w:t xml:space="preserve"> </w:t>
      </w:r>
      <w:r>
        <w:t xml:space="preserve">volumes relative to the</w:t>
      </w:r>
      <w:r>
        <w:t xml:space="preserve"> </w:t>
      </w:r>
      <w:r>
        <w:t xml:space="preserve">baseline scenario.</w:t>
      </w:r>
      <w:r>
        <w:t xml:space="preserve"> </w:t>
      </w:r>
      <w:r>
        <w:t xml:space="preserve">Strongly positive impact</w:t>
      </w:r>
      <w:r>
        <w:t xml:space="preserve"> </w:t>
      </w:r>
      <w:r>
        <w:t xml:space="preserve">on the volume of</w:t>
      </w:r>
      <w:r>
        <w:t xml:space="preserve"> </w:t>
      </w:r>
      <w:r>
        <w:t xml:space="preserve">intermodal transport:</w:t>
      </w:r>
      <w:r>
        <w:t xml:space="preserve"> </w:t>
      </w:r>
      <w:r>
        <w:t xml:space="preserve">cumulatively over the</w:t>
      </w:r>
      <w:r>
        <w:t xml:space="preserve"> </w:t>
      </w:r>
      <w:r>
        <w:t xml:space="preserve">2025-2050 period, PO-B2a</w:t>
      </w:r>
      <w:r>
        <w:t xml:space="preserve"> </w:t>
      </w:r>
      <w:r>
        <w:t xml:space="preserve">is expected to result in a</w:t>
      </w:r>
      <w:r>
        <w:t xml:space="preserve"> </w:t>
      </w:r>
      <w:r>
        <w:t xml:space="preserve">6.43% increase in</w:t>
      </w:r>
      <w:r>
        <w:t xml:space="preserve"> </w:t>
      </w:r>
      <w:r>
        <w:t xml:space="preserve">intermodal volumes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scenario.</w:t>
      </w:r>
      <w:r>
        <w:t xml:space="preserve"> </w:t>
      </w:r>
      <w:r>
        <w:t xml:space="preserve">Positive impact on the</w:t>
      </w:r>
      <w:r>
        <w:t xml:space="preserve"> </w:t>
      </w:r>
      <w:r>
        <w:t xml:space="preserve">volume of intermodal</w:t>
      </w:r>
      <w:r>
        <w:t xml:space="preserve"> </w:t>
      </w:r>
      <w:r>
        <w:t xml:space="preserve">transport: cumulatively</w:t>
      </w:r>
      <w:r>
        <w:t xml:space="preserve"> </w:t>
      </w:r>
      <w:r>
        <w:t xml:space="preserve">over the 2025-2050</w:t>
      </w:r>
      <w:r>
        <w:t xml:space="preserve"> </w:t>
      </w:r>
      <w:r>
        <w:t xml:space="preserve">period, PO-B2b is</w:t>
      </w:r>
      <w:r>
        <w:t xml:space="preserve"> </w:t>
      </w:r>
      <w:r>
        <w:t xml:space="preserve">expected to result in a</w:t>
      </w:r>
      <w:r>
        <w:t xml:space="preserve"> </w:t>
      </w:r>
      <w:r>
        <w:t xml:space="preserve">4.96% increase in</w:t>
      </w:r>
      <w:r>
        <w:t xml:space="preserve"> </w:t>
      </w:r>
      <w:r>
        <w:t xml:space="preserve">intermodal volumes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scenario.</w:t>
      </w:r>
      <w:r>
        <w:t xml:space="preserve"> </w:t>
      </w:r>
      <w:r>
        <w:t xml:space="preserve">Positive impact on the</w:t>
      </w:r>
      <w:r>
        <w:t xml:space="preserve"> </w:t>
      </w:r>
      <w:r>
        <w:t xml:space="preserve">volume of intermodal</w:t>
      </w:r>
      <w:r>
        <w:t xml:space="preserve"> </w:t>
      </w:r>
      <w:r>
        <w:t xml:space="preserve">transport: cumulatively over</w:t>
      </w:r>
      <w:r>
        <w:t xml:space="preserve"> </w:t>
      </w:r>
      <w:r>
        <w:t xml:space="preserve">the 2025-2050 period, PO-C</w:t>
      </w:r>
      <w:r>
        <w:t xml:space="preserve"> </w:t>
      </w:r>
      <w:r>
        <w:t xml:space="preserve">is expected to result in a</w:t>
      </w:r>
      <w:r>
        <w:t xml:space="preserve"> </w:t>
      </w:r>
      <w:r>
        <w:t xml:space="preserve">3.83% increase in intermodal</w:t>
      </w:r>
      <w:r>
        <w:t xml:space="preserve"> </w:t>
      </w:r>
      <w:r>
        <w:t xml:space="preserve">volumes relative to the</w:t>
      </w:r>
      <w:r>
        <w:t xml:space="preserve"> </w:t>
      </w:r>
      <w:r>
        <w:t xml:space="preserve">baseline scenario.</w:t>
      </w:r>
      <w:r>
        <w:t xml:space="preserve"> </w:t>
      </w:r>
      <w:r>
        <w:t xml:space="preserve">Reduction in external</w:t>
      </w:r>
      <w:r>
        <w:t xml:space="preserve"> </w:t>
      </w:r>
      <w:r>
        <w:t xml:space="preserve">costs of transport</w:t>
      </w:r>
      <w:r>
        <w:t xml:space="preserve"> </w:t>
      </w:r>
      <w:r>
        <w:t xml:space="preserve">(including CO2</w:t>
      </w:r>
      <w:r>
        <w:t xml:space="preserve"> </w:t>
      </w:r>
      <w:r>
        <w:t xml:space="preserve">emissions, air pollutant</w:t>
      </w:r>
      <w:r>
        <w:t xml:space="preserve"> </w:t>
      </w:r>
      <w:r>
        <w:t xml:space="preserve">emissions, fatalities and</w:t>
      </w:r>
      <w:r>
        <w:t xml:space="preserve"> </w:t>
      </w:r>
      <w:r>
        <w:t xml:space="preserve">injuries, noise, and road</w:t>
      </w:r>
      <w:r>
        <w:t xml:space="preserve"> </w:t>
      </w:r>
      <w:r>
        <w:t xml:space="preserve">congestion)</w:t>
      </w:r>
      <w:r>
        <w:t xml:space="preserve"> </w:t>
      </w:r>
      <w:r>
        <w:t xml:space="preserve">Very small positive impact</w:t>
      </w:r>
      <w:r>
        <w:t xml:space="preserve"> </w:t>
      </w:r>
      <w:r>
        <w:t xml:space="preserve">on external costs of</w:t>
      </w:r>
      <w:r>
        <w:t xml:space="preserve"> </w:t>
      </w:r>
      <w:r>
        <w:t xml:space="preserve">transport: PO-A is expected</w:t>
      </w:r>
      <w:r>
        <w:t xml:space="preserve"> </w:t>
      </w:r>
      <w:r>
        <w:t xml:space="preserve">to save EUR 753.8 million</w:t>
      </w:r>
      <w:r>
        <w:t xml:space="preserve"> </w:t>
      </w:r>
      <w:r>
        <w:t xml:space="preserve">worth of external costs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2025-2050, relative to</w:t>
      </w:r>
      <w:r>
        <w:t xml:space="preserve"> </w:t>
      </w:r>
      <w:r>
        <w:t xml:space="preserve">the baseline scenario (in</w:t>
      </w:r>
      <w:r>
        <w:t xml:space="preserve"> </w:t>
      </w:r>
      <w:r>
        <w:t xml:space="preserve">Strongly positive impact on</w:t>
      </w:r>
      <w:r>
        <w:t xml:space="preserve"> </w:t>
      </w:r>
      <w:r>
        <w:t xml:space="preserve">external costs of transport:</w:t>
      </w:r>
      <w:r>
        <w:t xml:space="preserve"> </w:t>
      </w:r>
      <w:r>
        <w:t xml:space="preserve">PO-B1 is expected to save</w:t>
      </w:r>
      <w:r>
        <w:t xml:space="preserve"> </w:t>
      </w:r>
      <w:r>
        <w:t xml:space="preserve">EUR 14.4 bn worth of external</w:t>
      </w:r>
      <w:r>
        <w:t xml:space="preserve"> </w:t>
      </w:r>
      <w:r>
        <w:t xml:space="preserve">costs expressed as present</w:t>
      </w:r>
      <w:r>
        <w:t xml:space="preserve"> </w:t>
      </w:r>
      <w:r>
        <w:t xml:space="preserve">value over 2025-2050, relative</w:t>
      </w:r>
      <w:r>
        <w:t xml:space="preserve"> </w:t>
      </w:r>
      <w:r>
        <w:t xml:space="preserve">to the baseline scenario (in</w:t>
      </w:r>
      <w:r>
        <w:t xml:space="preserve"> </w:t>
      </w:r>
      <w:r>
        <w:t xml:space="preserve">2021 prices).</w:t>
      </w:r>
      <w:r>
        <w:br/>
      </w:r>
      <w:r>
        <w:t xml:space="preserve">Strongly Positive impact</w:t>
      </w:r>
      <w:r>
        <w:t xml:space="preserve"> </w:t>
      </w:r>
      <w:r>
        <w:t xml:space="preserve">on external costs of</w:t>
      </w:r>
      <w:r>
        <w:t xml:space="preserve"> </w:t>
      </w:r>
      <w:r>
        <w:t xml:space="preserve">transport: PO-B2a is</w:t>
      </w:r>
      <w:r>
        <w:t xml:space="preserve"> </w:t>
      </w:r>
      <w:r>
        <w:t xml:space="preserve">expected to save EUR 15.3</w:t>
      </w:r>
      <w:r>
        <w:t xml:space="preserve"> </w:t>
      </w:r>
      <w:r>
        <w:t xml:space="preserve">bn worth of external costs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2025-2050, relative</w:t>
      </w:r>
      <w:r>
        <w:t xml:space="preserve"> </w:t>
      </w:r>
      <w:r>
        <w:t xml:space="preserve">to the baseline scenario (in</w:t>
      </w:r>
      <w:r>
        <w:t xml:space="preserve"> </w:t>
      </w:r>
      <w:r>
        <w:t xml:space="preserve">Positive impact on</w:t>
      </w:r>
      <w:r>
        <w:t xml:space="preserve"> </w:t>
      </w:r>
      <w:r>
        <w:t xml:space="preserve">external costs of</w:t>
      </w:r>
      <w:r>
        <w:t xml:space="preserve"> </w:t>
      </w:r>
      <w:r>
        <w:t xml:space="preserve">transport: PO-B2b is</w:t>
      </w:r>
      <w:r>
        <w:t xml:space="preserve"> </w:t>
      </w:r>
      <w:r>
        <w:t xml:space="preserve">expected to save EUR</w:t>
      </w:r>
      <w:r>
        <w:t xml:space="preserve"> </w:t>
      </w:r>
      <w:r>
        <w:t xml:space="preserve">10.7 bn worth of</w:t>
      </w:r>
      <w:r>
        <w:t xml:space="preserve"> </w:t>
      </w:r>
      <w:r>
        <w:t xml:space="preserve">external costs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2025-2050, relative to</w:t>
      </w:r>
      <w:r>
        <w:t xml:space="preserve"> </w:t>
      </w:r>
      <w:r>
        <w:t xml:space="preserve">the baseline (in 2021</w:t>
      </w:r>
      <w:r>
        <w:t xml:space="preserve"> </w:t>
      </w:r>
      <w:r>
        <w:t xml:space="preserve">Medium positive impact on</w:t>
      </w:r>
      <w:r>
        <w:t xml:space="preserve"> </w:t>
      </w:r>
      <w:r>
        <w:t xml:space="preserve">external costs of transport:</w:t>
      </w:r>
      <w:r>
        <w:t xml:space="preserve"> </w:t>
      </w:r>
      <w:r>
        <w:t xml:space="preserve">the PO-C is expected to save</w:t>
      </w:r>
      <w:r>
        <w:t xml:space="preserve"> </w:t>
      </w:r>
      <w:r>
        <w:t xml:space="preserve">EUR 6.6 bn worth of external</w:t>
      </w:r>
      <w:r>
        <w:t xml:space="preserve"> </w:t>
      </w:r>
      <w:r>
        <w:t xml:space="preserve">costs expressed as present</w:t>
      </w:r>
      <w:r>
        <w:t xml:space="preserve"> </w:t>
      </w:r>
      <w:r>
        <w:t xml:space="preserve">value over 2025-2050,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scenario (in 2021 prices).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Weakly negative</w:t>
      </w:r>
      <w:r>
        <w:t xml:space="preserve"> </w:t>
      </w:r>
      <w:r>
        <w:t xml:space="preserve">No or limited impact</w:t>
      </w:r>
      <w:r>
        <w:t xml:space="preserve"> </w:t>
      </w:r>
      <w:r>
        <w:t xml:space="preserve">Weakly 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B1</w:t>
      </w:r>
      <w:r>
        <w:t xml:space="preserve"> </w:t>
      </w:r>
      <w:r>
        <w:t xml:space="preserve">PO B2a</w:t>
      </w:r>
      <w:r>
        <w:t xml:space="preserve"> </w:t>
      </w:r>
      <w:r>
        <w:t xml:space="preserve">PO B2b</w:t>
      </w:r>
      <w:r>
        <w:t xml:space="preserve"> </w:t>
      </w:r>
      <w:r>
        <w:t xml:space="preserve">PO C</w:t>
      </w:r>
      <w:r>
        <w:t xml:space="preserve"> </w:t>
      </w:r>
      <w:r>
        <w:t xml:space="preserve">2021 prices).</w:t>
      </w:r>
      <w:r>
        <w:br/>
      </w:r>
      <w:r>
        <w:t xml:space="preserve">2021 prices).</w:t>
      </w:r>
      <w:r>
        <w:br/>
      </w:r>
      <w:r>
        <w:t xml:space="preserve">prices).</w:t>
      </w:r>
      <w:r>
        <w:t xml:space="preserve"> </w:t>
      </w:r>
      <w:r>
        <w:t xml:space="preserve">Specific objective 1: Provide support to a wider range of operations under effective eligibility conditions</w:t>
      </w:r>
      <w:r>
        <w:t xml:space="preserve"> </w:t>
      </w:r>
      <w:r>
        <w:t xml:space="preserve">Impact on the share of</w:t>
      </w:r>
      <w:r>
        <w:t xml:space="preserve"> </w:t>
      </w:r>
      <w:r>
        <w:t xml:space="preserve">intermodal operations</w:t>
      </w:r>
      <w:r>
        <w:t xml:space="preserve"> </w:t>
      </w:r>
      <w:r>
        <w:t xml:space="preserve">eligible for support</w:t>
      </w:r>
      <w:r>
        <w:t xml:space="preserve"> </w:t>
      </w:r>
      <w:r>
        <w:t xml:space="preserve">Positive effect on the share</w:t>
      </w:r>
      <w:r>
        <w:t xml:space="preserve"> </w:t>
      </w:r>
      <w:r>
        <w:t xml:space="preserve">of operations that are</w:t>
      </w:r>
      <w:r>
        <w:t xml:space="preserve"> </w:t>
      </w:r>
      <w:r>
        <w:t xml:space="preserve">eligible for support provided</w:t>
      </w:r>
      <w:r>
        <w:t xml:space="preserve"> </w:t>
      </w:r>
      <w:r>
        <w:t xml:space="preserve">under the Directive.</w:t>
      </w:r>
      <w:r>
        <w:br/>
      </w:r>
      <w:r>
        <w:t xml:space="preserve">PO-A is expected to increase</w:t>
      </w:r>
      <w:r>
        <w:t xml:space="preserve"> </w:t>
      </w:r>
      <w:r>
        <w:t xml:space="preserve">the volume of eligible</w:t>
      </w:r>
      <w:r>
        <w:t xml:space="preserve"> </w:t>
      </w:r>
      <w:r>
        <w:t xml:space="preserve">intermodal operations by</w:t>
      </w:r>
      <w:r>
        <w:t xml:space="preserve"> </w:t>
      </w:r>
      <w:r>
        <w:t xml:space="preserve">33.4% in 2030 and 30.2% in</w:t>
      </w:r>
      <w:r>
        <w:t xml:space="preserve"> </w:t>
      </w:r>
      <w:r>
        <w:t xml:space="preserve">2050, compared to the</w:t>
      </w:r>
      <w:r>
        <w:t xml:space="preserve"> </w:t>
      </w:r>
      <w:r>
        <w:t xml:space="preserve">baseline scenario (reflecting</w:t>
      </w:r>
      <w:r>
        <w:t xml:space="preserve"> </w:t>
      </w:r>
      <w:r>
        <w:t xml:space="preserve">the current CTD).</w:t>
      </w:r>
      <w:r>
        <w:br/>
      </w:r>
      <w:r>
        <w:t xml:space="preserve">However, eligibility based on</w:t>
      </w:r>
      <w:r>
        <w:t xml:space="preserve"> </w:t>
      </w:r>
      <w:r>
        <w:t xml:space="preserve">GHG only will result in part</w:t>
      </w:r>
      <w:r>
        <w:t xml:space="preserve"> </w:t>
      </w:r>
      <w:r>
        <w:t xml:space="preserve">of waterborne transport and</w:t>
      </w:r>
      <w:r>
        <w:t xml:space="preserve"> </w:t>
      </w:r>
      <w:r>
        <w:t xml:space="preserve">all IWW not being eligible for</w:t>
      </w:r>
      <w:r>
        <w:t xml:space="preserve"> </w:t>
      </w:r>
      <w:r>
        <w:t xml:space="preserve">support as of 2035 onwards.</w:t>
      </w:r>
      <w:r>
        <w:t xml:space="preserve"> </w:t>
      </w:r>
      <w:r>
        <w:t xml:space="preserve">Positive effect on the share of</w:t>
      </w:r>
      <w:r>
        <w:t xml:space="preserve"> </w:t>
      </w:r>
      <w:r>
        <w:t xml:space="preserve">operations that are eligible</w:t>
      </w:r>
      <w:r>
        <w:t xml:space="preserve"> </w:t>
      </w:r>
      <w:r>
        <w:t xml:space="preserve">for support provided under</w:t>
      </w:r>
      <w:r>
        <w:t xml:space="preserve"> </w:t>
      </w:r>
      <w:r>
        <w:t xml:space="preserve">the Directive.</w:t>
      </w:r>
      <w:r>
        <w:br/>
      </w:r>
      <w:r>
        <w:t xml:space="preserve">PO-B1 is expected to increase</w:t>
      </w:r>
      <w:r>
        <w:t xml:space="preserve"> </w:t>
      </w:r>
      <w:r>
        <w:t xml:space="preserve">the volume of eligible</w:t>
      </w:r>
      <w:r>
        <w:t xml:space="preserve"> </w:t>
      </w:r>
      <w:r>
        <w:t xml:space="preserve">intermodal operations by</w:t>
      </w:r>
      <w:r>
        <w:t xml:space="preserve"> </w:t>
      </w:r>
      <w:r>
        <w:t xml:space="preserve">33.4% in 2030 and 30.2% in</w:t>
      </w:r>
      <w:r>
        <w:t xml:space="preserve"> </w:t>
      </w:r>
      <w:r>
        <w:t xml:space="preserve">2050, compared to the</w:t>
      </w:r>
      <w:r>
        <w:t xml:space="preserve"> </w:t>
      </w:r>
      <w:r>
        <w:t xml:space="preserve">baseline scenario (reflecting</w:t>
      </w:r>
      <w:r>
        <w:t xml:space="preserve"> </w:t>
      </w:r>
      <w:r>
        <w:t xml:space="preserve">the current CTD).</w:t>
      </w:r>
      <w:r>
        <w:t xml:space="preserve"> </w:t>
      </w:r>
      <w:r>
        <w:t xml:space="preserve">However, eligibility based on</w:t>
      </w:r>
      <w:r>
        <w:t xml:space="preserve"> </w:t>
      </w:r>
      <w:r>
        <w:t xml:space="preserve">GHG only will result in part of</w:t>
      </w:r>
      <w:r>
        <w:t xml:space="preserve"> </w:t>
      </w:r>
      <w:r>
        <w:t xml:space="preserve">waterborne transport and all</w:t>
      </w:r>
      <w:r>
        <w:t xml:space="preserve"> </w:t>
      </w:r>
      <w:r>
        <w:t xml:space="preserve">IWW not being eligible for</w:t>
      </w:r>
      <w:r>
        <w:t xml:space="preserve"> </w:t>
      </w:r>
      <w:r>
        <w:t xml:space="preserve">support as of 2035 onwards.</w:t>
      </w:r>
      <w:r>
        <w:br/>
      </w:r>
      <w:r>
        <w:t xml:space="preserve">Strongly positive effect on</w:t>
      </w:r>
      <w:r>
        <w:t xml:space="preserve"> </w:t>
      </w:r>
      <w:r>
        <w:t xml:space="preserve">the share of operations</w:t>
      </w:r>
      <w:r>
        <w:t xml:space="preserve"> </w:t>
      </w:r>
      <w:r>
        <w:t xml:space="preserve">that are eligible for</w:t>
      </w:r>
      <w:r>
        <w:t xml:space="preserve"> </w:t>
      </w:r>
      <w:r>
        <w:t xml:space="preserve">support provided under</w:t>
      </w:r>
      <w:r>
        <w:t xml:space="preserve"> </w:t>
      </w:r>
      <w:r>
        <w:t xml:space="preserve">the Directive.</w:t>
      </w:r>
      <w:r>
        <w:br/>
      </w:r>
      <w:r>
        <w:t xml:space="preserve">PO-B2a is expected to</w:t>
      </w:r>
      <w:r>
        <w:t xml:space="preserve"> </w:t>
      </w:r>
      <w:r>
        <w:t xml:space="preserve">increase the volume of</w:t>
      </w:r>
      <w:r>
        <w:t xml:space="preserve"> </w:t>
      </w:r>
      <w:r>
        <w:t xml:space="preserve">eligible intermodal</w:t>
      </w:r>
      <w:r>
        <w:t xml:space="preserve"> </w:t>
      </w:r>
      <w:r>
        <w:t xml:space="preserve">operations by 33.5% in</w:t>
      </w:r>
      <w:r>
        <w:t xml:space="preserve"> </w:t>
      </w:r>
      <w:r>
        <w:t xml:space="preserve">2030 and 33.2% in 2050,</w:t>
      </w:r>
      <w:r>
        <w:t xml:space="preserve"> </w:t>
      </w:r>
      <w:r>
        <w:t xml:space="preserve">compared to the baseline</w:t>
      </w:r>
      <w:r>
        <w:t xml:space="preserve"> </w:t>
      </w:r>
      <w:r>
        <w:t xml:space="preserve">scenario (reflecting the</w:t>
      </w:r>
      <w:r>
        <w:t xml:space="preserve"> </w:t>
      </w:r>
      <w:r>
        <w:t xml:space="preserve">current CTD).</w:t>
      </w:r>
      <w:r>
        <w:t xml:space="preserve"> </w:t>
      </w:r>
      <w:r>
        <w:t xml:space="preserve">Eligibility conditions</w:t>
      </w:r>
      <w:r>
        <w:t xml:space="preserve"> </w:t>
      </w:r>
      <w:r>
        <w:t xml:space="preserve">ensure that all modal</w:t>
      </w:r>
      <w:r>
        <w:t xml:space="preserve"> </w:t>
      </w:r>
      <w:r>
        <w:t xml:space="preserve">combinations have</w:t>
      </w:r>
      <w:r>
        <w:t xml:space="preserve"> </w:t>
      </w:r>
      <w:r>
        <w:t xml:space="preserve">equivalent accessibility to</w:t>
      </w:r>
      <w:r>
        <w:t xml:space="preserve"> </w:t>
      </w:r>
      <w:r>
        <w:t xml:space="preserve">support (technology</w:t>
      </w:r>
      <w:r>
        <w:t xml:space="preserve"> </w:t>
      </w:r>
      <w:r>
        <w:t xml:space="preserve">neutral).</w:t>
      </w:r>
      <w:r>
        <w:t xml:space="preserve"> </w:t>
      </w:r>
      <w:r>
        <w:t xml:space="preserve">Positive effect on the</w:t>
      </w:r>
      <w:r>
        <w:t xml:space="preserve"> </w:t>
      </w:r>
      <w:r>
        <w:t xml:space="preserve">share of operations that</w:t>
      </w:r>
      <w:r>
        <w:t xml:space="preserve"> </w:t>
      </w:r>
      <w:r>
        <w:t xml:space="preserve">are eligible for support</w:t>
      </w:r>
      <w:r>
        <w:t xml:space="preserve"> </w:t>
      </w:r>
      <w:r>
        <w:t xml:space="preserve">provided under the</w:t>
      </w:r>
      <w:r>
        <w:t xml:space="preserve"> </w:t>
      </w:r>
      <w:r>
        <w:t xml:space="preserve">Directive.</w:t>
      </w:r>
      <w:r>
        <w:br/>
      </w:r>
      <w:r>
        <w:t xml:space="preserve">PO-B2b is expected to</w:t>
      </w:r>
      <w:r>
        <w:t xml:space="preserve"> </w:t>
      </w:r>
      <w:r>
        <w:t xml:space="preserve">increase the volume of</w:t>
      </w:r>
      <w:r>
        <w:t xml:space="preserve"> </w:t>
      </w:r>
      <w:r>
        <w:t xml:space="preserve">eligible intermodal</w:t>
      </w:r>
      <w:r>
        <w:t xml:space="preserve"> </w:t>
      </w:r>
      <w:r>
        <w:t xml:space="preserve">operations by 27.1% in</w:t>
      </w:r>
      <w:r>
        <w:t xml:space="preserve"> </w:t>
      </w:r>
      <w:r>
        <w:t xml:space="preserve">2030 and 26.9% in 2050,</w:t>
      </w:r>
      <w:r>
        <w:t xml:space="preserve"> </w:t>
      </w:r>
      <w:r>
        <w:t xml:space="preserve">compared to the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(reflecting the current</w:t>
      </w:r>
      <w:r>
        <w:t xml:space="preserve"> </w:t>
      </w:r>
      <w:r>
        <w:t xml:space="preserve">CTD).</w:t>
      </w:r>
      <w:r>
        <w:t xml:space="preserve"> </w:t>
      </w:r>
      <w:r>
        <w:t xml:space="preserve">Eligibility conditions</w:t>
      </w:r>
      <w:r>
        <w:t xml:space="preserve"> </w:t>
      </w:r>
      <w:r>
        <w:t xml:space="preserve">ensure that all modal</w:t>
      </w:r>
      <w:r>
        <w:t xml:space="preserve"> </w:t>
      </w:r>
      <w:r>
        <w:t xml:space="preserve">combinations have</w:t>
      </w:r>
      <w:r>
        <w:t xml:space="preserve"> </w:t>
      </w:r>
      <w:r>
        <w:t xml:space="preserve">equivalent accessibility</w:t>
      </w:r>
      <w:r>
        <w:t xml:space="preserve"> </w:t>
      </w:r>
      <w:r>
        <w:t xml:space="preserve">to support (technology</w:t>
      </w:r>
      <w:r>
        <w:t xml:space="preserve"> </w:t>
      </w:r>
      <w:r>
        <w:t xml:space="preserve">neutral).</w:t>
      </w:r>
      <w:r>
        <w:t xml:space="preserve"> </w:t>
      </w:r>
      <w:r>
        <w:t xml:space="preserve">Positive effect on the share</w:t>
      </w:r>
      <w:r>
        <w:t xml:space="preserve"> </w:t>
      </w:r>
      <w:r>
        <w:t xml:space="preserve">of operations that are</w:t>
      </w:r>
      <w:r>
        <w:t xml:space="preserve"> </w:t>
      </w:r>
      <w:r>
        <w:t xml:space="preserve">eligible for support provided</w:t>
      </w:r>
      <w:r>
        <w:t xml:space="preserve"> </w:t>
      </w:r>
      <w:r>
        <w:t xml:space="preserve">under the Directive.</w:t>
      </w:r>
      <w:r>
        <w:br/>
      </w:r>
      <w:r>
        <w:t xml:space="preserve">PO-C is expected to increase</w:t>
      </w:r>
      <w:r>
        <w:t xml:space="preserve"> </w:t>
      </w:r>
      <w:r>
        <w:t xml:space="preserve">the volume of eligible</w:t>
      </w:r>
      <w:r>
        <w:t xml:space="preserve"> </w:t>
      </w:r>
      <w:r>
        <w:t xml:space="preserve">intermodal operations by</w:t>
      </w:r>
      <w:r>
        <w:t xml:space="preserve"> </w:t>
      </w:r>
      <w:r>
        <w:t xml:space="preserve">33.5% in 2030 and 33.2% in</w:t>
      </w:r>
      <w:r>
        <w:t xml:space="preserve"> </w:t>
      </w:r>
      <w:r>
        <w:t xml:space="preserve">2050, compared to the</w:t>
      </w:r>
      <w:r>
        <w:t xml:space="preserve"> </w:t>
      </w:r>
      <w:r>
        <w:t xml:space="preserve">baseline scenario (reflecting</w:t>
      </w:r>
      <w:r>
        <w:t xml:space="preserve"> </w:t>
      </w:r>
      <w:r>
        <w:t xml:space="preserve">the current CTD).</w:t>
      </w:r>
      <w:r>
        <w:t xml:space="preserve"> </w:t>
      </w:r>
      <w:r>
        <w:t xml:space="preserve">Eligibility conditions ensure</w:t>
      </w:r>
      <w:r>
        <w:t xml:space="preserve"> </w:t>
      </w:r>
      <w:r>
        <w:t xml:space="preserve">that all modal combinations</w:t>
      </w:r>
      <w:r>
        <w:t xml:space="preserve"> </w:t>
      </w:r>
      <w:r>
        <w:t xml:space="preserve">have equivalent accessibility</w:t>
      </w:r>
      <w:r>
        <w:t xml:space="preserve"> </w:t>
      </w:r>
      <w:r>
        <w:t xml:space="preserve">to support (technology</w:t>
      </w:r>
      <w:r>
        <w:t xml:space="preserve"> </w:t>
      </w:r>
      <w:r>
        <w:t xml:space="preserve">neutral).</w:t>
      </w:r>
      <w:r>
        <w:t xml:space="preserve"> </w:t>
      </w:r>
      <w:r>
        <w:t xml:space="preserve">Suitability and clarity of</w:t>
      </w:r>
      <w:r>
        <w:t xml:space="preserve"> </w:t>
      </w:r>
      <w:r>
        <w:t xml:space="preserve">eligibility conditions</w:t>
      </w:r>
      <w:r>
        <w:t xml:space="preserve"> </w:t>
      </w:r>
      <w:r>
        <w:t xml:space="preserve">Positive effect on clarity and suitability of eligible conditions: the new data set for proof of</w:t>
      </w:r>
      <w:r>
        <w:t xml:space="preserve"> </w:t>
      </w:r>
      <w:r>
        <w:t xml:space="preserve">eligibility and the use of eFTI platforms will simplify the process and reduce the cost and</w:t>
      </w:r>
      <w:r>
        <w:t xml:space="preserve"> </w:t>
      </w:r>
      <w:r>
        <w:t xml:space="preserve">time, requiring less effort from operators and making it easier for authorities to verify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Weakly negative</w:t>
      </w:r>
      <w:r>
        <w:t xml:space="preserve"> </w:t>
      </w:r>
      <w:r>
        <w:t xml:space="preserve">No or limited impact</w:t>
      </w:r>
      <w:r>
        <w:t xml:space="preserve"> </w:t>
      </w:r>
      <w:r>
        <w:t xml:space="preserve">Weakly 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B1</w:t>
      </w:r>
      <w:r>
        <w:t xml:space="preserve"> </w:t>
      </w:r>
      <w:r>
        <w:t xml:space="preserve">PO B2a</w:t>
      </w:r>
      <w:r>
        <w:t xml:space="preserve"> </w:t>
      </w:r>
      <w:r>
        <w:t xml:space="preserve">PO B2b</w:t>
      </w:r>
      <w:r>
        <w:t xml:space="preserve"> </w:t>
      </w:r>
      <w:r>
        <w:t xml:space="preserve">PO C</w:t>
      </w:r>
      <w:r>
        <w:t xml:space="preserve"> </w:t>
      </w:r>
      <w:r>
        <w:t xml:space="preserve">eligibility, thereby reducing risk of fines and administrative procedures.</w:t>
      </w:r>
      <w:r>
        <w:br/>
      </w:r>
      <w:r>
        <w:t xml:space="preserve">Specific objective 2: Ensure better support by improving reporting on multimodal / intermodal transport</w:t>
      </w:r>
    </w:p>
    <w:p>
      <w:pPr>
        <w:pStyle w:val="BodyText"/>
      </w:pPr>
      <w:r>
        <w:t xml:space="preserve">Impact on availability of</w:t>
      </w:r>
      <w:r>
        <w:t xml:space="preserve"> </w:t>
      </w:r>
      <w:r>
        <w:t xml:space="preserve">information and analysis</w:t>
      </w:r>
      <w:r>
        <w:t xml:space="preserve"> </w:t>
      </w:r>
      <w:r>
        <w:t xml:space="preserve">of intermodal market</w:t>
      </w:r>
      <w:r>
        <w:t xml:space="preserve"> </w:t>
      </w:r>
      <w:r>
        <w:t xml:space="preserve">Small positive effect. Under</w:t>
      </w:r>
      <w:r>
        <w:t xml:space="preserve"> </w:t>
      </w:r>
      <w:r>
        <w:t xml:space="preserve">PO-A, some additional</w:t>
      </w:r>
      <w:r>
        <w:t xml:space="preserve"> </w:t>
      </w:r>
      <w:r>
        <w:t xml:space="preserve">Member States are expected</w:t>
      </w:r>
      <w:r>
        <w:t xml:space="preserve"> </w:t>
      </w:r>
      <w:r>
        <w:t xml:space="preserve">to start carrying out regular</w:t>
      </w:r>
      <w:r>
        <w:t xml:space="preserve"> </w:t>
      </w:r>
      <w:r>
        <w:t xml:space="preserve">analysis and strategic</w:t>
      </w:r>
      <w:r>
        <w:t xml:space="preserve"> </w:t>
      </w:r>
      <w:r>
        <w:t xml:space="preserve">planning for intermodal</w:t>
      </w:r>
      <w:r>
        <w:t xml:space="preserve"> </w:t>
      </w:r>
      <w:r>
        <w:t xml:space="preserve">transport.</w:t>
      </w:r>
      <w:r>
        <w:t xml:space="preserve"> </w:t>
      </w:r>
      <w:r>
        <w:t xml:space="preserve">Positive effect. Centralised analysis by the Commission ensures better accessibility to</w:t>
      </w:r>
      <w:r>
        <w:t xml:space="preserve"> </w:t>
      </w:r>
      <w:r>
        <w:t xml:space="preserve">information about the overall EU market for industry from different Member States.</w:t>
      </w:r>
      <w:r>
        <w:t xml:space="preserve"> </w:t>
      </w:r>
      <w:r>
        <w:t xml:space="preserve">The 5 year period ensures that analysis can capture the impact of measures.</w:t>
      </w:r>
      <w:r>
        <w:t xml:space="preserve"> </w:t>
      </w:r>
      <w:r>
        <w:t xml:space="preserve">Notification and publication on Commission homepage of upcoming support schemes</w:t>
      </w:r>
      <w:r>
        <w:t xml:space="preserve"> </w:t>
      </w:r>
      <w:r>
        <w:t xml:space="preserve">allows equal access to support for all EU operators. Automatic review clause of the</w:t>
      </w:r>
      <w:r>
        <w:t xml:space="preserve"> </w:t>
      </w:r>
      <w:r>
        <w:t xml:space="preserve">Directive ensures that support will be kept up to date.</w:t>
      </w:r>
      <w:r>
        <w:br/>
      </w:r>
      <w:r>
        <w:t xml:space="preserve">Positive effect. Ensures</w:t>
      </w:r>
      <w:r>
        <w:t xml:space="preserve"> </w:t>
      </w:r>
      <w:r>
        <w:t xml:space="preserve">Member States are well</w:t>
      </w:r>
      <w:r>
        <w:t xml:space="preserve"> </w:t>
      </w:r>
      <w:r>
        <w:t xml:space="preserve">aware of the intermodal</w:t>
      </w:r>
      <w:r>
        <w:t xml:space="preserve"> </w:t>
      </w:r>
      <w:r>
        <w:t xml:space="preserve">market and cross-impacts</w:t>
      </w:r>
      <w:r>
        <w:t xml:space="preserve"> </w:t>
      </w:r>
      <w:r>
        <w:t xml:space="preserve">between different modes</w:t>
      </w:r>
      <w:r>
        <w:t xml:space="preserve"> </w:t>
      </w:r>
      <w:r>
        <w:t xml:space="preserve">and the impacts of their</w:t>
      </w:r>
      <w:r>
        <w:t xml:space="preserve"> </w:t>
      </w:r>
      <w:r>
        <w:t xml:space="preserve">support schemes. Does not</w:t>
      </w:r>
      <w:r>
        <w:t xml:space="preserve"> </w:t>
      </w:r>
      <w:r>
        <w:t xml:space="preserve">ensure equally easy access</w:t>
      </w:r>
      <w:r>
        <w:t xml:space="preserve"> </w:t>
      </w:r>
      <w:r>
        <w:t xml:space="preserve">to information for all EU</w:t>
      </w:r>
      <w:r>
        <w:t xml:space="preserve"> </w:t>
      </w:r>
      <w:r>
        <w:t xml:space="preserve">operators (language</w:t>
      </w:r>
      <w:r>
        <w:t xml:space="preserve"> </w:t>
      </w:r>
      <w:r>
        <w:t xml:space="preserve">barriers).</w:t>
      </w:r>
    </w:p>
    <w:p>
      <w:pPr>
        <w:pStyle w:val="BodyText"/>
      </w:pPr>
      <w:r>
        <w:t xml:space="preserve">Support is appropriate</w:t>
      </w:r>
      <w:r>
        <w:t xml:space="preserve"> </w:t>
      </w:r>
      <w:r>
        <w:t xml:space="preserve">and effective</w:t>
      </w:r>
      <w:r>
        <w:t xml:space="preserve"> </w:t>
      </w:r>
      <w:r>
        <w:t xml:space="preserve">Small positive effect may</w:t>
      </w:r>
      <w:r>
        <w:t xml:space="preserve"> </w:t>
      </w:r>
      <w:r>
        <w:t xml:space="preserve">take place in the longer run</w:t>
      </w:r>
      <w:r>
        <w:t xml:space="preserve"> </w:t>
      </w:r>
      <w:r>
        <w:t xml:space="preserve">and due to peer pressure.</w:t>
      </w:r>
      <w:r>
        <w:t xml:space="preserve"> </w:t>
      </w:r>
      <w:r>
        <w:t xml:space="preserve">While in the first part of the</w:t>
      </w:r>
      <w:r>
        <w:t xml:space="preserve"> </w:t>
      </w:r>
      <w:r>
        <w:t xml:space="preserve">period, Member States are</w:t>
      </w:r>
      <w:r>
        <w:t xml:space="preserve"> </w:t>
      </w:r>
      <w:r>
        <w:t xml:space="preserve">not expected to change their</w:t>
      </w:r>
      <w:r>
        <w:t xml:space="preserve"> </w:t>
      </w:r>
      <w:r>
        <w:t xml:space="preserve">existing support schemes or</w:t>
      </w:r>
      <w:r>
        <w:t xml:space="preserve"> </w:t>
      </w:r>
      <w:r>
        <w:t xml:space="preserve">to introduce new ones, upon</w:t>
      </w:r>
      <w:r>
        <w:t xml:space="preserve"> </w:t>
      </w:r>
      <w:r>
        <w:t xml:space="preserve">their expiry, Member States</w:t>
      </w:r>
      <w:r>
        <w:t xml:space="preserve"> </w:t>
      </w:r>
      <w:r>
        <w:t xml:space="preserve">are expected to design new</w:t>
      </w:r>
      <w:r>
        <w:t xml:space="preserve"> </w:t>
      </w:r>
      <w:r>
        <w:t xml:space="preserve">measures in compliance with</w:t>
      </w:r>
      <w:r>
        <w:t xml:space="preserve"> </w:t>
      </w:r>
      <w:r>
        <w:t xml:space="preserve">Strongly positive effect. Member States are expected to</w:t>
      </w:r>
      <w:r>
        <w:t xml:space="preserve"> </w:t>
      </w:r>
      <w:r>
        <w:t xml:space="preserve">design new measures in compliance with eligibility</w:t>
      </w:r>
      <w:r>
        <w:t xml:space="preserve"> </w:t>
      </w:r>
      <w:r>
        <w:t xml:space="preserve">conditions under CTD, but keeping in mind local conditions</w:t>
      </w:r>
      <w:r>
        <w:t xml:space="preserve"> </w:t>
      </w:r>
      <w:r>
        <w:t xml:space="preserve">and problems. They are expected to follow the guidance on</w:t>
      </w:r>
      <w:r>
        <w:t xml:space="preserve"> </w:t>
      </w:r>
      <w:r>
        <w:t xml:space="preserve">eligible costs as established in the Toolbox. These</w:t>
      </w:r>
      <w:r>
        <w:t xml:space="preserve"> </w:t>
      </w:r>
      <w:r>
        <w:t xml:space="preserve">conditions are expected to ensure that support is</w:t>
      </w:r>
      <w:r>
        <w:t xml:space="preserve"> </w:t>
      </w:r>
      <w:r>
        <w:t xml:space="preserve">appropriate and effective to achieve the reduction of break-</w:t>
      </w:r>
      <w:r>
        <w:t xml:space="preserve"> </w:t>
      </w:r>
      <w:r>
        <w:t xml:space="preserve">even distance and ensures comparable outcome in all</w:t>
      </w:r>
      <w:r>
        <w:t xml:space="preserve"> </w:t>
      </w:r>
      <w:r>
        <w:t xml:space="preserve">Member States and for all operators notwithstanding the</w:t>
      </w:r>
      <w:r>
        <w:t xml:space="preserve"> </w:t>
      </w:r>
      <w:r>
        <w:t xml:space="preserve">modal combination.</w:t>
      </w:r>
      <w:r>
        <w:br/>
      </w:r>
      <w:r>
        <w:t xml:space="preserve">Additional start-up support ensures that new non-road</w:t>
      </w:r>
      <w:r>
        <w:t xml:space="preserve"> </w:t>
      </w:r>
      <w:r>
        <w:t xml:space="preserve">Positive effect. Member</w:t>
      </w:r>
      <w:r>
        <w:t xml:space="preserve"> </w:t>
      </w:r>
      <w:r>
        <w:t xml:space="preserve">States are expected to</w:t>
      </w:r>
      <w:r>
        <w:t xml:space="preserve"> </w:t>
      </w:r>
      <w:r>
        <w:t xml:space="preserve">design new measures in</w:t>
      </w:r>
      <w:r>
        <w:t xml:space="preserve"> </w:t>
      </w:r>
      <w:r>
        <w:t xml:space="preserve">compliance with</w:t>
      </w:r>
      <w:r>
        <w:t xml:space="preserve"> </w:t>
      </w:r>
      <w:r>
        <w:t xml:space="preserve">eligibility conditions</w:t>
      </w:r>
      <w:r>
        <w:t xml:space="preserve"> </w:t>
      </w:r>
      <w:r>
        <w:t xml:space="preserve">under CTD, but keeping</w:t>
      </w:r>
      <w:r>
        <w:t xml:space="preserve"> </w:t>
      </w:r>
      <w:r>
        <w:t xml:space="preserve">in mind local conditions</w:t>
      </w:r>
      <w:r>
        <w:t xml:space="preserve"> </w:t>
      </w:r>
      <w:r>
        <w:t xml:space="preserve">and problems. They are</w:t>
      </w:r>
      <w:r>
        <w:t xml:space="preserve"> </w:t>
      </w:r>
      <w:r>
        <w:t xml:space="preserve">expected to follow the</w:t>
      </w:r>
      <w:r>
        <w:t xml:space="preserve"> </w:t>
      </w:r>
      <w:r>
        <w:t xml:space="preserve">guidance on eligible</w:t>
      </w:r>
      <w:r>
        <w:t xml:space="preserve"> </w:t>
      </w:r>
      <w:r>
        <w:t xml:space="preserve">costs as established in</w:t>
      </w:r>
      <w:r>
        <w:t xml:space="preserve"> </w:t>
      </w:r>
      <w:r>
        <w:t xml:space="preserve">Small to medium positive</w:t>
      </w:r>
      <w:r>
        <w:t xml:space="preserve"> </w:t>
      </w:r>
      <w:r>
        <w:t xml:space="preserve">effect. Harmonised support</w:t>
      </w:r>
      <w:r>
        <w:t xml:space="preserve"> </w:t>
      </w:r>
      <w:r>
        <w:t xml:space="preserve">ensures that support is</w:t>
      </w:r>
      <w:r>
        <w:t xml:space="preserve"> </w:t>
      </w:r>
      <w:r>
        <w:t xml:space="preserve">appropriate and effective to</w:t>
      </w:r>
      <w:r>
        <w:t xml:space="preserve"> </w:t>
      </w:r>
      <w:r>
        <w:t xml:space="preserve">achieve the reduction of</w:t>
      </w:r>
      <w:r>
        <w:t xml:space="preserve"> </w:t>
      </w:r>
      <w:r>
        <w:t xml:space="preserve">break-even distance.</w:t>
      </w:r>
      <w:r>
        <w:t xml:space="preserve"> </w:t>
      </w:r>
      <w:r>
        <w:t xml:space="preserve">However, as starting position</w:t>
      </w:r>
      <w:r>
        <w:t xml:space="preserve"> </w:t>
      </w:r>
      <w:r>
        <w:t xml:space="preserve">in different Member States</w:t>
      </w:r>
      <w:r>
        <w:t xml:space="preserve"> </w:t>
      </w:r>
      <w:r>
        <w:t xml:space="preserve">are heterogeneus, single</w:t>
      </w:r>
      <w:r>
        <w:t xml:space="preserve"> </w:t>
      </w:r>
      <w:r>
        <w:t xml:space="preserve">type of support is expected</w:t>
      </w:r>
      <w:r>
        <w:t xml:space="preserve"> </w:t>
      </w:r>
      <w:r>
        <w:t xml:space="preserve">to have also varying effect in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Weakly negative</w:t>
      </w:r>
      <w:r>
        <w:t xml:space="preserve"> </w:t>
      </w:r>
      <w:r>
        <w:t xml:space="preserve">No or limited impact</w:t>
      </w:r>
      <w:r>
        <w:t xml:space="preserve"> </w:t>
      </w:r>
      <w:r>
        <w:t xml:space="preserve">Weakly 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B1</w:t>
      </w:r>
      <w:r>
        <w:t xml:space="preserve"> </w:t>
      </w:r>
      <w:r>
        <w:t xml:space="preserve">PO B2a</w:t>
      </w:r>
      <w:r>
        <w:t xml:space="preserve"> </w:t>
      </w:r>
      <w:r>
        <w:t xml:space="preserve">PO B2b</w:t>
      </w:r>
      <w:r>
        <w:t xml:space="preserve"> </w:t>
      </w:r>
      <w:r>
        <w:t xml:space="preserve">PO C</w:t>
      </w:r>
      <w:r>
        <w:t xml:space="preserve"> </w:t>
      </w:r>
      <w:r>
        <w:t xml:space="preserve">eligibility conditions under</w:t>
      </w:r>
      <w:r>
        <w:t xml:space="preserve"> </w:t>
      </w:r>
      <w:r>
        <w:t xml:space="preserve">CTD and follow the guidance</w:t>
      </w:r>
      <w:r>
        <w:t xml:space="preserve"> </w:t>
      </w:r>
      <w:r>
        <w:t xml:space="preserve">on eligible costs. These</w:t>
      </w:r>
      <w:r>
        <w:t xml:space="preserve"> </w:t>
      </w:r>
      <w:r>
        <w:t xml:space="preserve">conditions are expected to</w:t>
      </w:r>
      <w:r>
        <w:t xml:space="preserve"> </w:t>
      </w:r>
      <w:r>
        <w:t xml:space="preserve">ensure that support is</w:t>
      </w:r>
      <w:r>
        <w:t xml:space="preserve"> </w:t>
      </w:r>
      <w:r>
        <w:t xml:space="preserve">appropriate and effective.</w:t>
      </w:r>
      <w:r>
        <w:br/>
      </w:r>
      <w:r>
        <w:t xml:space="preserve">connections/services can be easier established, in particular</w:t>
      </w:r>
      <w:r>
        <w:t xml:space="preserve"> </w:t>
      </w:r>
      <w:r>
        <w:t xml:space="preserve">to new terminals, thereby enabling the use of intermodal</w:t>
      </w:r>
      <w:r>
        <w:t xml:space="preserve"> </w:t>
      </w:r>
      <w:r>
        <w:t xml:space="preserve">transport and considerably increasing the effectiveness of</w:t>
      </w:r>
      <w:r>
        <w:t xml:space="preserve"> </w:t>
      </w:r>
      <w:r>
        <w:t xml:space="preserve">the option.</w:t>
      </w:r>
      <w:r>
        <w:br/>
      </w:r>
      <w:r>
        <w:t xml:space="preserve">the Toolbox, but only for</w:t>
      </w:r>
      <w:r>
        <w:t xml:space="preserve"> </w:t>
      </w:r>
      <w:r>
        <w:t xml:space="preserve">international operations.</w:t>
      </w:r>
      <w:r>
        <w:t xml:space="preserve"> </w:t>
      </w:r>
      <w:r>
        <w:t xml:space="preserve">Some Member States</w:t>
      </w:r>
      <w:r>
        <w:t xml:space="preserve"> </w:t>
      </w:r>
      <w:r>
        <w:t xml:space="preserve">may opt for less or no</w:t>
      </w:r>
      <w:r>
        <w:t xml:space="preserve"> </w:t>
      </w:r>
      <w:r>
        <w:t xml:space="preserve">support for the domestic</w:t>
      </w:r>
      <w:r>
        <w:t xml:space="preserve"> </w:t>
      </w:r>
      <w:r>
        <w:t xml:space="preserve">operations. Therefore</w:t>
      </w:r>
      <w:r>
        <w:t xml:space="preserve"> </w:t>
      </w:r>
      <w:r>
        <w:t xml:space="preserve">the support could be less</w:t>
      </w:r>
      <w:r>
        <w:t xml:space="preserve"> </w:t>
      </w:r>
      <w:r>
        <w:t xml:space="preserve">effective in achievinb the</w:t>
      </w:r>
      <w:r>
        <w:t xml:space="preserve"> </w:t>
      </w:r>
      <w:r>
        <w:t xml:space="preserve">reduction of break-even</w:t>
      </w:r>
      <w:r>
        <w:t xml:space="preserve"> </w:t>
      </w:r>
      <w:r>
        <w:t xml:space="preserve">distance. The outcome in</w:t>
      </w:r>
      <w:r>
        <w:t xml:space="preserve"> </w:t>
      </w:r>
      <w:r>
        <w:t xml:space="preserve">all Member States and</w:t>
      </w:r>
      <w:r>
        <w:t xml:space="preserve"> </w:t>
      </w:r>
      <w:r>
        <w:t xml:space="preserve">for all operators may not</w:t>
      </w:r>
      <w:r>
        <w:t xml:space="preserve"> </w:t>
      </w:r>
      <w:r>
        <w:t xml:space="preserve">be always comparable.</w:t>
      </w:r>
      <w:r>
        <w:br/>
      </w:r>
      <w:r>
        <w:t xml:space="preserve">Additional start-up</w:t>
      </w:r>
      <w:r>
        <w:t xml:space="preserve"> </w:t>
      </w:r>
      <w:r>
        <w:t xml:space="preserve">support ensures that</w:t>
      </w:r>
      <w:r>
        <w:t xml:space="preserve"> </w:t>
      </w:r>
      <w:r>
        <w:t xml:space="preserve">new non-road</w:t>
      </w:r>
      <w:r>
        <w:t xml:space="preserve"> </w:t>
      </w:r>
      <w:r>
        <w:t xml:space="preserve">connections/services can</w:t>
      </w:r>
      <w:r>
        <w:t xml:space="preserve"> </w:t>
      </w:r>
      <w:r>
        <w:t xml:space="preserve">be easier established, in</w:t>
      </w:r>
      <w:r>
        <w:t xml:space="preserve"> </w:t>
      </w:r>
      <w:r>
        <w:t xml:space="preserve">particular to new</w:t>
      </w:r>
      <w:r>
        <w:t xml:space="preserve"> </w:t>
      </w:r>
      <w:r>
        <w:t xml:space="preserve">terminals, thereby</w:t>
      </w:r>
      <w:r>
        <w:t xml:space="preserve"> </w:t>
      </w:r>
      <w:r>
        <w:t xml:space="preserve">enabling the use of</w:t>
      </w:r>
      <w:r>
        <w:t xml:space="preserve"> </w:t>
      </w:r>
      <w:r>
        <w:t xml:space="preserve">intermodal transport</w:t>
      </w:r>
      <w:r>
        <w:t xml:space="preserve"> </w:t>
      </w:r>
      <w:r>
        <w:t xml:space="preserve">and considerably</w:t>
      </w:r>
      <w:r>
        <w:t xml:space="preserve"> </w:t>
      </w:r>
      <w:r>
        <w:t xml:space="preserve">increasing the</w:t>
      </w:r>
      <w:r>
        <w:t xml:space="preserve"> </w:t>
      </w:r>
      <w:r>
        <w:t xml:space="preserve">effectiveness of the</w:t>
      </w:r>
      <w:r>
        <w:t xml:space="preserve"> </w:t>
      </w:r>
      <w:r>
        <w:t xml:space="preserve">option.</w:t>
      </w:r>
      <w:r>
        <w:t xml:space="preserve"> </w:t>
      </w:r>
      <w:r>
        <w:t xml:space="preserve">different Member States and</w:t>
      </w:r>
      <w:r>
        <w:t xml:space="preserve"> </w:t>
      </w:r>
      <w:r>
        <w:t xml:space="preserve">for different modal</w:t>
      </w:r>
      <w:r>
        <w:t xml:space="preserve"> </w:t>
      </w:r>
      <w:r>
        <w:t xml:space="preserve">combinations and in some</w:t>
      </w:r>
      <w:r>
        <w:t xml:space="preserve"> </w:t>
      </w:r>
      <w:r>
        <w:t xml:space="preserve">Member States could result</w:t>
      </w:r>
      <w:r>
        <w:t xml:space="preserve"> </w:t>
      </w:r>
      <w:r>
        <w:t xml:space="preserve">in reduction of support.</w:t>
      </w:r>
    </w:p>
    <w:p>
      <w:pPr>
        <w:pStyle w:val="BodyText"/>
      </w:pPr>
      <w:r>
        <w:t xml:space="preserve">Distance at which</w:t>
      </w:r>
      <w:r>
        <w:t xml:space="preserve"> </w:t>
      </w:r>
      <w:r>
        <w:t xml:space="preserve">No or limited positive effect</w:t>
      </w:r>
      <w:r>
        <w:t xml:space="preserve"> </w:t>
      </w:r>
      <w:r>
        <w:t xml:space="preserve">Positive impact. Reduces the</w:t>
      </w:r>
      <w:r>
        <w:t xml:space="preserve"> </w:t>
      </w:r>
      <w:r>
        <w:t xml:space="preserve">Positive impact. Reduces</w:t>
      </w:r>
      <w:r>
        <w:t xml:space="preserve"> </w:t>
      </w:r>
      <w:r>
        <w:t xml:space="preserve">Positive impact. Reduces</w:t>
      </w:r>
      <w:r>
        <w:t xml:space="preserve"> </w:t>
      </w:r>
      <w:r>
        <w:t xml:space="preserve">Positive impact. Reduces the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Weakly negative</w:t>
      </w:r>
      <w:r>
        <w:t xml:space="preserve"> </w:t>
      </w:r>
      <w:r>
        <w:t xml:space="preserve">No or limited impact</w:t>
      </w:r>
      <w:r>
        <w:t xml:space="preserve"> </w:t>
      </w:r>
      <w:r>
        <w:t xml:space="preserve">Weakly 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B1</w:t>
      </w:r>
      <w:r>
        <w:t xml:space="preserve"> </w:t>
      </w:r>
      <w:r>
        <w:t xml:space="preserve">PO B2a</w:t>
      </w:r>
      <w:r>
        <w:t xml:space="preserve"> </w:t>
      </w:r>
      <w:r>
        <w:t xml:space="preserve">PO B2b</w:t>
      </w:r>
      <w:r>
        <w:t xml:space="preserve"> </w:t>
      </w:r>
      <w:r>
        <w:t xml:space="preserve">PO C</w:t>
      </w:r>
      <w:r>
        <w:t xml:space="preserve"> </w:t>
      </w:r>
      <w:r>
        <w:t xml:space="preserve">intermodal transport is</w:t>
      </w:r>
      <w:r>
        <w:t xml:space="preserve"> </w:t>
      </w:r>
      <w:r>
        <w:t xml:space="preserve">price-competitive with</w:t>
      </w:r>
      <w:r>
        <w:t xml:space="preserve"> </w:t>
      </w:r>
      <w:r>
        <w:t xml:space="preserve">road-only transport</w:t>
      </w:r>
      <w:r>
        <w:t xml:space="preserve"> </w:t>
      </w:r>
      <w:r>
        <w:t xml:space="preserve">compared to baseline as</w:t>
      </w:r>
      <w:r>
        <w:t xml:space="preserve"> </w:t>
      </w:r>
      <w:r>
        <w:t xml:space="preserve">Member States are mostly</w:t>
      </w:r>
      <w:r>
        <w:t xml:space="preserve"> </w:t>
      </w:r>
      <w:r>
        <w:t xml:space="preserve">expected to continue with</w:t>
      </w:r>
      <w:r>
        <w:t xml:space="preserve"> </w:t>
      </w:r>
      <w:r>
        <w:t xml:space="preserve">current support schemes.</w:t>
      </w:r>
      <w:r>
        <w:br/>
      </w:r>
      <w:r>
        <w:t xml:space="preserve">distance at which intermodal</w:t>
      </w:r>
      <w:r>
        <w:t xml:space="preserve"> </w:t>
      </w:r>
      <w:r>
        <w:t xml:space="preserve">transport is price-competitive</w:t>
      </w:r>
      <w:r>
        <w:t xml:space="preserve"> </w:t>
      </w:r>
      <w:r>
        <w:t xml:space="preserve">for operations eligible for</w:t>
      </w:r>
      <w:r>
        <w:t xml:space="preserve"> </w:t>
      </w:r>
      <w:r>
        <w:t xml:space="preserve">operatioal support under this</w:t>
      </w:r>
      <w:r>
        <w:t xml:space="preserve"> </w:t>
      </w:r>
      <w:r>
        <w:t xml:space="preserve">option.</w:t>
      </w:r>
      <w:r>
        <w:br/>
      </w:r>
      <w:r>
        <w:t xml:space="preserve">The break-even distances are</w:t>
      </w:r>
      <w:r>
        <w:t xml:space="preserve"> </w:t>
      </w:r>
      <w:r>
        <w:t xml:space="preserve">reduced from 740 to 535km</w:t>
      </w:r>
      <w:r>
        <w:t xml:space="preserve"> </w:t>
      </w:r>
      <w:r>
        <w:t xml:space="preserve">for rail, from 260km to 200km</w:t>
      </w:r>
      <w:r>
        <w:t xml:space="preserve"> </w:t>
      </w:r>
      <w:r>
        <w:t xml:space="preserve">for IWW and from 775km to</w:t>
      </w:r>
      <w:r>
        <w:t xml:space="preserve"> </w:t>
      </w:r>
      <w:r>
        <w:t xml:space="preserve">610km for SSS.</w:t>
      </w:r>
      <w:r>
        <w:t xml:space="preserve"> </w:t>
      </w:r>
      <w:r>
        <w:t xml:space="preserve">the distance at which</w:t>
      </w:r>
      <w:r>
        <w:t xml:space="preserve"> </w:t>
      </w:r>
      <w:r>
        <w:t xml:space="preserve">intermodal transport is</w:t>
      </w:r>
      <w:r>
        <w:t xml:space="preserve"> </w:t>
      </w:r>
      <w:r>
        <w:t xml:space="preserve">price-competitive for</w:t>
      </w:r>
      <w:r>
        <w:t xml:space="preserve"> </w:t>
      </w:r>
      <w:r>
        <w:t xml:space="preserve">operations eligibile for</w:t>
      </w:r>
      <w:r>
        <w:t xml:space="preserve"> </w:t>
      </w:r>
      <w:r>
        <w:t xml:space="preserve">operatioal support under</w:t>
      </w:r>
      <w:r>
        <w:t xml:space="preserve"> </w:t>
      </w:r>
      <w:r>
        <w:t xml:space="preserve">this option.</w:t>
      </w:r>
      <w:r>
        <w:br/>
      </w:r>
      <w:r>
        <w:t xml:space="preserve">The break-even distances</w:t>
      </w:r>
      <w:r>
        <w:t xml:space="preserve"> </w:t>
      </w:r>
      <w:r>
        <w:t xml:space="preserve">are reduced from 740 to</w:t>
      </w:r>
      <w:r>
        <w:t xml:space="preserve"> </w:t>
      </w:r>
      <w:r>
        <w:t xml:space="preserve">535km for rail, from</w:t>
      </w:r>
      <w:r>
        <w:t xml:space="preserve"> </w:t>
      </w:r>
      <w:r>
        <w:t xml:space="preserve">260km to 200km for IWW</w:t>
      </w:r>
      <w:r>
        <w:t xml:space="preserve"> </w:t>
      </w:r>
      <w:r>
        <w:t xml:space="preserve">and from 775km to</w:t>
      </w:r>
      <w:r>
        <w:t xml:space="preserve"> </w:t>
      </w:r>
      <w:r>
        <w:t xml:space="preserve">610km for SSS.</w:t>
      </w:r>
      <w:r>
        <w:t xml:space="preserve"> </w:t>
      </w:r>
      <w:r>
        <w:t xml:space="preserve">the distance at which</w:t>
      </w:r>
      <w:r>
        <w:t xml:space="preserve"> </w:t>
      </w:r>
      <w:r>
        <w:t xml:space="preserve">intermodal transport is</w:t>
      </w:r>
      <w:r>
        <w:t xml:space="preserve"> </w:t>
      </w:r>
      <w:r>
        <w:t xml:space="preserve">price-competitive for</w:t>
      </w:r>
      <w:r>
        <w:t xml:space="preserve"> </w:t>
      </w:r>
      <w:r>
        <w:t xml:space="preserve">operations eligibile for</w:t>
      </w:r>
      <w:r>
        <w:t xml:space="preserve"> </w:t>
      </w:r>
      <w:r>
        <w:t xml:space="preserve">operatioal support under</w:t>
      </w:r>
      <w:r>
        <w:t xml:space="preserve"> </w:t>
      </w:r>
      <w:r>
        <w:t xml:space="preserve">this option.</w:t>
      </w:r>
      <w:r>
        <w:br/>
      </w:r>
      <w:r>
        <w:t xml:space="preserve">The break-even distances</w:t>
      </w:r>
      <w:r>
        <w:t xml:space="preserve"> </w:t>
      </w:r>
      <w:r>
        <w:t xml:space="preserve">are reduced from 740 to</w:t>
      </w:r>
      <w:r>
        <w:t xml:space="preserve"> </w:t>
      </w:r>
      <w:r>
        <w:t xml:space="preserve">535km for rail, from</w:t>
      </w:r>
      <w:r>
        <w:t xml:space="preserve"> </w:t>
      </w:r>
      <w:r>
        <w:t xml:space="preserve">260km to 200km for</w:t>
      </w:r>
      <w:r>
        <w:t xml:space="preserve"> </w:t>
      </w:r>
      <w:r>
        <w:t xml:space="preserve">IWW and from 775km to</w:t>
      </w:r>
      <w:r>
        <w:t xml:space="preserve"> </w:t>
      </w:r>
      <w:r>
        <w:t xml:space="preserve">610km for SSS.</w:t>
      </w:r>
      <w:r>
        <w:t xml:space="preserve"> </w:t>
      </w:r>
      <w:r>
        <w:t xml:space="preserve">distance at which intermodal</w:t>
      </w:r>
      <w:r>
        <w:t xml:space="preserve"> </w:t>
      </w:r>
      <w:r>
        <w:t xml:space="preserve">transport is price-</w:t>
      </w:r>
      <w:r>
        <w:t xml:space="preserve"> </w:t>
      </w:r>
      <w:r>
        <w:t xml:space="preserve">competitive for operations</w:t>
      </w:r>
      <w:r>
        <w:t xml:space="preserve"> </w:t>
      </w:r>
      <w:r>
        <w:t xml:space="preserve">eligibile for operatioal</w:t>
      </w:r>
      <w:r>
        <w:t xml:space="preserve"> </w:t>
      </w:r>
      <w:r>
        <w:t xml:space="preserve">support under this option.</w:t>
      </w:r>
      <w:r>
        <w:br/>
      </w:r>
      <w:r>
        <w:t xml:space="preserve">The break-even distances are</w:t>
      </w:r>
      <w:r>
        <w:t xml:space="preserve"> </w:t>
      </w:r>
      <w:r>
        <w:t xml:space="preserve">reduced from 740 to 535km</w:t>
      </w:r>
      <w:r>
        <w:t xml:space="preserve"> </w:t>
      </w:r>
      <w:r>
        <w:t xml:space="preserve">for rail, from 260km to</w:t>
      </w:r>
      <w:r>
        <w:t xml:space="preserve"> </w:t>
      </w:r>
      <w:r>
        <w:t xml:space="preserve">200km for IWW and from</w:t>
      </w:r>
      <w:r>
        <w:t xml:space="preserve"> </w:t>
      </w:r>
      <w:r>
        <w:t xml:space="preserve">775km to 610km for SSS.</w:t>
      </w:r>
      <w:r>
        <w:t xml:space="preserve"> </w:t>
      </w:r>
      <w:r>
        <w:t xml:space="preserve">Specific objective 4: Improve transparency and cooperation and simplify entry to the market</w:t>
      </w:r>
      <w:r>
        <w:t xml:space="preserve"> </w:t>
      </w:r>
      <w:r>
        <w:t xml:space="preserve">Ease of data exchange</w:t>
      </w:r>
      <w:r>
        <w:t xml:space="preserve"> </w:t>
      </w:r>
      <w:r>
        <w:t xml:space="preserve">between parties in</w:t>
      </w:r>
      <w:r>
        <w:t xml:space="preserve"> </w:t>
      </w:r>
      <w:r>
        <w:t xml:space="preserve">intermodal transport</w:t>
      </w:r>
      <w:r>
        <w:t xml:space="preserve"> </w:t>
      </w:r>
      <w:r>
        <w:t xml:space="preserve">chain</w:t>
      </w:r>
      <w:r>
        <w:t xml:space="preserve"> </w:t>
      </w:r>
      <w:r>
        <w:t xml:space="preserve">Positive impact on exchange</w:t>
      </w:r>
      <w:r>
        <w:t xml:space="preserve"> </w:t>
      </w:r>
      <w:r>
        <w:t xml:space="preserve">of data along the intermodal</w:t>
      </w:r>
      <w:r>
        <w:t xml:space="preserve"> </w:t>
      </w:r>
      <w:r>
        <w:t xml:space="preserve">transport chain: harmonised</w:t>
      </w:r>
      <w:r>
        <w:t xml:space="preserve"> </w:t>
      </w:r>
      <w:r>
        <w:t xml:space="preserve">data set would ensure that</w:t>
      </w:r>
      <w:r>
        <w:t xml:space="preserve"> </w:t>
      </w:r>
      <w:r>
        <w:t xml:space="preserve">minimum data is</w:t>
      </w:r>
      <w:r>
        <w:t xml:space="preserve"> </w:t>
      </w:r>
      <w:r>
        <w:t xml:space="preserve">interoperable between all</w:t>
      </w:r>
      <w:r>
        <w:br/>
      </w:r>
      <w:r>
        <w:t xml:space="preserve">modes and Member States.</w:t>
      </w:r>
      <w:r>
        <w:br/>
      </w:r>
      <w:r>
        <w:t xml:space="preserve">However, a common dataset</w:t>
      </w:r>
      <w:r>
        <w:t xml:space="preserve"> </w:t>
      </w:r>
      <w:r>
        <w:t xml:space="preserve">for all modes would mean</w:t>
      </w:r>
      <w:r>
        <w:t xml:space="preserve"> </w:t>
      </w:r>
      <w:r>
        <w:t xml:space="preserve">that data specific to modal</w:t>
      </w:r>
      <w:r>
        <w:t xml:space="preserve"> </w:t>
      </w:r>
      <w:r>
        <w:t xml:space="preserve">operations would not be</w:t>
      </w:r>
      <w:r>
        <w:t xml:space="preserve"> </w:t>
      </w:r>
      <w:r>
        <w:t xml:space="preserve">covered and this would</w:t>
      </w:r>
      <w:r>
        <w:t xml:space="preserve"> </w:t>
      </w:r>
      <w:r>
        <w:t xml:space="preserve">No effect</w:t>
      </w:r>
    </w:p>
    <w:p>
      <w:pPr>
        <w:pStyle w:val="BodyText"/>
      </w:pPr>
      <w:r>
        <w:t xml:space="preserve">No effect</w:t>
      </w:r>
      <w:r>
        <w:br/>
      </w:r>
      <w:r>
        <w:t xml:space="preserve">Positive effect on exchange</w:t>
      </w:r>
      <w:r>
        <w:t xml:space="preserve"> </w:t>
      </w:r>
      <w:r>
        <w:t xml:space="preserve">of data along the intermodal</w:t>
      </w:r>
      <w:r>
        <w:t xml:space="preserve"> </w:t>
      </w:r>
      <w:r>
        <w:t xml:space="preserve">transport chain: common</w:t>
      </w:r>
      <w:r>
        <w:t xml:space="preserve"> </w:t>
      </w:r>
      <w:r>
        <w:t xml:space="preserve">data exchange protocol set</w:t>
      </w:r>
      <w:r>
        <w:t xml:space="preserve"> </w:t>
      </w:r>
      <w:r>
        <w:t xml:space="preserve">would ensure flexible and</w:t>
      </w:r>
      <w:r>
        <w:t xml:space="preserve"> </w:t>
      </w:r>
      <w:r>
        <w:t xml:space="preserve">effective way for ensuring</w:t>
      </w:r>
      <w:r>
        <w:t xml:space="preserve"> </w:t>
      </w:r>
      <w:r>
        <w:t xml:space="preserve">data is interoperable</w:t>
      </w:r>
      <w:r>
        <w:t xml:space="preserve"> </w:t>
      </w:r>
      <w:r>
        <w:t xml:space="preserve">between all modes and</w:t>
      </w:r>
      <w:r>
        <w:t xml:space="preserve"> </w:t>
      </w:r>
      <w:r>
        <w:t xml:space="preserve">Member States.</w:t>
      </w:r>
      <w:r>
        <w:br/>
      </w:r>
      <w:r>
        <w:t xml:space="preserve">Obligation applicable only to</w:t>
      </w:r>
      <w:r>
        <w:t xml:space="preserve"> </w:t>
      </w:r>
      <w:r>
        <w:t xml:space="preserve">operations eligible under this</w:t>
      </w:r>
      <w:r>
        <w:t xml:space="preserve"> </w:t>
      </w:r>
      <w:r>
        <w:t xml:space="preserve">directive would however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Weakly negative</w:t>
      </w:r>
      <w:r>
        <w:t xml:space="preserve"> </w:t>
      </w:r>
      <w:r>
        <w:t xml:space="preserve">No or limited impact</w:t>
      </w:r>
      <w:r>
        <w:t xml:space="preserve"> </w:t>
      </w:r>
      <w:r>
        <w:t xml:space="preserve">Weakly 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PO A</w:t>
      </w:r>
      <w:r>
        <w:t xml:space="preserve"> </w:t>
      </w:r>
      <w:r>
        <w:t xml:space="preserve">PO B1</w:t>
      </w:r>
      <w:r>
        <w:t xml:space="preserve"> </w:t>
      </w:r>
      <w:r>
        <w:t xml:space="preserve">PO B2a</w:t>
      </w:r>
      <w:r>
        <w:t xml:space="preserve"> </w:t>
      </w:r>
      <w:r>
        <w:t xml:space="preserve">PO B2b</w:t>
      </w:r>
      <w:r>
        <w:t xml:space="preserve"> </w:t>
      </w:r>
      <w:r>
        <w:t xml:space="preserve">PO C</w:t>
      </w:r>
      <w:r>
        <w:t xml:space="preserve"> </w:t>
      </w:r>
      <w:r>
        <w:t xml:space="preserve">seriously limit the effect.</w:t>
      </w:r>
      <w:r>
        <w:t xml:space="preserve"> </w:t>
      </w:r>
      <w:r>
        <w:t xml:space="preserve">Data obligation applicable</w:t>
      </w:r>
      <w:r>
        <w:t xml:space="preserve"> </w:t>
      </w:r>
      <w:r>
        <w:t xml:space="preserve">only to operations eligible</w:t>
      </w:r>
      <w:r>
        <w:t xml:space="preserve"> </w:t>
      </w:r>
      <w:r>
        <w:t xml:space="preserve">under this Directive would</w:t>
      </w:r>
      <w:r>
        <w:t xml:space="preserve"> </w:t>
      </w:r>
      <w:r>
        <w:t xml:space="preserve">limit the effect of such data</w:t>
      </w:r>
      <w:r>
        <w:t xml:space="preserve"> </w:t>
      </w:r>
      <w:r>
        <w:t xml:space="preserve">rules.</w:t>
      </w:r>
      <w:r>
        <w:t xml:space="preserve"> </w:t>
      </w:r>
      <w:r>
        <w:t xml:space="preserve">limit the effect of such data</w:t>
      </w:r>
      <w:r>
        <w:t xml:space="preserve"> </w:t>
      </w:r>
      <w:r>
        <w:t xml:space="preserve">rules.</w:t>
      </w:r>
      <w:r>
        <w:t xml:space="preserve"> </w:t>
      </w:r>
      <w:r>
        <w:t xml:space="preserve">Ease of access to</w:t>
      </w:r>
      <w:r>
        <w:t xml:space="preserve"> </w:t>
      </w:r>
      <w:r>
        <w:t xml:space="preserve">terminal information</w:t>
      </w:r>
      <w:r>
        <w:t xml:space="preserve"> </w:t>
      </w:r>
      <w:r>
        <w:t xml:space="preserve">Positive effect to shippers, intermodal transport organisers and in parrticular new entrants: the new requirements for terminal operators proposed by</w:t>
      </w:r>
      <w:r>
        <w:t xml:space="preserve"> </w:t>
      </w:r>
      <w:r>
        <w:t xml:space="preserve">PM16 would ensure that essential information on terminal operations, their facilities and services would be easily and freely available, allowing</w:t>
      </w:r>
      <w:r>
        <w:t xml:space="preserve"> </w:t>
      </w:r>
      <w:r>
        <w:t xml:space="preserve">potential users to assess if modal shift is a possibility for them.</w:t>
      </w:r>
      <w:r>
        <w:br/>
      </w:r>
      <w:r>
        <w:t xml:space="preserve">Categorisation of terminals (PM17) would provide a better overview of the quality level of terminals, to shippers, authotiries and financiers. The</w:t>
      </w:r>
      <w:r>
        <w:t xml:space="preserve"> </w:t>
      </w:r>
      <w:r>
        <w:t xml:space="preserve">visibility of such categorisation would provide a motivation for terminal operators to upgrade the most important facilities and services and tehreby</w:t>
      </w:r>
      <w:r>
        <w:t xml:space="preserve"> </w:t>
      </w:r>
      <w:r>
        <w:t xml:space="preserve">improve the efficiency of total intermodal chain.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ANNEX 13: SME TEST</w:t>
      </w:r>
      <w:r>
        <w:t xml:space="preserve"> </w:t>
      </w:r>
      <w:r>
        <w:t xml:space="preserve">Step (1) of the SME test (identification of affected businesses).</w:t>
      </w:r>
      <w:r>
        <w:t xml:space="preserve"> </w:t>
      </w:r>
      <w:r>
        <w:t xml:space="preserve">Directly affected. SMEs active in intermodal transport would fall under the scope of this initiative.</w:t>
      </w:r>
      <w:r>
        <w:t xml:space="preserve"> </w:t>
      </w:r>
      <w:r>
        <w:t xml:space="preserve">The exact number of involved SMEs is not known, but SMEs are estimated to dominate its subsectors,</w:t>
      </w:r>
      <w:r>
        <w:t xml:space="preserve"> </w:t>
      </w:r>
      <w:r>
        <w:t xml:space="preserve">with 99% of the total road-hauliers224,225 and IWW sector being SMEs. In rail 93% of companies are</w:t>
      </w:r>
      <w:r>
        <w:t xml:space="preserve"> </w:t>
      </w:r>
      <w:r>
        <w:t xml:space="preserve">SMEs and in maritime 98%. Based on desk research, it has been assessed that approximately 27,000</w:t>
      </w:r>
      <w:r>
        <w:t xml:space="preserve"> </w:t>
      </w:r>
      <w:r>
        <w:t xml:space="preserve">companies could be involved in intermodal transport, most of them SMEs in the road sector. It should</w:t>
      </w:r>
      <w:r>
        <w:t xml:space="preserve"> </w:t>
      </w:r>
      <w:r>
        <w:t xml:space="preserve">be noted however that as access to terminals requires often special training of drivers and large road</w:t>
      </w:r>
      <w:r>
        <w:t xml:space="preserve"> </w:t>
      </w:r>
      <w:r>
        <w:t xml:space="preserve">vehicle fleets, dedicated companies dominate the intermodal road sector and micro-companies are not</w:t>
      </w:r>
      <w:r>
        <w:t xml:space="preserve"> </w:t>
      </w:r>
      <w:r>
        <w:t xml:space="preserve">that active in intermodal transport, though they are sometimes subcontracted.</w:t>
      </w:r>
      <w:r>
        <w:br/>
      </w:r>
      <w:r>
        <w:t xml:space="preserve">Road-hauliers currently carrying out road-only transport will also be impacted when operations shift</w:t>
      </w:r>
      <w:r>
        <w:t xml:space="preserve"> </w:t>
      </w:r>
      <w:r>
        <w:t xml:space="preserve">from road-only to intermodal.</w:t>
      </w:r>
      <w:r>
        <w:br/>
      </w:r>
      <w:r>
        <w:t xml:space="preserve">In addition, SMEs as shippers are a major beneficiary of the CTD support. While many larger shippers</w:t>
      </w:r>
      <w:r>
        <w:t xml:space="preserve"> </w:t>
      </w:r>
      <w:r>
        <w:t xml:space="preserve">already use intermodal transport. Their large volume of transported goods allows them to benefit from</w:t>
      </w:r>
      <w:r>
        <w:t xml:space="preserve"> </w:t>
      </w:r>
      <w:r>
        <w:t xml:space="preserve">the more competitive sub-segment of intermodal transport on rail, the block trains. For the SMEs</w:t>
      </w:r>
      <w:r>
        <w:t xml:space="preserve"> </w:t>
      </w:r>
      <w:r>
        <w:t xml:space="preserve">however the volumes remain low and access to intermodal transport often requires the use of</w:t>
      </w:r>
      <w:r>
        <w:t xml:space="preserve"> </w:t>
      </w:r>
      <w:r>
        <w:t xml:space="preserve">consolidator, either a logistics company or a multimodal transport organiser. These services are less</w:t>
      </w:r>
      <w:r>
        <w:t xml:space="preserve"> </w:t>
      </w:r>
      <w:r>
        <w:t xml:space="preserve">competitive vis-à-vis road transport and thus the support to increase the price-competitiveness of</w:t>
      </w:r>
      <w:r>
        <w:t xml:space="preserve"> </w:t>
      </w:r>
      <w:r>
        <w:t xml:space="preserve">intermodal transport is important for attracting SMEs to use these services.</w:t>
      </w:r>
      <w:r>
        <w:br/>
      </w:r>
      <w:r>
        <w:t xml:space="preserve">Indirectly affected. The number of SMEs indirectly affected will be larger but is not quantifiable.</w:t>
      </w:r>
      <w:r>
        <w:t xml:space="preserve"> </w:t>
      </w:r>
      <w:r>
        <w:t xml:space="preserve">Increased use of intermodal transport often results in creation of new supporting services, in particular</w:t>
      </w:r>
      <w:r>
        <w:t xml:space="preserve"> </w:t>
      </w:r>
      <w:r>
        <w:t xml:space="preserve">around terminals (hospitality sector).</w:t>
      </w:r>
      <w:r>
        <w:br/>
      </w:r>
      <w:r>
        <w:t xml:space="preserve">See sections, 6</w:t>
      </w:r>
      <w:r>
        <w:t xml:space="preserve"> </w:t>
      </w:r>
      <w:r>
        <w:t xml:space="preserve">(Economic</w:t>
      </w:r>
      <w:r>
        <w:t xml:space="preserve"> </w:t>
      </w:r>
      <w:r>
        <w:t xml:space="preserve">impacts), 8</w:t>
      </w:r>
      <w:r>
        <w:t xml:space="preserve"> </w:t>
      </w:r>
      <w:r>
        <w:t xml:space="preserve">(Preferred option)</w:t>
      </w:r>
      <w:r>
        <w:t xml:space="preserve"> </w:t>
      </w:r>
      <w:r>
        <w:t xml:space="preserve">and Annex 4</w:t>
      </w:r>
      <w:r>
        <w:t xml:space="preserve"> </w:t>
      </w:r>
      <w:r>
        <w:t xml:space="preserve">Step (2) of the SME test (consultation of SME stakeholders).</w:t>
      </w:r>
      <w:r>
        <w:t xml:space="preserve"> </w:t>
      </w:r>
      <w:r>
        <w:t xml:space="preserve">The methodological approach used in consultation activities consisted in gathering specific data on</w:t>
      </w:r>
      <w:r>
        <w:t xml:space="preserve"> </w:t>
      </w:r>
      <w:r>
        <w:t xml:space="preserve">SMEs and micro-enterprises from the stakeholders consulted (OPC, targeted questionnaires and</w:t>
      </w:r>
      <w:r>
        <w:t xml:space="preserve"> </w:t>
      </w:r>
      <w:r>
        <w:t xml:space="preserve">targeted interviews), SMEs were asked to identify themselves. It should be noted that most SMEs</w:t>
      </w:r>
      <w:r>
        <w:t xml:space="preserve"> </w:t>
      </w:r>
      <w:r>
        <w:t xml:space="preserve">were represented in the consultations by the sector associations.</w:t>
      </w:r>
      <w:r>
        <w:br/>
      </w:r>
      <w:r>
        <w:t xml:space="preserve">Targeted consultations. 19 out of 39 respondents to the survey questionnaire in the targeted</w:t>
      </w:r>
      <w:r>
        <w:t xml:space="preserve"> </w:t>
      </w:r>
      <w:r>
        <w:t xml:space="preserve">stakeholders’ consultation identified themselves as SMEs.</w:t>
      </w:r>
      <w:r>
        <w:br/>
      </w:r>
      <w:r>
        <w:t xml:space="preserve">Open Public Consultation. The OPC was organised from to 08 March to 30 May 2022. 6 out of 23</w:t>
      </w:r>
      <w:r>
        <w:t xml:space="preserve"> </w:t>
      </w:r>
      <w:r>
        <w:t xml:space="preserve">companies that responded to the OPC identified themselves as SMEs (1 small and 5 medium-sized</w:t>
      </w:r>
      <w:r>
        <w:t xml:space="preserve"> </w:t>
      </w:r>
      <w:r>
        <w:t xml:space="preserve">companies).</w:t>
      </w:r>
      <w:r>
        <w:t xml:space="preserve"> </w:t>
      </w:r>
      <w:r>
        <w:t xml:space="preserve">See annex 2</w:t>
      </w:r>
      <w:r>
        <w:t xml:space="preserve"> </w:t>
      </w:r>
      <w:r>
        <w:t xml:space="preserve">(Stakeholder</w:t>
      </w:r>
      <w:r>
        <w:t xml:space="preserve"> </w:t>
      </w:r>
      <w:r>
        <w:t xml:space="preserve">consultation)</w:t>
      </w:r>
      <w:r>
        <w:t xml:space="preserve"> </w:t>
      </w:r>
      <w:r>
        <w:t xml:space="preserve">Step (3) of the SME test (assessment of the impacts on SMEs).</w:t>
      </w:r>
      <w:r>
        <w:t xml:space="preserve"> </w:t>
      </w:r>
      <w:r>
        <w:t xml:space="preserve">Direct impacts on SMEs. It has not been possible to quantify the impact specifically for SMEs.</w:t>
      </w:r>
      <w:r>
        <w:br/>
      </w:r>
      <w:r>
        <w:t xml:space="preserve">An increase in intermodal transport will have positive economic impact on all SMEs other than</w:t>
      </w:r>
      <w:r>
        <w:t xml:space="preserve"> </w:t>
      </w:r>
      <w:r>
        <w:t xml:space="preserve">road hauliers. The SME shippers will have a wider choice of transport options and easier</w:t>
      </w:r>
      <w:r>
        <w:t xml:space="preserve"> </w:t>
      </w:r>
      <w:r>
        <w:t xml:space="preserve">access to the market, thanks to new terminal transparency obligations. The SMEs logistics</w:t>
      </w:r>
      <w:r>
        <w:t xml:space="preserve"> </w:t>
      </w:r>
      <w:r>
        <w:t xml:space="preserve">operators engaged in organising intermodal transport operations as well as SME transport</w:t>
      </w:r>
      <w:r>
        <w:t xml:space="preserve"> </w:t>
      </w:r>
      <w:r>
        <w:t xml:space="preserve">operators in rail and waterborne transport are expected to experience increases in business</w:t>
      </w:r>
      <w:r>
        <w:t xml:space="preserve"> </w:t>
      </w:r>
      <w:r>
        <w:t xml:space="preserve">opportunities as volumes increase. The technological upgrade support (PM11) is expected to</w:t>
      </w:r>
      <w:r>
        <w:t xml:space="preserve"> </w:t>
      </w:r>
      <w:r>
        <w:t xml:space="preserve">particularity benefit SMEs, though it will remain in Member States’ competence to decide if</w:t>
      </w:r>
      <w:r>
        <w:t xml:space="preserve"> </w:t>
      </w:r>
      <w:r>
        <w:t xml:space="preserve">they limit the support to SMEs only or not.</w:t>
      </w:r>
      <w:r>
        <w:t xml:space="preserve"> </w:t>
      </w:r>
      <w:r>
        <w:t xml:space="preserve">As regards road hauliers, those engaged today in intermodal transport will benefit from</w:t>
      </w:r>
      <w:r>
        <w:t xml:space="preserve"> </w:t>
      </w:r>
      <w:r>
        <w:t xml:space="preserve">increased transport volumes. For those engaged today in long-distance road-only transport that</w:t>
      </w:r>
      <w:r>
        <w:t xml:space="preserve"> </w:t>
      </w:r>
      <w:r>
        <w:t xml:space="preserve">would be replaced by intermodal transport, two options are present (continue on other</w:t>
      </w:r>
      <w:r>
        <w:t xml:space="preserve"> </w:t>
      </w:r>
      <w:r>
        <w:t xml:space="preserve">routes/clients or switch to intermodal road legs), leaving it up to hauliers themselves to choose</w:t>
      </w:r>
      <w:r>
        <w:t xml:space="preserve"> </w:t>
      </w:r>
      <w:r>
        <w:t xml:space="preserve">the action (no mandatory obligations to shift). Where modal shift occurs, road hauliers can</w:t>
      </w:r>
      <w:r>
        <w:t xml:space="preserve"> </w:t>
      </w:r>
      <w:r>
        <w:t xml:space="preserve">decide to also shift from long-distance road transport to intermodal road legs. However, it</w:t>
      </w:r>
      <w:r>
        <w:t xml:space="preserve"> </w:t>
      </w:r>
      <w:r>
        <w:t xml:space="preserve">should be noted that the modal shift predicted is small compared to remaining road freight</w:t>
      </w:r>
      <w:r>
        <w:t xml:space="preserve"> </w:t>
      </w:r>
      <w:r>
        <w:t xml:space="preserve">transport. In 2030, only 1.2% of road freight transport will be replaced by non-road transport</w:t>
      </w:r>
      <w:r>
        <w:t xml:space="preserve"> </w:t>
      </w:r>
      <w:r>
        <w:t xml:space="preserve">(26 bn tkm in 2030), while 9 bn tkm of new intermodal road legs will be created.</w:t>
      </w:r>
      <w:r>
        <w:br/>
      </w:r>
      <w:r>
        <w:t xml:space="preserve">As explained in section 6.1.4, all policy options are expected to result in net costs savings for</w:t>
      </w:r>
      <w:r>
        <w:t xml:space="preserve"> </w:t>
      </w:r>
      <w:r>
        <w:t xml:space="preserve">businesses, estimated at EUR 5.46 billion in PO-C, followed by PO-B2a with net costs savings</w:t>
      </w:r>
      <w:r>
        <w:t xml:space="preserve"> </w:t>
      </w:r>
      <w:r>
        <w:t xml:space="preserve">estimated at EUR 4.33 billion, PO-B1 with net costs savings of EUR 4.30 billion, PO-A with</w:t>
      </w:r>
      <w:r>
        <w:t xml:space="preserve"> </w:t>
      </w:r>
      <w:r>
        <w:t xml:space="preserve">See sections 6.1</w:t>
      </w:r>
      <w:r>
        <w:t xml:space="preserve"> </w:t>
      </w:r>
      <w:r>
        <w:t xml:space="preserve">(Economic</w:t>
      </w:r>
      <w:r>
        <w:t xml:space="preserve"> </w:t>
      </w:r>
      <w:r>
        <w:t xml:space="preserve">impacts) and</w:t>
      </w:r>
      <w:r>
        <w:t xml:space="preserve"> </w:t>
      </w:r>
      <w:r>
        <w:t xml:space="preserve">Annex 4</w:t>
      </w:r>
    </w:p>
    <w:p>
      <w:pPr>
        <w:pStyle w:val="BodyText"/>
      </w:pPr>
      <w:r>
        <w:t xml:space="preserve">224https://eur-lex.europa.eu/resource.html?uri=cellar:9d5c61bf-4629-11e7-aea8-</w:t>
      </w:r>
      <w:r>
        <w:t xml:space="preserve"> </w:t>
      </w:r>
      <w:r>
        <w:t xml:space="preserve">01aa75ed71a1.0001.02/DOC_1&amp;format=PDF</w:t>
      </w:r>
      <w:r>
        <w:br/>
      </w:r>
      <w:r>
        <w:t xml:space="preserve">225 https://ec.europa.eu/eurostat/databrowser/view/SBS_SC_1B_SE_R2__custom_3493320/default/table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net costs savings estimated at EUR 3.57 billion, and PO-B2b with net costs savings estimated at</w:t>
      </w:r>
      <w:r>
        <w:t xml:space="preserve"> </w:t>
      </w:r>
      <w:r>
        <w:t xml:space="preserve">EUR 3.43 billion, expressed as present value relative to the baseline. Considering the large share of</w:t>
      </w:r>
      <w:r>
        <w:t xml:space="preserve"> </w:t>
      </w:r>
      <w:r>
        <w:t xml:space="preserve">SMEs estimated to operate in the intermodal transport sector, a significant share of these net costs</w:t>
      </w:r>
      <w:r>
        <w:t xml:space="preserve"> </w:t>
      </w:r>
      <w:r>
        <w:t xml:space="preserve">savings are expected to be attributed to them although the available data did not allow a split of these</w:t>
      </w:r>
      <w:r>
        <w:t xml:space="preserve"> </w:t>
      </w:r>
      <w:r>
        <w:t xml:space="preserve">costs savings between the two groups of operators (i.e. SME and others).</w:t>
      </w:r>
      <w:r>
        <w:t xml:space="preserve"> </w:t>
      </w:r>
      <w:r>
        <w:t xml:space="preserve">Indirect impacts on other SMEs. Indirect impacts on other SMEs such as hospitality sector will be</w:t>
      </w:r>
      <w:r>
        <w:t xml:space="preserve"> </w:t>
      </w:r>
      <w:r>
        <w:t xml:space="preserve">positive due to new business opportunities.</w:t>
      </w:r>
      <w:r>
        <w:br/>
      </w:r>
      <w:r>
        <w:t xml:space="preserve">Step (4) of the SME test (minimizing negative impacts on SMEs).</w:t>
      </w:r>
      <w:r>
        <w:t xml:space="preserve"> </w:t>
      </w:r>
      <w:r>
        <w:t xml:space="preserve">Minimising negative impacts.</w:t>
      </w:r>
      <w:r>
        <w:br/>
      </w:r>
      <w:r>
        <w:t xml:space="preserve">An intermodal transport operation usually involves two different road transport operators</w:t>
      </w:r>
      <w:r>
        <w:t xml:space="preserve"> </w:t>
      </w:r>
      <w:r>
        <w:t xml:space="preserve">carrying out the road legs at each end of the operation. While the total number of kilometres</w:t>
      </w:r>
      <w:r>
        <w:t xml:space="preserve"> </w:t>
      </w:r>
      <w:r>
        <w:t xml:space="preserve">driven on road will reduce – as is the objective of the CTD - the price for intermodal road legs</w:t>
      </w:r>
      <w:r>
        <w:t xml:space="preserve"> </w:t>
      </w:r>
      <w:r>
        <w:t xml:space="preserve">is not per kilometre, but rather per time and intermodal road legs are considered more</w:t>
      </w:r>
      <w:r>
        <w:t xml:space="preserve"> </w:t>
      </w:r>
      <w:r>
        <w:t xml:space="preserve">profitable per kilometre. The road carriage price is quoted per time or per operation, because a</w:t>
      </w:r>
      <w:r>
        <w:t xml:space="preserve"> </w:t>
      </w:r>
      <w:r>
        <w:t xml:space="preserve">considerable amount of waiting is involved both at loading and unloading and in terminals for</w:t>
      </w:r>
      <w:r>
        <w:t xml:space="preserve"> </w:t>
      </w:r>
      <w:r>
        <w:t xml:space="preserve">the drivers. In addition, there are less empty truck operations which will also increase the</w:t>
      </w:r>
      <w:r>
        <w:t xml:space="preserve"> </w:t>
      </w:r>
      <w:r>
        <w:t xml:space="preserve">profitability for hauliers.</w:t>
      </w:r>
      <w:r>
        <w:br/>
      </w:r>
      <w:r>
        <w:t xml:space="preserve">Alternative options. None.</w:t>
      </w:r>
      <w:r>
        <w:t xml:space="preserve"> </w:t>
      </w:r>
      <w:r>
        <w:t xml:space="preserve">See section 6.1</w:t>
      </w:r>
      <w:r>
        <w:t xml:space="preserve"> </w:t>
      </w:r>
      <w:r>
        <w:t xml:space="preserve">(Economic</w:t>
      </w:r>
      <w:r>
        <w:t xml:space="preserve"> </w:t>
      </w:r>
      <w:r>
        <w:t xml:space="preserve">impacts), 7 (How</w:t>
      </w:r>
      <w:r>
        <w:t xml:space="preserve"> </w:t>
      </w:r>
      <w:r>
        <w:t xml:space="preserve">do options</w:t>
      </w:r>
      <w:r>
        <w:t xml:space="preserve"> </w:t>
      </w:r>
      <w:r>
        <w:t xml:space="preserve">compare), 8</w:t>
      </w:r>
      <w:r>
        <w:t xml:space="preserve"> </w:t>
      </w:r>
      <w:r>
        <w:t xml:space="preserve">(Preferred PO),</w:t>
      </w:r>
      <w:r>
        <w:t xml:space="preserve"> </w:t>
      </w:r>
      <w:r>
        <w:t xml:space="preserve">Annex 4 and</w:t>
      </w:r>
      <w:r>
        <w:t xml:space="preserve"> </w:t>
      </w:r>
      <w:r>
        <w:t xml:space="preserve">Annex 5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ANNEX 14: FINANCIAL SUPPORT MEASURES AND MODAL SHIFT</w:t>
      </w:r>
      <w:r>
        <w:t xml:space="preserve"> </w:t>
      </w:r>
      <w:r>
        <w:t xml:space="preserve">Ex-post evidence on the effectiveness of financial support measures on the uptake of intermodal</w:t>
      </w:r>
      <w:r>
        <w:t xml:space="preserve"> </w:t>
      </w:r>
      <w:r>
        <w:t xml:space="preserve">transport is generally limited. Member States are not required to evaluate their measures, but some</w:t>
      </w:r>
      <w:r>
        <w:t xml:space="preserve"> </w:t>
      </w:r>
      <w:r>
        <w:t xml:space="preserve">evaluation reports are available. They typically provide an overview of the measure, its objectives, results</w:t>
      </w:r>
      <w:r>
        <w:t xml:space="preserve"> </w:t>
      </w:r>
      <w:r>
        <w:t xml:space="preserve">achieved for the period of assessment, the budget spent and key result or performance indicators (which</w:t>
      </w:r>
      <w:r>
        <w:t xml:space="preserve"> </w:t>
      </w:r>
      <w:r>
        <w:t xml:space="preserve">vary depending on the desired output and type of beneficiaries).</w:t>
      </w:r>
      <w:r>
        <w:t xml:space="preserve"> </w:t>
      </w:r>
      <w:r>
        <w:t xml:space="preserve">The most commonly used measure for effectiveness is an estimate of the transport volumes that have</w:t>
      </w:r>
      <w:r>
        <w:t xml:space="preserve"> </w:t>
      </w:r>
      <w:r>
        <w:t xml:space="preserve">been shifted to intermodal transport during the assessment period. In some cases, other indicators have</w:t>
      </w:r>
      <w:r>
        <w:t xml:space="preserve"> </w:t>
      </w:r>
      <w:r>
        <w:t xml:space="preserve">been considered to proxy the extent to which the scheme has been successful in promoting a modal</w:t>
      </w:r>
      <w:r>
        <w:t xml:space="preserve"> </w:t>
      </w:r>
      <w:r>
        <w:t xml:space="preserve">shift226.</w:t>
      </w:r>
      <w:r>
        <w:t xml:space="preserve"> </w:t>
      </w:r>
      <w:r>
        <w:t xml:space="preserve">Marco Polo II (2007-2013)</w:t>
      </w:r>
      <w:r>
        <w:t xml:space="preserve"> </w:t>
      </w:r>
      <w:r>
        <w:t xml:space="preserve">The Marco Polo programmes were mostly performance based and provided funding to the transport and</w:t>
      </w:r>
      <w:r>
        <w:t xml:space="preserve"> </w:t>
      </w:r>
      <w:r>
        <w:t xml:space="preserve">logistics sector to support certain actions aiming to shift transport off the road. The final report on the</w:t>
      </w:r>
      <w:r>
        <w:t xml:space="preserve"> </w:t>
      </w:r>
      <w:r>
        <w:t xml:space="preserve">Marco Polo II programme227 discusses the effectiveness of both Marco Polo programmes but with focus</w:t>
      </w:r>
      <w:r>
        <w:t xml:space="preserve"> </w:t>
      </w:r>
      <w:r>
        <w:t xml:space="preserve">on Marco Polo II.</w:t>
      </w:r>
      <w:r>
        <w:t xml:space="preserve"> </w:t>
      </w:r>
      <w:r>
        <w:t xml:space="preserve">In Marco Polo I (2003-2006), the final funding amounted to EUR 41.8 million, which is 41% of the funding</w:t>
      </w:r>
      <w:r>
        <w:t xml:space="preserve"> </w:t>
      </w:r>
      <w:r>
        <w:t xml:space="preserve">initially available. The funded actions resulted in a modal shift of 21.9 billion tonne-kilometre (tkm), i.e. </w:t>
      </w:r>
      <w:r>
        <w:t xml:space="preserve"> </w:t>
      </w:r>
      <w:r>
        <w:t xml:space="preserve">about 46% of the initial modal shift target.</w:t>
      </w:r>
      <w:r>
        <w:br/>
      </w:r>
      <w:r>
        <w:t xml:space="preserve">Marco Polo II (2007-2013) had longer duration and higher budget available than Marco Polo I, and</w:t>
      </w:r>
      <w:r>
        <w:t xml:space="preserve"> </w:t>
      </w:r>
      <w:r>
        <w:t xml:space="preserve">included two new types of actions (Motorways of the Sea and traffic avoidance). Furthermore, besides</w:t>
      </w:r>
      <w:r>
        <w:t xml:space="preserve"> </w:t>
      </w:r>
      <w:r>
        <w:t xml:space="preserve">introducing changes to procedures to facilitate participation from applicants, the funding intensity was</w:t>
      </w:r>
      <w:r>
        <w:t xml:space="preserve"> </w:t>
      </w:r>
      <w:r>
        <w:t xml:space="preserve">doubled from 1 to 2 EUR for each 500 tkm shifted off the road (i.e. from 0.002 to 0.004 Euro per tkm</w:t>
      </w:r>
      <w:r>
        <w:t xml:space="preserve"> </w:t>
      </w:r>
      <w:r>
        <w:t xml:space="preserve">shifted).</w:t>
      </w:r>
      <w:r>
        <w:t xml:space="preserve"> </w:t>
      </w:r>
      <w:r>
        <w:t xml:space="preserve">The modal shift target for Marco Polo II was also higher (20.5 billion tkm per year, or 143.5 billion tkm</w:t>
      </w:r>
      <w:r>
        <w:t xml:space="preserve"> </w:t>
      </w:r>
      <w:r>
        <w:t xml:space="preserve">during the entire programme), in line with the increase in EU freight transport that was expected over the</w:t>
      </w:r>
      <w:r>
        <w:t xml:space="preserve"> </w:t>
      </w:r>
      <w:r>
        <w:t xml:space="preserve">programme duration. However, the initial target became out of reach because of the financial crisis and</w:t>
      </w:r>
      <w:r>
        <w:t xml:space="preserve"> </w:t>
      </w:r>
      <w:r>
        <w:t xml:space="preserve">the economic context.</w:t>
      </w:r>
      <w:r>
        <w:br/>
      </w:r>
      <w:r>
        <w:t xml:space="preserve">The level of target achievement for Marco Polo II actions differed depending on transport mode, with rail</w:t>
      </w:r>
      <w:r>
        <w:t xml:space="preserve"> </w:t>
      </w:r>
      <w:r>
        <w:t xml:space="preserve">actions having the highest level of achievement. Rail actions represented 46.5% of the program’s total</w:t>
      </w:r>
      <w:r>
        <w:t xml:space="preserve"> </w:t>
      </w:r>
      <w:r>
        <w:t xml:space="preserve">achieved modal shift followed by maritime transport (35.3%), and IWW (1.7%), while traffic avoidance</w:t>
      </w:r>
      <w:r>
        <w:t xml:space="preserve"> </w:t>
      </w:r>
      <w:r>
        <w:t xml:space="preserve">actions and mixed actions contributed to the remaining 16.5%. The lower level of success for IWW</w:t>
      </w:r>
      <w:r>
        <w:t xml:space="preserve"> </w:t>
      </w:r>
      <w:r>
        <w:t xml:space="preserve">actions was mainly explained by stronger competition from road transport on shorter distances, unstable</w:t>
      </w:r>
      <w:r>
        <w:t xml:space="preserve"> </w:t>
      </w:r>
      <w:r>
        <w:t xml:space="preserve">water levels and infrastructure limitations.</w:t>
      </w:r>
      <w:r>
        <w:br/>
      </w:r>
      <w:r>
        <w:t xml:space="preserve">The table below shows the overall results achieved by modal shift actions (both closed and terminated</w:t>
      </w:r>
      <w:r>
        <w:t xml:space="preserve"> </w:t>
      </w:r>
      <w:r>
        <w:t xml:space="preserve">actions) funded under Marco Polo II.</w:t>
      </w:r>
    </w:p>
    <w:p>
      <w:pPr>
        <w:pStyle w:val="BodyText"/>
      </w:pPr>
      <w:r>
        <w:t xml:space="preserve">226 E.g. the correlation between the goods moved under the scheme and the change in transported volumes across the</w:t>
      </w:r>
      <w:r>
        <w:t xml:space="preserve"> </w:t>
      </w:r>
      <w:r>
        <w:t xml:space="preserve">desired modes; traffic volumes shifted as a proportion of total transported volumes across the desired modes;</w:t>
      </w:r>
      <w:r>
        <w:t xml:space="preserve"> </w:t>
      </w:r>
      <w:r>
        <w:t xml:space="preserve">comparison between the change in transported volumes for a specific Member State and the change in transported</w:t>
      </w:r>
      <w:r>
        <w:t xml:space="preserve"> </w:t>
      </w:r>
      <w:r>
        <w:t xml:space="preserve">volumes for the rest of the EU (to show how the scheme worked in a country relative to the rest of the EU).</w:t>
      </w:r>
      <w:r>
        <w:t xml:space="preserve"> </w:t>
      </w:r>
      <w:r>
        <w:t xml:space="preserve">227 INEA (2020), Marco Polo II Programme, Final report.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Table 64: Results from all modal shift actions funded under Marco Polo II</w:t>
      </w:r>
      <w:r>
        <w:t xml:space="preserve"> </w:t>
      </w:r>
      <w:r>
        <w:t xml:space="preserve">Mode</w:t>
      </w:r>
      <w:r>
        <w:t xml:space="preserve"> </w:t>
      </w:r>
      <w:r>
        <w:t xml:space="preserve">Final funding</w:t>
      </w:r>
      <w:r>
        <w:t xml:space="preserve"> </w:t>
      </w:r>
      <w:r>
        <w:t xml:space="preserve">(million EUR)</w:t>
      </w:r>
      <w:r>
        <w:t xml:space="preserve"> </w:t>
      </w:r>
      <w:r>
        <w:t xml:space="preserve">Share</w:t>
      </w:r>
      <w:r>
        <w:t xml:space="preserve"> </w:t>
      </w:r>
      <w:r>
        <w:t xml:space="preserve">Modal shift impact</w:t>
      </w:r>
      <w:r>
        <w:t xml:space="preserve"> </w:t>
      </w:r>
      <w:r>
        <w:t xml:space="preserve">(billion tkm)</w:t>
      </w:r>
      <w:r>
        <w:t xml:space="preserve"> </w:t>
      </w:r>
      <w:r>
        <w:t xml:space="preserve">Share</w:t>
      </w:r>
      <w:r>
        <w:t xml:space="preserve"> </w:t>
      </w:r>
      <w:r>
        <w:t xml:space="preserve">Rail</w:t>
      </w:r>
      <w:r>
        <w:t xml:space="preserve"> </w:t>
      </w:r>
      <w:r>
        <w:t xml:space="preserve">67.6</w:t>
      </w:r>
      <w:r>
        <w:t xml:space="preserve"> </w:t>
      </w:r>
      <w:r>
        <w:t xml:space="preserve">68%</w:t>
      </w:r>
      <w:r>
        <w:t xml:space="preserve"> </w:t>
      </w:r>
      <w:r>
        <w:t xml:space="preserve">19.5</w:t>
      </w:r>
      <w:r>
        <w:t xml:space="preserve"> </w:t>
      </w:r>
      <w:r>
        <w:t xml:space="preserve">56%</w:t>
      </w:r>
      <w:r>
        <w:t xml:space="preserve"> </w:t>
      </w:r>
      <w:r>
        <w:t xml:space="preserve">IWW</w:t>
      </w:r>
      <w:r>
        <w:t xml:space="preserve"> </w:t>
      </w:r>
      <w:r>
        <w:t xml:space="preserve">1.8</w:t>
      </w:r>
      <w:r>
        <w:t xml:space="preserve"> </w:t>
      </w:r>
      <w:r>
        <w:t xml:space="preserve">2%</w:t>
      </w:r>
      <w:r>
        <w:t xml:space="preserve"> </w:t>
      </w:r>
      <w:r>
        <w:t xml:space="preserve">0.7</w:t>
      </w:r>
      <w:r>
        <w:t xml:space="preserve"> </w:t>
      </w:r>
      <w:r>
        <w:t xml:space="preserve">2%</w:t>
      </w:r>
      <w:r>
        <w:t xml:space="preserve"> </w:t>
      </w:r>
      <w:r>
        <w:t xml:space="preserve">SSS</w:t>
      </w:r>
      <w:r>
        <w:t xml:space="preserve"> </w:t>
      </w:r>
      <w:r>
        <w:t xml:space="preserve">30.4</w:t>
      </w:r>
      <w:r>
        <w:t xml:space="preserve"> </w:t>
      </w:r>
      <w:r>
        <w:t xml:space="preserve">30%</w:t>
      </w:r>
      <w:r>
        <w:t xml:space="preserve"> </w:t>
      </w:r>
      <w:r>
        <w:t xml:space="preserve">14.8</w:t>
      </w:r>
      <w:r>
        <w:t xml:space="preserve"> </w:t>
      </w:r>
      <w:r>
        <w:t xml:space="preserve">42%</w:t>
      </w:r>
      <w:r>
        <w:t xml:space="preserve"> </w:t>
      </w:r>
      <w:r>
        <w:t xml:space="preserve">Total</w:t>
      </w:r>
      <w:r>
        <w:t xml:space="preserve"> </w:t>
      </w:r>
      <w:r>
        <w:t xml:space="preserve">99.8</w:t>
      </w:r>
      <w:r>
        <w:t xml:space="preserve"> </w:t>
      </w:r>
      <w:r>
        <w:t xml:space="preserve">100%</w:t>
      </w:r>
      <w:r>
        <w:t xml:space="preserve"> </w:t>
      </w:r>
      <w:r>
        <w:t xml:space="preserve">35.0</w:t>
      </w:r>
      <w:r>
        <w:t xml:space="preserve"> </w:t>
      </w:r>
      <w:r>
        <w:t xml:space="preserve">100%</w:t>
      </w:r>
      <w:r>
        <w:t xml:space="preserve"> </w:t>
      </w:r>
      <w:r>
        <w:t xml:space="preserve">Source: INEA (2020)</w:t>
      </w:r>
      <w:r>
        <w:t xml:space="preserve"> </w:t>
      </w:r>
      <w:r>
        <w:t xml:space="preserve">Additional insights about the Marco Polo II outcomes were collected through questionnaires replied by</w:t>
      </w:r>
      <w:r>
        <w:t xml:space="preserve"> </w:t>
      </w:r>
      <w:r>
        <w:t xml:space="preserve">programme beneficiaries, including:</w:t>
      </w:r>
      <w:r>
        <w:t xml:space="preserve"> </w:t>
      </w:r>
      <w:r>
        <w:t xml:space="preserve">• Overall, beneficiaries commented that their actions and services were very successful, and</w:t>
      </w:r>
      <w:r>
        <w:t xml:space="preserve"> </w:t>
      </w:r>
      <w:r>
        <w:t xml:space="preserve">that the programme was instrumental in their decision to set up a new intermodal service.</w:t>
      </w:r>
      <w:r>
        <w:t xml:space="preserve"> </w:t>
      </w:r>
      <w:r>
        <w:t xml:space="preserve">The main reason for the success was that the financial support helped to increase their</w:t>
      </w:r>
      <w:r>
        <w:t xml:space="preserve"> </w:t>
      </w:r>
      <w:r>
        <w:t xml:space="preserve">business capacity and minimise the financial risks. However, some also highlighted that this</w:t>
      </w:r>
      <w:r>
        <w:t xml:space="preserve"> </w:t>
      </w:r>
      <w:r>
        <w:t xml:space="preserve">came with overcomplicated administrative procedures and cumbersome requirements in</w:t>
      </w:r>
      <w:r>
        <w:t xml:space="preserve"> </w:t>
      </w:r>
      <w:r>
        <w:t xml:space="preserve">particular in recording costs.</w:t>
      </w:r>
      <w:r>
        <w:t xml:space="preserve"> </w:t>
      </w:r>
      <w:r>
        <w:t xml:space="preserve">• The programme had sustainable impact given that 97% of the services supported continued</w:t>
      </w:r>
      <w:r>
        <w:t xml:space="preserve"> </w:t>
      </w:r>
      <w:r>
        <w:t xml:space="preserve">their operations after the end of the grant and became self-sustained financially. Moreover,</w:t>
      </w:r>
      <w:r>
        <w:t xml:space="preserve"> </w:t>
      </w:r>
      <w:r>
        <w:t xml:space="preserve">the programme had a spillover effect as it was used by many beneficiaries (60% of the</w:t>
      </w:r>
      <w:r>
        <w:t xml:space="preserve"> </w:t>
      </w:r>
      <w:r>
        <w:t xml:space="preserve">respondents) as a model for the development of similar services, not supported by grants.</w:t>
      </w:r>
      <w:r>
        <w:t xml:space="preserve"> </w:t>
      </w:r>
      <w:r>
        <w:t xml:space="preserve">• For almost all responding beneficiaries the benefits of Marco Polo II are wider than the</w:t>
      </w:r>
      <w:r>
        <w:t xml:space="preserve"> </w:t>
      </w:r>
      <w:r>
        <w:t xml:space="preserve">modal shift effect itself and include improved market conditions, optimised load factors,</w:t>
      </w:r>
      <w:r>
        <w:t xml:space="preserve"> </w:t>
      </w:r>
      <w:r>
        <w:t xml:space="preserve">more opportunities for rail transport, a more stable and efficient supply chain, improved</w:t>
      </w:r>
      <w:r>
        <w:t xml:space="preserve"> </w:t>
      </w:r>
      <w:r>
        <w:t xml:space="preserve">know-how in the area of intermodal transport and enhanced collaboration between ports</w:t>
      </w:r>
      <w:r>
        <w:t xml:space="preserve"> </w:t>
      </w:r>
      <w:r>
        <w:t xml:space="preserve">across countries.</w:t>
      </w:r>
      <w:r>
        <w:t xml:space="preserve"> </w:t>
      </w:r>
      <w:r>
        <w:t xml:space="preserve">• Finally, the responding beneficiaries consider that the co-funding (2 EUR per 500 tkm</w:t>
      </w:r>
      <w:r>
        <w:t xml:space="preserve"> </w:t>
      </w:r>
      <w:r>
        <w:t xml:space="preserve">shifted) was broadly adequate.</w:t>
      </w:r>
      <w:r>
        <w:t xml:space="preserve"> </w:t>
      </w:r>
      <w:r>
        <w:t xml:space="preserve">Evidence from other support measures for intermodal transport</w:t>
      </w:r>
      <w:r>
        <w:t xml:space="preserve"> </w:t>
      </w:r>
      <w:r>
        <w:t xml:space="preserve">Ex-post evaluations of national support schemes for intermodal transport are quite rare, which makes it</w:t>
      </w:r>
      <w:r>
        <w:t xml:space="preserve"> </w:t>
      </w:r>
      <w:r>
        <w:t xml:space="preserve">difficult to draw conclusions on how the schemes have performed in terms of modal shift impacts and</w:t>
      </w:r>
      <w:r>
        <w:t xml:space="preserve"> </w:t>
      </w:r>
      <w:r>
        <w:t xml:space="preserve">uptake of intermodal transport. The measures that have been evaluated are mostly subsidies/grants at</w:t>
      </w:r>
      <w:r>
        <w:t xml:space="preserve"> </w:t>
      </w:r>
      <w:r>
        <w:t xml:space="preserve">the national level, where MS valuation was mainly driven by a commitment at EU level or the need for</w:t>
      </w:r>
      <w:r>
        <w:t xml:space="preserve"> </w:t>
      </w:r>
      <w:r>
        <w:t xml:space="preserve">permission by the Commission for measures classified as State aid. Overall, the evaluations produced</w:t>
      </w:r>
      <w:r>
        <w:t xml:space="preserve"> </w:t>
      </w:r>
      <w:r>
        <w:t xml:space="preserve">tend to differ in terms of methodology and type of performance indicators considered, which makes</w:t>
      </w:r>
      <w:r>
        <w:t xml:space="preserve"> </w:t>
      </w:r>
      <w:r>
        <w:t xml:space="preserve">cross-comparison of policy performance difficult.</w:t>
      </w:r>
      <w:r>
        <w:t xml:space="preserve"> </w:t>
      </w:r>
      <w:r>
        <w:t xml:space="preserve">Considering the support provided to end users of intermodal transport service (i.e. demand-side support),</w:t>
      </w:r>
      <w:r>
        <w:t xml:space="preserve"> </w:t>
      </w:r>
      <w:r>
        <w:t xml:space="preserve">descriptive evidence on policy performance is available for two Italian support schemes, i.e. Ferrobonus</w:t>
      </w:r>
      <w:r>
        <w:t xml:space="preserve"> </w:t>
      </w:r>
      <w:r>
        <w:t xml:space="preserve">and Ecobonus. Ferrobonus aid was given to users of railway services to optimise the use of intermodal rail</w:t>
      </w:r>
      <w:r>
        <w:t xml:space="preserve"> </w:t>
      </w:r>
      <w:r>
        <w:t xml:space="preserve">freight transport and enforce a modal shift from road to rail, while Ecobonus aimed to implement a</w:t>
      </w:r>
      <w:r>
        <w:t xml:space="preserve"> </w:t>
      </w:r>
      <w:r>
        <w:t xml:space="preserve">modal shift from road to short-sea transport. Considering feedback from the Commission decisions and</w:t>
      </w:r>
      <w:r>
        <w:t xml:space="preserve"> </w:t>
      </w:r>
      <w:r>
        <w:t xml:space="preserve">academic literature, both these schemes succeeded in achieving a modal shift from road to rail or SSS and</w:t>
      </w:r>
      <w:r>
        <w:t xml:space="preserve"> </w:t>
      </w:r>
      <w:r>
        <w:t xml:space="preserve">a positive effect on freight volumes transported by the desired modes:</w:t>
      </w:r>
      <w:r>
        <w:t xml:space="preserve"> </w:t>
      </w:r>
      <w:r>
        <w:t xml:space="preserve">•</w:t>
      </w:r>
      <w:r>
        <w:t xml:space="preserve"> </w:t>
      </w:r>
      <w:r>
        <w:t xml:space="preserve">The Commission decision on the Ferrobonus prolongation of 2016 already indicates that the</w:t>
      </w:r>
      <w:r>
        <w:t xml:space="preserve"> </w:t>
      </w:r>
      <w:r>
        <w:t xml:space="preserve">first edition of the programme achieved its goals. The aid amounts to 1.05 EUR per total train-</w:t>
      </w:r>
      <w:r>
        <w:t xml:space="preserve"> </w:t>
      </w:r>
      <w:r>
        <w:t xml:space="preserve">km and led to an increase of rail intermodal transport by 3.8 million train-km (+17.3%) between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2009-2010 and 2010- 2011228. Moreover, focusing on the rail connection Genoa-Barcelona, a</w:t>
      </w:r>
      <w:r>
        <w:t xml:space="preserve"> </w:t>
      </w:r>
      <w:r>
        <w:t xml:space="preserve">2015 study229 reckons that Ferrobonus created a shift of 1.13% of transported tons off the road,</w:t>
      </w:r>
      <w:r>
        <w:t xml:space="preserve"> </w:t>
      </w:r>
      <w:r>
        <w:t xml:space="preserve">and an increase of rail transport activity of 55,838 tonnes per year.</w:t>
      </w:r>
      <w:r>
        <w:t xml:space="preserve"> </w:t>
      </w:r>
      <w:r>
        <w:t xml:space="preserve">•</w:t>
      </w:r>
      <w:r>
        <w:t xml:space="preserve"> </w:t>
      </w:r>
      <w:r>
        <w:t xml:space="preserve">As for the Ecobonus, a report from Italian authorities230 concludes that this scheme created an</w:t>
      </w:r>
      <w:r>
        <w:t xml:space="preserve"> </w:t>
      </w:r>
      <w:r>
        <w:t xml:space="preserve">increase of RoRo traffic volumes between Italy and Spain of 12.1% between 2007 and 2010,</w:t>
      </w:r>
      <w:r>
        <w:t xml:space="preserve"> </w:t>
      </w:r>
      <w:r>
        <w:t xml:space="preserve">compared to pre-scheme volumes. In absolute terms, 87,564 trailers shifted from road network</w:t>
      </w:r>
      <w:r>
        <w:t xml:space="preserve"> </w:t>
      </w:r>
      <w:r>
        <w:t xml:space="preserve">to SSS routes. Moreover, the report observes that Ecobonus has sustained RoRo traffic demand</w:t>
      </w:r>
      <w:r>
        <w:t xml:space="preserve"> </w:t>
      </w:r>
      <w:r>
        <w:t xml:space="preserve">also after the end of the scheme, estimating that 14% (1.332 million tonnes out of the 9.409</w:t>
      </w:r>
      <w:r>
        <w:t xml:space="preserve"> </w:t>
      </w:r>
      <w:r>
        <w:t xml:space="preserve">million) of freight transported over the 2011-2013 period on Italian-Spanish RoRo routes have</w:t>
      </w:r>
      <w:r>
        <w:t xml:space="preserve"> </w:t>
      </w:r>
      <w:r>
        <w:t xml:space="preserve">to be credited to the Ecobonus.</w:t>
      </w:r>
      <w:r>
        <w:t xml:space="preserve"> </w:t>
      </w:r>
      <w:r>
        <w:t xml:space="preserve">Considering supply-side support to intermodal transport, evaluation of modal shift impacts has been</w:t>
      </w:r>
      <w:r>
        <w:t xml:space="preserve"> </w:t>
      </w:r>
      <w:r>
        <w:t xml:space="preserve">produced for two Austrian support schemes, which were offered to railway undertakings to compensate</w:t>
      </w:r>
      <w:r>
        <w:t xml:space="preserve"> </w:t>
      </w:r>
      <w:r>
        <w:t xml:space="preserve">for additional costs faced by rail and so shift freight from road to rail. The first aid targets the “provision</w:t>
      </w:r>
      <w:r>
        <w:t xml:space="preserve"> </w:t>
      </w:r>
      <w:r>
        <w:t xml:space="preserve">of certain intermodal transport services by rail”, while the other targeted investments in “Innovative</w:t>
      </w:r>
      <w:r>
        <w:t xml:space="preserve"> </w:t>
      </w:r>
      <w:r>
        <w:t xml:space="preserve">Combined Transport” technologies and equipment.</w:t>
      </w:r>
      <w:r>
        <w:br/>
      </w:r>
      <w:r>
        <w:t xml:space="preserve">•</w:t>
      </w:r>
      <w:r>
        <w:t xml:space="preserve"> </w:t>
      </w:r>
      <w:r>
        <w:t xml:space="preserve">The EC State aid decision of 2017231 on the Aid for transport of goods by rail in certain</w:t>
      </w:r>
      <w:r>
        <w:t xml:space="preserve"> </w:t>
      </w:r>
      <w:r>
        <w:t xml:space="preserve">combined transport services for 2018-2022 suggests that the initial scheme proved effective in</w:t>
      </w:r>
      <w:r>
        <w:t xml:space="preserve"> </w:t>
      </w:r>
      <w:r>
        <w:t xml:space="preserve">delivering modal shift. According to estimates from Austrian authorities, the scheme led to an</w:t>
      </w:r>
      <w:r>
        <w:t xml:space="preserve"> </w:t>
      </w:r>
      <w:r>
        <w:t xml:space="preserve">increase of 2.8% of transport services in tkm in the supported production forms232 during the</w:t>
      </w:r>
      <w:r>
        <w:t xml:space="preserve"> </w:t>
      </w:r>
      <w:r>
        <w:t xml:space="preserve">period 2013-2015.</w:t>
      </w:r>
      <w:r>
        <w:br/>
      </w:r>
      <w:r>
        <w:t xml:space="preserve">•</w:t>
      </w:r>
      <w:r>
        <w:t xml:space="preserve"> </w:t>
      </w:r>
      <w:r>
        <w:t xml:space="preserve">According to the evaluation report from the Austrian authorities233, the Aid for Innovative</w:t>
      </w:r>
      <w:r>
        <w:t xml:space="preserve"> </w:t>
      </w:r>
      <w:r>
        <w:t xml:space="preserve">combined transport achieved a shift of road transport to other modes of transport of 58.12</w:t>
      </w:r>
      <w:r>
        <w:t xml:space="preserve"> </w:t>
      </w:r>
      <w:r>
        <w:t xml:space="preserve">billion tkm for 2009-2014 and of 47.74 billion tkm for 2015-2020. Considering that such</w:t>
      </w:r>
      <w:r>
        <w:t xml:space="preserve"> </w:t>
      </w:r>
      <w:r>
        <w:t xml:space="preserve">volumes represented approximately 24% and 36% of the total freight volumes transported via</w:t>
      </w:r>
      <w:r>
        <w:t xml:space="preserve"> </w:t>
      </w:r>
      <w:r>
        <w:t xml:space="preserve">rail and IWW in the respective evaluation periods, the scheme was deemed highly effective in</w:t>
      </w:r>
      <w:r>
        <w:t xml:space="preserve"> </w:t>
      </w:r>
      <w:r>
        <w:t xml:space="preserve">terms of modal shift outcomes.</w:t>
      </w:r>
      <w:r>
        <w:t xml:space="preserve"> </w:t>
      </w:r>
      <w:r>
        <w:t xml:space="preserve">The following table summarizes the evaluation of State aid effects in the aforementioned four schemes.</w:t>
      </w:r>
      <w:r>
        <w:t xml:space="preserve"> </w:t>
      </w:r>
      <w:r>
        <w:t xml:space="preserve">Note that the effects are observed during the period covered by the evaluation reports, while long-term</w:t>
      </w:r>
      <w:r>
        <w:t xml:space="preserve"> </w:t>
      </w:r>
      <w:r>
        <w:t xml:space="preserve">effects are not included. Moreover, the reported modal shift impact should be read as an indication of</w:t>
      </w:r>
      <w:r>
        <w:t xml:space="preserve"> </w:t>
      </w:r>
      <w:r>
        <w:t xml:space="preserve">effects rather than hard evidence, since none of the evaluation reports used methods allowing for the</w:t>
      </w:r>
      <w:r>
        <w:t xml:space="preserve"> </w:t>
      </w:r>
      <w:r>
        <w:t xml:space="preserve">identification of causal effects.</w:t>
      </w:r>
      <w:r>
        <w:t xml:space="preserve"> </w:t>
      </w:r>
      <w:r>
        <w:t xml:space="preserve">Table 65: Results from support measures at Member State level</w:t>
      </w:r>
    </w:p>
    <w:p>
      <w:pPr>
        <w:pStyle w:val="BodyText"/>
      </w:pPr>
      <w:r>
        <w:t xml:space="preserve">Support measure</w:t>
      </w:r>
      <w:r>
        <w:t xml:space="preserve"> </w:t>
      </w:r>
      <w:r>
        <w:t xml:space="preserve">Type of measure</w:t>
      </w:r>
      <w:r>
        <w:t xml:space="preserve"> </w:t>
      </w:r>
      <w:r>
        <w:t xml:space="preserve">Financial</w:t>
      </w:r>
      <w:r>
        <w:t xml:space="preserve"> </w:t>
      </w:r>
      <w:r>
        <w:t xml:space="preserve">support</w:t>
      </w:r>
      <w:r>
        <w:t xml:space="preserve"> </w:t>
      </w:r>
      <w:r>
        <w:t xml:space="preserve">Total</w:t>
      </w:r>
      <w:r>
        <w:t xml:space="preserve"> </w:t>
      </w:r>
      <w:r>
        <w:t xml:space="preserve">amount</w:t>
      </w:r>
      <w:r>
        <w:t xml:space="preserve"> </w:t>
      </w:r>
      <w:r>
        <w:t xml:space="preserve">Modal shift</w:t>
      </w:r>
      <w:r>
        <w:t xml:space="preserve"> </w:t>
      </w:r>
      <w:r>
        <w:t xml:space="preserve">volume</w:t>
      </w:r>
    </w:p>
    <w:p>
      <w:pPr>
        <w:pStyle w:val="BodyText"/>
      </w:pPr>
      <w:r>
        <w:t xml:space="preserve">228 https://eur-lex.europa.eu/legal-content/EN/TXT/PDF/?uri=CELEX:52017XC0317(01)&amp;from=EN</w:t>
      </w:r>
      <w:r>
        <w:br/>
      </w:r>
      <w:r>
        <w:t xml:space="preserve">https://ec.europa.eu/competition/state_aid/cases/264873/264873_1872028_67_2.pdf</w:t>
      </w:r>
      <w:r>
        <w:br/>
      </w:r>
      <w:r>
        <w:t xml:space="preserve">229 Tsamboulas, D., et al. (2015), The Ferrobonus Incentive for Achieving Modal Shift to Rail: A Socio-Economic</w:t>
      </w:r>
      <w:r>
        <w:t xml:space="preserve"> </w:t>
      </w:r>
      <w:r>
        <w:t xml:space="preserve">Evaluation (No. 15- 2839).</w:t>
      </w:r>
      <w:r>
        <w:t xml:space="preserve"> </w:t>
      </w:r>
      <w:r>
        <w:t xml:space="preserve">230 RAM Spa (2019) “Analysis of practices to support multimodality”. CHARGE – Interreg Italy-Croatia: Deliverable</w:t>
      </w:r>
      <w:r>
        <w:br/>
      </w:r>
      <w:r>
        <w:t xml:space="preserve">5.1.1.</w:t>
      </w:r>
      <w:r>
        <w:t xml:space="preserve"> </w:t>
      </w:r>
      <w:r>
        <w:t xml:space="preserve">231 https://ec.europa.eu/competition/state_aid/cases/269839/269839_1971628_105_5.pdf</w:t>
      </w:r>
      <w:r>
        <w:br/>
      </w:r>
      <w:r>
        <w:t xml:space="preserve">232 The scheme provides for support to rail services in the following three production forms of freight rail transport:</w:t>
      </w:r>
      <w:r>
        <w:t xml:space="preserve"> </w:t>
      </w:r>
      <w:r>
        <w:t xml:space="preserve">i) single wagonload traffic (</w:t>
      </w:r>
      <w:r>
        <w:t xml:space="preserve">“SWT”</w:t>
      </w:r>
      <w:r>
        <w:t xml:space="preserve">), ii) unaccompanied combined transport (</w:t>
      </w:r>
      <w:r>
        <w:t xml:space="preserve">“UCT”</w:t>
      </w:r>
      <w:r>
        <w:t xml:space="preserve">) and iii) accompanied combined</w:t>
      </w:r>
      <w:r>
        <w:t xml:space="preserve"> </w:t>
      </w:r>
      <w:r>
        <w:t xml:space="preserve">transport (</w:t>
      </w:r>
      <w:r>
        <w:t xml:space="preserve">“RoLa”</w:t>
      </w:r>
      <w:r>
        <w:t xml:space="preserve">) by compensating additional costs which are faced by rail transport but not by road transport.</w:t>
      </w:r>
      <w:r>
        <w:t xml:space="preserve"> </w:t>
      </w:r>
      <w:r>
        <w:t xml:space="preserve">233 https://www.bmk.gv.at/themen/innovation/publikationen/evaluierungen/ikv.html.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Rail</w:t>
      </w:r>
      <w:r>
        <w:br/>
      </w:r>
      <w:r>
        <w:t xml:space="preserve">(IT)</w:t>
      </w:r>
      <w:r>
        <w:t xml:space="preserve"> </w:t>
      </w:r>
      <w:r>
        <w:t xml:space="preserve">Ferrobonus (2010-11)</w:t>
      </w:r>
      <w:r>
        <w:t xml:space="preserve"> </w:t>
      </w:r>
      <w:r>
        <w:t xml:space="preserve">SA.32603</w:t>
      </w:r>
      <w:r>
        <w:t xml:space="preserve"> </w:t>
      </w:r>
      <w:r>
        <w:t xml:space="preserve">Direct grant users</w:t>
      </w:r>
      <w:r>
        <w:t xml:space="preserve"> </w:t>
      </w:r>
      <w:r>
        <w:t xml:space="preserve">of rail service</w:t>
      </w:r>
      <w:r>
        <w:br/>
      </w:r>
      <w:r>
        <w:t xml:space="preserve">1.05€ per</w:t>
      </w:r>
      <w:r>
        <w:t xml:space="preserve"> </w:t>
      </w:r>
      <w:r>
        <w:t xml:space="preserve">train-km</w:t>
      </w:r>
      <w:r>
        <w:t xml:space="preserve"> </w:t>
      </w:r>
      <w:r>
        <w:t xml:space="preserve">23.3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3.8 million train-</w:t>
      </w:r>
      <w:r>
        <w:t xml:space="preserve"> </w:t>
      </w:r>
      <w:r>
        <w:t xml:space="preserve">km (+17.3%)</w:t>
      </w:r>
      <w:r>
        <w:t xml:space="preserve"> </w:t>
      </w:r>
      <w:r>
        <w:t xml:space="preserve">Rail</w:t>
      </w:r>
      <w:r>
        <w:br/>
      </w:r>
      <w:r>
        <w:t xml:space="preserve">(AT)</w:t>
      </w:r>
      <w:r>
        <w:t xml:space="preserve"> </w:t>
      </w:r>
      <w:r>
        <w:t xml:space="preserve">Aid for rail transport in</w:t>
      </w:r>
      <w:r>
        <w:t xml:space="preserve"> </w:t>
      </w:r>
      <w:r>
        <w:t xml:space="preserve">certain intermodal</w:t>
      </w:r>
      <w:r>
        <w:t xml:space="preserve"> </w:t>
      </w:r>
      <w:r>
        <w:t xml:space="preserve">transport services</w:t>
      </w:r>
      <w:r>
        <w:t xml:space="preserve"> </w:t>
      </w:r>
      <w:r>
        <w:t xml:space="preserve">(2013-17)</w:t>
      </w:r>
      <w:r>
        <w:t xml:space="preserve"> </w:t>
      </w:r>
      <w:r>
        <w:t xml:space="preserve">SA.33993</w:t>
      </w:r>
      <w:r>
        <w:t xml:space="preserve"> </w:t>
      </w:r>
      <w:r>
        <w:t xml:space="preserve">Direct grant to</w:t>
      </w:r>
      <w:r>
        <w:t xml:space="preserve"> </w:t>
      </w:r>
      <w:r>
        <w:t xml:space="preserve">railway</w:t>
      </w:r>
      <w:r>
        <w:t xml:space="preserve"> </w:t>
      </w:r>
      <w:r>
        <w:t xml:space="preserve">undertakings</w:t>
      </w:r>
      <w:r>
        <w:t xml:space="preserve"> </w:t>
      </w:r>
      <w:r>
        <w:t xml:space="preserve">Up to 26.71</w:t>
      </w:r>
      <w:r>
        <w:t xml:space="preserve"> </w:t>
      </w:r>
      <w:r>
        <w:t xml:space="preserve">per 1000 tkm</w:t>
      </w:r>
      <w:r>
        <w:t xml:space="preserve"> </w:t>
      </w:r>
      <w:r>
        <w:t xml:space="preserve">1,118</w:t>
      </w:r>
      <w:r>
        <w:br/>
      </w:r>
      <w:r>
        <w:t xml:space="preserve">+2.8% tonne-km</w:t>
      </w:r>
    </w:p>
    <w:p>
      <w:pPr>
        <w:pStyle w:val="BodyText"/>
      </w:pPr>
      <w:r>
        <w:t xml:space="preserve">Rail</w:t>
      </w:r>
      <w:r>
        <w:t xml:space="preserve"> </w:t>
      </w:r>
      <w:r>
        <w:t xml:space="preserve">(AT)</w:t>
      </w:r>
      <w:r>
        <w:t xml:space="preserve"> </w:t>
      </w:r>
      <w:r>
        <w:t xml:space="preserve">Aid for Innovative</w:t>
      </w:r>
      <w:r>
        <w:t xml:space="preserve"> </w:t>
      </w:r>
      <w:r>
        <w:t xml:space="preserve">combined transport</w:t>
      </w:r>
      <w:r>
        <w:t xml:space="preserve"> </w:t>
      </w:r>
      <w:r>
        <w:t xml:space="preserve">(2009-14)</w:t>
      </w:r>
      <w:r>
        <w:t xml:space="preserve"> </w:t>
      </w:r>
      <w:r>
        <w:t xml:space="preserve">Subsidy to railway</w:t>
      </w:r>
      <w:r>
        <w:t xml:space="preserve"> </w:t>
      </w:r>
      <w:r>
        <w:t xml:space="preserve">undertakings for</w:t>
      </w:r>
      <w:r>
        <w:t xml:space="preserve"> </w:t>
      </w:r>
      <w:r>
        <w:t xml:space="preserve">acquisition of</w:t>
      </w:r>
      <w:r>
        <w:t xml:space="preserve"> </w:t>
      </w:r>
      <w:r>
        <w:t xml:space="preserve">technologies and</w:t>
      </w:r>
      <w:r>
        <w:t xml:space="preserve"> </w:t>
      </w:r>
      <w:r>
        <w:t xml:space="preserve">equipment</w:t>
      </w:r>
      <w:r>
        <w:t xml:space="preserve"> </w:t>
      </w:r>
      <w:r>
        <w:t xml:space="preserve">n.a.</w:t>
      </w:r>
      <w:r>
        <w:t xml:space="preserve"> </w:t>
      </w:r>
      <w:r>
        <w:t xml:space="preserve">15.1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</w:p>
    <w:p>
      <w:pPr>
        <w:pStyle w:val="BodyText"/>
      </w:pPr>
      <w:r>
        <w:t xml:space="preserve">58.121 billion</w:t>
      </w:r>
      <w:r>
        <w:t xml:space="preserve"> </w:t>
      </w:r>
      <w:r>
        <w:t xml:space="preserve">tkm (+36%)</w:t>
      </w:r>
    </w:p>
    <w:p>
      <w:pPr>
        <w:pStyle w:val="BodyText"/>
      </w:pPr>
      <w:r>
        <w:t xml:space="preserve">Rail</w:t>
      </w:r>
      <w:r>
        <w:t xml:space="preserve"> </w:t>
      </w:r>
      <w:r>
        <w:t xml:space="preserve">(AT)</w:t>
      </w:r>
      <w:r>
        <w:t xml:space="preserve"> </w:t>
      </w:r>
      <w:r>
        <w:t xml:space="preserve">Aid for Innovative</w:t>
      </w:r>
      <w:r>
        <w:t xml:space="preserve"> </w:t>
      </w:r>
      <w:r>
        <w:t xml:space="preserve">combined transport</w:t>
      </w:r>
      <w:r>
        <w:t xml:space="preserve"> </w:t>
      </w:r>
      <w:r>
        <w:t xml:space="preserve">(2015-20)</w:t>
      </w:r>
      <w:r>
        <w:t xml:space="preserve"> </w:t>
      </w:r>
      <w:r>
        <w:t xml:space="preserve">SA.41100</w:t>
      </w:r>
      <w:r>
        <w:t xml:space="preserve"> </w:t>
      </w:r>
      <w:r>
        <w:t xml:space="preserve">n.a.</w:t>
      </w:r>
      <w:r>
        <w:t xml:space="preserve"> </w:t>
      </w:r>
      <w:r>
        <w:t xml:space="preserve">10.8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</w:p>
    <w:p>
      <w:pPr>
        <w:pStyle w:val="BodyText"/>
      </w:pPr>
      <w:r>
        <w:t xml:space="preserve">47.74 billion tkm</w:t>
      </w:r>
      <w:r>
        <w:t xml:space="preserve"> </w:t>
      </w:r>
      <w:r>
        <w:t xml:space="preserve">(+24%)</w:t>
      </w:r>
    </w:p>
    <w:p>
      <w:pPr>
        <w:pStyle w:val="BodyText"/>
      </w:pPr>
      <w:r>
        <w:t xml:space="preserve">SSS</w:t>
      </w:r>
      <w:r>
        <w:t xml:space="preserve"> </w:t>
      </w:r>
      <w:r>
        <w:t xml:space="preserve">(IT)</w:t>
      </w:r>
      <w:r>
        <w:t xml:space="preserve"> </w:t>
      </w:r>
      <w:r>
        <w:t xml:space="preserve">Ecobonus (2007-10) (aid</w:t>
      </w:r>
      <w:r>
        <w:t xml:space="preserve"> </w:t>
      </w:r>
      <w:r>
        <w:t xml:space="preserve">for international Ro-Ro</w:t>
      </w:r>
      <w:r>
        <w:t xml:space="preserve"> </w:t>
      </w:r>
      <w:r>
        <w:t xml:space="preserve">routes between IT-ES)</w:t>
      </w:r>
      <w:r>
        <w:t xml:space="preserve"> </w:t>
      </w:r>
      <w:r>
        <w:t xml:space="preserve">Direct grant to</w:t>
      </w:r>
      <w:r>
        <w:t xml:space="preserve"> </w:t>
      </w:r>
      <w:r>
        <w:t xml:space="preserve">truckers</w:t>
      </w:r>
      <w:r>
        <w:t xml:space="preserve"> </w:t>
      </w:r>
      <w:r>
        <w:t xml:space="preserve">30% of the</w:t>
      </w:r>
      <w:r>
        <w:t xml:space="preserve"> </w:t>
      </w:r>
      <w:r>
        <w:t xml:space="preserve">RoRo fare</w:t>
      </w:r>
      <w:r>
        <w:t xml:space="preserve"> </w:t>
      </w:r>
      <w:r>
        <w:t xml:space="preserve">charged to</w:t>
      </w:r>
      <w:r>
        <w:t xml:space="preserve"> </w:t>
      </w:r>
      <w:r>
        <w:t xml:space="preserve">truckers</w:t>
      </w:r>
      <w:r>
        <w:t xml:space="preserve"> </w:t>
      </w:r>
      <w:r>
        <w:t xml:space="preserve">67.0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87,564</w:t>
      </w:r>
      <w:r>
        <w:t xml:space="preserve"> </w:t>
      </w:r>
      <w:r>
        <w:t xml:space="preserve">semitrailers</w:t>
      </w:r>
      <w:r>
        <w:t xml:space="preserve"> </w:t>
      </w:r>
      <w:r>
        <w:t xml:space="preserve">(+12.1% vs. pre-</w:t>
      </w:r>
      <w:r>
        <w:t xml:space="preserve"> </w:t>
      </w:r>
      <w:r>
        <w:t xml:space="preserve">scheme levels)</w:t>
      </w:r>
      <w:r>
        <w:t xml:space="preserve"> </w:t>
      </w:r>
      <w:r>
        <w:t xml:space="preserve">Source: Impact assessment support study for the review of the Community guidelines on State aid for railway</w:t>
      </w:r>
      <w:r>
        <w:t xml:space="preserve"> </w:t>
      </w:r>
      <w:r>
        <w:t xml:space="preserve">undertakings (2023), State aid decisions, national authorities evaluation reports.</w:t>
      </w:r>
      <w:r>
        <w:t xml:space="preserve"> </w:t>
      </w:r>
      <w:r>
        <w:t xml:space="preserve">Finally, more general conclusions on State aid for rail freight are also provided in the recent “Impact</w:t>
      </w:r>
      <w:r>
        <w:t xml:space="preserve"> </w:t>
      </w:r>
      <w:r>
        <w:t xml:space="preserve">assessment support study for the review of the Community guidelines on State aid for railway</w:t>
      </w:r>
      <w:r>
        <w:t xml:space="preserve"> </w:t>
      </w:r>
      <w:r>
        <w:t xml:space="preserve">undertakings”, drawing from existing evidence from rail sector policy support. Relevant conclusions for</w:t>
      </w:r>
      <w:r>
        <w:t xml:space="preserve"> </w:t>
      </w:r>
      <w:r>
        <w:t xml:space="preserve">design and assessment of support measures for intermodal freight include:</w:t>
      </w:r>
      <w:r>
        <w:br/>
      </w:r>
      <w:r>
        <w:t xml:space="preserve">•</w:t>
      </w:r>
      <w:r>
        <w:t xml:space="preserve"> </w:t>
      </w:r>
      <w:r>
        <w:t xml:space="preserve">Granting authorities could specifically target routes and segments that show greatest potential</w:t>
      </w:r>
      <w:r>
        <w:t xml:space="preserve"> </w:t>
      </w:r>
      <w:r>
        <w:t xml:space="preserve">for the modal shift.</w:t>
      </w:r>
      <w:r>
        <w:t xml:space="preserve"> </w:t>
      </w:r>
      <w:r>
        <w:t xml:space="preserve">•</w:t>
      </w:r>
      <w:r>
        <w:t xml:space="preserve"> </w:t>
      </w:r>
      <w:r>
        <w:t xml:space="preserve">Reducing costs in an intermodal transport chain could incentivise a substantial number of</w:t>
      </w:r>
      <w:r>
        <w:t xml:space="preserve"> </w:t>
      </w:r>
      <w:r>
        <w:t xml:space="preserve">customers to move from road to intermodal transport. Most demand for transport is on short</w:t>
      </w:r>
      <w:r>
        <w:t xml:space="preserve"> </w:t>
      </w:r>
      <w:r>
        <w:t xml:space="preserve">routes where trucks are predominant. Therefore, State aid which reduces the distance at which</w:t>
      </w:r>
      <w:r>
        <w:t xml:space="preserve"> </w:t>
      </w:r>
      <w:r>
        <w:t xml:space="preserve">rail becomes more competitive than road would likely be effective in fostering a modal change.</w:t>
      </w:r>
      <w:r>
        <w:t xml:space="preserve"> </w:t>
      </w:r>
      <w:r>
        <w:t xml:space="preserve">•</w:t>
      </w:r>
      <w:r>
        <w:t xml:space="preserve"> </w:t>
      </w:r>
      <w:r>
        <w:t xml:space="preserve">National rail transport in small countries also needs to be supported to compete with road, since</w:t>
      </w:r>
      <w:r>
        <w:t xml:space="preserve"> </w:t>
      </w:r>
      <w:r>
        <w:t xml:space="preserve">it cannot exploit economies of scale. Yet another example of services in need of support is</w:t>
      </w:r>
      <w:r>
        <w:t xml:space="preserve"> </w:t>
      </w:r>
      <w:r>
        <w:t xml:space="preserve">IWW transport, where distance travelled is typically shorter than that travelled by rail and the</w:t>
      </w:r>
      <w:r>
        <w:t xml:space="preserve"> </w:t>
      </w:r>
      <w:r>
        <w:t xml:space="preserve">tonnages transported are lower due to higher instances of the transport of empty containers.</w:t>
      </w:r>
      <w:r>
        <w:t xml:space="preserve"> </w:t>
      </w:r>
      <w:r>
        <w:t xml:space="preserve">•</w:t>
      </w:r>
      <w:r>
        <w:t xml:space="preserve"> </w:t>
      </w:r>
      <w:r>
        <w:t xml:space="preserve">Compared to investment State aid, operational aid has greater potential to distort competition</w:t>
      </w:r>
      <w:r>
        <w:t xml:space="preserve"> </w:t>
      </w:r>
      <w:r>
        <w:t xml:space="preserve">within the rail freight segment, but it can more effectively facilitate a modal shift to rail in the</w:t>
      </w:r>
      <w:r>
        <w:t xml:space="preserve"> </w:t>
      </w:r>
      <w:r>
        <w:t xml:space="preserve">short term. Investment State aid for infrastructure and rolling stock can be expected to reduce</w:t>
      </w:r>
      <w:r>
        <w:t xml:space="preserve"> </w:t>
      </w:r>
      <w:r>
        <w:t xml:space="preserve">operating costs in the long-term by supporting the use of modern and efficient technical</w:t>
      </w:r>
      <w:r>
        <w:t xml:space="preserve"> </w:t>
      </w:r>
      <w:r>
        <w:t xml:space="preserve">solutions. Compared to operating State aid, such aid has less potential to distort competition</w:t>
      </w:r>
      <w:r>
        <w:t xml:space="preserve"> </w:t>
      </w:r>
      <w:r>
        <w:t xml:space="preserve">within the rail freight segment, but it would likely take longer to facilitate a modal shift to rail.</w:t>
      </w:r>
      <w:r>
        <w:t xml:space="preserve"> </w:t>
      </w:r>
      <w:r>
        <w:t xml:space="preserve">•</w:t>
      </w:r>
      <w:r>
        <w:t xml:space="preserve"> </w:t>
      </w:r>
      <w:r>
        <w:t xml:space="preserve">To learn about the effectiveness and efficiency of various scheme designs, evidence is required,</w:t>
      </w:r>
      <w:r>
        <w:t xml:space="preserve"> </w:t>
      </w:r>
      <w:r>
        <w:t xml:space="preserve">but ex-post evaluations for State aid schemes under the Railway Guidelines are very rare. The</w:t>
      </w:r>
      <w:r>
        <w:t xml:space="preserve"> </w:t>
      </w:r>
      <w:r>
        <w:t xml:space="preserve">introduction of the requirement to evaluate schemes could facilitate the generation of such</w:t>
      </w:r>
      <w:r>
        <w:t xml:space="preserve"> </w:t>
      </w:r>
      <w:r>
        <w:t xml:space="preserve">evidence, and allow for better informed choices of scheme design in the future.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2026-07-31T16:48:10Z</dcterms:created>
  <dcterms:modified xsi:type="dcterms:W3CDTF">2026-07-31T16:48:10Z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