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5.7.2023</w:t>
      </w:r>
      <w:r>
        <w:br/>
      </w:r>
      <w:r>
        <w:t xml:space="preserve">SWD(2023) 417 final</w:t>
      </w:r>
      <w:r>
        <w:t xml:space="preserve"> </w:t>
      </w:r>
      <w:r>
        <w:t xml:space="preserve">PART 5/5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ANNEXES</w:t>
      </w:r>
      <w:r>
        <w:t xml:space="preserve"> </w:t>
      </w:r>
      <w:r>
        <w:t xml:space="preserve">Accompanying the proposal for a</w:t>
      </w:r>
      <w:r>
        <w:t xml:space="preserve"> </w:t>
      </w:r>
      <w:r>
        <w:t xml:space="preserve">Directive of the European Parliament and of the Council</w:t>
      </w:r>
      <w:r>
        <w:t xml:space="preserve"> </w:t>
      </w:r>
      <w:r>
        <w:t xml:space="preserve">on Soil Monitoring and Resilience (Soil Monitoring Law)</w:t>
      </w:r>
      <w:r>
        <w:t xml:space="preserve"> </w:t>
      </w:r>
      <w:r>
        <w:t xml:space="preserve">{COM(2023) 416 final} - {SEC(2023) 416 final} - {SWD(2023) 416 final} -</w:t>
      </w:r>
      <w:r>
        <w:t xml:space="preserve"> </w:t>
      </w:r>
      <w:r>
        <w:t xml:space="preserve">{SWD(2023) 418 final} - {SWD(2023) 423 final}</w:t>
      </w:r>
    </w:p>
    <w:p>
      <w:pPr>
        <w:pStyle w:val="BodyText"/>
      </w:pPr>
      <w:r>
        <w:t xml:space="preserve">969</w:t>
      </w:r>
    </w:p>
    <w:p>
      <w:pPr>
        <w:pStyle w:val="BodyText"/>
      </w:pPr>
      <w:r>
        <w:t xml:space="preserve">ANNEX 13: COMPETITIVENESS CHECK</w:t>
      </w:r>
    </w:p>
    <w:p>
      <w:pPr>
        <w:pStyle w:val="Compact"/>
        <w:numPr>
          <w:ilvl w:val="0"/>
          <w:numId w:val="1001"/>
        </w:numPr>
      </w:pPr>
      <w:r>
        <w:t xml:space="preserve">Overview of impacts on competitiveness</w:t>
      </w:r>
    </w:p>
    <w:p>
      <w:pPr>
        <w:pStyle w:val="FirstParagraph"/>
      </w:pPr>
      <w:r>
        <w:t xml:space="preserve">Dimensions of competitiveness</w:t>
      </w:r>
      <w:r>
        <w:t xml:space="preserve"> </w:t>
      </w:r>
      <w:r>
        <w:t xml:space="preserve">Impact of the preferred option References to sub-sections of</w:t>
      </w:r>
      <w:r>
        <w:t xml:space="preserve"> </w:t>
      </w:r>
      <w:r>
        <w:t xml:space="preserve">the 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Part 1/3 of the SWD, Chapter 3</w:t>
      </w:r>
      <w:r>
        <w:t xml:space="preserve"> </w:t>
      </w:r>
      <w:r>
        <w:t xml:space="preserve">Part 1/3 of the SWD, Chapter 6</w:t>
      </w:r>
      <w:r>
        <w:t xml:space="preserve"> </w:t>
      </w:r>
      <w:r>
        <w:t xml:space="preserve">Part 3/3 of the SWD, Annex 11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++</w:t>
      </w:r>
      <w:r>
        <w:t xml:space="preserve"> </w:t>
      </w:r>
      <w:r>
        <w:t xml:space="preserve">Part 1/3 of the SWD, Chapter 3</w:t>
      </w:r>
      <w:r>
        <w:t xml:space="preserve"> </w:t>
      </w:r>
      <w:r>
        <w:t xml:space="preserve">Part 1/3 of the SWD, Chapter 7</w:t>
      </w:r>
      <w:r>
        <w:t xml:space="preserve"> </w:t>
      </w:r>
      <w:r>
        <w:t xml:space="preserve">International competitiveness</w:t>
      </w:r>
      <w:r>
        <w:t xml:space="preserve"> </w:t>
      </w:r>
      <w:r>
        <w:t xml:space="preserve">0*</w:t>
      </w:r>
      <w:r>
        <w:t xml:space="preserve"> </w:t>
      </w:r>
      <w:r>
        <w:t xml:space="preserve">Part 1/3 of the SWD, Chapter 3</w:t>
      </w:r>
      <w:r>
        <w:t xml:space="preserve"> </w:t>
      </w:r>
      <w:r>
        <w:t xml:space="preserve">Part 3/3 of the SWD, Annex 10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Part 1/3 of the SWD, Chapter 7</w:t>
      </w:r>
      <w:r>
        <w:t xml:space="preserve"> </w:t>
      </w:r>
      <w:r>
        <w:t xml:space="preserve">Part 3/3 of the SWD, Annex 11</w:t>
      </w:r>
      <w:r>
        <w:t xml:space="preserve"> </w:t>
      </w:r>
      <w:r>
        <w:t xml:space="preserve">Part 3/3 of the SWD, Annex 11</w:t>
      </w:r>
      <w:r>
        <w:t xml:space="preserve"> </w:t>
      </w:r>
      <w:r>
        <w:t xml:space="preserve">*= note: on a longer time horizon, this is likely to be a positive (+) impact</w:t>
      </w:r>
    </w:p>
    <w:p>
      <w:pPr>
        <w:pStyle w:val="BodyText"/>
      </w:pPr>
      <w:r>
        <w:t xml:space="preserve">Cost and price competitiveness</w:t>
      </w:r>
      <w:r>
        <w:t xml:space="preserve"> </w:t>
      </w:r>
      <w:r>
        <w:t xml:space="preserve">The preferred option is foreseen to incur impacts on the competitiveness of economic actors</w:t>
      </w:r>
      <w:r>
        <w:t xml:space="preserve"> </w:t>
      </w:r>
      <w:r>
        <w:t xml:space="preserve">based in the EU, both directly and indirectly. Costs can be expected from the implementation</w:t>
      </w:r>
      <w:r>
        <w:t xml:space="preserve"> </w:t>
      </w:r>
      <w:r>
        <w:t xml:space="preserve">of measures, particularly those in relation to sustainable soil management (Building Block 3),</w:t>
      </w:r>
      <w:r>
        <w:t xml:space="preserve"> </w:t>
      </w:r>
      <w:r>
        <w:t xml:space="preserve">restoration (Building Block 5) and to a lesser extent monitoring (Building Block 2). The nature</w:t>
      </w:r>
      <w:r>
        <w:t xml:space="preserve"> </w:t>
      </w:r>
      <w:r>
        <w:t xml:space="preserve">of these costs will vary significantly depending upon the exact measures which Members States</w:t>
      </w:r>
      <w:r>
        <w:t xml:space="preserve"> </w:t>
      </w:r>
      <w:r>
        <w:t xml:space="preserve">select due to the flexibility offered through the preferred option allowing for local conditions</w:t>
      </w:r>
      <w:r>
        <w:t xml:space="preserve"> </w:t>
      </w:r>
      <w:r>
        <w:t xml:space="preserve">to be reflected, and disproportionately costly measures to be avoided. However, the costs</w:t>
      </w:r>
      <w:r>
        <w:t xml:space="preserve"> </w:t>
      </w:r>
      <w:r>
        <w:t xml:space="preserve">associated with the implementation of the preferred option are assessed as being lower than the</w:t>
      </w:r>
      <w:r>
        <w:t xml:space="preserve"> </w:t>
      </w:r>
      <w:r>
        <w:t xml:space="preserve">positive economic impacts, particularly when analysing over medium/long-term time horizons.</w:t>
      </w:r>
      <w:r>
        <w:t xml:space="preserve"> </w:t>
      </w:r>
      <w:r>
        <w:t xml:space="preserve">In the short term, the competitiveness may be nevertheless temporarily affected negatively in</w:t>
      </w:r>
      <w:r>
        <w:t xml:space="preserve"> </w:t>
      </w:r>
      <w:r>
        <w:t xml:space="preserve">case a Member State would not adequately support the costs of the transition to sustainable soil</w:t>
      </w:r>
      <w:r>
        <w:t xml:space="preserve"> </w:t>
      </w:r>
      <w:r>
        <w:t xml:space="preserve">management practices or the restoration measures, before the benefits are reaped. However,</w:t>
      </w:r>
      <w:r>
        <w:t xml:space="preserve"> </w:t>
      </w:r>
      <w:r>
        <w:t xml:space="preserve">the longer-term benefits, such as maintaining or increasing soil fertility or reducing input use,</w:t>
      </w:r>
      <w:r>
        <w:t xml:space="preserve"> </w:t>
      </w:r>
      <w:r>
        <w:t xml:space="preserve">can ensure long-term productivity and reduce costs, thus increasing competitiveness in the long</w:t>
      </w:r>
      <w:r>
        <w:t xml:space="preserve"> </w:t>
      </w:r>
      <w:r>
        <w:t xml:space="preserve">term.</w:t>
      </w:r>
    </w:p>
    <w:p>
      <w:pPr>
        <w:pStyle w:val="BodyText"/>
      </w:pPr>
      <w:r>
        <w:t xml:space="preserve">The predominant economic actors impacted by the costs of the preferred option are likely to be</w:t>
      </w:r>
      <w:r>
        <w:t xml:space="preserve"> </w:t>
      </w:r>
      <w:r>
        <w:t xml:space="preserve">the landowners who rely upon soils as a key input for their production processes - namely</w:t>
      </w:r>
      <w:r>
        <w:t xml:space="preserve"> </w:t>
      </w:r>
      <w:r>
        <w:t xml:space="preserve">foresters and agricultural economic operators. For these actors, the preferred option has the</w:t>
      </w:r>
      <w:r>
        <w:t xml:space="preserve"> </w:t>
      </w:r>
      <w:r>
        <w:t xml:space="preserve">potential to diversify production systems, resulting in greater resilience to climate fluctuations</w:t>
      </w:r>
      <w:r>
        <w:t xml:space="preserve"> </w:t>
      </w:r>
      <w:r>
        <w:t xml:space="preserve">of their businesses, with subsequent cascading impacts on the value chains that they supply.</w:t>
      </w:r>
      <w:r>
        <w:t xml:space="preserve"> </w:t>
      </w:r>
      <w:r>
        <w:t xml:space="preserve">Furthermore, diversified production systems which maintain/increase soil fertility will generate</w:t>
      </w:r>
      <w:r>
        <w:t xml:space="preserve"> </w:t>
      </w:r>
      <w:r>
        <w:t xml:space="preserve">stabilised or increased yields from food, feed and biomass production in the long-term.1 The</w:t>
      </w:r>
      <w:r>
        <w:t xml:space="preserve"> </w:t>
      </w:r>
      <w:r>
        <w:t xml:space="preserve">analysis offered in Annex 11 outlines such economic benefits.2</w:t>
      </w:r>
    </w:p>
    <w:p>
      <w:pPr>
        <w:pStyle w:val="BodyText"/>
      </w:pPr>
      <w:r>
        <w:t xml:space="preserve">However, not all activities prescribed under the preferred option will lead to immediate positive</w:t>
      </w:r>
      <w:r>
        <w:t xml:space="preserve"> </w:t>
      </w:r>
      <w:r>
        <w:t xml:space="preserve">impacts on competitiveness for those incurring the costs. For example, lower agricultural yields</w:t>
      </w:r>
      <w:r>
        <w:t xml:space="preserve"> </w:t>
      </w:r>
      <w:r>
        <w:t xml:space="preserve">can be expected from some restoration activities (such as the introduction of seasonal non-</w:t>
      </w:r>
      <w:r>
        <w:t xml:space="preserve"> </w:t>
      </w:r>
      <w:r>
        <w:t xml:space="preserve">productive zones), yet these can be partially overcome through knowledge sharing.</w:t>
      </w:r>
    </w:p>
    <w:p>
      <w:pPr>
        <w:pStyle w:val="BodyText"/>
      </w:pPr>
      <w:r>
        <w:t xml:space="preserve">1 See Chapter 6 ‘impacts and comparison of policy options’ (building block 3), part 1/3 of the SWD</w:t>
      </w:r>
      <w:r>
        <w:t xml:space="preserve"> </w:t>
      </w:r>
      <w:r>
        <w:t xml:space="preserve">2 See Annex 11 ‘2. Costs and benefits of the preferred option’, part 3/3 of the SWD</w:t>
      </w:r>
    </w:p>
    <w:p>
      <w:pPr>
        <w:pStyle w:val="BodyText"/>
      </w:pPr>
      <w:r>
        <w:t xml:space="preserve">970</w:t>
      </w:r>
    </w:p>
    <w:p>
      <w:pPr>
        <w:pStyle w:val="BodyText"/>
      </w:pPr>
      <w:r>
        <w:t xml:space="preserve">Furthermore, some of the economic benefits will occur for different stakeholders (e.g. climate</w:t>
      </w:r>
      <w:r>
        <w:t xml:space="preserve"> </w:t>
      </w:r>
      <w:r>
        <w:t xml:space="preserve">benefits, protection of shared water resources, public health, job creation). However, the</w:t>
      </w:r>
      <w:r>
        <w:t xml:space="preserve"> </w:t>
      </w:r>
      <w:r>
        <w:t xml:space="preserve">common criteria/ principles/ management practices established by the EU and MSs will help</w:t>
      </w:r>
      <w:r>
        <w:t xml:space="preserve"> </w:t>
      </w:r>
      <w:r>
        <w:t xml:space="preserve">to stimulate standardised yet flexible approaches to soil management which will ultimately lead</w:t>
      </w:r>
      <w:r>
        <w:t xml:space="preserve"> </w:t>
      </w:r>
      <w:r>
        <w:t xml:space="preserve">to efficiency gains in the long term for soil managers.</w:t>
      </w:r>
    </w:p>
    <w:p>
      <w:pPr>
        <w:pStyle w:val="BodyText"/>
      </w:pPr>
      <w:r>
        <w:t xml:space="preserve">Finally, through a common approach to ensure soil health, internal market distortions and unfair</w:t>
      </w:r>
      <w:r>
        <w:t xml:space="preserve"> </w:t>
      </w:r>
      <w:r>
        <w:t xml:space="preserve">competition will be reduced. Currently, national legislation targeting soil health is divergent-</w:t>
      </w:r>
      <w:r>
        <w:t xml:space="preserve"> </w:t>
      </w:r>
      <w:r>
        <w:t xml:space="preserve">resulting in contrasting obligations for economic actors. As a result (for example), costs relating</w:t>
      </w:r>
      <w:r>
        <w:t xml:space="preserve"> </w:t>
      </w:r>
      <w:r>
        <w:t xml:space="preserve">to penalties, remediation and monitoring/investigation can vary significantly between Member</w:t>
      </w:r>
      <w:r>
        <w:t xml:space="preserve"> </w:t>
      </w:r>
      <w:r>
        <w:t xml:space="preserve">States. Ensuring a level-playing field across all Member States in relation to soil policies will</w:t>
      </w:r>
      <w:r>
        <w:t xml:space="preserve"> </w:t>
      </w:r>
      <w:r>
        <w:t xml:space="preserve">ensure a better and fairer functioning of the EU Internal Market. 3</w:t>
      </w:r>
    </w:p>
    <w:p>
      <w:pPr>
        <w:pStyle w:val="BodyText"/>
      </w:pPr>
      <w:r>
        <w:t xml:space="preserve">Capacity to innovate</w:t>
      </w:r>
      <w:r>
        <w:t xml:space="preserve"> </w:t>
      </w:r>
      <w:r>
        <w:t xml:space="preserve">The preferred option will lead to an innovation in tools, instruments, practices and methods to</w:t>
      </w:r>
      <w:r>
        <w:t xml:space="preserve"> </w:t>
      </w:r>
      <w:r>
        <w:t xml:space="preserve">assess, monitor and improve soil health in the EU. It is foreseen that technological development</w:t>
      </w:r>
      <w:r>
        <w:t xml:space="preserve"> </w:t>
      </w:r>
      <w:r>
        <w:t xml:space="preserve">in, for example, the use of monitoring approaches (eDNA, remote sensing, use of space data</w:t>
      </w:r>
      <w:r>
        <w:t xml:space="preserve"> </w:t>
      </w:r>
      <w:r>
        <w:t xml:space="preserve">and services in-field monitoring systems) will enhance and stimulate soil-related research in</w:t>
      </w:r>
      <w:r>
        <w:t xml:space="preserve"> </w:t>
      </w:r>
      <w:r>
        <w:t xml:space="preserve">the EU, further motivated through EU funding mechanisms.4 The intensified use of</w:t>
      </w:r>
      <w:r>
        <w:t xml:space="preserve"> </w:t>
      </w:r>
      <w:r>
        <w:t xml:space="preserve">technologies such as remote sensing are likely to lead to efficiency gains (monitoring efficiency</w:t>
      </w:r>
      <w:r>
        <w:t xml:space="preserve"> </w:t>
      </w:r>
      <w:r>
        <w:t xml:space="preserve">and improved accuracy of targeted measures) in the long-term, which could imply cost savings</w:t>
      </w:r>
      <w:r>
        <w:t xml:space="preserve"> </w:t>
      </w:r>
      <w:r>
        <w:t xml:space="preserve">for Member State monitoring authorities/agencies. In addition, such uptake in innovative</w:t>
      </w:r>
      <w:r>
        <w:t xml:space="preserve"> </w:t>
      </w:r>
      <w:r>
        <w:t xml:space="preserve">solutions are likely to increase the competitive footing of the EU in relation to expertise and</w:t>
      </w:r>
      <w:r>
        <w:t xml:space="preserve"> </w:t>
      </w:r>
      <w:r>
        <w:t xml:space="preserve">technologies exportable to non-EU countries.5 A multitude of opportunities for SME growth</w:t>
      </w:r>
      <w:r>
        <w:t xml:space="preserve"> </w:t>
      </w:r>
      <w:r>
        <w:t xml:space="preserve">within the innovation field are also likely (see section below), if Member States provide</w:t>
      </w:r>
      <w:r>
        <w:t xml:space="preserve"> </w:t>
      </w:r>
      <w:r>
        <w:t xml:space="preserve">adequate financial support.</w:t>
      </w:r>
    </w:p>
    <w:p>
      <w:pPr>
        <w:pStyle w:val="BodyText"/>
      </w:pPr>
      <w:r>
        <w:t xml:space="preserve">International competitiveness</w:t>
      </w:r>
      <w:r>
        <w:t xml:space="preserve"> </w:t>
      </w:r>
      <w:r>
        <w:t xml:space="preserve">The implementation of the preferred option is likely to generate impacts on international</w:t>
      </w:r>
      <w:r>
        <w:t xml:space="preserve"> </w:t>
      </w:r>
      <w:r>
        <w:t xml:space="preserve">competitiveness. The most obvious is that non-EU producers would not be subject to the costs</w:t>
      </w:r>
      <w:r>
        <w:t xml:space="preserve"> </w:t>
      </w:r>
      <w:r>
        <w:t xml:space="preserve">to comply which obligations stemming from EU legislation. As outlined in Annex 106 these</w:t>
      </w:r>
      <w:r>
        <w:t xml:space="preserve"> </w:t>
      </w:r>
      <w:r>
        <w:t xml:space="preserve">costs incurred on EU SMEs and sectors (through trade and finance flows) can negatively</w:t>
      </w:r>
      <w:r>
        <w:t xml:space="preserve"> </w:t>
      </w:r>
      <w:r>
        <w:t xml:space="preserve">impact the EU’s international competitiveness footing in the short term, yet it is likely that</w:t>
      </w:r>
      <w:r>
        <w:t xml:space="preserve"> </w:t>
      </w:r>
      <w:r>
        <w:t xml:space="preserve">international competitiveness in the medium/long-term will benefit from the implementation</w:t>
      </w:r>
      <w:r>
        <w:t xml:space="preserve"> </w:t>
      </w:r>
      <w:r>
        <w:t xml:space="preserve">of the preferred option (e.g. improved productivity, trade, jobs, public health) as measures taken</w:t>
      </w:r>
      <w:r>
        <w:t xml:space="preserve"> </w:t>
      </w:r>
      <w:r>
        <w:t xml:space="preserve">will be proportionate and net beneficial. Through its implementation, the long-term</w:t>
      </w:r>
      <w:r>
        <w:t xml:space="preserve"> </w:t>
      </w:r>
      <w:r>
        <w:t xml:space="preserve">sustainability of EU soils will be maintained, whereas geographic locations with less stringent</w:t>
      </w:r>
      <w:r>
        <w:t xml:space="preserve"> </w:t>
      </w:r>
      <w:r>
        <w:t xml:space="preserve">legislation will likely continue to be exposed to continued degradation of their respective soil</w:t>
      </w:r>
      <w:r>
        <w:t xml:space="preserve"> </w:t>
      </w:r>
      <w:r>
        <w:t xml:space="preserve">health (and thus, subsequent decreased productivity of processes intrinsically dependent upon</w:t>
      </w:r>
      <w:r>
        <w:t xml:space="preserve"> </w:t>
      </w:r>
      <w:r>
        <w:t xml:space="preserve">good soil health). Ultimately, it is expected that this would place the EU in a better competitive</w:t>
      </w:r>
      <w:r>
        <w:t xml:space="preserve"> </w:t>
      </w:r>
      <w:r>
        <w:t xml:space="preserve">position in the long-term. As noted in section 3.37 of the SWD, through its common vision and</w:t>
      </w:r>
      <w:r>
        <w:t xml:space="preserve"> </w:t>
      </w:r>
      <w:r>
        <w:t xml:space="preserve">legal framework, the preferred option will likely put the EU in a strong competitive position in</w:t>
      </w:r>
      <w:r>
        <w:t xml:space="preserve"> </w:t>
      </w:r>
      <w:r>
        <w:t xml:space="preserve">regards to the export of expertise and technologies to solve soil-related issues.</w:t>
      </w:r>
    </w:p>
    <w:p>
      <w:pPr>
        <w:pStyle w:val="BodyText"/>
      </w:pPr>
      <w:r>
        <w:t xml:space="preserve">SME Competitiveness</w:t>
      </w:r>
    </w:p>
    <w:p>
      <w:pPr>
        <w:pStyle w:val="BodyText"/>
      </w:pPr>
      <w:r>
        <w:t xml:space="preserve">3 See Section 3.3 ‘Subsidiarity: added value of EU action’, part 1/3 of the SWD</w:t>
      </w:r>
      <w:r>
        <w:t xml:space="preserve"> </w:t>
      </w:r>
      <w:r>
        <w:t xml:space="preserve">4 See Chapter 7 ‘Preferred option’, part 1/3 of the SWD</w:t>
      </w:r>
      <w:r>
        <w:t xml:space="preserve"> </w:t>
      </w:r>
      <w:r>
        <w:t xml:space="preserve">5 See Section 3.3 ‘Subsidiarity: added value of EU action’, part 1/3 of the SWD</w:t>
      </w:r>
      <w:r>
        <w:t xml:space="preserve"> </w:t>
      </w:r>
      <w:r>
        <w:t xml:space="preserve">6 See Annex 10 ‘5. Analysis of options under Soil Restoration and Remediation’, part 3/3 of the SWD</w:t>
      </w:r>
      <w:r>
        <w:t xml:space="preserve"> </w:t>
      </w:r>
      <w:r>
        <w:t xml:space="preserve">7 See Section 3.3 ‘Subsidiarity: added value of EU action’, part 1/3 of the SWD</w:t>
      </w:r>
    </w:p>
    <w:p>
      <w:pPr>
        <w:pStyle w:val="BodyText"/>
      </w:pPr>
      <w:r>
        <w:t xml:space="preserve">971</w:t>
      </w:r>
    </w:p>
    <w:p>
      <w:pPr>
        <w:pStyle w:val="BodyText"/>
      </w:pPr>
      <w:r>
        <w:t xml:space="preserve">In relation to SME competitiveness, there are several opportunities for SME growth and</w:t>
      </w:r>
      <w:r>
        <w:t xml:space="preserve"> </w:t>
      </w:r>
      <w:r>
        <w:t xml:space="preserve">innovation- notably through the expansion of research, advisory services, testing facilities, and</w:t>
      </w:r>
      <w:r>
        <w:t xml:space="preserve"> </w:t>
      </w:r>
      <w:r>
        <w:t xml:space="preserve">monitoring and sampling techniques.8 Furthermore, through the increase of publicly available</w:t>
      </w:r>
      <w:r>
        <w:t xml:space="preserve"> </w:t>
      </w:r>
      <w:r>
        <w:t xml:space="preserve">information on soil health, it can be considered that increased public awareness of soils and the</w:t>
      </w:r>
      <w:r>
        <w:t xml:space="preserve"> </w:t>
      </w:r>
      <w:r>
        <w:t xml:space="preserve">challenges faced will create further potential demand for soil-related solutions and research.</w:t>
      </w:r>
      <w:r>
        <w:t xml:space="preserve"> </w:t>
      </w:r>
      <w:r>
        <w:t xml:space="preserve">As calculated in Annex 11 the total employment impacts (largely to SMEs) of the preferred</w:t>
      </w:r>
      <w:r>
        <w:t xml:space="preserve"> </w:t>
      </w:r>
      <w:r>
        <w:t xml:space="preserve">option would equate to around 36 400 additional FTEs on an ongoing basis (plus a significantly</w:t>
      </w:r>
      <w:r>
        <w:t xml:space="preserve"> </w:t>
      </w:r>
      <w:r>
        <w:t xml:space="preserve">larger number of FTEs created when incorporating sustainable soil management practices). 9</w:t>
      </w:r>
      <w:r>
        <w:t xml:space="preserve"> </w:t>
      </w:r>
      <w:r>
        <w:t xml:space="preserve">However, SMEs involved in ‘risk activities’ could plausibly encounter proportionally larger</w:t>
      </w:r>
      <w:r>
        <w:t xml:space="preserve"> </w:t>
      </w:r>
      <w:r>
        <w:t xml:space="preserve">cost burdens if required to implement additional pollution control technologies, or cease</w:t>
      </w:r>
      <w:r>
        <w:t xml:space="preserve"> </w:t>
      </w:r>
      <w:r>
        <w:t xml:space="preserve">business activities in a location (larger businesses are likely to have access to other, operational</w:t>
      </w:r>
      <w:r>
        <w:t xml:space="preserve"> </w:t>
      </w:r>
      <w:r>
        <w:t xml:space="preserve">locations in such an event).10</w:t>
      </w:r>
    </w:p>
    <w:p>
      <w:pPr>
        <w:pStyle w:val="BodyText"/>
      </w:pPr>
      <w:r>
        <w:t xml:space="preserve">8 See Annex 11 ‘2. Costs and benefits of the preferred option’, part 3/3 of the SWD</w:t>
      </w:r>
      <w:r>
        <w:t xml:space="preserve"> </w:t>
      </w:r>
      <w:r>
        <w:t xml:space="preserve">9 See Section 7.3 ‘Overview of costs and benefits’, part 1/3 of the SWD</w:t>
      </w:r>
      <w:r>
        <w:t xml:space="preserve"> </w:t>
      </w:r>
      <w:r>
        <w:t xml:space="preserve">10 See Annex 11 ‘2. Costs and benefits of the preferred option’, part 3/3 of the SWD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2026-07-31T16:48:14Z</dcterms:created>
  <dcterms:modified xsi:type="dcterms:W3CDTF">2026-07-31T16:48:14Z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